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F9474" w14:textId="77777777" w:rsidR="00860F74" w:rsidRDefault="00A20E00">
      <w:pPr>
        <w:spacing w:before="240" w:after="240"/>
        <w:ind w:left="-720" w:right="-720"/>
        <w:jc w:val="both"/>
        <w:rPr>
          <w:color w:val="313537"/>
          <w:highlight w:val="white"/>
        </w:rPr>
      </w:pPr>
      <w:r>
        <w:t xml:space="preserve">Through the </w:t>
      </w:r>
      <w:hyperlink r:id="rId10" w:anchor="/lessons/0sggGFWN2sG8OoQXXaL67lPtLUdwkuEx">
        <w:r>
          <w:rPr>
            <w:color w:val="1155CC"/>
            <w:u w:val="single"/>
          </w:rPr>
          <w:t>six-stage action civics project process</w:t>
        </w:r>
      </w:hyperlink>
      <w:r>
        <w:t xml:space="preserve">, students complete the real work of engaged, informed participants in a democracy by </w:t>
      </w:r>
      <w:r>
        <w:rPr>
          <w:i/>
        </w:rPr>
        <w:t>identifying issues and advocating for change in their communities</w:t>
      </w:r>
      <w:r>
        <w:t xml:space="preserve">. This includes identifying an issue of importance to them and their community, conducting research on that issue to make an informed action plan, </w:t>
      </w:r>
      <w:proofErr w:type="gramStart"/>
      <w:r>
        <w:t>taking action</w:t>
      </w:r>
      <w:proofErr w:type="gramEnd"/>
      <w:r>
        <w:t xml:space="preserve">, and reflecting and showcasing their work. During </w:t>
      </w:r>
      <w:hyperlink r:id="rId11" w:anchor="/lessons/ucNl-f-sOvwEfOQcAUODwfAu95xwsNjB">
        <w:r>
          <w:rPr>
            <w:color w:val="1155CC"/>
            <w:u w:val="single"/>
          </w:rPr>
          <w:t>Stage 5: Taking Action</w:t>
        </w:r>
      </w:hyperlink>
      <w:r>
        <w:t xml:space="preserve">, </w:t>
      </w:r>
      <w:r>
        <w:rPr>
          <w:color w:val="313537"/>
          <w:highlight w:val="white"/>
        </w:rPr>
        <w:t xml:space="preserve">students will engage in outreach to decision makers in an effort to gain support for their desired goals. </w:t>
      </w:r>
    </w:p>
    <w:p w14:paraId="4B8F0BF8" w14:textId="77777777" w:rsidR="00860F74" w:rsidRDefault="00A20E00">
      <w:pPr>
        <w:spacing w:before="240" w:after="240"/>
        <w:ind w:left="-720" w:right="-720"/>
        <w:jc w:val="both"/>
        <w:rPr>
          <w:color w:val="313537"/>
          <w:highlight w:val="white"/>
        </w:rPr>
      </w:pPr>
      <w:r>
        <w:rPr>
          <w:color w:val="313537"/>
          <w:highlight w:val="white"/>
        </w:rPr>
        <w:t xml:space="preserve">For students advocating for state-level change in the form of new or amended laws, their state legislator and their aides may be key decision makers. Below you will find some best practices to </w:t>
      </w:r>
      <w:proofErr w:type="gramStart"/>
      <w:r>
        <w:rPr>
          <w:color w:val="313537"/>
          <w:highlight w:val="white"/>
        </w:rPr>
        <w:t>most effectively and efficiently support student outreach</w:t>
      </w:r>
      <w:proofErr w:type="gramEnd"/>
      <w:r>
        <w:rPr>
          <w:color w:val="313537"/>
          <w:highlight w:val="white"/>
        </w:rPr>
        <w:t xml:space="preserve"> to their state senators and representatives. </w:t>
      </w:r>
    </w:p>
    <w:tbl>
      <w:tblPr>
        <w:tblStyle w:val="a"/>
        <w:tblW w:w="1069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695"/>
      </w:tblGrid>
      <w:tr w:rsidR="00860F74" w14:paraId="64A9BDBF" w14:textId="77777777" w:rsidTr="00607D1F">
        <w:tc>
          <w:tcPr>
            <w:tcW w:w="106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FD3D" w14:textId="77777777" w:rsidR="00860F74" w:rsidRDefault="00A20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13537"/>
                <w:shd w:val="clear" w:color="auto" w:fill="FCE5CD"/>
              </w:rPr>
            </w:pPr>
            <w:r>
              <w:rPr>
                <w:b/>
                <w:color w:val="313537"/>
                <w:shd w:val="clear" w:color="auto" w:fill="FCE5CD"/>
              </w:rPr>
              <w:t xml:space="preserve">Best Practices: </w:t>
            </w:r>
          </w:p>
          <w:p w14:paraId="0B61E654" w14:textId="77777777" w:rsidR="00860F74" w:rsidRDefault="0086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13537"/>
                <w:shd w:val="clear" w:color="auto" w:fill="FCE5CD"/>
              </w:rPr>
            </w:pPr>
          </w:p>
          <w:p w14:paraId="45CDDDD6" w14:textId="77777777" w:rsidR="00860F74" w:rsidRDefault="00A20E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 xml:space="preserve">Embed opportunities throughout the prior project stages to help prepare students for engaging in the outreach process (e.g. do initial research on existing legislation that may be relevant, practice writing/sending emails, organizing and analyzing data they may want to share). </w:t>
            </w:r>
          </w:p>
          <w:p w14:paraId="05C432DD" w14:textId="77777777" w:rsidR="00860F74" w:rsidRDefault="00A20E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 xml:space="preserve">When reaching out to state legislators, students should begin by contacting the office of </w:t>
            </w:r>
            <w:r>
              <w:rPr>
                <w:color w:val="313537"/>
                <w:u w:val="single"/>
                <w:shd w:val="clear" w:color="auto" w:fill="FCE5CD"/>
              </w:rPr>
              <w:t>their</w:t>
            </w:r>
            <w:r>
              <w:rPr>
                <w:color w:val="313537"/>
                <w:shd w:val="clear" w:color="auto" w:fill="FCE5CD"/>
              </w:rPr>
              <w:t xml:space="preserve"> representative and/or senator. Students who email their legislators may receive responses from their legislative aide who plays a very important role in managing communication and calendars. </w:t>
            </w:r>
          </w:p>
          <w:p w14:paraId="52DFECC6" w14:textId="77777777" w:rsidR="00860F74" w:rsidRDefault="00A20E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313537"/>
                <w:shd w:val="clear" w:color="auto" w:fill="FCE5CD"/>
              </w:rPr>
            </w:pPr>
            <w:r>
              <w:rPr>
                <w:i/>
                <w:color w:val="313537"/>
                <w:shd w:val="clear" w:color="auto" w:fill="FCE5CD"/>
              </w:rPr>
              <w:t xml:space="preserve">Note: State representatives and senators are based on home not school addresses. You can use this resource to help identify students' representatives and senators: </w:t>
            </w:r>
            <w:hyperlink r:id="rId12">
              <w:r>
                <w:rPr>
                  <w:i/>
                  <w:color w:val="1155CC"/>
                  <w:u w:val="single"/>
                </w:rPr>
                <w:t>Find My Legislator</w:t>
              </w:r>
            </w:hyperlink>
            <w:r>
              <w:rPr>
                <w:i/>
                <w:color w:val="313537"/>
              </w:rPr>
              <w:t xml:space="preserve">. </w:t>
            </w:r>
          </w:p>
          <w:p w14:paraId="738B5360" w14:textId="77777777" w:rsidR="00860F74" w:rsidRDefault="00A20E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 xml:space="preserve">Be mindful of the legislative calendar; try to minimize outreach during peak times of debate and/or recesses. </w:t>
            </w:r>
          </w:p>
          <w:p w14:paraId="430A75D9" w14:textId="77777777" w:rsidR="00860F74" w:rsidRDefault="00A20E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313537"/>
                <w:shd w:val="clear" w:color="auto" w:fill="FCE5CD"/>
              </w:rPr>
            </w:pPr>
            <w:r>
              <w:rPr>
                <w:i/>
                <w:color w:val="313537"/>
                <w:shd w:val="clear" w:color="auto" w:fill="FCE5CD"/>
              </w:rPr>
              <w:t xml:space="preserve">You can use the "Hearing and Events" resource to follow upcoming sessions and hearings: </w:t>
            </w:r>
            <w:hyperlink r:id="rId13">
              <w:r>
                <w:rPr>
                  <w:i/>
                  <w:color w:val="1155CC"/>
                  <w:u w:val="single"/>
                  <w:shd w:val="clear" w:color="auto" w:fill="FCE5CD"/>
                </w:rPr>
                <w:t>Massachusetts State Legislature.</w:t>
              </w:r>
            </w:hyperlink>
          </w:p>
          <w:p w14:paraId="0357D5EF" w14:textId="77777777" w:rsidR="00860F74" w:rsidRDefault="00A20E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 xml:space="preserve">When sending an email, be sure students include: </w:t>
            </w:r>
          </w:p>
          <w:p w14:paraId="5BB6EBF8" w14:textId="77777777" w:rsidR="00860F74" w:rsidRDefault="00A20E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>Their name(s) and home address(es) in the signature line</w:t>
            </w:r>
          </w:p>
          <w:p w14:paraId="13876123" w14:textId="77777777" w:rsidR="00860F74" w:rsidRDefault="00A20E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>Their school, school address, and school telephone number in the email</w:t>
            </w:r>
          </w:p>
          <w:p w14:paraId="4BA63F99" w14:textId="77777777" w:rsidR="00860F74" w:rsidRDefault="00A20E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>How to best follow up to the email outreach</w:t>
            </w:r>
          </w:p>
          <w:p w14:paraId="43E2C026" w14:textId="77777777" w:rsidR="00860F74" w:rsidRDefault="00A20E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>An overview of the project and specific request</w:t>
            </w:r>
          </w:p>
          <w:p w14:paraId="6CF25D66" w14:textId="77777777" w:rsidR="00860F74" w:rsidRDefault="0086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color w:val="313537"/>
                <w:shd w:val="clear" w:color="auto" w:fill="FCE5CD"/>
              </w:rPr>
            </w:pPr>
          </w:p>
          <w:p w14:paraId="28F60BF7" w14:textId="77777777" w:rsidR="00860F74" w:rsidRDefault="00A20E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 xml:space="preserve">Streamline communication as much as possible (e.g. if you have 6 students who are planning to send emails to the same representative's office, facilitate their combining them into one note with multiple asks). </w:t>
            </w:r>
          </w:p>
          <w:p w14:paraId="0235CA97" w14:textId="77777777" w:rsidR="00860F74" w:rsidRDefault="00A20E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313537"/>
                <w:shd w:val="clear" w:color="auto" w:fill="FCE5CD"/>
              </w:rPr>
            </w:pPr>
            <w:r>
              <w:rPr>
                <w:color w:val="313537"/>
                <w:shd w:val="clear" w:color="auto" w:fill="FCE5CD"/>
              </w:rPr>
              <w:t xml:space="preserve">If students have not received a response to an email within a week, follow up with both an email confirming receipt and a phone call, if possible. It is also OK to start with a phone call! </w:t>
            </w:r>
          </w:p>
        </w:tc>
      </w:tr>
    </w:tbl>
    <w:p w14:paraId="5EE13FC0" w14:textId="77777777" w:rsidR="00860F74" w:rsidRDefault="00860F74"/>
    <w:sectPr w:rsidR="00860F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4202F" w14:textId="77777777" w:rsidR="00F71948" w:rsidRDefault="00F71948">
      <w:pPr>
        <w:spacing w:line="240" w:lineRule="auto"/>
      </w:pPr>
      <w:r>
        <w:separator/>
      </w:r>
    </w:p>
  </w:endnote>
  <w:endnote w:type="continuationSeparator" w:id="0">
    <w:p w14:paraId="528E13D5" w14:textId="77777777" w:rsidR="00F71948" w:rsidRDefault="00F71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2142" w14:textId="77777777" w:rsidR="0035478C" w:rsidRDefault="0035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012B" w14:textId="77777777" w:rsidR="0035478C" w:rsidRDefault="00354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1173" w14:textId="77777777" w:rsidR="0035478C" w:rsidRDefault="0035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C2C10" w14:textId="77777777" w:rsidR="00F71948" w:rsidRDefault="00F71948">
      <w:pPr>
        <w:spacing w:line="240" w:lineRule="auto"/>
      </w:pPr>
      <w:r>
        <w:separator/>
      </w:r>
    </w:p>
  </w:footnote>
  <w:footnote w:type="continuationSeparator" w:id="0">
    <w:p w14:paraId="5F544316" w14:textId="77777777" w:rsidR="00F71948" w:rsidRDefault="00F71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9655A" w14:textId="77777777" w:rsidR="0035478C" w:rsidRDefault="00354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AAF82" w14:textId="77777777" w:rsidR="0035478C" w:rsidRDefault="00354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EFE84" w14:textId="0D6D948F" w:rsidR="00860F74" w:rsidRDefault="0035478C">
    <w:pPr>
      <w:pStyle w:val="Heading1"/>
      <w:keepNext w:val="0"/>
      <w:keepLines w:val="0"/>
      <w:spacing w:before="0" w:after="0" w:line="240" w:lineRule="auto"/>
      <w:ind w:left="-720" w:right="-720"/>
      <w:jc w:val="center"/>
      <w:rPr>
        <w:b/>
        <w:color w:val="E28521"/>
        <w:sz w:val="32"/>
        <w:szCs w:val="3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5513261" wp14:editId="298C4C22">
          <wp:simplePos x="0" y="0"/>
          <wp:positionH relativeFrom="column">
            <wp:posOffset>5038725</wp:posOffset>
          </wp:positionH>
          <wp:positionV relativeFrom="paragraph">
            <wp:posOffset>-158115</wp:posOffset>
          </wp:positionV>
          <wp:extent cx="1281113" cy="616319"/>
          <wp:effectExtent l="0" t="0" r="0" b="0"/>
          <wp:wrapNone/>
          <wp:docPr id="2" name="image1.png" descr="Curriculum and Instruction visual t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Curriculum and Instruction visual ta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113" cy="616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0E00">
      <w:rPr>
        <w:noProof/>
      </w:rPr>
      <w:drawing>
        <wp:anchor distT="114300" distB="114300" distL="114300" distR="114300" simplePos="0" relativeHeight="251658240" behindDoc="0" locked="0" layoutInCell="1" hidden="0" allowOverlap="1" wp14:anchorId="4C32194A" wp14:editId="436CEC6C">
          <wp:simplePos x="0" y="0"/>
          <wp:positionH relativeFrom="column">
            <wp:posOffset>-389890</wp:posOffset>
          </wp:positionH>
          <wp:positionV relativeFrom="paragraph">
            <wp:posOffset>-88265</wp:posOffset>
          </wp:positionV>
          <wp:extent cx="1752600" cy="504825"/>
          <wp:effectExtent l="0" t="0" r="0" b="0"/>
          <wp:wrapNone/>
          <wp:docPr id="1" name="image2.png" descr="D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ESE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670491" w14:textId="77777777" w:rsidR="00860F74" w:rsidRDefault="00860F74">
    <w:pPr>
      <w:pStyle w:val="Heading1"/>
      <w:keepNext w:val="0"/>
      <w:keepLines w:val="0"/>
      <w:spacing w:before="0" w:after="0" w:line="240" w:lineRule="auto"/>
      <w:jc w:val="center"/>
      <w:rPr>
        <w:b/>
        <w:color w:val="E28521"/>
        <w:sz w:val="32"/>
        <w:szCs w:val="32"/>
      </w:rPr>
    </w:pPr>
    <w:bookmarkStart w:id="0" w:name="_m4q3bhjc1g00" w:colFirst="0" w:colLast="0"/>
    <w:bookmarkEnd w:id="0"/>
  </w:p>
  <w:p w14:paraId="53F66D73" w14:textId="77777777" w:rsidR="0035478C" w:rsidRDefault="0035478C">
    <w:pPr>
      <w:pStyle w:val="Heading1"/>
      <w:keepNext w:val="0"/>
      <w:keepLines w:val="0"/>
      <w:spacing w:before="0" w:after="0" w:line="240" w:lineRule="auto"/>
      <w:ind w:left="-720" w:right="-720"/>
      <w:jc w:val="center"/>
      <w:rPr>
        <w:b/>
        <w:color w:val="E28521"/>
        <w:sz w:val="32"/>
        <w:szCs w:val="32"/>
      </w:rPr>
    </w:pPr>
    <w:bookmarkStart w:id="1" w:name="_cl7ntpt98swz" w:colFirst="0" w:colLast="0"/>
    <w:bookmarkEnd w:id="1"/>
  </w:p>
  <w:p w14:paraId="3526F6D5" w14:textId="64713636" w:rsidR="00860F74" w:rsidRDefault="00A20E00">
    <w:pPr>
      <w:pStyle w:val="Heading1"/>
      <w:keepNext w:val="0"/>
      <w:keepLines w:val="0"/>
      <w:spacing w:before="0" w:after="0" w:line="240" w:lineRule="auto"/>
      <w:ind w:left="-720" w:right="-720"/>
      <w:jc w:val="center"/>
    </w:pPr>
    <w:r w:rsidRPr="00607D1F">
      <w:rPr>
        <w:b/>
        <w:color w:val="FF0000"/>
        <w:sz w:val="32"/>
        <w:szCs w:val="32"/>
      </w:rPr>
      <w:t>Civics Projects Quick Reference Guide: Reaching Out to State Legislators &amp; Legislative Aides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030ED"/>
    <w:multiLevelType w:val="multilevel"/>
    <w:tmpl w:val="465A4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74"/>
    <w:rsid w:val="00197968"/>
    <w:rsid w:val="001A4FE2"/>
    <w:rsid w:val="00291AA4"/>
    <w:rsid w:val="0035478C"/>
    <w:rsid w:val="00607D1F"/>
    <w:rsid w:val="00860F74"/>
    <w:rsid w:val="00A20E00"/>
    <w:rsid w:val="00C86701"/>
    <w:rsid w:val="00F7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E765"/>
  <w15:docId w15:val="{5A8368E4-5063-4E63-90FC-102AB6B4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7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8C"/>
  </w:style>
  <w:style w:type="paragraph" w:styleId="Footer">
    <w:name w:val="footer"/>
    <w:basedOn w:val="Normal"/>
    <w:link w:val="FooterChar"/>
    <w:uiPriority w:val="99"/>
    <w:unhideWhenUsed/>
    <w:rsid w:val="003547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legislature.gov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alegislature.gov/Search/FindMylegislato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instruction/hss/civics-project-guidebook/index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doe.mass.edu/instruction/hss/civics-project-guidebook/index.htm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2FFF9-CAF9-47E3-BE73-E30889007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77DD36-7F2F-4736-8384-5C0AF3B12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80328-B60B-4011-9D8A-3DBD427FB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Project Outreach QRG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Project Outreach QRG</dc:title>
  <dc:creator>DESE</dc:creator>
  <cp:lastModifiedBy>Zou, Dong (EOE)</cp:lastModifiedBy>
  <cp:revision>3</cp:revision>
  <dcterms:created xsi:type="dcterms:W3CDTF">2022-10-06T20:03:00Z</dcterms:created>
  <dcterms:modified xsi:type="dcterms:W3CDTF">2022-10-06T21:28:00Z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6 2022</vt:lpwstr>
  </property>
</Properties>
</file>