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B6CED" w14:textId="707CDFC6" w:rsidR="005147AD" w:rsidRPr="00733633" w:rsidRDefault="005147AD" w:rsidP="005147AD">
      <w:pPr>
        <w:pStyle w:val="Heading1"/>
        <w:rPr>
          <w:rFonts w:ascii="Arial" w:eastAsia="Times New Roman" w:hAnsi="Arial" w:cs="Arial"/>
          <w:color w:val="auto"/>
        </w:rPr>
      </w:pPr>
      <w:r w:rsidRPr="00733633">
        <w:rPr>
          <w:rFonts w:ascii="Arial" w:eastAsia="Times New Roman" w:hAnsi="Arial" w:cs="Arial"/>
          <w:color w:val="auto"/>
        </w:rPr>
        <w:t>Cultivating Deeper Learning</w:t>
      </w:r>
      <w:r w:rsidR="0020389A" w:rsidRPr="00733633">
        <w:rPr>
          <w:rFonts w:ascii="Arial" w:eastAsia="Times New Roman" w:hAnsi="Arial" w:cs="Arial"/>
          <w:color w:val="auto"/>
        </w:rPr>
        <w:t xml:space="preserve"> Instructional Videos</w:t>
      </w:r>
      <w:r w:rsidRPr="00733633">
        <w:rPr>
          <w:rFonts w:ascii="Arial" w:eastAsia="Times New Roman" w:hAnsi="Arial" w:cs="Arial"/>
          <w:color w:val="auto"/>
        </w:rPr>
        <w:t xml:space="preserve">: Questions for Reflection, Discussion, and Action </w:t>
      </w:r>
    </w:p>
    <w:p w14:paraId="224E8555" w14:textId="77777777" w:rsidR="005147AD" w:rsidRPr="005147AD" w:rsidRDefault="005147AD" w:rsidP="005147AD">
      <w:pPr>
        <w:shd w:val="clear" w:color="auto" w:fill="FFFFFF"/>
        <w:spacing w:after="100" w:afterAutospacing="1" w:line="240" w:lineRule="auto"/>
        <w:jc w:val="both"/>
        <w:rPr>
          <w:rFonts w:ascii="Arial" w:eastAsia="Times New Roman" w:hAnsi="Arial" w:cs="Arial"/>
          <w:color w:val="212529"/>
          <w:kern w:val="0"/>
          <w14:ligatures w14:val="none"/>
        </w:rPr>
      </w:pPr>
      <w:r w:rsidRPr="005147AD">
        <w:rPr>
          <w:rFonts w:ascii="Arial" w:eastAsia="Times New Roman" w:hAnsi="Arial" w:cs="Arial"/>
          <w:i/>
          <w:iCs/>
          <w:color w:val="212529"/>
          <w:kern w:val="0"/>
          <w14:ligatures w14:val="none"/>
        </w:rPr>
        <w:t>Deeper Learning is the ability to understand and address the complex elements of a subject or topic and to draw connections within and across contexts—whether that means the same class, another discipline, students' community, or the broader world.</w:t>
      </w:r>
    </w:p>
    <w:p w14:paraId="395DE16D" w14:textId="1285C65A" w:rsidR="005147AD" w:rsidRDefault="005147AD" w:rsidP="005147AD">
      <w:pPr>
        <w:shd w:val="clear" w:color="auto" w:fill="FFFFFF"/>
        <w:spacing w:after="100" w:afterAutospacing="1" w:line="240" w:lineRule="auto"/>
        <w:jc w:val="both"/>
        <w:rPr>
          <w:rFonts w:ascii="Arial" w:eastAsia="Times New Roman" w:hAnsi="Arial" w:cs="Arial"/>
          <w:color w:val="212529"/>
          <w:kern w:val="0"/>
          <w14:ligatures w14:val="none"/>
        </w:rPr>
      </w:pPr>
      <w:r w:rsidRPr="005147AD">
        <w:rPr>
          <w:rFonts w:ascii="Arial" w:eastAsia="Times New Roman" w:hAnsi="Arial" w:cs="Arial"/>
          <w:color w:val="212529"/>
          <w:kern w:val="0"/>
          <w14:ligatures w14:val="none"/>
        </w:rPr>
        <w:t xml:space="preserve">The </w:t>
      </w:r>
      <w:hyperlink r:id="rId10" w:history="1">
        <w:r w:rsidRPr="005147AD">
          <w:rPr>
            <w:rStyle w:val="Hyperlink"/>
            <w:rFonts w:ascii="Arial" w:eastAsia="Times New Roman" w:hAnsi="Arial" w:cs="Arial"/>
            <w:color w:val="0060C7"/>
            <w:kern w:val="0"/>
            <w14:ligatures w14:val="none"/>
          </w:rPr>
          <w:t>instructional videos</w:t>
        </w:r>
      </w:hyperlink>
      <w:r w:rsidRPr="005147AD">
        <w:rPr>
          <w:rFonts w:ascii="Arial" w:eastAsia="Times New Roman" w:hAnsi="Arial" w:cs="Arial"/>
          <w:color w:val="212529"/>
          <w:kern w:val="0"/>
          <w14:ligatures w14:val="none"/>
        </w:rPr>
        <w:t xml:space="preserve"> showcase the effective use of high-quality instructional materials</w:t>
      </w:r>
      <w:r>
        <w:rPr>
          <w:rFonts w:ascii="Arial" w:eastAsia="Times New Roman" w:hAnsi="Arial" w:cs="Arial"/>
          <w:color w:val="212529"/>
          <w:kern w:val="0"/>
          <w14:ligatures w14:val="none"/>
        </w:rPr>
        <w:t xml:space="preserve"> (HQIM)</w:t>
      </w:r>
      <w:r w:rsidRPr="005147AD">
        <w:rPr>
          <w:rFonts w:ascii="Arial" w:eastAsia="Times New Roman" w:hAnsi="Arial" w:cs="Arial"/>
          <w:color w:val="212529"/>
          <w:kern w:val="0"/>
          <w14:ligatures w14:val="none"/>
        </w:rPr>
        <w:t xml:space="preserve"> and </w:t>
      </w:r>
      <w:hyperlink r:id="rId11" w:history="1">
        <w:r w:rsidRPr="005147AD">
          <w:rPr>
            <w:rStyle w:val="Hyperlink"/>
            <w:rFonts w:ascii="Arial" w:eastAsia="Times New Roman" w:hAnsi="Arial" w:cs="Arial"/>
            <w:color w:val="0060C7"/>
            <w:kern w:val="0"/>
            <w14:ligatures w14:val="none"/>
          </w:rPr>
          <w:t>culturally and linguistically sustaining practices</w:t>
        </w:r>
      </w:hyperlink>
      <w:r w:rsidRPr="005147AD">
        <w:rPr>
          <w:rFonts w:ascii="Arial" w:eastAsia="Times New Roman" w:hAnsi="Arial" w:cs="Arial"/>
          <w:color w:val="212529"/>
          <w:kern w:val="0"/>
          <w14:ligatures w14:val="none"/>
        </w:rPr>
        <w:t xml:space="preserve"> aligned with DESE's </w:t>
      </w:r>
      <w:hyperlink r:id="rId12" w:history="1">
        <w:r w:rsidRPr="005147AD">
          <w:rPr>
            <w:rFonts w:ascii="Arial" w:eastAsia="Times New Roman" w:hAnsi="Arial" w:cs="Arial"/>
            <w:color w:val="0060C7"/>
            <w:kern w:val="0"/>
            <w:u w:val="single"/>
            <w14:ligatures w14:val="none"/>
          </w:rPr>
          <w:t>Educational Vision</w:t>
        </w:r>
      </w:hyperlink>
      <w:r>
        <w:rPr>
          <w:rFonts w:ascii="Arial" w:eastAsia="Times New Roman" w:hAnsi="Arial" w:cs="Arial"/>
          <w:color w:val="212529"/>
          <w:kern w:val="0"/>
          <w14:ligatures w14:val="none"/>
        </w:rPr>
        <w:t xml:space="preserve"> to actualize the </w:t>
      </w:r>
      <w:hyperlink r:id="rId13" w:history="1">
        <w:r w:rsidRPr="005147AD">
          <w:rPr>
            <w:rStyle w:val="Hyperlink"/>
            <w:rFonts w:ascii="Arial" w:eastAsia="Times New Roman" w:hAnsi="Arial" w:cs="Arial"/>
            <w:color w:val="0060C7"/>
            <w:kern w:val="0"/>
            <w14:ligatures w14:val="none"/>
          </w:rPr>
          <w:t>Vision of a Massachusetts Graduate</w:t>
        </w:r>
      </w:hyperlink>
      <w:r w:rsidRPr="005147AD">
        <w:rPr>
          <w:rFonts w:ascii="Arial" w:eastAsia="Times New Roman" w:hAnsi="Arial" w:cs="Arial"/>
          <w:color w:val="212529"/>
          <w:kern w:val="0"/>
          <w14:ligatures w14:val="none"/>
        </w:rPr>
        <w:t>. Each video highlights targeted and foundational elements of instruction and pedagogy as outlined in the </w:t>
      </w:r>
      <w:hyperlink r:id="rId14" w:history="1">
        <w:r w:rsidRPr="005147AD">
          <w:rPr>
            <w:rFonts w:ascii="Arial" w:eastAsia="Times New Roman" w:hAnsi="Arial" w:cs="Arial"/>
            <w:color w:val="0060C7"/>
            <w:kern w:val="0"/>
            <w:u w:val="single"/>
            <w14:ligatures w14:val="none"/>
          </w:rPr>
          <w:t>Deeper Learning Guidance Tool</w:t>
        </w:r>
      </w:hyperlink>
      <w:r w:rsidRPr="005147AD">
        <w:rPr>
          <w:rFonts w:ascii="Arial" w:eastAsia="Times New Roman" w:hAnsi="Arial" w:cs="Arial"/>
          <w:color w:val="212529"/>
          <w:kern w:val="0"/>
          <w14:ligatures w14:val="none"/>
        </w:rPr>
        <w:t xml:space="preserve">. While the components of Deeper Learning are interconnected, not every video is expected to cover all </w:t>
      </w:r>
      <w:r>
        <w:rPr>
          <w:rFonts w:ascii="Arial" w:eastAsia="Times New Roman" w:hAnsi="Arial" w:cs="Arial"/>
          <w:color w:val="212529"/>
          <w:kern w:val="0"/>
          <w14:ligatures w14:val="none"/>
        </w:rPr>
        <w:t>components</w:t>
      </w:r>
      <w:r w:rsidRPr="005147AD">
        <w:rPr>
          <w:rFonts w:ascii="Arial" w:eastAsia="Times New Roman" w:hAnsi="Arial" w:cs="Arial"/>
          <w:color w:val="212529"/>
          <w:kern w:val="0"/>
          <w14:ligatures w14:val="none"/>
        </w:rPr>
        <w:t xml:space="preserve">. Instead, these examples focus on strong daily instructional practices and strategies that foster the learning conditions necessary </w:t>
      </w:r>
      <w:r>
        <w:rPr>
          <w:rFonts w:ascii="Arial" w:eastAsia="Times New Roman" w:hAnsi="Arial" w:cs="Arial"/>
          <w:color w:val="212529"/>
          <w:kern w:val="0"/>
          <w14:ligatures w14:val="none"/>
        </w:rPr>
        <w:t>to cultivate</w:t>
      </w:r>
      <w:r w:rsidRPr="005147AD">
        <w:rPr>
          <w:rFonts w:ascii="Arial" w:eastAsia="Times New Roman" w:hAnsi="Arial" w:cs="Arial"/>
          <w:color w:val="212529"/>
          <w:kern w:val="0"/>
          <w14:ligatures w14:val="none"/>
        </w:rPr>
        <w:t xml:space="preserve"> deeper learning.</w:t>
      </w:r>
    </w:p>
    <w:p w14:paraId="5EBF51B9" w14:textId="778F1BA3" w:rsidR="005147AD" w:rsidRPr="005147AD" w:rsidRDefault="005147AD" w:rsidP="005147AD">
      <w:pPr>
        <w:shd w:val="clear" w:color="auto" w:fill="FFFFFF" w:themeFill="background1"/>
        <w:spacing w:after="100" w:afterAutospacing="1" w:line="240" w:lineRule="auto"/>
        <w:rPr>
          <w:rFonts w:ascii="Arial" w:hAnsi="Arial" w:cs="Arial"/>
        </w:rPr>
      </w:pPr>
      <w:r w:rsidRPr="005147AD">
        <w:rPr>
          <w:rFonts w:ascii="Arial" w:hAnsi="Arial" w:cs="Arial"/>
          <w:b/>
          <w:bCs/>
        </w:rPr>
        <w:t>Instructions:</w:t>
      </w:r>
      <w:r w:rsidRPr="005147AD">
        <w:rPr>
          <w:rFonts w:ascii="Arial" w:hAnsi="Arial" w:cs="Arial"/>
        </w:rPr>
        <w:t xml:space="preserve"> </w:t>
      </w:r>
      <w:r w:rsidR="00D067E8" w:rsidRPr="007105DF">
        <w:rPr>
          <w:rFonts w:ascii="Arial" w:hAnsi="Arial" w:cs="Arial"/>
          <w:i/>
          <w:iCs/>
        </w:rPr>
        <w:t xml:space="preserve">Use these questions to spark discussion </w:t>
      </w:r>
      <w:r w:rsidR="00C6437B" w:rsidRPr="007105DF">
        <w:rPr>
          <w:rFonts w:ascii="Arial" w:hAnsi="Arial" w:cs="Arial"/>
          <w:i/>
          <w:iCs/>
        </w:rPr>
        <w:t>and g</w:t>
      </w:r>
      <w:r w:rsidR="00AE27A8" w:rsidRPr="007105DF">
        <w:rPr>
          <w:rFonts w:ascii="Arial" w:hAnsi="Arial" w:cs="Arial"/>
          <w:i/>
          <w:iCs/>
        </w:rPr>
        <w:t xml:space="preserve">uide collective action to cultivate deeper learning with </w:t>
      </w:r>
      <w:r w:rsidR="0020389A" w:rsidRPr="007105DF">
        <w:rPr>
          <w:rFonts w:ascii="Arial" w:hAnsi="Arial" w:cs="Arial"/>
          <w:i/>
          <w:iCs/>
        </w:rPr>
        <w:t>high-quality instructional materials in your own context.</w:t>
      </w:r>
      <w:r w:rsidR="0020389A">
        <w:rPr>
          <w:rFonts w:ascii="Arial" w:hAnsi="Arial" w:cs="Arial"/>
        </w:rPr>
        <w:t xml:space="preserve"> </w:t>
      </w:r>
    </w:p>
    <w:p w14:paraId="45086A7D" w14:textId="21DEA2F3" w:rsidR="005147AD" w:rsidRPr="006F1503" w:rsidRDefault="005147AD" w:rsidP="005147AD">
      <w:pPr>
        <w:shd w:val="clear" w:color="auto" w:fill="FFFFFF" w:themeFill="background1"/>
        <w:spacing w:after="100" w:afterAutospacing="1" w:line="240" w:lineRule="auto"/>
        <w:rPr>
          <w:rFonts w:ascii="Arial" w:hAnsi="Arial" w:cs="Arial"/>
        </w:rPr>
      </w:pPr>
      <w:r w:rsidRPr="005147AD">
        <w:rPr>
          <w:rFonts w:ascii="Arial" w:hAnsi="Arial" w:cs="Arial"/>
          <w:b/>
          <w:bCs/>
        </w:rPr>
        <w:t>Tip:</w:t>
      </w:r>
      <w:r>
        <w:rPr>
          <w:rFonts w:ascii="Arial" w:hAnsi="Arial" w:cs="Arial"/>
        </w:rPr>
        <w:t xml:space="preserve"> </w:t>
      </w:r>
      <w:r w:rsidRPr="006F1503">
        <w:rPr>
          <w:rFonts w:ascii="Arial" w:eastAsia="Times New Roman" w:hAnsi="Arial" w:cs="Arial"/>
          <w:color w:val="202020"/>
          <w:shd w:val="clear" w:color="auto" w:fill="FFFFFF"/>
        </w:rPr>
        <w:t xml:space="preserve">When discussing these </w:t>
      </w:r>
      <w:r w:rsidRPr="00BB4D5F">
        <w:rPr>
          <w:rFonts w:ascii="Arial" w:eastAsia="Times New Roman" w:hAnsi="Arial" w:cs="Arial"/>
          <w:color w:val="202020"/>
          <w:shd w:val="clear" w:color="auto" w:fill="FFFFFF"/>
        </w:rPr>
        <w:t xml:space="preserve">questions </w:t>
      </w:r>
      <w:r w:rsidRPr="006F1503">
        <w:rPr>
          <w:rFonts w:ascii="Arial" w:eastAsia="Times New Roman" w:hAnsi="Arial" w:cs="Arial"/>
          <w:color w:val="202020"/>
          <w:shd w:val="clear" w:color="auto" w:fill="FFFFFF"/>
        </w:rPr>
        <w:t xml:space="preserve">with your team, consider choosing </w:t>
      </w:r>
      <w:r w:rsidRPr="006F1503">
        <w:rPr>
          <w:rFonts w:ascii="Arial" w:eastAsia="Times New Roman" w:hAnsi="Arial" w:cs="Arial"/>
          <w:b/>
          <w:bCs/>
          <w:color w:val="202020"/>
          <w:shd w:val="clear" w:color="auto" w:fill="FFFFFF"/>
        </w:rPr>
        <w:t xml:space="preserve">one </w:t>
      </w:r>
      <w:r w:rsidRPr="006F1503">
        <w:rPr>
          <w:rFonts w:ascii="Arial" w:eastAsia="Times New Roman" w:hAnsi="Arial" w:cs="Arial"/>
          <w:color w:val="202020"/>
          <w:shd w:val="clear" w:color="auto" w:fill="FFFFFF"/>
        </w:rPr>
        <w:t xml:space="preserve">specific video to watch together, then use one question from each category above to guide </w:t>
      </w:r>
      <w:r w:rsidRPr="00BB4D5F">
        <w:rPr>
          <w:rFonts w:ascii="Arial" w:eastAsia="Times New Roman" w:hAnsi="Arial" w:cs="Arial"/>
          <w:color w:val="202020"/>
          <w:shd w:val="clear" w:color="auto" w:fill="FFFFFF"/>
        </w:rPr>
        <w:t>a</w:t>
      </w:r>
      <w:r w:rsidRPr="006F1503">
        <w:rPr>
          <w:rFonts w:ascii="Arial" w:eastAsia="Times New Roman" w:hAnsi="Arial" w:cs="Arial"/>
          <w:color w:val="202020"/>
          <w:shd w:val="clear" w:color="auto" w:fill="FFFFFF"/>
        </w:rPr>
        <w:t xml:space="preserve"> </w:t>
      </w:r>
      <w:r>
        <w:rPr>
          <w:rFonts w:ascii="Arial" w:eastAsia="Times New Roman" w:hAnsi="Arial" w:cs="Arial"/>
          <w:color w:val="202020"/>
          <w:shd w:val="clear" w:color="auto" w:fill="FFFFFF"/>
        </w:rPr>
        <w:t xml:space="preserve">professional learning community (PLC) or common planning time (CPT) </w:t>
      </w:r>
      <w:r w:rsidRPr="006F1503">
        <w:rPr>
          <w:rFonts w:ascii="Arial" w:eastAsia="Times New Roman" w:hAnsi="Arial" w:cs="Arial"/>
          <w:color w:val="202020"/>
          <w:shd w:val="clear" w:color="auto" w:fill="FFFFFF"/>
        </w:rPr>
        <w:t>session.</w:t>
      </w:r>
    </w:p>
    <w:p w14:paraId="0DAF4F7C" w14:textId="04EC37D8" w:rsidR="005147AD" w:rsidRPr="005147AD" w:rsidRDefault="005147AD" w:rsidP="005147AD">
      <w:pPr>
        <w:shd w:val="clear" w:color="auto" w:fill="FFFFFF"/>
        <w:spacing w:before="240" w:after="100" w:afterAutospacing="1" w:line="240" w:lineRule="auto"/>
        <w:jc w:val="center"/>
        <w:rPr>
          <w:rFonts w:ascii="Arial" w:eastAsia="Times New Roman" w:hAnsi="Arial" w:cs="Arial"/>
          <w:color w:val="212529"/>
          <w:kern w:val="0"/>
          <w14:ligatures w14:val="none"/>
        </w:rPr>
      </w:pPr>
      <w:r>
        <w:rPr>
          <w:rFonts w:ascii="Arial" w:eastAsia="Times New Roman" w:hAnsi="Arial" w:cs="Arial"/>
          <w:color w:val="212529"/>
          <w:kern w:val="0"/>
          <w14:ligatures w14:val="none"/>
        </w:rPr>
        <w:t>***</w:t>
      </w:r>
    </w:p>
    <w:p w14:paraId="3E63719F" w14:textId="7168C496" w:rsidR="005147AD" w:rsidRPr="00733633" w:rsidRDefault="005147AD" w:rsidP="005147AD">
      <w:pPr>
        <w:pStyle w:val="Heading2"/>
        <w:spacing w:before="240"/>
        <w:rPr>
          <w:rFonts w:ascii="Arial" w:hAnsi="Arial" w:cs="Arial"/>
          <w:color w:val="auto"/>
        </w:rPr>
      </w:pPr>
      <w:r w:rsidRPr="00733633">
        <w:rPr>
          <w:rFonts w:ascii="Arial" w:hAnsi="Arial" w:cs="Arial"/>
          <w:color w:val="auto"/>
        </w:rPr>
        <w:t>High Expectations with Targeted Support</w:t>
      </w:r>
    </w:p>
    <w:p w14:paraId="4F282A16" w14:textId="77777777" w:rsidR="005147AD" w:rsidRPr="005147AD" w:rsidRDefault="005147AD" w:rsidP="005147AD">
      <w:pPr>
        <w:numPr>
          <w:ilvl w:val="0"/>
          <w:numId w:val="1"/>
        </w:numPr>
        <w:spacing w:after="120"/>
        <w:rPr>
          <w:rFonts w:ascii="Arial" w:hAnsi="Arial" w:cs="Arial"/>
        </w:rPr>
      </w:pPr>
      <w:r w:rsidRPr="005147AD">
        <w:rPr>
          <w:rFonts w:ascii="Arial" w:hAnsi="Arial" w:cs="Arial"/>
        </w:rPr>
        <w:t>How did the specific high-quality instructional materials provide a foundation for students to explore topics deeply rather than just memorizing facts?</w:t>
      </w:r>
    </w:p>
    <w:p w14:paraId="1C2F97EE" w14:textId="72912625" w:rsidR="005147AD" w:rsidRPr="005147AD" w:rsidRDefault="005147AD" w:rsidP="005147AD">
      <w:pPr>
        <w:numPr>
          <w:ilvl w:val="0"/>
          <w:numId w:val="1"/>
        </w:numPr>
        <w:spacing w:after="120"/>
        <w:rPr>
          <w:rFonts w:ascii="Arial" w:hAnsi="Arial" w:cs="Arial"/>
        </w:rPr>
      </w:pPr>
      <w:r w:rsidRPr="005147AD">
        <w:rPr>
          <w:rFonts w:ascii="Arial" w:hAnsi="Arial" w:cs="Arial"/>
        </w:rPr>
        <w:t>In the videos featuring multilingual learners, how did pre-taught vocabulary or "sequence signal words" empower students to engage with complex grade-level content?</w:t>
      </w:r>
    </w:p>
    <w:p w14:paraId="0AE852A0" w14:textId="77777777" w:rsidR="005147AD" w:rsidRDefault="005147AD" w:rsidP="005147AD">
      <w:pPr>
        <w:numPr>
          <w:ilvl w:val="0"/>
          <w:numId w:val="1"/>
        </w:numPr>
        <w:shd w:val="clear" w:color="auto" w:fill="FFFFFF" w:themeFill="background1"/>
        <w:spacing w:after="120" w:line="240" w:lineRule="auto"/>
        <w:rPr>
          <w:rFonts w:ascii="Arial" w:eastAsia="Times New Roman" w:hAnsi="Arial" w:cs="Arial"/>
          <w:color w:val="202020"/>
          <w:shd w:val="clear" w:color="auto" w:fill="FFFFFF"/>
        </w:rPr>
      </w:pPr>
      <w:r w:rsidRPr="008B0A51">
        <w:rPr>
          <w:rFonts w:ascii="Arial" w:eastAsia="Times New Roman" w:hAnsi="Arial" w:cs="Arial"/>
          <w:color w:val="202020"/>
          <w:shd w:val="clear" w:color="auto" w:fill="FFFFFF"/>
        </w:rPr>
        <w:t>What "learning conditions" did you observe in the stations or circles that allowed all students—including multilingual learners—to contribute their background knowledge to the model-building process?</w:t>
      </w:r>
    </w:p>
    <w:p w14:paraId="2DE1C4FA" w14:textId="21606AA7" w:rsidR="005147AD" w:rsidRPr="005147AD" w:rsidRDefault="005147AD" w:rsidP="005147AD">
      <w:pPr>
        <w:numPr>
          <w:ilvl w:val="0"/>
          <w:numId w:val="1"/>
        </w:numPr>
        <w:shd w:val="clear" w:color="auto" w:fill="FFFFFF" w:themeFill="background1"/>
        <w:spacing w:after="120" w:line="240" w:lineRule="auto"/>
        <w:rPr>
          <w:rFonts w:ascii="Arial" w:eastAsia="Times New Roman" w:hAnsi="Arial" w:cs="Arial"/>
          <w:color w:val="202020"/>
          <w:shd w:val="clear" w:color="auto" w:fill="FFFFFF"/>
        </w:rPr>
      </w:pPr>
      <w:r w:rsidRPr="005147AD">
        <w:rPr>
          <w:rFonts w:ascii="Arial" w:hAnsi="Arial" w:cs="Arial"/>
        </w:rPr>
        <w:t xml:space="preserve">What structures </w:t>
      </w:r>
      <w:proofErr w:type="gramStart"/>
      <w:r w:rsidRPr="005147AD">
        <w:rPr>
          <w:rFonts w:ascii="Arial" w:hAnsi="Arial" w:cs="Arial"/>
        </w:rPr>
        <w:t>allowed</w:t>
      </w:r>
      <w:proofErr w:type="gramEnd"/>
      <w:r w:rsidRPr="005147AD">
        <w:rPr>
          <w:rFonts w:ascii="Arial" w:hAnsi="Arial" w:cs="Arial"/>
        </w:rPr>
        <w:t xml:space="preserve"> for successful student-led book groups or collaborative equivalent-expression work in co-taught classrooms?</w:t>
      </w:r>
    </w:p>
    <w:p w14:paraId="14C1A59F" w14:textId="5B4A9631" w:rsidR="005147AD" w:rsidRPr="00733633" w:rsidRDefault="005147AD" w:rsidP="005147AD">
      <w:pPr>
        <w:pStyle w:val="Heading2"/>
        <w:spacing w:before="240"/>
        <w:rPr>
          <w:rFonts w:ascii="Arial" w:hAnsi="Arial" w:cs="Arial"/>
          <w:color w:val="auto"/>
        </w:rPr>
      </w:pPr>
      <w:r w:rsidRPr="00733633">
        <w:rPr>
          <w:rFonts w:ascii="Arial" w:hAnsi="Arial" w:cs="Arial"/>
          <w:color w:val="auto"/>
        </w:rPr>
        <w:lastRenderedPageBreak/>
        <w:t>Student Agency, Discourse, &amp; Collaboration</w:t>
      </w:r>
    </w:p>
    <w:p w14:paraId="41350E59" w14:textId="68F34592" w:rsidR="005147AD" w:rsidRDefault="005147AD" w:rsidP="005147AD">
      <w:pPr>
        <w:numPr>
          <w:ilvl w:val="0"/>
          <w:numId w:val="2"/>
        </w:numPr>
        <w:spacing w:after="120"/>
        <w:rPr>
          <w:rFonts w:ascii="Arial" w:hAnsi="Arial" w:cs="Arial"/>
        </w:rPr>
      </w:pPr>
      <w:r w:rsidRPr="005147AD">
        <w:rPr>
          <w:rFonts w:ascii="Arial" w:hAnsi="Arial" w:cs="Arial"/>
        </w:rPr>
        <w:t>In the math and science examples, how did students use multiple opportunities for discourse to explain their strategy choices or rearrange atoms?</w:t>
      </w:r>
    </w:p>
    <w:p w14:paraId="3316190B" w14:textId="77777777" w:rsidR="005147AD" w:rsidRDefault="005147AD" w:rsidP="005147AD">
      <w:pPr>
        <w:numPr>
          <w:ilvl w:val="0"/>
          <w:numId w:val="2"/>
        </w:numPr>
        <w:shd w:val="clear" w:color="auto" w:fill="FFFFFF" w:themeFill="background1"/>
        <w:spacing w:after="120" w:line="240" w:lineRule="auto"/>
        <w:rPr>
          <w:rFonts w:ascii="Arial" w:eastAsia="Times New Roman" w:hAnsi="Arial" w:cs="Arial"/>
          <w:color w:val="202020"/>
          <w:shd w:val="clear" w:color="auto" w:fill="FFFFFF"/>
        </w:rPr>
      </w:pPr>
      <w:r w:rsidRPr="00270FB2">
        <w:rPr>
          <w:rFonts w:ascii="Arial" w:eastAsia="Times New Roman" w:hAnsi="Arial" w:cs="Arial"/>
          <w:color w:val="202020"/>
          <w:shd w:val="clear" w:color="auto" w:fill="FFFFFF"/>
        </w:rPr>
        <w:t>What "math talk" routines did you observe that moved the work from individual calculation to a collective understanding of equivalent expressions?</w:t>
      </w:r>
    </w:p>
    <w:p w14:paraId="20A83E3F" w14:textId="6DB425AC" w:rsidR="005147AD" w:rsidRPr="005147AD" w:rsidRDefault="005147AD" w:rsidP="005147AD">
      <w:pPr>
        <w:numPr>
          <w:ilvl w:val="0"/>
          <w:numId w:val="2"/>
        </w:numPr>
        <w:shd w:val="clear" w:color="auto" w:fill="FFFFFF" w:themeFill="background1"/>
        <w:spacing w:after="120" w:line="240" w:lineRule="auto"/>
        <w:rPr>
          <w:rFonts w:ascii="Arial" w:eastAsia="Times New Roman" w:hAnsi="Arial" w:cs="Arial"/>
          <w:color w:val="202020"/>
          <w:shd w:val="clear" w:color="auto" w:fill="FFFFFF"/>
        </w:rPr>
      </w:pPr>
      <w:r w:rsidRPr="005147AD">
        <w:rPr>
          <w:rFonts w:ascii="Arial" w:eastAsia="Times New Roman" w:hAnsi="Arial" w:cs="Arial"/>
          <w:color w:val="202020"/>
          <w:shd w:val="clear" w:color="auto" w:fill="FFFFFF"/>
        </w:rPr>
        <w:t>In what ways might investigating local or national weather patterns increase student agency and their ability to "draw connections across contexts"?</w:t>
      </w:r>
    </w:p>
    <w:p w14:paraId="291BFBFB" w14:textId="1DC1413A" w:rsidR="005147AD" w:rsidRDefault="005147AD" w:rsidP="005147AD">
      <w:pPr>
        <w:numPr>
          <w:ilvl w:val="0"/>
          <w:numId w:val="2"/>
        </w:numPr>
        <w:spacing w:after="120"/>
        <w:rPr>
          <w:rFonts w:ascii="Arial" w:hAnsi="Arial" w:cs="Arial"/>
        </w:rPr>
      </w:pPr>
      <w:r w:rsidRPr="005147AD">
        <w:rPr>
          <w:rFonts w:ascii="Arial" w:hAnsi="Arial" w:cs="Arial"/>
        </w:rPr>
        <w:t>How did the featured classroom practices encourage students to "share their thinking" and evaluate their own problem-solving strategies against those of their peers?</w:t>
      </w:r>
    </w:p>
    <w:p w14:paraId="1F12257A" w14:textId="163471F8" w:rsidR="005147AD" w:rsidRPr="005147AD" w:rsidRDefault="005147AD" w:rsidP="005147AD">
      <w:pPr>
        <w:numPr>
          <w:ilvl w:val="0"/>
          <w:numId w:val="2"/>
        </w:numPr>
        <w:spacing w:after="120"/>
        <w:rPr>
          <w:rFonts w:ascii="Arial" w:hAnsi="Arial" w:cs="Arial"/>
        </w:rPr>
      </w:pPr>
      <w:r w:rsidRPr="00557ADD">
        <w:rPr>
          <w:rFonts w:ascii="Arial" w:eastAsia="Times New Roman" w:hAnsi="Arial" w:cs="Arial"/>
          <w:color w:val="202020"/>
          <w:shd w:val="clear" w:color="auto" w:fill="FFFFFF"/>
        </w:rPr>
        <w:t>The videos show students using multiple forms of discourse (writing procedures, discussing poetry, determining central lessons). How do these varied opportunities help students "share their thinking" in ways that honor their diverse linguistic backgrounds?</w:t>
      </w:r>
    </w:p>
    <w:p w14:paraId="319EA606" w14:textId="4AD10AAD" w:rsidR="005147AD" w:rsidRPr="00733633" w:rsidRDefault="005147AD" w:rsidP="005147AD">
      <w:pPr>
        <w:pStyle w:val="Heading2"/>
        <w:spacing w:before="240"/>
        <w:rPr>
          <w:rFonts w:ascii="Arial" w:hAnsi="Arial" w:cs="Arial"/>
          <w:color w:val="auto"/>
        </w:rPr>
      </w:pPr>
      <w:r w:rsidRPr="00733633">
        <w:rPr>
          <w:rFonts w:ascii="Arial" w:hAnsi="Arial" w:cs="Arial"/>
          <w:color w:val="auto"/>
        </w:rPr>
        <w:t>Real-World Connections &amp; Deeper Learning</w:t>
      </w:r>
    </w:p>
    <w:p w14:paraId="68715595" w14:textId="19F01268" w:rsidR="005147AD" w:rsidRPr="005147AD" w:rsidRDefault="005147AD" w:rsidP="005147AD">
      <w:pPr>
        <w:numPr>
          <w:ilvl w:val="0"/>
          <w:numId w:val="3"/>
        </w:numPr>
        <w:rPr>
          <w:rFonts w:ascii="Arial" w:hAnsi="Arial" w:cs="Arial"/>
        </w:rPr>
      </w:pPr>
      <w:r w:rsidRPr="005147AD">
        <w:rPr>
          <w:rFonts w:ascii="Arial" w:hAnsi="Arial" w:cs="Arial"/>
        </w:rPr>
        <w:t>How did using real-world scenarios—such as Black Friday shopping, local restaurant budgeting, or designing a golf course—increase the complexity and relevance of the subject matter?</w:t>
      </w:r>
    </w:p>
    <w:p w14:paraId="0BAD00D8" w14:textId="77777777" w:rsidR="00D2097E" w:rsidRDefault="005147AD" w:rsidP="005147AD">
      <w:pPr>
        <w:numPr>
          <w:ilvl w:val="0"/>
          <w:numId w:val="3"/>
        </w:numPr>
        <w:rPr>
          <w:rFonts w:ascii="Arial" w:hAnsi="Arial" w:cs="Arial"/>
        </w:rPr>
      </w:pPr>
      <w:r w:rsidRPr="00D2097E">
        <w:rPr>
          <w:rFonts w:ascii="Arial" w:hAnsi="Arial" w:cs="Arial"/>
        </w:rPr>
        <w:t xml:space="preserve">In the video regarding the school drinking water crisis, how did </w:t>
      </w:r>
      <w:r w:rsidR="00106144" w:rsidRPr="00D2097E">
        <w:rPr>
          <w:rFonts w:ascii="Arial" w:hAnsi="Arial" w:cs="Arial"/>
        </w:rPr>
        <w:t xml:space="preserve">the arc of learning </w:t>
      </w:r>
      <w:r w:rsidR="00A456C1" w:rsidRPr="00D2097E">
        <w:rPr>
          <w:rFonts w:ascii="Arial" w:hAnsi="Arial" w:cs="Arial"/>
        </w:rPr>
        <w:t xml:space="preserve">that culminated in “outreach to an elected official” reflect </w:t>
      </w:r>
      <w:r w:rsidR="00D2097E" w:rsidRPr="00D2097E">
        <w:rPr>
          <w:rFonts w:ascii="Arial" w:hAnsi="Arial" w:cs="Arial"/>
        </w:rPr>
        <w:t xml:space="preserve">principles of deeper learning? </w:t>
      </w:r>
    </w:p>
    <w:p w14:paraId="3DA42CC5" w14:textId="4C2C1B97" w:rsidR="005147AD" w:rsidRPr="00B507EB" w:rsidRDefault="005147AD" w:rsidP="00B507EB">
      <w:pPr>
        <w:numPr>
          <w:ilvl w:val="0"/>
          <w:numId w:val="3"/>
        </w:numPr>
        <w:rPr>
          <w:rFonts w:ascii="Arial" w:hAnsi="Arial" w:cs="Arial"/>
        </w:rPr>
      </w:pPr>
      <w:r w:rsidRPr="00D2097E">
        <w:rPr>
          <w:rFonts w:ascii="Arial" w:hAnsi="Arial" w:cs="Arial"/>
        </w:rPr>
        <w:t>How did students draw on their background knowledge (e.g., previous learning about animals or floods/droughts) to build new, complex models of understanding?</w:t>
      </w:r>
    </w:p>
    <w:sectPr w:rsidR="005147AD" w:rsidRPr="00B507EB" w:rsidSect="005147AD">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2A319" w14:textId="77777777" w:rsidR="00E77F62" w:rsidRDefault="00E77F62" w:rsidP="005147AD">
      <w:pPr>
        <w:spacing w:after="0" w:line="240" w:lineRule="auto"/>
      </w:pPr>
      <w:r>
        <w:separator/>
      </w:r>
    </w:p>
  </w:endnote>
  <w:endnote w:type="continuationSeparator" w:id="0">
    <w:p w14:paraId="18E42015" w14:textId="77777777" w:rsidR="00E77F62" w:rsidRDefault="00E77F62" w:rsidP="00514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5092211"/>
      <w:docPartObj>
        <w:docPartGallery w:val="Page Numbers (Bottom of Page)"/>
        <w:docPartUnique/>
      </w:docPartObj>
    </w:sdtPr>
    <w:sdtEndPr>
      <w:rPr>
        <w:noProof/>
      </w:rPr>
    </w:sdtEndPr>
    <w:sdtContent>
      <w:p w14:paraId="76CDF1D8" w14:textId="0852182F" w:rsidR="00AE1D90" w:rsidRDefault="00AE1D9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5B2D142" w14:textId="77777777" w:rsidR="005147AD" w:rsidRDefault="005147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B3E37" w14:textId="77777777" w:rsidR="00E77F62" w:rsidRDefault="00E77F62" w:rsidP="005147AD">
      <w:pPr>
        <w:spacing w:after="0" w:line="240" w:lineRule="auto"/>
      </w:pPr>
      <w:r>
        <w:separator/>
      </w:r>
    </w:p>
  </w:footnote>
  <w:footnote w:type="continuationSeparator" w:id="0">
    <w:p w14:paraId="30D5A5D8" w14:textId="77777777" w:rsidR="00E77F62" w:rsidRDefault="00E77F62" w:rsidP="005147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FB476" w14:textId="254BEA48" w:rsidR="005147AD" w:rsidRDefault="005147AD" w:rsidP="00662509">
    <w:pPr>
      <w:pStyle w:val="Header"/>
      <w:jc w:val="right"/>
    </w:pPr>
    <w:r>
      <w:rPr>
        <w:noProof/>
      </w:rPr>
      <w:drawing>
        <wp:inline distT="0" distB="0" distL="0" distR="0" wp14:anchorId="6C6797C2" wp14:editId="29A3978B">
          <wp:extent cx="1670049" cy="615950"/>
          <wp:effectExtent l="0" t="0" r="6985" b="0"/>
          <wp:docPr id="1532821278"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821278" name="Picture 1" descr="DESE Logo"/>
                  <pic:cNvPicPr/>
                </pic:nvPicPr>
                <pic:blipFill>
                  <a:blip r:embed="rId1">
                    <a:extLst>
                      <a:ext uri="{28A0092B-C50C-407E-A947-70E740481C1C}">
                        <a14:useLocalDpi xmlns:a14="http://schemas.microsoft.com/office/drawing/2010/main" val="0"/>
                      </a:ext>
                    </a:extLst>
                  </a:blip>
                  <a:stretch>
                    <a:fillRect/>
                  </a:stretch>
                </pic:blipFill>
                <pic:spPr>
                  <a:xfrm>
                    <a:off x="0" y="0"/>
                    <a:ext cx="1678845" cy="61919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53E1B"/>
    <w:multiLevelType w:val="multilevel"/>
    <w:tmpl w:val="9BA82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0F2FF2"/>
    <w:multiLevelType w:val="multilevel"/>
    <w:tmpl w:val="1258F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B63723"/>
    <w:multiLevelType w:val="multilevel"/>
    <w:tmpl w:val="D6146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CF46CB"/>
    <w:multiLevelType w:val="multilevel"/>
    <w:tmpl w:val="478E6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62151B"/>
    <w:multiLevelType w:val="multilevel"/>
    <w:tmpl w:val="C9EAD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4A3985"/>
    <w:multiLevelType w:val="multilevel"/>
    <w:tmpl w:val="A734E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B95B8C"/>
    <w:multiLevelType w:val="multilevel"/>
    <w:tmpl w:val="91EE0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7255961">
    <w:abstractNumId w:val="0"/>
  </w:num>
  <w:num w:numId="2" w16cid:durableId="359745445">
    <w:abstractNumId w:val="4"/>
  </w:num>
  <w:num w:numId="3" w16cid:durableId="1141843691">
    <w:abstractNumId w:val="5"/>
  </w:num>
  <w:num w:numId="4" w16cid:durableId="99491500">
    <w:abstractNumId w:val="3"/>
  </w:num>
  <w:num w:numId="5" w16cid:durableId="501353263">
    <w:abstractNumId w:val="1"/>
  </w:num>
  <w:num w:numId="6" w16cid:durableId="1529023162">
    <w:abstractNumId w:val="6"/>
  </w:num>
  <w:num w:numId="7" w16cid:durableId="9013287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7AD"/>
    <w:rsid w:val="000D3C6D"/>
    <w:rsid w:val="00100FD8"/>
    <w:rsid w:val="00106144"/>
    <w:rsid w:val="0020389A"/>
    <w:rsid w:val="0022290C"/>
    <w:rsid w:val="00282DFA"/>
    <w:rsid w:val="004B1C65"/>
    <w:rsid w:val="00511017"/>
    <w:rsid w:val="005147AD"/>
    <w:rsid w:val="00662509"/>
    <w:rsid w:val="006A0AAF"/>
    <w:rsid w:val="007105DF"/>
    <w:rsid w:val="00733633"/>
    <w:rsid w:val="008B01E5"/>
    <w:rsid w:val="008C5EDB"/>
    <w:rsid w:val="00932AAB"/>
    <w:rsid w:val="00934861"/>
    <w:rsid w:val="00A456C1"/>
    <w:rsid w:val="00AC33DF"/>
    <w:rsid w:val="00AE1D90"/>
    <w:rsid w:val="00AE27A8"/>
    <w:rsid w:val="00B507EB"/>
    <w:rsid w:val="00C6437B"/>
    <w:rsid w:val="00CF2045"/>
    <w:rsid w:val="00D067E8"/>
    <w:rsid w:val="00D2097E"/>
    <w:rsid w:val="00D64926"/>
    <w:rsid w:val="00E77F6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9181E"/>
  <w15:chartTrackingRefBased/>
  <w15:docId w15:val="{6B33759B-AB86-4209-984F-CB9064E0C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47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147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47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47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47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47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47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47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47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7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147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47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47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47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47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47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47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47AD"/>
    <w:rPr>
      <w:rFonts w:eastAsiaTheme="majorEastAsia" w:cstheme="majorBidi"/>
      <w:color w:val="272727" w:themeColor="text1" w:themeTint="D8"/>
    </w:rPr>
  </w:style>
  <w:style w:type="paragraph" w:styleId="Title">
    <w:name w:val="Title"/>
    <w:basedOn w:val="Normal"/>
    <w:next w:val="Normal"/>
    <w:link w:val="TitleChar"/>
    <w:uiPriority w:val="10"/>
    <w:qFormat/>
    <w:rsid w:val="005147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47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47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47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47AD"/>
    <w:pPr>
      <w:spacing w:before="160"/>
      <w:jc w:val="center"/>
    </w:pPr>
    <w:rPr>
      <w:i/>
      <w:iCs/>
      <w:color w:val="404040" w:themeColor="text1" w:themeTint="BF"/>
    </w:rPr>
  </w:style>
  <w:style w:type="character" w:customStyle="1" w:styleId="QuoteChar">
    <w:name w:val="Quote Char"/>
    <w:basedOn w:val="DefaultParagraphFont"/>
    <w:link w:val="Quote"/>
    <w:uiPriority w:val="29"/>
    <w:rsid w:val="005147AD"/>
    <w:rPr>
      <w:i/>
      <w:iCs/>
      <w:color w:val="404040" w:themeColor="text1" w:themeTint="BF"/>
    </w:rPr>
  </w:style>
  <w:style w:type="paragraph" w:styleId="ListParagraph">
    <w:name w:val="List Paragraph"/>
    <w:basedOn w:val="Normal"/>
    <w:uiPriority w:val="34"/>
    <w:qFormat/>
    <w:rsid w:val="005147AD"/>
    <w:pPr>
      <w:ind w:left="720"/>
      <w:contextualSpacing/>
    </w:pPr>
  </w:style>
  <w:style w:type="character" w:styleId="IntenseEmphasis">
    <w:name w:val="Intense Emphasis"/>
    <w:basedOn w:val="DefaultParagraphFont"/>
    <w:uiPriority w:val="21"/>
    <w:qFormat/>
    <w:rsid w:val="005147AD"/>
    <w:rPr>
      <w:i/>
      <w:iCs/>
      <w:color w:val="0F4761" w:themeColor="accent1" w:themeShade="BF"/>
    </w:rPr>
  </w:style>
  <w:style w:type="paragraph" w:styleId="IntenseQuote">
    <w:name w:val="Intense Quote"/>
    <w:basedOn w:val="Normal"/>
    <w:next w:val="Normal"/>
    <w:link w:val="IntenseQuoteChar"/>
    <w:uiPriority w:val="30"/>
    <w:qFormat/>
    <w:rsid w:val="005147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47AD"/>
    <w:rPr>
      <w:i/>
      <w:iCs/>
      <w:color w:val="0F4761" w:themeColor="accent1" w:themeShade="BF"/>
    </w:rPr>
  </w:style>
  <w:style w:type="character" w:styleId="IntenseReference">
    <w:name w:val="Intense Reference"/>
    <w:basedOn w:val="DefaultParagraphFont"/>
    <w:uiPriority w:val="32"/>
    <w:qFormat/>
    <w:rsid w:val="005147AD"/>
    <w:rPr>
      <w:b/>
      <w:bCs/>
      <w:smallCaps/>
      <w:color w:val="0F4761" w:themeColor="accent1" w:themeShade="BF"/>
      <w:spacing w:val="5"/>
    </w:rPr>
  </w:style>
  <w:style w:type="paragraph" w:styleId="Header">
    <w:name w:val="header"/>
    <w:basedOn w:val="Normal"/>
    <w:link w:val="HeaderChar"/>
    <w:uiPriority w:val="99"/>
    <w:unhideWhenUsed/>
    <w:rsid w:val="005147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47AD"/>
  </w:style>
  <w:style w:type="paragraph" w:styleId="Footer">
    <w:name w:val="footer"/>
    <w:basedOn w:val="Normal"/>
    <w:link w:val="FooterChar"/>
    <w:uiPriority w:val="99"/>
    <w:unhideWhenUsed/>
    <w:rsid w:val="005147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47AD"/>
  </w:style>
  <w:style w:type="character" w:styleId="Hyperlink">
    <w:name w:val="Hyperlink"/>
    <w:basedOn w:val="DefaultParagraphFont"/>
    <w:uiPriority w:val="99"/>
    <w:unhideWhenUsed/>
    <w:rsid w:val="005147AD"/>
    <w:rPr>
      <w:color w:val="467886" w:themeColor="hyperlink"/>
      <w:u w:val="single"/>
    </w:rPr>
  </w:style>
  <w:style w:type="character" w:styleId="UnresolvedMention">
    <w:name w:val="Unresolved Mention"/>
    <w:basedOn w:val="DefaultParagraphFont"/>
    <w:uiPriority w:val="99"/>
    <w:semiHidden/>
    <w:unhideWhenUsed/>
    <w:rsid w:val="005147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ass.gov/info-details/vision-of-a-massachusetts-graduat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oe.mass.edu/bese/docs/fy2023/2023-05/item7.1-educational-vision.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oe.mass.edu/instruction/culturally-sustaining/default.html"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doe.mass.edu/kaleidoscope/planning/instructional-video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oe.mass.edu/kaleidoscope/dl-guidance-tool.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4C65FE-A059-40DF-BAAE-39AE0D53B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0E11F5F-66F8-48CE-8F51-1CDA32317B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D4570ED-A8C4-4AD6-ACE8-2021F0A75FE8}">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497</Words>
  <Characters>3100</Characters>
  <Application>Microsoft Office Word</Application>
  <DocSecurity>0</DocSecurity>
  <Lines>54</Lines>
  <Paragraphs>21</Paragraphs>
  <ScaleCrop>false</ScaleCrop>
  <HeadingPairs>
    <vt:vector size="2" baseType="variant">
      <vt:variant>
        <vt:lpstr>Title</vt:lpstr>
      </vt:variant>
      <vt:variant>
        <vt:i4>1</vt:i4>
      </vt:variant>
    </vt:vector>
  </HeadingPairs>
  <TitlesOfParts>
    <vt:vector size="1" baseType="lpstr">
      <vt:lpstr>Cultivating Deeper Learning inst. video reflection</vt:lpstr>
    </vt:vector>
  </TitlesOfParts>
  <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Cultivating Deeper Learning inst. video reflection</dc:title>
  <dc:subject/>
  <dc:creator>DESE</dc:creator>
  <cp:keywords/>
  <dc:description/>
  <cp:lastModifiedBy>Zou, Dong (EOE)</cp:lastModifiedBy>
  <cp:revision>4</cp:revision>
  <dcterms:created xsi:type="dcterms:W3CDTF">2026-02-18T19:15:00Z</dcterms:created>
  <dcterms:modified xsi:type="dcterms:W3CDTF">2026-02-25T16:53:00Z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Feb 25 2026 12:00AM</vt:lpwstr>
  </property>
</Properties>
</file>