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2E40" w14:textId="18A0EB28" w:rsidR="004E362E" w:rsidRPr="00FD5ECD" w:rsidRDefault="00EB26EC" w:rsidP="00FD5ECD">
      <w:pPr>
        <w:jc w:val="center"/>
        <w:rPr>
          <w:rFonts w:cstheme="minorHAnsi"/>
          <w:b/>
          <w:bCs/>
          <w:sz w:val="28"/>
          <w:szCs w:val="28"/>
        </w:rPr>
      </w:pPr>
      <w:r>
        <w:rPr>
          <w:noProof/>
        </w:rPr>
        <w:drawing>
          <wp:inline distT="0" distB="0" distL="0" distR="0" wp14:anchorId="174D1324" wp14:editId="0F001D42">
            <wp:extent cx="1895475" cy="919305"/>
            <wp:effectExtent l="0" t="0" r="0" b="0"/>
            <wp:docPr id="35"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919305"/>
                    </a:xfrm>
                    <a:prstGeom prst="rect">
                      <a:avLst/>
                    </a:prstGeom>
                    <a:noFill/>
                    <a:ln>
                      <a:noFill/>
                    </a:ln>
                  </pic:spPr>
                </pic:pic>
              </a:graphicData>
            </a:graphic>
          </wp:inline>
        </w:drawing>
      </w:r>
    </w:p>
    <w:p w14:paraId="16B7CDC8" w14:textId="0A3019DD" w:rsidR="00EB26EC" w:rsidRPr="00DF41F2" w:rsidRDefault="00DF41F2" w:rsidP="00DF41F2">
      <w:pPr>
        <w:pStyle w:val="Heading2"/>
        <w:jc w:val="center"/>
        <w:rPr>
          <w:b/>
          <w:bCs/>
        </w:rPr>
      </w:pPr>
      <w:r w:rsidRPr="00DF41F2">
        <w:rPr>
          <w:b/>
          <w:bCs/>
        </w:rPr>
        <w:t xml:space="preserve">Early Literacy </w:t>
      </w:r>
      <w:r w:rsidR="00EB26EC" w:rsidRPr="00DF41F2">
        <w:rPr>
          <w:b/>
          <w:bCs/>
        </w:rPr>
        <w:t>Universal Screening Assessment Guidance</w:t>
      </w:r>
    </w:p>
    <w:p w14:paraId="5D636574" w14:textId="27144B5F" w:rsidR="00595EB4" w:rsidRPr="00595EB4" w:rsidRDefault="00595EB4" w:rsidP="00595EB4">
      <w:pPr>
        <w:jc w:val="center"/>
        <w:rPr>
          <w:i/>
          <w:iCs/>
        </w:rPr>
      </w:pPr>
      <w:r w:rsidRPr="00595EB4">
        <w:rPr>
          <w:i/>
          <w:iCs/>
        </w:rPr>
        <w:t>Updated May 2021</w:t>
      </w:r>
    </w:p>
    <w:p w14:paraId="245E2EA6" w14:textId="77777777" w:rsidR="00EB26EC" w:rsidRPr="0015769E" w:rsidRDefault="00EB26EC" w:rsidP="00EB26EC">
      <w:pPr>
        <w:jc w:val="center"/>
        <w:rPr>
          <w:rFonts w:cstheme="minorHAnsi"/>
          <w:b/>
          <w:bCs/>
          <w:sz w:val="28"/>
          <w:szCs w:val="28"/>
        </w:rPr>
      </w:pPr>
    </w:p>
    <w:p w14:paraId="787656AE" w14:textId="562EA842" w:rsidR="00EB26EC" w:rsidRDefault="00EB26EC" w:rsidP="00EB26EC">
      <w:pPr>
        <w:rPr>
          <w:rFonts w:cstheme="minorHAnsi"/>
          <w:bCs/>
        </w:rPr>
      </w:pPr>
      <w:r w:rsidRPr="006F2EEE">
        <w:rPr>
          <w:rFonts w:cstheme="minorHAnsi"/>
          <w:bCs/>
        </w:rPr>
        <w:t xml:space="preserve">The Massachusetts Department of Elementary and Secondary Education (DESE) is providing schools and districts with guidance </w:t>
      </w:r>
      <w:r w:rsidR="004E362E">
        <w:rPr>
          <w:rFonts w:cstheme="minorHAnsi"/>
          <w:bCs/>
        </w:rPr>
        <w:t xml:space="preserve">to </w:t>
      </w:r>
      <w:r w:rsidRPr="006F2EEE">
        <w:rPr>
          <w:rFonts w:cstheme="minorHAnsi"/>
          <w:bCs/>
        </w:rPr>
        <w:t>select high-quality,</w:t>
      </w:r>
      <w:r>
        <w:rPr>
          <w:rFonts w:cstheme="minorHAnsi"/>
          <w:bCs/>
        </w:rPr>
        <w:t xml:space="preserve"> universal</w:t>
      </w:r>
      <w:r w:rsidRPr="006F2EEE">
        <w:rPr>
          <w:rFonts w:cstheme="minorHAnsi"/>
          <w:bCs/>
        </w:rPr>
        <w:t xml:space="preserve"> screening assessments.  </w:t>
      </w:r>
    </w:p>
    <w:p w14:paraId="72F01D3C" w14:textId="77777777" w:rsidR="004E362E" w:rsidRDefault="004E362E" w:rsidP="00EB26EC">
      <w:pPr>
        <w:rPr>
          <w:rFonts w:cstheme="minorHAnsi"/>
          <w:b/>
          <w:color w:val="000000" w:themeColor="text1"/>
          <w:u w:val="single"/>
        </w:rPr>
      </w:pPr>
    </w:p>
    <w:p w14:paraId="6EE84F03" w14:textId="1F3943F0" w:rsidR="00EB26EC" w:rsidRPr="00A06561" w:rsidRDefault="00EB26EC" w:rsidP="00EB26EC">
      <w:pPr>
        <w:rPr>
          <w:rFonts w:cstheme="minorHAnsi"/>
          <w:b/>
          <w:bCs/>
          <w:color w:val="000000" w:themeColor="text1"/>
          <w:u w:val="single"/>
        </w:rPr>
      </w:pPr>
      <w:r w:rsidRPr="00A06561">
        <w:rPr>
          <w:rFonts w:cstheme="minorHAnsi"/>
          <w:b/>
          <w:color w:val="000000" w:themeColor="text1"/>
          <w:u w:val="single"/>
        </w:rPr>
        <w:t>Universal Screen</w:t>
      </w:r>
      <w:r>
        <w:rPr>
          <w:rFonts w:cstheme="minorHAnsi"/>
          <w:b/>
          <w:color w:val="000000" w:themeColor="text1"/>
          <w:u w:val="single"/>
        </w:rPr>
        <w:t>ing Assessments</w:t>
      </w:r>
    </w:p>
    <w:p w14:paraId="612C2564" w14:textId="20873247" w:rsidR="00EB26EC" w:rsidRDefault="00595EB4" w:rsidP="00EB26EC">
      <w:pPr>
        <w:rPr>
          <w:rFonts w:eastAsia="Times New Roman" w:cstheme="minorHAnsi"/>
          <w:color w:val="333333"/>
        </w:rPr>
      </w:pPr>
      <w:r>
        <w:rPr>
          <w:rFonts w:cstheme="minorHAnsi"/>
        </w:rPr>
        <w:t xml:space="preserve">All schools serving students in grades K-2 should conduct universal literacy screening with an appropriate assessment tool. </w:t>
      </w:r>
      <w:r w:rsidR="00EB26EC" w:rsidRPr="006F2EEE">
        <w:rPr>
          <w:rFonts w:cstheme="minorHAnsi"/>
        </w:rPr>
        <w:t>Universal screening is conducted to identify students who may be at risk for poor learning outcomes. Universal screening assessments are typically brief, reliable, and valid assessments conducted with all students from a grade level.</w:t>
      </w:r>
      <w:r w:rsidR="00EB26EC" w:rsidRPr="006F2EEE">
        <w:rPr>
          <w:rStyle w:val="FootnoteReference"/>
          <w:rFonts w:cstheme="minorHAnsi"/>
        </w:rPr>
        <w:footnoteReference w:id="1"/>
      </w:r>
      <w:r w:rsidR="00EB26EC" w:rsidRPr="006F2EEE">
        <w:rPr>
          <w:rFonts w:cstheme="minorHAnsi"/>
        </w:rPr>
        <w:t xml:space="preserve">  They are followed by additional testing or short-term progress monitoring to corroborate students’ risk status.</w:t>
      </w:r>
      <w:r w:rsidR="00EB26EC" w:rsidRPr="006F2EEE">
        <w:rPr>
          <w:rStyle w:val="FootnoteReference"/>
          <w:rFonts w:cstheme="minorHAnsi"/>
        </w:rPr>
        <w:footnoteReference w:id="2"/>
      </w:r>
      <w:r w:rsidR="00EB26EC" w:rsidRPr="006F2EEE">
        <w:rPr>
          <w:rFonts w:cstheme="minorHAnsi"/>
        </w:rPr>
        <w:t xml:space="preserve"> </w:t>
      </w:r>
      <w:r w:rsidR="00EB26EC">
        <w:rPr>
          <w:rFonts w:eastAsia="Times New Roman" w:cstheme="minorHAnsi"/>
        </w:rPr>
        <w:t>Universal s</w:t>
      </w:r>
      <w:r w:rsidR="00EB26EC" w:rsidRPr="006F2EEE">
        <w:rPr>
          <w:rFonts w:eastAsia="Times New Roman" w:cstheme="minorHAnsi"/>
        </w:rPr>
        <w:t>creening in grades K</w:t>
      </w:r>
      <w:r w:rsidR="00EB26EC">
        <w:rPr>
          <w:rFonts w:eastAsia="Times New Roman" w:cstheme="minorHAnsi"/>
        </w:rPr>
        <w:t>-</w:t>
      </w:r>
      <w:r w:rsidR="00EB26EC" w:rsidRPr="006F2EEE">
        <w:rPr>
          <w:rFonts w:eastAsia="Times New Roman" w:cstheme="minorHAnsi"/>
        </w:rPr>
        <w:t xml:space="preserve">3 is a practice supported by evidence, </w:t>
      </w:r>
      <w:hyperlink r:id="rId13" w:anchor="page=17" w:tgtFrame="_blank" w:tooltip="External Link, Opens in New Window" w:history="1">
        <w:r w:rsidR="00EB26EC" w:rsidRPr="009A7664">
          <w:rPr>
            <w:rFonts w:eastAsia="Times New Roman" w:cstheme="minorHAnsi"/>
            <w:color w:val="0368D4"/>
            <w:u w:val="single"/>
          </w:rPr>
          <w:t>according to the Institute for Education Sciences</w:t>
        </w:r>
      </w:hyperlink>
      <w:r w:rsidR="00EB26EC" w:rsidRPr="009A7664">
        <w:rPr>
          <w:rFonts w:eastAsia="Times New Roman" w:cstheme="minorHAnsi"/>
          <w:color w:val="333333"/>
        </w:rPr>
        <w:t>.</w:t>
      </w:r>
      <w:r w:rsidR="00EB26EC">
        <w:rPr>
          <w:rFonts w:eastAsia="Times New Roman" w:cstheme="minorHAnsi"/>
          <w:color w:val="333333"/>
        </w:rPr>
        <w:t xml:space="preserve"> </w:t>
      </w:r>
    </w:p>
    <w:p w14:paraId="101BF2FF" w14:textId="7CFB2FF5" w:rsidR="00595EB4" w:rsidRDefault="00595EB4" w:rsidP="00EB26EC">
      <w:pPr>
        <w:rPr>
          <w:rFonts w:eastAsia="Times New Roman" w:cstheme="minorHAnsi"/>
          <w:color w:val="333333"/>
        </w:rPr>
      </w:pPr>
      <w:r>
        <w:rPr>
          <w:rFonts w:eastAsia="Times New Roman" w:cstheme="minorHAnsi"/>
          <w:color w:val="333333"/>
        </w:rPr>
        <w:t xml:space="preserve">For detailed information about screening and data-based decision-making for early literacy, visit the </w:t>
      </w:r>
      <w:hyperlink r:id="rId14" w:history="1">
        <w:r w:rsidRPr="00595EB4">
          <w:rPr>
            <w:rStyle w:val="Hyperlink"/>
            <w:rFonts w:eastAsia="Times New Roman" w:cstheme="minorHAnsi"/>
          </w:rPr>
          <w:t>Mass Literacy Guide</w:t>
        </w:r>
      </w:hyperlink>
      <w:r>
        <w:rPr>
          <w:rFonts w:eastAsia="Times New Roman" w:cstheme="minorHAnsi"/>
          <w:color w:val="333333"/>
        </w:rPr>
        <w:t>.</w:t>
      </w:r>
    </w:p>
    <w:p w14:paraId="75A35E8B" w14:textId="77777777" w:rsidR="00EB26EC" w:rsidRPr="00B947A0" w:rsidRDefault="00EB26EC" w:rsidP="00EB26EC">
      <w:pPr>
        <w:spacing w:after="150" w:line="240" w:lineRule="auto"/>
        <w:rPr>
          <w:rFonts w:eastAsia="Times New Roman" w:cstheme="minorHAnsi"/>
          <w:b/>
          <w:bCs/>
          <w:u w:val="single"/>
        </w:rPr>
      </w:pPr>
      <w:r>
        <w:rPr>
          <w:rFonts w:eastAsia="Times New Roman" w:cstheme="minorHAnsi"/>
          <w:b/>
          <w:bCs/>
          <w:u w:val="single"/>
        </w:rPr>
        <w:t>Universal Screening</w:t>
      </w:r>
      <w:r w:rsidRPr="00B947A0">
        <w:rPr>
          <w:rFonts w:eastAsia="Times New Roman" w:cstheme="minorHAnsi"/>
          <w:b/>
          <w:bCs/>
          <w:u w:val="single"/>
        </w:rPr>
        <w:t xml:space="preserve"> Proposals</w:t>
      </w:r>
    </w:p>
    <w:p w14:paraId="176EE5F2" w14:textId="1E93E195" w:rsidR="00EB26EC" w:rsidRPr="006F2EEE" w:rsidRDefault="00EB26EC" w:rsidP="00EB26EC">
      <w:pPr>
        <w:spacing w:after="150" w:line="240" w:lineRule="auto"/>
        <w:rPr>
          <w:rFonts w:eastAsia="Times New Roman" w:cstheme="minorHAnsi"/>
        </w:rPr>
      </w:pPr>
      <w:r w:rsidRPr="006F2EEE">
        <w:rPr>
          <w:rFonts w:eastAsia="Times New Roman" w:cstheme="minorHAnsi"/>
        </w:rPr>
        <w:t xml:space="preserve">DESE requested proposals from </w:t>
      </w:r>
      <w:r>
        <w:rPr>
          <w:rFonts w:eastAsia="Times New Roman" w:cstheme="minorHAnsi"/>
        </w:rPr>
        <w:t xml:space="preserve">universal </w:t>
      </w:r>
      <w:r w:rsidRPr="006F2EEE">
        <w:rPr>
          <w:rFonts w:eastAsia="Times New Roman" w:cstheme="minorHAnsi"/>
        </w:rPr>
        <w:t>screen</w:t>
      </w:r>
      <w:r>
        <w:rPr>
          <w:rFonts w:eastAsia="Times New Roman" w:cstheme="minorHAnsi"/>
        </w:rPr>
        <w:t>ing assessment</w:t>
      </w:r>
      <w:r w:rsidRPr="006F2EEE">
        <w:rPr>
          <w:rFonts w:eastAsia="Times New Roman" w:cstheme="minorHAnsi"/>
        </w:rPr>
        <w:t xml:space="preserve"> publishers</w:t>
      </w:r>
      <w:r w:rsidR="00595EB4">
        <w:rPr>
          <w:rFonts w:eastAsia="Times New Roman" w:cstheme="minorHAnsi"/>
        </w:rPr>
        <w:t>. Publishers respond to DESE with information about their assessments, which are then</w:t>
      </w:r>
      <w:r w:rsidRPr="006F2EEE">
        <w:rPr>
          <w:rFonts w:eastAsia="Times New Roman" w:cstheme="minorHAnsi"/>
        </w:rPr>
        <w:t xml:space="preserve"> reviewed according </w:t>
      </w:r>
      <w:r>
        <w:rPr>
          <w:rFonts w:eastAsia="Times New Roman" w:cstheme="minorHAnsi"/>
        </w:rPr>
        <w:t xml:space="preserve">to the following </w:t>
      </w:r>
      <w:r w:rsidR="00595EB4">
        <w:rPr>
          <w:rFonts w:eastAsia="Times New Roman" w:cstheme="minorHAnsi"/>
        </w:rPr>
        <w:t xml:space="preserve">assessment </w:t>
      </w:r>
      <w:r>
        <w:rPr>
          <w:rFonts w:eastAsia="Times New Roman" w:cstheme="minorHAnsi"/>
        </w:rPr>
        <w:t>criteria:</w:t>
      </w:r>
    </w:p>
    <w:p w14:paraId="14783AAD" w14:textId="77777777" w:rsidR="00EB26EC" w:rsidRPr="006F2EEE" w:rsidRDefault="00EB26EC" w:rsidP="00EB26EC">
      <w:pPr>
        <w:numPr>
          <w:ilvl w:val="0"/>
          <w:numId w:val="1"/>
        </w:numPr>
        <w:pBdr>
          <w:top w:val="nil"/>
          <w:left w:val="nil"/>
          <w:bottom w:val="nil"/>
          <w:right w:val="nil"/>
          <w:between w:val="nil"/>
        </w:pBdr>
        <w:spacing w:after="0" w:line="240" w:lineRule="auto"/>
      </w:pPr>
      <w:r w:rsidRPr="006F2EEE">
        <w:t>Valid and Reliable</w:t>
      </w:r>
    </w:p>
    <w:p w14:paraId="636FB671" w14:textId="77777777" w:rsidR="00EB26EC" w:rsidRPr="006F2EEE" w:rsidRDefault="00EB26EC" w:rsidP="00EB26EC">
      <w:pPr>
        <w:numPr>
          <w:ilvl w:val="0"/>
          <w:numId w:val="1"/>
        </w:numPr>
        <w:pBdr>
          <w:top w:val="nil"/>
          <w:left w:val="nil"/>
          <w:bottom w:val="nil"/>
          <w:right w:val="nil"/>
          <w:between w:val="nil"/>
        </w:pBdr>
        <w:spacing w:after="0" w:line="240" w:lineRule="auto"/>
      </w:pPr>
      <w:r w:rsidRPr="006F2EEE">
        <w:t>Scientifically Based</w:t>
      </w:r>
    </w:p>
    <w:p w14:paraId="4FB704B6" w14:textId="77777777" w:rsidR="00EB26EC" w:rsidRPr="006F2EEE" w:rsidRDefault="00EB26EC" w:rsidP="00EB26EC">
      <w:pPr>
        <w:numPr>
          <w:ilvl w:val="0"/>
          <w:numId w:val="1"/>
        </w:numPr>
        <w:pBdr>
          <w:top w:val="nil"/>
          <w:left w:val="nil"/>
          <w:bottom w:val="nil"/>
          <w:right w:val="nil"/>
          <w:between w:val="nil"/>
        </w:pBdr>
        <w:spacing w:after="0" w:line="240" w:lineRule="auto"/>
      </w:pPr>
      <w:r w:rsidRPr="006F2EEE">
        <w:t>Brief</w:t>
      </w:r>
    </w:p>
    <w:p w14:paraId="3B3C9707" w14:textId="77777777" w:rsidR="00EB26EC" w:rsidRPr="006F2EEE" w:rsidRDefault="00EB26EC" w:rsidP="00EB26EC">
      <w:pPr>
        <w:numPr>
          <w:ilvl w:val="0"/>
          <w:numId w:val="1"/>
        </w:numPr>
        <w:pBdr>
          <w:top w:val="nil"/>
          <w:left w:val="nil"/>
          <w:bottom w:val="nil"/>
          <w:right w:val="nil"/>
          <w:between w:val="nil"/>
        </w:pBdr>
        <w:spacing w:after="0" w:line="240" w:lineRule="auto"/>
      </w:pPr>
      <w:r w:rsidRPr="006F2EEE">
        <w:t>Administered three times per year</w:t>
      </w:r>
    </w:p>
    <w:p w14:paraId="1E7ACA60" w14:textId="77777777" w:rsidR="00EB26EC" w:rsidRPr="006F2EEE" w:rsidRDefault="00EB26EC" w:rsidP="00EB26EC">
      <w:pPr>
        <w:numPr>
          <w:ilvl w:val="0"/>
          <w:numId w:val="1"/>
        </w:numPr>
        <w:spacing w:after="0" w:line="240" w:lineRule="auto"/>
      </w:pPr>
      <w:r w:rsidRPr="006F2EEE">
        <w:t>Code- AND meaning-based and/or a Rapid Automatized Naming (RAN) Assessment</w:t>
      </w:r>
    </w:p>
    <w:p w14:paraId="67B28EC1" w14:textId="77777777" w:rsidR="00EB26EC" w:rsidRDefault="00EB26EC" w:rsidP="00EB26EC">
      <w:pPr>
        <w:spacing w:after="0" w:line="240" w:lineRule="auto"/>
        <w:rPr>
          <w:rFonts w:eastAsia="Times New Roman" w:cstheme="minorHAnsi"/>
        </w:rPr>
      </w:pPr>
    </w:p>
    <w:p w14:paraId="481B5FB3" w14:textId="77777777" w:rsidR="00EB26EC" w:rsidRDefault="00EB26EC" w:rsidP="00EB26EC">
      <w:pPr>
        <w:spacing w:after="0" w:line="240" w:lineRule="auto"/>
        <w:rPr>
          <w:rFonts w:eastAsia="Times New Roman" w:cstheme="minorHAnsi"/>
        </w:rPr>
      </w:pPr>
      <w:r>
        <w:rPr>
          <w:rFonts w:eastAsia="Times New Roman" w:cstheme="minorHAnsi"/>
        </w:rPr>
        <w:t xml:space="preserve">For more detailed criteria, please see </w:t>
      </w:r>
      <w:r w:rsidRPr="00D6784C">
        <w:rPr>
          <w:rFonts w:eastAsia="Times New Roman" w:cstheme="minorHAnsi"/>
          <w:i/>
          <w:iCs/>
        </w:rPr>
        <w:t>Appendix A</w:t>
      </w:r>
      <w:r>
        <w:rPr>
          <w:rFonts w:eastAsia="Times New Roman" w:cstheme="minorHAnsi"/>
        </w:rPr>
        <w:t>.</w:t>
      </w:r>
    </w:p>
    <w:p w14:paraId="5D332AD8" w14:textId="77777777" w:rsidR="00EB26EC" w:rsidRDefault="00EB26EC" w:rsidP="00EB26EC">
      <w:pPr>
        <w:spacing w:after="0" w:line="240" w:lineRule="auto"/>
        <w:rPr>
          <w:rFonts w:eastAsia="Times New Roman" w:cstheme="minorHAnsi"/>
        </w:rPr>
      </w:pPr>
    </w:p>
    <w:p w14:paraId="7D905180" w14:textId="2A505EBB" w:rsidR="00EB26EC" w:rsidRDefault="00EB26EC" w:rsidP="00EB26EC">
      <w:pPr>
        <w:spacing w:after="0" w:line="240" w:lineRule="auto"/>
        <w:rPr>
          <w:rFonts w:eastAsia="Times New Roman" w:cstheme="minorHAnsi"/>
        </w:rPr>
      </w:pPr>
      <w:r w:rsidRPr="006F2EEE">
        <w:rPr>
          <w:rFonts w:eastAsia="Times New Roman" w:cstheme="minorHAnsi"/>
        </w:rPr>
        <w:t xml:space="preserve">After careful review, DESE </w:t>
      </w:r>
      <w:r w:rsidR="00595EB4">
        <w:rPr>
          <w:rFonts w:eastAsia="Times New Roman" w:cstheme="minorHAnsi"/>
        </w:rPr>
        <w:t xml:space="preserve">has </w:t>
      </w:r>
      <w:r w:rsidRPr="006F2EEE">
        <w:rPr>
          <w:rFonts w:eastAsia="Times New Roman" w:cstheme="minorHAnsi"/>
        </w:rPr>
        <w:t xml:space="preserve">approved the following </w:t>
      </w:r>
      <w:r>
        <w:rPr>
          <w:rFonts w:eastAsia="Times New Roman" w:cstheme="minorHAnsi"/>
        </w:rPr>
        <w:t xml:space="preserve">universal screening assessments.  </w:t>
      </w:r>
      <w:r>
        <w:rPr>
          <w:rFonts w:eastAsia="Times New Roman" w:cstheme="minorHAnsi"/>
        </w:rPr>
        <w:br/>
      </w:r>
    </w:p>
    <w:p w14:paraId="24939D5A" w14:textId="1F58F26C" w:rsidR="00EB26EC" w:rsidRDefault="00EB26EC" w:rsidP="00EB26EC">
      <w:pPr>
        <w:pStyle w:val="ListParagraph"/>
        <w:numPr>
          <w:ilvl w:val="0"/>
          <w:numId w:val="21"/>
        </w:numPr>
        <w:spacing w:after="0" w:line="240" w:lineRule="auto"/>
        <w:rPr>
          <w:rFonts w:eastAsia="Times New Roman" w:cstheme="minorHAnsi"/>
          <w:b/>
          <w:bCs/>
        </w:rPr>
      </w:pPr>
      <w:r w:rsidRPr="002F58A5">
        <w:rPr>
          <w:rFonts w:eastAsia="Times New Roman" w:cstheme="minorHAnsi"/>
          <w:b/>
          <w:bCs/>
        </w:rPr>
        <w:t xml:space="preserve">Amplify </w:t>
      </w:r>
      <w:proofErr w:type="spellStart"/>
      <w:r w:rsidRPr="002F58A5">
        <w:rPr>
          <w:rFonts w:eastAsia="Times New Roman" w:cstheme="minorHAnsi"/>
          <w:b/>
          <w:bCs/>
        </w:rPr>
        <w:t>mCLASS</w:t>
      </w:r>
      <w:proofErr w:type="spellEnd"/>
      <w:r w:rsidRPr="002F58A5">
        <w:rPr>
          <w:rFonts w:eastAsia="Times New Roman" w:cstheme="minorHAnsi"/>
          <w:b/>
          <w:bCs/>
        </w:rPr>
        <w:t xml:space="preserve"> </w:t>
      </w:r>
    </w:p>
    <w:p w14:paraId="4E08574B" w14:textId="77777777" w:rsidR="00EB26EC" w:rsidRDefault="00EB26EC" w:rsidP="00EB26EC">
      <w:pPr>
        <w:pStyle w:val="ListParagraph"/>
        <w:numPr>
          <w:ilvl w:val="0"/>
          <w:numId w:val="21"/>
        </w:numPr>
        <w:spacing w:after="0" w:line="240" w:lineRule="auto"/>
        <w:rPr>
          <w:rFonts w:eastAsia="Times New Roman" w:cstheme="minorHAnsi"/>
          <w:b/>
          <w:bCs/>
        </w:rPr>
      </w:pPr>
      <w:r w:rsidRPr="002F58A5">
        <w:rPr>
          <w:rFonts w:eastAsia="Times New Roman" w:cstheme="minorHAnsi"/>
          <w:b/>
          <w:bCs/>
        </w:rPr>
        <w:t xml:space="preserve">Curriculum Associates </w:t>
      </w:r>
      <w:proofErr w:type="spellStart"/>
      <w:r w:rsidRPr="002F58A5">
        <w:rPr>
          <w:rFonts w:eastAsia="Times New Roman" w:cstheme="minorHAnsi"/>
          <w:b/>
          <w:bCs/>
        </w:rPr>
        <w:t>iReady</w:t>
      </w:r>
      <w:proofErr w:type="spellEnd"/>
    </w:p>
    <w:p w14:paraId="3109AAAB" w14:textId="2C63DE3F" w:rsidR="00EB26EC" w:rsidRPr="002F58A5" w:rsidRDefault="00595EB4" w:rsidP="00EB26EC">
      <w:pPr>
        <w:pStyle w:val="ListParagraph"/>
        <w:numPr>
          <w:ilvl w:val="0"/>
          <w:numId w:val="21"/>
        </w:numPr>
        <w:spacing w:after="0" w:line="240" w:lineRule="auto"/>
        <w:rPr>
          <w:rFonts w:eastAsia="Times New Roman" w:cstheme="minorHAnsi"/>
          <w:b/>
          <w:bCs/>
        </w:rPr>
      </w:pPr>
      <w:r>
        <w:rPr>
          <w:rFonts w:eastAsia="Times New Roman" w:cstheme="minorHAnsi"/>
          <w:b/>
          <w:bCs/>
        </w:rPr>
        <w:t xml:space="preserve">Illuminate </w:t>
      </w:r>
      <w:proofErr w:type="spellStart"/>
      <w:r w:rsidR="00EB26EC" w:rsidRPr="002F58A5">
        <w:rPr>
          <w:rFonts w:eastAsia="Times New Roman" w:cstheme="minorHAnsi"/>
          <w:b/>
          <w:bCs/>
        </w:rPr>
        <w:t>FastBridge</w:t>
      </w:r>
      <w:proofErr w:type="spellEnd"/>
      <w:r w:rsidR="00EB26EC" w:rsidRPr="002F58A5">
        <w:rPr>
          <w:rFonts w:eastAsia="Times New Roman" w:cstheme="minorHAnsi"/>
          <w:b/>
          <w:bCs/>
        </w:rPr>
        <w:t xml:space="preserve"> (</w:t>
      </w:r>
      <w:r w:rsidR="00EB26EC" w:rsidRPr="002F58A5">
        <w:rPr>
          <w:rFonts w:eastAsia="Times New Roman" w:cstheme="minorHAnsi"/>
          <w:b/>
          <w:bCs/>
          <w:sz w:val="20"/>
          <w:szCs w:val="20"/>
        </w:rPr>
        <w:t>package includes:  Adaptive Reading [</w:t>
      </w:r>
      <w:proofErr w:type="spellStart"/>
      <w:r w:rsidR="00EB26EC" w:rsidRPr="002F58A5">
        <w:rPr>
          <w:rFonts w:eastAsia="Times New Roman" w:cstheme="minorHAnsi"/>
          <w:b/>
          <w:bCs/>
          <w:sz w:val="20"/>
          <w:szCs w:val="20"/>
        </w:rPr>
        <w:t>aReading</w:t>
      </w:r>
      <w:proofErr w:type="spellEnd"/>
      <w:r w:rsidR="00EB26EC" w:rsidRPr="002F58A5">
        <w:rPr>
          <w:rFonts w:eastAsia="Times New Roman" w:cstheme="minorHAnsi"/>
          <w:b/>
          <w:bCs/>
          <w:sz w:val="20"/>
          <w:szCs w:val="20"/>
        </w:rPr>
        <w:t xml:space="preserve">], </w:t>
      </w:r>
      <w:proofErr w:type="spellStart"/>
      <w:r w:rsidR="00EB26EC" w:rsidRPr="002F58A5">
        <w:rPr>
          <w:rFonts w:eastAsia="Times New Roman" w:cstheme="minorHAnsi"/>
          <w:b/>
          <w:bCs/>
          <w:sz w:val="20"/>
          <w:szCs w:val="20"/>
        </w:rPr>
        <w:t>AUTOreading</w:t>
      </w:r>
      <w:proofErr w:type="spellEnd"/>
      <w:r w:rsidR="00EB26EC" w:rsidRPr="002F58A5">
        <w:rPr>
          <w:rFonts w:eastAsia="Times New Roman" w:cstheme="minorHAnsi"/>
          <w:b/>
          <w:bCs/>
          <w:sz w:val="20"/>
          <w:szCs w:val="20"/>
        </w:rPr>
        <w:t xml:space="preserve">, </w:t>
      </w:r>
      <w:proofErr w:type="spellStart"/>
      <w:r w:rsidR="00EB26EC" w:rsidRPr="002F58A5">
        <w:rPr>
          <w:rFonts w:eastAsia="Times New Roman" w:cstheme="minorHAnsi"/>
          <w:b/>
          <w:bCs/>
          <w:sz w:val="20"/>
          <w:szCs w:val="20"/>
        </w:rPr>
        <w:t>CBMreading</w:t>
      </w:r>
      <w:proofErr w:type="spellEnd"/>
      <w:r w:rsidR="00EB26EC" w:rsidRPr="002F58A5">
        <w:rPr>
          <w:rFonts w:eastAsia="Times New Roman" w:cstheme="minorHAnsi"/>
          <w:b/>
          <w:bCs/>
          <w:sz w:val="20"/>
          <w:szCs w:val="20"/>
        </w:rPr>
        <w:t xml:space="preserve">, </w:t>
      </w:r>
      <w:proofErr w:type="spellStart"/>
      <w:r w:rsidR="00EB26EC" w:rsidRPr="002F58A5">
        <w:rPr>
          <w:rFonts w:eastAsia="Times New Roman" w:cstheme="minorHAnsi"/>
          <w:b/>
          <w:bCs/>
          <w:sz w:val="20"/>
          <w:szCs w:val="20"/>
        </w:rPr>
        <w:t>earlyReading</w:t>
      </w:r>
      <w:proofErr w:type="spellEnd"/>
      <w:r w:rsidR="00EB26EC" w:rsidRPr="002F58A5">
        <w:rPr>
          <w:rFonts w:eastAsia="Times New Roman" w:cstheme="minorHAnsi"/>
          <w:b/>
          <w:bCs/>
          <w:sz w:val="20"/>
          <w:szCs w:val="20"/>
        </w:rPr>
        <w:t>)</w:t>
      </w:r>
    </w:p>
    <w:p w14:paraId="5AE53477" w14:textId="77777777" w:rsidR="00EB26EC" w:rsidRDefault="00EB26EC" w:rsidP="00EB26EC">
      <w:pPr>
        <w:pStyle w:val="ListParagraph"/>
        <w:numPr>
          <w:ilvl w:val="0"/>
          <w:numId w:val="21"/>
        </w:numPr>
        <w:spacing w:after="0" w:line="240" w:lineRule="auto"/>
        <w:rPr>
          <w:rFonts w:eastAsia="Times New Roman" w:cstheme="minorHAnsi"/>
          <w:b/>
          <w:bCs/>
        </w:rPr>
      </w:pPr>
      <w:proofErr w:type="spellStart"/>
      <w:r w:rsidRPr="002F58A5">
        <w:rPr>
          <w:rFonts w:eastAsia="Times New Roman" w:cstheme="minorHAnsi"/>
          <w:b/>
          <w:bCs/>
        </w:rPr>
        <w:t>Istation</w:t>
      </w:r>
      <w:proofErr w:type="spellEnd"/>
      <w:r w:rsidRPr="002F58A5">
        <w:rPr>
          <w:rFonts w:eastAsia="Times New Roman" w:cstheme="minorHAnsi"/>
          <w:b/>
          <w:bCs/>
        </w:rPr>
        <w:t xml:space="preserve"> Indicators of Progress (ISIP)</w:t>
      </w:r>
    </w:p>
    <w:p w14:paraId="261AAAF9" w14:textId="77777777" w:rsidR="00EB26EC" w:rsidRDefault="00EB26EC" w:rsidP="00EB26EC">
      <w:pPr>
        <w:pStyle w:val="ListParagraph"/>
        <w:numPr>
          <w:ilvl w:val="0"/>
          <w:numId w:val="21"/>
        </w:numPr>
        <w:spacing w:after="0" w:line="240" w:lineRule="auto"/>
        <w:rPr>
          <w:rFonts w:eastAsia="Times New Roman" w:cstheme="minorHAnsi"/>
          <w:b/>
          <w:bCs/>
        </w:rPr>
      </w:pPr>
      <w:proofErr w:type="spellStart"/>
      <w:r w:rsidRPr="002F58A5">
        <w:rPr>
          <w:rFonts w:eastAsia="Times New Roman" w:cstheme="minorHAnsi"/>
          <w:b/>
          <w:bCs/>
        </w:rPr>
        <w:t>iSTEEP</w:t>
      </w:r>
      <w:proofErr w:type="spellEnd"/>
    </w:p>
    <w:p w14:paraId="681DE1F4" w14:textId="77777777" w:rsidR="00EB26EC" w:rsidRDefault="00EB26EC" w:rsidP="00EB26EC">
      <w:pPr>
        <w:pStyle w:val="ListParagraph"/>
        <w:numPr>
          <w:ilvl w:val="0"/>
          <w:numId w:val="21"/>
        </w:numPr>
        <w:spacing w:after="0" w:line="240" w:lineRule="auto"/>
        <w:rPr>
          <w:rFonts w:eastAsia="Times New Roman" w:cstheme="minorHAnsi"/>
          <w:b/>
          <w:bCs/>
        </w:rPr>
      </w:pPr>
      <w:r w:rsidRPr="002F58A5">
        <w:rPr>
          <w:rFonts w:eastAsia="Times New Roman" w:cstheme="minorHAnsi"/>
          <w:b/>
          <w:bCs/>
        </w:rPr>
        <w:t>Lexia RAPID</w:t>
      </w:r>
    </w:p>
    <w:p w14:paraId="5D724320" w14:textId="77777777" w:rsidR="00EB26EC" w:rsidRDefault="00EB26EC" w:rsidP="00EB26EC">
      <w:pPr>
        <w:pStyle w:val="ListParagraph"/>
        <w:numPr>
          <w:ilvl w:val="0"/>
          <w:numId w:val="21"/>
        </w:numPr>
        <w:spacing w:after="0" w:line="240" w:lineRule="auto"/>
        <w:rPr>
          <w:rFonts w:eastAsia="Times New Roman" w:cstheme="minorHAnsi"/>
          <w:b/>
          <w:bCs/>
        </w:rPr>
      </w:pPr>
      <w:r w:rsidRPr="002F58A5">
        <w:rPr>
          <w:rFonts w:eastAsia="Times New Roman" w:cstheme="minorHAnsi"/>
          <w:b/>
          <w:bCs/>
        </w:rPr>
        <w:t>NWEA MAP Growth</w:t>
      </w:r>
    </w:p>
    <w:p w14:paraId="03861BA3" w14:textId="633B4F95" w:rsidR="00EB26EC" w:rsidRPr="002F58A5" w:rsidRDefault="00EB26EC" w:rsidP="00EB26EC">
      <w:pPr>
        <w:pStyle w:val="ListParagraph"/>
        <w:numPr>
          <w:ilvl w:val="0"/>
          <w:numId w:val="21"/>
        </w:numPr>
        <w:spacing w:after="0" w:line="240" w:lineRule="auto"/>
        <w:rPr>
          <w:rFonts w:eastAsia="Times New Roman" w:cstheme="minorHAnsi"/>
          <w:b/>
          <w:bCs/>
          <w:sz w:val="20"/>
          <w:szCs w:val="20"/>
        </w:rPr>
      </w:pPr>
      <w:r w:rsidRPr="002F58A5">
        <w:rPr>
          <w:rFonts w:eastAsia="Times New Roman" w:cstheme="minorHAnsi"/>
          <w:b/>
          <w:bCs/>
        </w:rPr>
        <w:t xml:space="preserve">Renaissance STAR </w:t>
      </w:r>
      <w:r w:rsidR="00595EB4">
        <w:rPr>
          <w:rFonts w:eastAsia="Times New Roman" w:cstheme="minorHAnsi"/>
          <w:b/>
          <w:bCs/>
        </w:rPr>
        <w:t xml:space="preserve">Reading </w:t>
      </w:r>
      <w:r w:rsidRPr="002F58A5">
        <w:rPr>
          <w:rFonts w:eastAsia="Times New Roman" w:cstheme="minorHAnsi"/>
          <w:b/>
          <w:bCs/>
          <w:sz w:val="20"/>
          <w:szCs w:val="20"/>
        </w:rPr>
        <w:t>(package includes:  STAR Early Literacy, STAR Reading and STAR CBMs)</w:t>
      </w:r>
    </w:p>
    <w:p w14:paraId="4ADEFD1A" w14:textId="5770CEE3" w:rsidR="00EB26EC" w:rsidRDefault="00EB26EC" w:rsidP="00EB26EC">
      <w:pPr>
        <w:pStyle w:val="ListParagraph"/>
        <w:numPr>
          <w:ilvl w:val="0"/>
          <w:numId w:val="21"/>
        </w:numPr>
        <w:spacing w:after="0" w:line="240" w:lineRule="auto"/>
        <w:rPr>
          <w:rFonts w:eastAsia="Times New Roman" w:cstheme="minorHAnsi"/>
          <w:b/>
          <w:bCs/>
        </w:rPr>
      </w:pPr>
      <w:r w:rsidRPr="002F58A5">
        <w:rPr>
          <w:rFonts w:eastAsia="Times New Roman" w:cstheme="minorHAnsi"/>
          <w:b/>
          <w:bCs/>
        </w:rPr>
        <w:t>University of Oregon DIBELS 8</w:t>
      </w:r>
      <w:r w:rsidRPr="002F58A5">
        <w:rPr>
          <w:rFonts w:eastAsia="Times New Roman" w:cstheme="minorHAnsi"/>
          <w:b/>
          <w:bCs/>
          <w:vertAlign w:val="superscript"/>
        </w:rPr>
        <w:t>th</w:t>
      </w:r>
      <w:r w:rsidRPr="002F58A5">
        <w:rPr>
          <w:rFonts w:eastAsia="Times New Roman" w:cstheme="minorHAnsi"/>
          <w:b/>
          <w:bCs/>
        </w:rPr>
        <w:t xml:space="preserve"> Edition</w:t>
      </w:r>
    </w:p>
    <w:p w14:paraId="1DBDCFBB" w14:textId="6697666F" w:rsidR="00595EB4" w:rsidRPr="002F58A5" w:rsidRDefault="00595EB4" w:rsidP="00EB26EC">
      <w:pPr>
        <w:pStyle w:val="ListParagraph"/>
        <w:numPr>
          <w:ilvl w:val="0"/>
          <w:numId w:val="21"/>
        </w:numPr>
        <w:spacing w:after="0" w:line="240" w:lineRule="auto"/>
        <w:rPr>
          <w:rFonts w:eastAsia="Times New Roman" w:cstheme="minorHAnsi"/>
          <w:b/>
          <w:bCs/>
        </w:rPr>
      </w:pPr>
      <w:r>
        <w:rPr>
          <w:rFonts w:eastAsia="Times New Roman" w:cstheme="minorHAnsi"/>
          <w:b/>
          <w:bCs/>
        </w:rPr>
        <w:t xml:space="preserve">Voyager </w:t>
      </w:r>
      <w:proofErr w:type="spellStart"/>
      <w:r>
        <w:rPr>
          <w:rFonts w:eastAsia="Times New Roman" w:cstheme="minorHAnsi"/>
          <w:b/>
          <w:bCs/>
        </w:rPr>
        <w:t>Sopris</w:t>
      </w:r>
      <w:proofErr w:type="spellEnd"/>
      <w:r>
        <w:rPr>
          <w:rFonts w:eastAsia="Times New Roman" w:cstheme="minorHAnsi"/>
          <w:b/>
          <w:bCs/>
        </w:rPr>
        <w:t xml:space="preserve"> Learning </w:t>
      </w:r>
      <w:proofErr w:type="spellStart"/>
      <w:r>
        <w:rPr>
          <w:rFonts w:eastAsia="Times New Roman" w:cstheme="minorHAnsi"/>
          <w:b/>
          <w:bCs/>
        </w:rPr>
        <w:t>Acadience</w:t>
      </w:r>
      <w:proofErr w:type="spellEnd"/>
      <w:r>
        <w:rPr>
          <w:rFonts w:eastAsia="Times New Roman" w:cstheme="minorHAnsi"/>
          <w:b/>
          <w:bCs/>
        </w:rPr>
        <w:t xml:space="preserve"> Reading</w:t>
      </w:r>
    </w:p>
    <w:p w14:paraId="67A0B3D2" w14:textId="7F03C71F" w:rsidR="00EB26EC" w:rsidRDefault="00595EB4" w:rsidP="00EB26EC">
      <w:pPr>
        <w:spacing w:before="100" w:beforeAutospacing="1" w:after="100" w:afterAutospacing="1" w:line="240" w:lineRule="auto"/>
        <w:rPr>
          <w:rFonts w:eastAsia="Times New Roman" w:cstheme="minorHAnsi"/>
          <w:i/>
          <w:iCs/>
        </w:rPr>
      </w:pPr>
      <w:r>
        <w:rPr>
          <w:rFonts w:eastAsia="Times New Roman" w:cstheme="minorHAnsi"/>
          <w:i/>
          <w:iCs/>
        </w:rPr>
        <w:t>Note: the list above may not be</w:t>
      </w:r>
      <w:r w:rsidR="00EB26EC" w:rsidRPr="006F2EEE">
        <w:rPr>
          <w:rFonts w:eastAsia="Times New Roman" w:cstheme="minorHAnsi"/>
          <w:i/>
          <w:iCs/>
        </w:rPr>
        <w:t xml:space="preserve"> exhaustive </w:t>
      </w:r>
      <w:r>
        <w:rPr>
          <w:rFonts w:eastAsia="Times New Roman" w:cstheme="minorHAnsi"/>
          <w:i/>
          <w:iCs/>
        </w:rPr>
        <w:t>of all assessments that meet the criteria. DESE can only review proposals that are submitted by assessment publishers</w:t>
      </w:r>
      <w:r w:rsidR="00EB26EC" w:rsidRPr="006F2EEE">
        <w:rPr>
          <w:rFonts w:eastAsia="Times New Roman" w:cstheme="minorHAnsi"/>
          <w:i/>
          <w:iCs/>
        </w:rPr>
        <w:t xml:space="preserve">. </w:t>
      </w:r>
      <w:r w:rsidR="00EB26EC">
        <w:rPr>
          <w:rFonts w:eastAsia="Times New Roman" w:cstheme="minorHAnsi"/>
          <w:i/>
          <w:iCs/>
        </w:rPr>
        <w:t xml:space="preserve">DESE will continue </w:t>
      </w:r>
      <w:r w:rsidR="00EB26EC" w:rsidRPr="006F2EEE">
        <w:rPr>
          <w:rFonts w:eastAsia="Times New Roman" w:cstheme="minorHAnsi"/>
          <w:i/>
          <w:iCs/>
        </w:rPr>
        <w:t xml:space="preserve">to evaluate additional </w:t>
      </w:r>
      <w:r>
        <w:rPr>
          <w:rFonts w:eastAsia="Times New Roman" w:cstheme="minorHAnsi"/>
          <w:i/>
          <w:iCs/>
        </w:rPr>
        <w:t>assessments that are submitted</w:t>
      </w:r>
      <w:r w:rsidR="00EB26EC" w:rsidRPr="006F2EEE">
        <w:rPr>
          <w:rFonts w:eastAsia="Times New Roman" w:cstheme="minorHAnsi"/>
          <w:i/>
          <w:iCs/>
        </w:rPr>
        <w:t xml:space="preserve"> through December 2021.</w:t>
      </w:r>
    </w:p>
    <w:p w14:paraId="1B1F7647" w14:textId="77777777" w:rsidR="00EB26EC" w:rsidRPr="00346F4C" w:rsidRDefault="00EB26EC" w:rsidP="00EB26EC">
      <w:pPr>
        <w:pBdr>
          <w:top w:val="nil"/>
          <w:left w:val="nil"/>
          <w:bottom w:val="nil"/>
          <w:right w:val="nil"/>
          <w:between w:val="nil"/>
        </w:pBdr>
        <w:rPr>
          <w:b/>
          <w:bCs/>
          <w:color w:val="000000" w:themeColor="text1"/>
          <w:u w:val="single"/>
        </w:rPr>
      </w:pPr>
      <w:r w:rsidRPr="00346F4C">
        <w:rPr>
          <w:b/>
          <w:bCs/>
          <w:color w:val="000000" w:themeColor="text1"/>
          <w:u w:val="single"/>
        </w:rPr>
        <w:t>Early Literacy Screener Pilot Grant</w:t>
      </w:r>
    </w:p>
    <w:p w14:paraId="2109465B" w14:textId="378BAD5F" w:rsidR="00EB26EC" w:rsidRDefault="00EB26EC" w:rsidP="00EB26EC">
      <w:pPr>
        <w:pBdr>
          <w:top w:val="nil"/>
          <w:left w:val="nil"/>
          <w:bottom w:val="nil"/>
          <w:right w:val="nil"/>
          <w:between w:val="nil"/>
        </w:pBdr>
        <w:rPr>
          <w:color w:val="000000" w:themeColor="text1"/>
        </w:rPr>
      </w:pPr>
      <w:r w:rsidRPr="00A0698F">
        <w:rPr>
          <w:color w:val="000000" w:themeColor="text1"/>
        </w:rPr>
        <w:t xml:space="preserve">A state-funded </w:t>
      </w:r>
      <w:r w:rsidRPr="00BA0CA6">
        <w:rPr>
          <w:i/>
          <w:iCs/>
          <w:color w:val="000000" w:themeColor="text1"/>
        </w:rPr>
        <w:t>Early Literacy Screener Pilot</w:t>
      </w:r>
      <w:r w:rsidRPr="00A0698F">
        <w:rPr>
          <w:color w:val="000000" w:themeColor="text1"/>
        </w:rPr>
        <w:t xml:space="preserve"> </w:t>
      </w:r>
      <w:r>
        <w:rPr>
          <w:color w:val="000000" w:themeColor="text1"/>
        </w:rPr>
        <w:t>g</w:t>
      </w:r>
      <w:r w:rsidRPr="00A0698F">
        <w:rPr>
          <w:color w:val="000000" w:themeColor="text1"/>
        </w:rPr>
        <w:t xml:space="preserve">rant for school year </w:t>
      </w:r>
      <w:r>
        <w:rPr>
          <w:color w:val="000000" w:themeColor="text1"/>
        </w:rPr>
        <w:t>20</w:t>
      </w:r>
      <w:r w:rsidRPr="00A0698F">
        <w:rPr>
          <w:color w:val="000000" w:themeColor="text1"/>
        </w:rPr>
        <w:t>19</w:t>
      </w:r>
      <w:r>
        <w:rPr>
          <w:color w:val="000000" w:themeColor="text1"/>
        </w:rPr>
        <w:t>-</w:t>
      </w:r>
      <w:r w:rsidRPr="00A0698F">
        <w:rPr>
          <w:color w:val="000000" w:themeColor="text1"/>
        </w:rPr>
        <w:t>20</w:t>
      </w:r>
      <w:r>
        <w:rPr>
          <w:color w:val="000000" w:themeColor="text1"/>
        </w:rPr>
        <w:t xml:space="preserve"> </w:t>
      </w:r>
      <w:r w:rsidRPr="00A0698F">
        <w:rPr>
          <w:color w:val="000000" w:themeColor="text1"/>
        </w:rPr>
        <w:t xml:space="preserve">provided grant funding to a select number of schools to implement a high-quality </w:t>
      </w:r>
      <w:r>
        <w:rPr>
          <w:color w:val="000000" w:themeColor="text1"/>
        </w:rPr>
        <w:t>universal</w:t>
      </w:r>
      <w:r w:rsidRPr="00A0698F">
        <w:rPr>
          <w:color w:val="000000" w:themeColor="text1"/>
        </w:rPr>
        <w:t xml:space="preserve"> screening assessment with all students </w:t>
      </w:r>
      <w:r>
        <w:rPr>
          <w:color w:val="000000" w:themeColor="text1"/>
        </w:rPr>
        <w:t xml:space="preserve">in </w:t>
      </w:r>
      <w:r w:rsidRPr="00A0698F">
        <w:rPr>
          <w:color w:val="000000" w:themeColor="text1"/>
        </w:rPr>
        <w:t xml:space="preserve">grades </w:t>
      </w:r>
      <w:r>
        <w:rPr>
          <w:color w:val="000000" w:themeColor="text1"/>
        </w:rPr>
        <w:t>K</w:t>
      </w:r>
      <w:r w:rsidRPr="00A0698F">
        <w:rPr>
          <w:color w:val="000000" w:themeColor="text1"/>
        </w:rPr>
        <w:t xml:space="preserve">-2 and to provide feedback to DESE on the piloted assessments for future use. </w:t>
      </w:r>
      <w:r>
        <w:rPr>
          <w:color w:val="000000" w:themeColor="text1"/>
        </w:rPr>
        <w:t xml:space="preserve">Four assessments were piloted: </w:t>
      </w:r>
      <w:proofErr w:type="spellStart"/>
      <w:r>
        <w:rPr>
          <w:color w:val="000000" w:themeColor="text1"/>
        </w:rPr>
        <w:t>Istation</w:t>
      </w:r>
      <w:proofErr w:type="spellEnd"/>
      <w:r>
        <w:rPr>
          <w:color w:val="000000" w:themeColor="text1"/>
        </w:rPr>
        <w:t xml:space="preserve"> (ISIP), Lexia RAPID, NWEA MAP Growth, and Renaissance STAR Early Literacy.</w:t>
      </w:r>
      <w:r>
        <w:rPr>
          <w:rStyle w:val="FootnoteReference"/>
          <w:color w:val="000000" w:themeColor="text1"/>
        </w:rPr>
        <w:footnoteReference w:id="3"/>
      </w:r>
    </w:p>
    <w:p w14:paraId="7BDCCC40" w14:textId="47F89E65" w:rsidR="00EB26EC" w:rsidRDefault="00EB26EC" w:rsidP="00EB26EC">
      <w:pPr>
        <w:pBdr>
          <w:top w:val="nil"/>
          <w:left w:val="nil"/>
          <w:bottom w:val="nil"/>
          <w:right w:val="nil"/>
          <w:between w:val="nil"/>
        </w:pBdr>
        <w:rPr>
          <w:color w:val="000000" w:themeColor="text1"/>
        </w:rPr>
      </w:pPr>
      <w:r w:rsidRPr="00A0698F">
        <w:rPr>
          <w:color w:val="000000" w:themeColor="text1"/>
        </w:rPr>
        <w:t xml:space="preserve">Teachers in the </w:t>
      </w:r>
      <w:r w:rsidRPr="00BA0CA6">
        <w:rPr>
          <w:i/>
          <w:iCs/>
          <w:color w:val="000000" w:themeColor="text1"/>
        </w:rPr>
        <w:t>Early Literacy Screener Pilot</w:t>
      </w:r>
      <w:r w:rsidRPr="00A0698F">
        <w:rPr>
          <w:color w:val="000000" w:themeColor="text1"/>
        </w:rPr>
        <w:t xml:space="preserve"> </w:t>
      </w:r>
      <w:r>
        <w:rPr>
          <w:color w:val="000000" w:themeColor="text1"/>
        </w:rPr>
        <w:t>g</w:t>
      </w:r>
      <w:r w:rsidRPr="00A0698F">
        <w:rPr>
          <w:color w:val="000000" w:themeColor="text1"/>
        </w:rPr>
        <w:t xml:space="preserve">rant </w:t>
      </w:r>
      <w:r>
        <w:rPr>
          <w:color w:val="000000" w:themeColor="text1"/>
        </w:rPr>
        <w:t>shared</w:t>
      </w:r>
      <w:r w:rsidRPr="00A0698F">
        <w:rPr>
          <w:color w:val="000000" w:themeColor="text1"/>
        </w:rPr>
        <w:t xml:space="preserve"> their perspectives on the four </w:t>
      </w:r>
      <w:r>
        <w:rPr>
          <w:color w:val="000000" w:themeColor="text1"/>
        </w:rPr>
        <w:t xml:space="preserve">universal screening assessments </w:t>
      </w:r>
      <w:r w:rsidRPr="00A0698F">
        <w:rPr>
          <w:color w:val="000000" w:themeColor="text1"/>
        </w:rPr>
        <w:t xml:space="preserve">administered </w:t>
      </w:r>
      <w:r>
        <w:rPr>
          <w:color w:val="000000" w:themeColor="text1"/>
        </w:rPr>
        <w:t>(</w:t>
      </w:r>
      <w:proofErr w:type="spellStart"/>
      <w:r w:rsidRPr="00A0698F">
        <w:rPr>
          <w:color w:val="000000" w:themeColor="text1"/>
        </w:rPr>
        <w:t>Istation</w:t>
      </w:r>
      <w:proofErr w:type="spellEnd"/>
      <w:r w:rsidRPr="00A0698F">
        <w:rPr>
          <w:color w:val="000000" w:themeColor="text1"/>
        </w:rPr>
        <w:t xml:space="preserve"> (ISIP), Lexia RAPID, NWEA MAP Growth, </w:t>
      </w:r>
      <w:r>
        <w:rPr>
          <w:color w:val="000000" w:themeColor="text1"/>
        </w:rPr>
        <w:t xml:space="preserve">and </w:t>
      </w:r>
      <w:r w:rsidRPr="00A0698F">
        <w:rPr>
          <w:color w:val="000000" w:themeColor="text1"/>
        </w:rPr>
        <w:t>Renaissance STAR Early</w:t>
      </w:r>
      <w:r>
        <w:rPr>
          <w:color w:val="000000" w:themeColor="text1"/>
        </w:rPr>
        <w:t xml:space="preserve"> Literacy and Reading)</w:t>
      </w:r>
      <w:r w:rsidRPr="00A0698F">
        <w:rPr>
          <w:color w:val="000000" w:themeColor="text1"/>
        </w:rPr>
        <w:t xml:space="preserve">. </w:t>
      </w:r>
      <w:r>
        <w:rPr>
          <w:color w:val="000000" w:themeColor="text1"/>
        </w:rPr>
        <w:t xml:space="preserve">Teachers provided feedback on all aspects of the assessment, including ease of administration, assessment instructions, and the need for additional teacher support; vendor support specific to universal screening assessment administration and data analysis; and the usability and ease of accessing data reports. </w:t>
      </w:r>
      <w:r w:rsidRPr="00A0698F">
        <w:rPr>
          <w:color w:val="000000" w:themeColor="text1"/>
        </w:rPr>
        <w:t xml:space="preserve">For the pilot evaluation process and full </w:t>
      </w:r>
      <w:r>
        <w:rPr>
          <w:color w:val="000000" w:themeColor="text1"/>
        </w:rPr>
        <w:t xml:space="preserve">survey </w:t>
      </w:r>
      <w:r w:rsidRPr="00A0698F">
        <w:rPr>
          <w:color w:val="000000" w:themeColor="text1"/>
        </w:rPr>
        <w:t xml:space="preserve">data, see </w:t>
      </w:r>
      <w:r w:rsidRPr="00D6784C">
        <w:rPr>
          <w:i/>
          <w:iCs/>
          <w:color w:val="000000" w:themeColor="text1"/>
        </w:rPr>
        <w:t xml:space="preserve">Appendix </w:t>
      </w:r>
      <w:r w:rsidR="00595EB4">
        <w:rPr>
          <w:i/>
          <w:iCs/>
          <w:color w:val="000000" w:themeColor="text1"/>
        </w:rPr>
        <w:t>B</w:t>
      </w:r>
      <w:r w:rsidRPr="00A0698F">
        <w:rPr>
          <w:color w:val="000000" w:themeColor="text1"/>
        </w:rPr>
        <w:t>.</w:t>
      </w:r>
    </w:p>
    <w:p w14:paraId="6094A01F" w14:textId="77777777" w:rsidR="00EB26EC" w:rsidRDefault="00EB26EC" w:rsidP="00EB26EC">
      <w:pPr>
        <w:pBdr>
          <w:top w:val="nil"/>
          <w:left w:val="nil"/>
          <w:bottom w:val="nil"/>
          <w:right w:val="nil"/>
          <w:between w:val="nil"/>
        </w:pBdr>
        <w:rPr>
          <w:color w:val="000000" w:themeColor="text1"/>
        </w:rPr>
      </w:pPr>
      <w:r>
        <w:rPr>
          <w:color w:val="000000" w:themeColor="text1"/>
        </w:rPr>
        <w:t>The following assessments met the DESE criteria and performed well according to teacher and administrator feedback in the pilot:</w:t>
      </w:r>
    </w:p>
    <w:p w14:paraId="40CF9C41" w14:textId="77777777" w:rsidR="00EB26EC" w:rsidRDefault="00EB26EC" w:rsidP="00EB26EC">
      <w:pPr>
        <w:pStyle w:val="ListParagraph"/>
        <w:numPr>
          <w:ilvl w:val="0"/>
          <w:numId w:val="3"/>
        </w:numPr>
        <w:pBdr>
          <w:top w:val="nil"/>
          <w:left w:val="nil"/>
          <w:bottom w:val="nil"/>
          <w:right w:val="nil"/>
          <w:between w:val="nil"/>
        </w:pBdr>
        <w:rPr>
          <w:color w:val="000000" w:themeColor="text1"/>
        </w:rPr>
      </w:pPr>
      <w:proofErr w:type="spellStart"/>
      <w:r>
        <w:rPr>
          <w:color w:val="000000" w:themeColor="text1"/>
        </w:rPr>
        <w:t>Istation</w:t>
      </w:r>
      <w:proofErr w:type="spellEnd"/>
      <w:r>
        <w:rPr>
          <w:color w:val="000000" w:themeColor="text1"/>
        </w:rPr>
        <w:t xml:space="preserve"> (ISIP)</w:t>
      </w:r>
    </w:p>
    <w:p w14:paraId="77AA3F07" w14:textId="77777777" w:rsidR="00EB26EC" w:rsidRDefault="00EB26EC" w:rsidP="00EB26EC">
      <w:pPr>
        <w:pStyle w:val="ListParagraph"/>
        <w:numPr>
          <w:ilvl w:val="0"/>
          <w:numId w:val="3"/>
        </w:numPr>
        <w:pBdr>
          <w:top w:val="nil"/>
          <w:left w:val="nil"/>
          <w:bottom w:val="nil"/>
          <w:right w:val="nil"/>
          <w:between w:val="nil"/>
        </w:pBdr>
        <w:rPr>
          <w:color w:val="000000" w:themeColor="text1"/>
        </w:rPr>
      </w:pPr>
      <w:r>
        <w:rPr>
          <w:color w:val="000000" w:themeColor="text1"/>
        </w:rPr>
        <w:t>Lexia RAPID</w:t>
      </w:r>
    </w:p>
    <w:p w14:paraId="5940F271" w14:textId="77777777" w:rsidR="00EB26EC" w:rsidRPr="0029671B" w:rsidRDefault="00EB26EC" w:rsidP="00EB26EC">
      <w:pPr>
        <w:pStyle w:val="ListParagraph"/>
        <w:numPr>
          <w:ilvl w:val="0"/>
          <w:numId w:val="3"/>
        </w:numPr>
        <w:pBdr>
          <w:top w:val="nil"/>
          <w:left w:val="nil"/>
          <w:bottom w:val="nil"/>
          <w:right w:val="nil"/>
          <w:between w:val="nil"/>
        </w:pBdr>
        <w:rPr>
          <w:color w:val="000000" w:themeColor="text1"/>
        </w:rPr>
      </w:pPr>
      <w:r w:rsidRPr="0029671B">
        <w:rPr>
          <w:color w:val="000000" w:themeColor="text1"/>
        </w:rPr>
        <w:t>Renaissance STAR Early Literacy</w:t>
      </w:r>
      <w:r>
        <w:rPr>
          <w:color w:val="000000" w:themeColor="text1"/>
        </w:rPr>
        <w:t xml:space="preserve"> and Reading</w:t>
      </w:r>
    </w:p>
    <w:p w14:paraId="2BA1BF7B" w14:textId="77777777" w:rsidR="00EB26EC" w:rsidRDefault="00EB26EC" w:rsidP="00EB26EC">
      <w:pPr>
        <w:rPr>
          <w:b/>
          <w:color w:val="000000" w:themeColor="text1"/>
          <w:u w:val="single"/>
        </w:rPr>
      </w:pPr>
      <w:r>
        <w:rPr>
          <w:b/>
          <w:color w:val="000000" w:themeColor="text1"/>
          <w:u w:val="single"/>
        </w:rPr>
        <w:br w:type="page"/>
      </w:r>
    </w:p>
    <w:p w14:paraId="773B90C5" w14:textId="77777777" w:rsidR="00EB26EC" w:rsidRDefault="00EB26EC" w:rsidP="00EB26EC">
      <w:pPr>
        <w:rPr>
          <w:b/>
          <w:color w:val="000000" w:themeColor="text1"/>
          <w:u w:val="single"/>
        </w:rPr>
      </w:pPr>
      <w:r>
        <w:rPr>
          <w:b/>
          <w:color w:val="000000" w:themeColor="text1"/>
          <w:u w:val="single"/>
        </w:rPr>
        <w:lastRenderedPageBreak/>
        <w:t xml:space="preserve">Additional Considerations </w:t>
      </w:r>
    </w:p>
    <w:p w14:paraId="432DD385" w14:textId="77777777" w:rsidR="00EB26EC" w:rsidRPr="00A0698F" w:rsidRDefault="00EB26EC" w:rsidP="00EB26EC">
      <w:pPr>
        <w:rPr>
          <w:rFonts w:eastAsia="Times New Roman" w:cstheme="minorHAnsi"/>
          <w:color w:val="000000" w:themeColor="text1"/>
        </w:rPr>
      </w:pPr>
      <w:r w:rsidRPr="00A0698F">
        <w:rPr>
          <w:rFonts w:eastAsia="Times New Roman" w:cstheme="minorHAnsi"/>
          <w:color w:val="000000" w:themeColor="text1"/>
        </w:rPr>
        <w:t xml:space="preserve">All approved </w:t>
      </w:r>
      <w:r>
        <w:rPr>
          <w:rFonts w:eastAsia="Times New Roman" w:cstheme="minorHAnsi"/>
          <w:color w:val="000000" w:themeColor="text1"/>
        </w:rPr>
        <w:t xml:space="preserve">universal screening assessments </w:t>
      </w:r>
      <w:r w:rsidRPr="00A0698F">
        <w:rPr>
          <w:rFonts w:eastAsia="Times New Roman" w:cstheme="minorHAnsi"/>
          <w:color w:val="000000" w:themeColor="text1"/>
        </w:rPr>
        <w:t xml:space="preserve">are reliable and valid and met </w:t>
      </w:r>
      <w:r>
        <w:rPr>
          <w:rFonts w:eastAsia="Times New Roman" w:cstheme="minorHAnsi"/>
          <w:color w:val="000000" w:themeColor="text1"/>
        </w:rPr>
        <w:t>DESE’s</w:t>
      </w:r>
      <w:r w:rsidRPr="00A0698F">
        <w:rPr>
          <w:rFonts w:eastAsia="Times New Roman" w:cstheme="minorHAnsi"/>
          <w:color w:val="000000" w:themeColor="text1"/>
        </w:rPr>
        <w:t xml:space="preserve"> initial criteria of </w:t>
      </w:r>
      <w:r>
        <w:rPr>
          <w:rFonts w:eastAsia="Times New Roman" w:cstheme="minorHAnsi"/>
          <w:color w:val="000000" w:themeColor="text1"/>
        </w:rPr>
        <w:t>being brief (under</w:t>
      </w:r>
      <w:r w:rsidRPr="00A0698F">
        <w:rPr>
          <w:rFonts w:eastAsia="Times New Roman" w:cstheme="minorHAnsi"/>
          <w:color w:val="000000" w:themeColor="text1"/>
        </w:rPr>
        <w:t xml:space="preserve"> 60 minutes</w:t>
      </w:r>
      <w:r>
        <w:rPr>
          <w:rFonts w:eastAsia="Times New Roman" w:cstheme="minorHAnsi"/>
          <w:color w:val="000000" w:themeColor="text1"/>
        </w:rPr>
        <w:t>)</w:t>
      </w:r>
      <w:r w:rsidRPr="00A0698F">
        <w:rPr>
          <w:rFonts w:eastAsia="Times New Roman" w:cstheme="minorHAnsi"/>
          <w:color w:val="000000" w:themeColor="text1"/>
        </w:rPr>
        <w:t xml:space="preserve">.  Although there is not a defined brief </w:t>
      </w:r>
      <w:r>
        <w:rPr>
          <w:rFonts w:eastAsia="Times New Roman" w:cstheme="minorHAnsi"/>
          <w:color w:val="000000" w:themeColor="text1"/>
        </w:rPr>
        <w:t xml:space="preserve">universal </w:t>
      </w:r>
      <w:r w:rsidRPr="00A0698F">
        <w:rPr>
          <w:rFonts w:eastAsia="Times New Roman" w:cstheme="minorHAnsi"/>
          <w:color w:val="000000" w:themeColor="text1"/>
        </w:rPr>
        <w:t>screening administration time, feedback from</w:t>
      </w:r>
      <w:r>
        <w:rPr>
          <w:rFonts w:eastAsia="Times New Roman" w:cstheme="minorHAnsi"/>
          <w:color w:val="000000" w:themeColor="text1"/>
        </w:rPr>
        <w:t xml:space="preserve"> </w:t>
      </w:r>
      <w:r w:rsidRPr="00A0698F">
        <w:rPr>
          <w:rFonts w:eastAsia="Times New Roman" w:cstheme="minorHAnsi"/>
          <w:color w:val="000000" w:themeColor="text1"/>
        </w:rPr>
        <w:t>participants indicates that the ideal administration time is between 15 and 30 minutes.  Some approved</w:t>
      </w:r>
      <w:r>
        <w:rPr>
          <w:rFonts w:eastAsia="Times New Roman" w:cstheme="minorHAnsi"/>
          <w:color w:val="000000" w:themeColor="text1"/>
        </w:rPr>
        <w:t xml:space="preserve"> universal screening assessments</w:t>
      </w:r>
      <w:r w:rsidRPr="00A0698F">
        <w:rPr>
          <w:rFonts w:eastAsia="Times New Roman" w:cstheme="minorHAnsi"/>
          <w:color w:val="000000" w:themeColor="text1"/>
        </w:rPr>
        <w:t xml:space="preserve"> </w:t>
      </w:r>
      <w:r>
        <w:rPr>
          <w:rFonts w:eastAsia="Times New Roman" w:cstheme="minorHAnsi"/>
          <w:color w:val="000000" w:themeColor="text1"/>
        </w:rPr>
        <w:t xml:space="preserve">also include </w:t>
      </w:r>
      <w:r w:rsidRPr="00A0698F">
        <w:rPr>
          <w:rFonts w:eastAsia="Times New Roman" w:cstheme="minorHAnsi"/>
          <w:color w:val="000000" w:themeColor="text1"/>
        </w:rPr>
        <w:t>short-term progress monitoring</w:t>
      </w:r>
      <w:r>
        <w:rPr>
          <w:rFonts w:eastAsia="Times New Roman" w:cstheme="minorHAnsi"/>
          <w:color w:val="000000" w:themeColor="text1"/>
        </w:rPr>
        <w:t xml:space="preserve"> tools</w:t>
      </w:r>
      <w:r w:rsidRPr="00A0698F">
        <w:rPr>
          <w:rFonts w:eastAsia="Times New Roman" w:cstheme="minorHAnsi"/>
          <w:color w:val="000000" w:themeColor="text1"/>
        </w:rPr>
        <w:t xml:space="preserve">.  </w:t>
      </w:r>
    </w:p>
    <w:tbl>
      <w:tblPr>
        <w:tblStyle w:val="TableGrid"/>
        <w:tblW w:w="9967" w:type="dxa"/>
        <w:jc w:val="center"/>
        <w:tblLook w:val="04A0" w:firstRow="1" w:lastRow="0" w:firstColumn="1" w:lastColumn="0" w:noHBand="0" w:noVBand="1"/>
      </w:tblPr>
      <w:tblGrid>
        <w:gridCol w:w="1327"/>
        <w:gridCol w:w="720"/>
        <w:gridCol w:w="720"/>
        <w:gridCol w:w="720"/>
        <w:gridCol w:w="720"/>
        <w:gridCol w:w="720"/>
        <w:gridCol w:w="720"/>
        <w:gridCol w:w="720"/>
        <w:gridCol w:w="720"/>
        <w:gridCol w:w="720"/>
        <w:gridCol w:w="720"/>
        <w:gridCol w:w="720"/>
        <w:gridCol w:w="720"/>
      </w:tblGrid>
      <w:tr w:rsidR="00EB26EC" w14:paraId="1B74A827" w14:textId="77777777" w:rsidTr="0085405C">
        <w:trPr>
          <w:cantSplit/>
          <w:trHeight w:val="1728"/>
          <w:jc w:val="center"/>
        </w:trPr>
        <w:tc>
          <w:tcPr>
            <w:tcW w:w="1327" w:type="dxa"/>
          </w:tcPr>
          <w:p w14:paraId="50187C31" w14:textId="77777777" w:rsidR="00EB26EC" w:rsidRPr="006F2EEE" w:rsidRDefault="00EB26EC" w:rsidP="0085405C">
            <w:pPr>
              <w:rPr>
                <w:rFonts w:cstheme="minorHAnsi"/>
                <w:sz w:val="18"/>
                <w:szCs w:val="18"/>
              </w:rPr>
            </w:pPr>
          </w:p>
        </w:tc>
        <w:tc>
          <w:tcPr>
            <w:tcW w:w="720" w:type="dxa"/>
            <w:textDirection w:val="btLr"/>
          </w:tcPr>
          <w:p w14:paraId="56614CB3" w14:textId="77777777" w:rsidR="00EB26EC" w:rsidRPr="006F2EEE" w:rsidRDefault="00EB26EC" w:rsidP="0085405C">
            <w:pPr>
              <w:ind w:left="113" w:right="113"/>
              <w:jc w:val="center"/>
              <w:rPr>
                <w:rFonts w:cstheme="minorHAnsi"/>
                <w:b/>
                <w:bCs/>
                <w:sz w:val="18"/>
                <w:szCs w:val="18"/>
              </w:rPr>
            </w:pPr>
            <w:r w:rsidRPr="006F2EEE">
              <w:rPr>
                <w:rFonts w:cstheme="minorHAnsi"/>
                <w:b/>
                <w:bCs/>
                <w:sz w:val="18"/>
                <w:szCs w:val="18"/>
              </w:rPr>
              <w:t>Amplify</w:t>
            </w:r>
            <w:r>
              <w:rPr>
                <w:rFonts w:cstheme="minorHAnsi"/>
                <w:b/>
                <w:bCs/>
                <w:sz w:val="18"/>
                <w:szCs w:val="18"/>
              </w:rPr>
              <w:t xml:space="preserve"> </w:t>
            </w:r>
            <w:proofErr w:type="spellStart"/>
            <w:r>
              <w:rPr>
                <w:rFonts w:cstheme="minorHAnsi"/>
                <w:b/>
                <w:bCs/>
                <w:sz w:val="18"/>
                <w:szCs w:val="18"/>
              </w:rPr>
              <w:t>mCLASS</w:t>
            </w:r>
            <w:proofErr w:type="spellEnd"/>
          </w:p>
          <w:p w14:paraId="6DC85441" w14:textId="77777777" w:rsidR="00EB26EC" w:rsidRPr="006F2EEE" w:rsidRDefault="00EB26EC" w:rsidP="0085405C">
            <w:pPr>
              <w:ind w:left="113" w:right="113"/>
              <w:jc w:val="center"/>
              <w:rPr>
                <w:rFonts w:cstheme="minorHAnsi"/>
                <w:b/>
                <w:bCs/>
                <w:sz w:val="18"/>
                <w:szCs w:val="18"/>
              </w:rPr>
            </w:pPr>
          </w:p>
        </w:tc>
        <w:tc>
          <w:tcPr>
            <w:tcW w:w="720" w:type="dxa"/>
            <w:textDirection w:val="btLr"/>
          </w:tcPr>
          <w:p w14:paraId="39552AAA" w14:textId="77777777" w:rsidR="00EB26EC" w:rsidRPr="006F2EEE" w:rsidRDefault="00EB26EC" w:rsidP="0085405C">
            <w:pPr>
              <w:ind w:left="113" w:right="113"/>
              <w:jc w:val="center"/>
              <w:rPr>
                <w:rFonts w:cstheme="minorHAnsi"/>
                <w:b/>
                <w:bCs/>
                <w:sz w:val="18"/>
                <w:szCs w:val="18"/>
              </w:rPr>
            </w:pPr>
            <w:r>
              <w:rPr>
                <w:rFonts w:cstheme="minorHAnsi"/>
                <w:b/>
                <w:bCs/>
                <w:sz w:val="18"/>
                <w:szCs w:val="18"/>
              </w:rPr>
              <w:t>DIBELS 8</w:t>
            </w:r>
            <w:r w:rsidRPr="00496530">
              <w:rPr>
                <w:rFonts w:cstheme="minorHAnsi"/>
                <w:b/>
                <w:bCs/>
                <w:sz w:val="18"/>
                <w:szCs w:val="18"/>
                <w:vertAlign w:val="superscript"/>
              </w:rPr>
              <w:t>th</w:t>
            </w:r>
            <w:r>
              <w:rPr>
                <w:rFonts w:cstheme="minorHAnsi"/>
                <w:b/>
                <w:bCs/>
                <w:sz w:val="18"/>
                <w:szCs w:val="18"/>
              </w:rPr>
              <w:t xml:space="preserve"> Edition</w:t>
            </w:r>
          </w:p>
        </w:tc>
        <w:tc>
          <w:tcPr>
            <w:tcW w:w="720" w:type="dxa"/>
            <w:shd w:val="clear" w:color="auto" w:fill="E2EFD9" w:themeFill="accent6" w:themeFillTint="33"/>
            <w:textDirection w:val="btLr"/>
          </w:tcPr>
          <w:p w14:paraId="135288B6" w14:textId="77777777" w:rsidR="00EB26EC" w:rsidRDefault="00EB26EC" w:rsidP="0085405C">
            <w:pPr>
              <w:ind w:left="113" w:right="113"/>
              <w:jc w:val="center"/>
              <w:rPr>
                <w:rFonts w:cstheme="minorHAnsi"/>
                <w:b/>
                <w:bCs/>
                <w:sz w:val="18"/>
                <w:szCs w:val="18"/>
              </w:rPr>
            </w:pPr>
            <w:proofErr w:type="spellStart"/>
            <w:r w:rsidRPr="006F2EEE">
              <w:rPr>
                <w:rFonts w:cstheme="minorHAnsi"/>
                <w:b/>
                <w:bCs/>
                <w:sz w:val="18"/>
                <w:szCs w:val="18"/>
              </w:rPr>
              <w:t>F</w:t>
            </w:r>
            <w:r>
              <w:rPr>
                <w:rFonts w:cstheme="minorHAnsi"/>
                <w:b/>
                <w:bCs/>
                <w:sz w:val="18"/>
                <w:szCs w:val="18"/>
              </w:rPr>
              <w:t>astBridge</w:t>
            </w:r>
            <w:proofErr w:type="spellEnd"/>
          </w:p>
          <w:p w14:paraId="6053767F" w14:textId="77777777" w:rsidR="00EB26EC" w:rsidRPr="006F2EEE" w:rsidRDefault="00EB26EC" w:rsidP="0085405C">
            <w:pPr>
              <w:ind w:left="113" w:right="113"/>
              <w:jc w:val="center"/>
              <w:rPr>
                <w:rFonts w:cstheme="minorHAnsi"/>
                <w:b/>
                <w:bCs/>
                <w:sz w:val="18"/>
                <w:szCs w:val="18"/>
              </w:rPr>
            </w:pPr>
            <w:r>
              <w:rPr>
                <w:rFonts w:cstheme="minorHAnsi"/>
                <w:b/>
                <w:bCs/>
                <w:sz w:val="18"/>
                <w:szCs w:val="18"/>
              </w:rPr>
              <w:t xml:space="preserve"> </w:t>
            </w:r>
            <w:proofErr w:type="spellStart"/>
            <w:r>
              <w:rPr>
                <w:rFonts w:cstheme="minorHAnsi"/>
                <w:b/>
                <w:bCs/>
                <w:sz w:val="18"/>
                <w:szCs w:val="18"/>
              </w:rPr>
              <w:t>earlyReading</w:t>
            </w:r>
            <w:proofErr w:type="spellEnd"/>
          </w:p>
          <w:p w14:paraId="7CF5D1CE" w14:textId="77777777" w:rsidR="00EB26EC" w:rsidRPr="006F2EEE" w:rsidRDefault="00EB26EC" w:rsidP="0085405C">
            <w:pPr>
              <w:ind w:left="113" w:right="113"/>
              <w:jc w:val="center"/>
              <w:rPr>
                <w:rFonts w:cstheme="minorHAnsi"/>
                <w:b/>
                <w:bCs/>
                <w:sz w:val="18"/>
                <w:szCs w:val="18"/>
              </w:rPr>
            </w:pPr>
          </w:p>
        </w:tc>
        <w:tc>
          <w:tcPr>
            <w:tcW w:w="720" w:type="dxa"/>
            <w:shd w:val="clear" w:color="auto" w:fill="E2EFD9" w:themeFill="accent6" w:themeFillTint="33"/>
            <w:textDirection w:val="btLr"/>
          </w:tcPr>
          <w:p w14:paraId="7D7ECCB6" w14:textId="77777777" w:rsidR="00EB26EC" w:rsidRPr="006F2EEE" w:rsidRDefault="00EB26EC" w:rsidP="0085405C">
            <w:pPr>
              <w:ind w:left="113" w:right="113"/>
              <w:jc w:val="center"/>
              <w:rPr>
                <w:rFonts w:cstheme="minorHAnsi"/>
                <w:b/>
                <w:bCs/>
                <w:sz w:val="18"/>
                <w:szCs w:val="18"/>
              </w:rPr>
            </w:pPr>
            <w:proofErr w:type="spellStart"/>
            <w:r w:rsidRPr="006F2EEE">
              <w:rPr>
                <w:rFonts w:cstheme="minorHAnsi"/>
                <w:b/>
                <w:bCs/>
                <w:sz w:val="18"/>
                <w:szCs w:val="18"/>
              </w:rPr>
              <w:t>F</w:t>
            </w:r>
            <w:r>
              <w:rPr>
                <w:rFonts w:cstheme="minorHAnsi"/>
                <w:b/>
                <w:bCs/>
                <w:sz w:val="18"/>
                <w:szCs w:val="18"/>
              </w:rPr>
              <w:t>astBridge</w:t>
            </w:r>
            <w:proofErr w:type="spellEnd"/>
            <w:r>
              <w:rPr>
                <w:rFonts w:cstheme="minorHAnsi"/>
                <w:b/>
                <w:bCs/>
                <w:sz w:val="18"/>
                <w:szCs w:val="18"/>
              </w:rPr>
              <w:t xml:space="preserve"> Adaptive Reading</w:t>
            </w:r>
          </w:p>
          <w:p w14:paraId="04804C25" w14:textId="77777777" w:rsidR="00EB26EC" w:rsidRPr="006F2EEE" w:rsidRDefault="00EB26EC" w:rsidP="0085405C">
            <w:pPr>
              <w:ind w:left="113" w:right="113"/>
              <w:rPr>
                <w:rFonts w:cstheme="minorHAnsi"/>
                <w:b/>
                <w:bCs/>
                <w:sz w:val="18"/>
                <w:szCs w:val="18"/>
              </w:rPr>
            </w:pPr>
          </w:p>
        </w:tc>
        <w:tc>
          <w:tcPr>
            <w:tcW w:w="720" w:type="dxa"/>
            <w:shd w:val="clear" w:color="auto" w:fill="E2EFD9" w:themeFill="accent6" w:themeFillTint="33"/>
            <w:textDirection w:val="btLr"/>
          </w:tcPr>
          <w:p w14:paraId="48F5DBD1" w14:textId="77777777" w:rsidR="00EB26EC" w:rsidRDefault="00EB26EC" w:rsidP="0085405C">
            <w:pPr>
              <w:ind w:left="113" w:right="113"/>
              <w:jc w:val="center"/>
              <w:rPr>
                <w:rFonts w:cstheme="minorHAnsi"/>
                <w:b/>
                <w:bCs/>
                <w:sz w:val="18"/>
                <w:szCs w:val="18"/>
              </w:rPr>
            </w:pPr>
            <w:proofErr w:type="spellStart"/>
            <w:r w:rsidRPr="006F2EEE">
              <w:rPr>
                <w:rFonts w:cstheme="minorHAnsi"/>
                <w:b/>
                <w:bCs/>
                <w:sz w:val="18"/>
                <w:szCs w:val="18"/>
              </w:rPr>
              <w:t>F</w:t>
            </w:r>
            <w:r>
              <w:rPr>
                <w:rFonts w:cstheme="minorHAnsi"/>
                <w:b/>
                <w:bCs/>
                <w:sz w:val="18"/>
                <w:szCs w:val="18"/>
              </w:rPr>
              <w:t>astBridge</w:t>
            </w:r>
            <w:proofErr w:type="spellEnd"/>
          </w:p>
          <w:p w14:paraId="1AFEB97E" w14:textId="77777777" w:rsidR="00EB26EC" w:rsidRPr="006F2EEE" w:rsidRDefault="00EB26EC" w:rsidP="0085405C">
            <w:pPr>
              <w:ind w:left="113" w:right="113"/>
              <w:jc w:val="center"/>
              <w:rPr>
                <w:rFonts w:cstheme="minorHAnsi"/>
                <w:b/>
                <w:bCs/>
                <w:sz w:val="18"/>
                <w:szCs w:val="18"/>
              </w:rPr>
            </w:pPr>
            <w:r>
              <w:rPr>
                <w:rFonts w:cstheme="minorHAnsi"/>
                <w:b/>
                <w:bCs/>
                <w:sz w:val="18"/>
                <w:szCs w:val="18"/>
              </w:rPr>
              <w:t xml:space="preserve"> </w:t>
            </w:r>
            <w:proofErr w:type="spellStart"/>
            <w:r>
              <w:rPr>
                <w:rFonts w:cstheme="minorHAnsi"/>
                <w:b/>
                <w:bCs/>
                <w:sz w:val="18"/>
                <w:szCs w:val="18"/>
              </w:rPr>
              <w:t>AUTOreading</w:t>
            </w:r>
            <w:proofErr w:type="spellEnd"/>
          </w:p>
          <w:p w14:paraId="391EE513" w14:textId="77777777" w:rsidR="00EB26EC" w:rsidRPr="00A11094" w:rsidRDefault="00EB26EC" w:rsidP="0085405C">
            <w:pPr>
              <w:ind w:left="113" w:right="113"/>
              <w:jc w:val="center"/>
              <w:rPr>
                <w:rFonts w:cstheme="minorHAnsi"/>
                <w:b/>
                <w:bCs/>
                <w:sz w:val="16"/>
                <w:szCs w:val="16"/>
              </w:rPr>
            </w:pPr>
          </w:p>
        </w:tc>
        <w:tc>
          <w:tcPr>
            <w:tcW w:w="720" w:type="dxa"/>
            <w:shd w:val="clear" w:color="auto" w:fill="E2EFD9" w:themeFill="accent6" w:themeFillTint="33"/>
            <w:textDirection w:val="btLr"/>
          </w:tcPr>
          <w:p w14:paraId="7146DC9F" w14:textId="77777777" w:rsidR="00EB26EC" w:rsidRDefault="00EB26EC" w:rsidP="0085405C">
            <w:pPr>
              <w:ind w:left="113" w:right="113"/>
              <w:jc w:val="center"/>
              <w:rPr>
                <w:rFonts w:cstheme="minorHAnsi"/>
                <w:b/>
                <w:bCs/>
                <w:sz w:val="18"/>
                <w:szCs w:val="18"/>
              </w:rPr>
            </w:pPr>
            <w:proofErr w:type="spellStart"/>
            <w:r>
              <w:rPr>
                <w:rFonts w:cstheme="minorHAnsi"/>
                <w:b/>
                <w:bCs/>
                <w:sz w:val="18"/>
                <w:szCs w:val="18"/>
              </w:rPr>
              <w:t>FastBridge</w:t>
            </w:r>
            <w:proofErr w:type="spellEnd"/>
          </w:p>
          <w:p w14:paraId="468AADFB" w14:textId="77777777" w:rsidR="00EB26EC" w:rsidRDefault="00EB26EC" w:rsidP="0085405C">
            <w:pPr>
              <w:ind w:left="113" w:right="113"/>
              <w:jc w:val="center"/>
              <w:rPr>
                <w:rFonts w:cstheme="minorHAnsi"/>
                <w:b/>
                <w:bCs/>
                <w:sz w:val="18"/>
                <w:szCs w:val="18"/>
              </w:rPr>
            </w:pPr>
            <w:proofErr w:type="spellStart"/>
            <w:r>
              <w:rPr>
                <w:rFonts w:cstheme="minorHAnsi"/>
                <w:b/>
                <w:bCs/>
                <w:sz w:val="18"/>
                <w:szCs w:val="18"/>
              </w:rPr>
              <w:t>CBMreading</w:t>
            </w:r>
            <w:proofErr w:type="spellEnd"/>
          </w:p>
        </w:tc>
        <w:tc>
          <w:tcPr>
            <w:tcW w:w="720" w:type="dxa"/>
            <w:textDirection w:val="btLr"/>
          </w:tcPr>
          <w:p w14:paraId="51415784" w14:textId="77777777" w:rsidR="00EB26EC" w:rsidRPr="006F2EEE" w:rsidRDefault="00EB26EC" w:rsidP="0085405C">
            <w:pPr>
              <w:ind w:left="113" w:right="113"/>
              <w:jc w:val="center"/>
              <w:rPr>
                <w:rFonts w:cstheme="minorHAnsi"/>
                <w:b/>
                <w:bCs/>
                <w:sz w:val="18"/>
                <w:szCs w:val="18"/>
              </w:rPr>
            </w:pPr>
            <w:proofErr w:type="spellStart"/>
            <w:r>
              <w:rPr>
                <w:rFonts w:cstheme="minorHAnsi"/>
                <w:b/>
                <w:bCs/>
                <w:sz w:val="18"/>
                <w:szCs w:val="18"/>
              </w:rPr>
              <w:t>iReady</w:t>
            </w:r>
            <w:proofErr w:type="spellEnd"/>
          </w:p>
        </w:tc>
        <w:tc>
          <w:tcPr>
            <w:tcW w:w="720" w:type="dxa"/>
            <w:textDirection w:val="btLr"/>
          </w:tcPr>
          <w:p w14:paraId="52C73AEB" w14:textId="77777777" w:rsidR="00EB26EC" w:rsidRPr="006F2EEE" w:rsidRDefault="00EB26EC" w:rsidP="0085405C">
            <w:pPr>
              <w:ind w:left="113" w:right="113"/>
              <w:jc w:val="center"/>
              <w:rPr>
                <w:rFonts w:cstheme="minorHAnsi"/>
                <w:b/>
                <w:bCs/>
                <w:sz w:val="18"/>
                <w:szCs w:val="18"/>
              </w:rPr>
            </w:pPr>
            <w:proofErr w:type="spellStart"/>
            <w:r>
              <w:rPr>
                <w:rFonts w:cstheme="minorHAnsi"/>
                <w:b/>
                <w:bCs/>
                <w:sz w:val="18"/>
                <w:szCs w:val="18"/>
              </w:rPr>
              <w:t>Istation</w:t>
            </w:r>
            <w:proofErr w:type="spellEnd"/>
            <w:r>
              <w:rPr>
                <w:rFonts w:cstheme="minorHAnsi"/>
                <w:b/>
                <w:bCs/>
                <w:sz w:val="18"/>
                <w:szCs w:val="18"/>
              </w:rPr>
              <w:t xml:space="preserve"> (ISIP)</w:t>
            </w:r>
          </w:p>
        </w:tc>
        <w:tc>
          <w:tcPr>
            <w:tcW w:w="720" w:type="dxa"/>
            <w:textDirection w:val="btLr"/>
          </w:tcPr>
          <w:p w14:paraId="402C2CA7" w14:textId="77777777" w:rsidR="00EB26EC" w:rsidRPr="006F2EEE" w:rsidRDefault="00EB26EC" w:rsidP="0085405C">
            <w:pPr>
              <w:ind w:left="113" w:right="113"/>
              <w:jc w:val="center"/>
              <w:rPr>
                <w:rFonts w:cstheme="minorHAnsi"/>
                <w:b/>
                <w:bCs/>
                <w:sz w:val="18"/>
                <w:szCs w:val="18"/>
              </w:rPr>
            </w:pPr>
            <w:proofErr w:type="spellStart"/>
            <w:r>
              <w:rPr>
                <w:rFonts w:cstheme="minorHAnsi"/>
                <w:b/>
                <w:bCs/>
                <w:sz w:val="18"/>
                <w:szCs w:val="18"/>
              </w:rPr>
              <w:t>iSTEEP</w:t>
            </w:r>
            <w:proofErr w:type="spellEnd"/>
          </w:p>
        </w:tc>
        <w:tc>
          <w:tcPr>
            <w:tcW w:w="720" w:type="dxa"/>
            <w:textDirection w:val="btLr"/>
          </w:tcPr>
          <w:p w14:paraId="79B9CFFE" w14:textId="77777777" w:rsidR="00EB26EC" w:rsidRPr="006F2EEE" w:rsidRDefault="00EB26EC" w:rsidP="0085405C">
            <w:pPr>
              <w:ind w:left="113" w:right="113"/>
              <w:jc w:val="center"/>
              <w:rPr>
                <w:rFonts w:cstheme="minorHAnsi"/>
                <w:b/>
                <w:bCs/>
                <w:sz w:val="18"/>
                <w:szCs w:val="18"/>
              </w:rPr>
            </w:pPr>
            <w:r w:rsidRPr="006F2EEE">
              <w:rPr>
                <w:rFonts w:cstheme="minorHAnsi"/>
                <w:b/>
                <w:bCs/>
                <w:sz w:val="18"/>
                <w:szCs w:val="18"/>
              </w:rPr>
              <w:t>Lexia RAPID</w:t>
            </w:r>
          </w:p>
        </w:tc>
        <w:tc>
          <w:tcPr>
            <w:tcW w:w="720" w:type="dxa"/>
            <w:textDirection w:val="btLr"/>
          </w:tcPr>
          <w:p w14:paraId="686D2E7E" w14:textId="77777777" w:rsidR="00EB26EC" w:rsidRPr="006F2EEE" w:rsidRDefault="00EB26EC" w:rsidP="0085405C">
            <w:pPr>
              <w:ind w:left="113" w:right="113"/>
              <w:jc w:val="center"/>
              <w:rPr>
                <w:rFonts w:cstheme="minorHAnsi"/>
                <w:b/>
                <w:bCs/>
                <w:sz w:val="18"/>
                <w:szCs w:val="18"/>
              </w:rPr>
            </w:pPr>
            <w:r w:rsidRPr="006F2EEE">
              <w:rPr>
                <w:rFonts w:cstheme="minorHAnsi"/>
                <w:b/>
                <w:bCs/>
                <w:sz w:val="18"/>
                <w:szCs w:val="18"/>
              </w:rPr>
              <w:t>NWEA MAP Growth</w:t>
            </w:r>
          </w:p>
        </w:tc>
        <w:tc>
          <w:tcPr>
            <w:tcW w:w="720" w:type="dxa"/>
            <w:textDirection w:val="btLr"/>
          </w:tcPr>
          <w:p w14:paraId="3F9D9547" w14:textId="77777777" w:rsidR="00EB26EC" w:rsidRPr="006F2EEE" w:rsidRDefault="00EB26EC" w:rsidP="0085405C">
            <w:pPr>
              <w:ind w:left="113" w:right="113"/>
              <w:jc w:val="center"/>
              <w:rPr>
                <w:rFonts w:cstheme="minorHAnsi"/>
                <w:b/>
                <w:bCs/>
                <w:sz w:val="18"/>
                <w:szCs w:val="18"/>
              </w:rPr>
            </w:pPr>
            <w:r w:rsidRPr="006F2EEE">
              <w:rPr>
                <w:rFonts w:cstheme="minorHAnsi"/>
                <w:b/>
                <w:bCs/>
                <w:sz w:val="18"/>
                <w:szCs w:val="18"/>
              </w:rPr>
              <w:t xml:space="preserve">STAR Early </w:t>
            </w:r>
            <w:r>
              <w:rPr>
                <w:rFonts w:cstheme="minorHAnsi"/>
                <w:b/>
                <w:bCs/>
                <w:sz w:val="18"/>
                <w:szCs w:val="18"/>
              </w:rPr>
              <w:t>Literacy and STAR Reading</w:t>
            </w:r>
          </w:p>
        </w:tc>
      </w:tr>
      <w:tr w:rsidR="00EB26EC" w14:paraId="1BB6F890" w14:textId="77777777" w:rsidTr="0085405C">
        <w:trPr>
          <w:trHeight w:val="764"/>
          <w:jc w:val="center"/>
        </w:trPr>
        <w:tc>
          <w:tcPr>
            <w:tcW w:w="1327" w:type="dxa"/>
          </w:tcPr>
          <w:p w14:paraId="65638E19" w14:textId="77777777" w:rsidR="00EB26EC" w:rsidRPr="006F2EEE" w:rsidRDefault="00EB26EC" w:rsidP="0085405C">
            <w:pPr>
              <w:rPr>
                <w:rFonts w:cstheme="minorHAnsi"/>
                <w:sz w:val="18"/>
                <w:szCs w:val="18"/>
              </w:rPr>
            </w:pPr>
            <w:r>
              <w:rPr>
                <w:rFonts w:cstheme="minorHAnsi"/>
                <w:sz w:val="18"/>
                <w:szCs w:val="18"/>
              </w:rPr>
              <w:t xml:space="preserve">Recommended </w:t>
            </w:r>
            <w:r w:rsidRPr="006F2EEE">
              <w:rPr>
                <w:rFonts w:cstheme="minorHAnsi"/>
                <w:sz w:val="18"/>
                <w:szCs w:val="18"/>
              </w:rPr>
              <w:t>Administration</w:t>
            </w:r>
          </w:p>
          <w:p w14:paraId="374F3C2F" w14:textId="77777777" w:rsidR="00EB26EC" w:rsidRPr="006F2EEE" w:rsidRDefault="00EB26EC" w:rsidP="0085405C">
            <w:pPr>
              <w:rPr>
                <w:rFonts w:cstheme="minorHAnsi"/>
                <w:sz w:val="18"/>
                <w:szCs w:val="18"/>
              </w:rPr>
            </w:pPr>
            <w:r w:rsidRPr="006F2EEE">
              <w:rPr>
                <w:rFonts w:cstheme="minorHAnsi"/>
                <w:sz w:val="18"/>
                <w:szCs w:val="18"/>
              </w:rPr>
              <w:t>Time</w:t>
            </w:r>
          </w:p>
        </w:tc>
        <w:tc>
          <w:tcPr>
            <w:tcW w:w="720" w:type="dxa"/>
            <w:shd w:val="clear" w:color="auto" w:fill="0070C0"/>
            <w:vAlign w:val="center"/>
          </w:tcPr>
          <w:p w14:paraId="75C4AE83" w14:textId="77777777" w:rsidR="00EB26EC" w:rsidRPr="00FA732B" w:rsidRDefault="00EB26EC" w:rsidP="0085405C">
            <w:pPr>
              <w:jc w:val="center"/>
              <w:rPr>
                <w:rFonts w:cstheme="minorHAnsi"/>
                <w:b/>
                <w:bCs/>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1567D6D2"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4BA8FA40"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2C95396D"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73C8CBB5"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793BD909"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C00000"/>
            <w:vAlign w:val="center"/>
          </w:tcPr>
          <w:p w14:paraId="080218E5" w14:textId="77777777" w:rsidR="00EB26EC" w:rsidRPr="006F2EEE" w:rsidRDefault="00EB26EC" w:rsidP="0085405C">
            <w:pPr>
              <w:jc w:val="center"/>
              <w:rPr>
                <w:rFonts w:cstheme="minorHAnsi"/>
                <w:sz w:val="18"/>
                <w:szCs w:val="18"/>
              </w:rPr>
            </w:pPr>
            <w:r>
              <w:rPr>
                <w:rFonts w:cstheme="minorHAnsi"/>
                <w:sz w:val="18"/>
                <w:szCs w:val="18"/>
              </w:rPr>
              <w:t>&gt;30”</w:t>
            </w:r>
          </w:p>
        </w:tc>
        <w:tc>
          <w:tcPr>
            <w:tcW w:w="720" w:type="dxa"/>
            <w:shd w:val="clear" w:color="auto" w:fill="0070C0"/>
            <w:vAlign w:val="center"/>
          </w:tcPr>
          <w:p w14:paraId="5381CEF3"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35ED1E3D"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0070C0"/>
            <w:vAlign w:val="center"/>
          </w:tcPr>
          <w:p w14:paraId="64ADDB75"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c>
          <w:tcPr>
            <w:tcW w:w="720" w:type="dxa"/>
            <w:shd w:val="clear" w:color="auto" w:fill="C00000"/>
            <w:vAlign w:val="center"/>
          </w:tcPr>
          <w:p w14:paraId="7CC8F469" w14:textId="77777777" w:rsidR="00EB26EC" w:rsidRPr="006F2EEE" w:rsidRDefault="00EB26EC" w:rsidP="0085405C">
            <w:pPr>
              <w:jc w:val="center"/>
              <w:rPr>
                <w:rFonts w:cstheme="minorHAnsi"/>
                <w:sz w:val="18"/>
                <w:szCs w:val="18"/>
              </w:rPr>
            </w:pPr>
            <w:r>
              <w:rPr>
                <w:rFonts w:cstheme="minorHAnsi"/>
                <w:sz w:val="18"/>
                <w:szCs w:val="18"/>
              </w:rPr>
              <w:t>&gt;30”</w:t>
            </w:r>
          </w:p>
        </w:tc>
        <w:tc>
          <w:tcPr>
            <w:tcW w:w="720" w:type="dxa"/>
            <w:shd w:val="clear" w:color="auto" w:fill="0070C0"/>
            <w:vAlign w:val="center"/>
          </w:tcPr>
          <w:p w14:paraId="44556957"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&lt;30”</w:t>
            </w:r>
          </w:p>
        </w:tc>
      </w:tr>
      <w:tr w:rsidR="00EB26EC" w14:paraId="267EDBC9" w14:textId="77777777" w:rsidTr="0085405C">
        <w:trPr>
          <w:trHeight w:val="683"/>
          <w:jc w:val="center"/>
        </w:trPr>
        <w:tc>
          <w:tcPr>
            <w:tcW w:w="1327" w:type="dxa"/>
          </w:tcPr>
          <w:p w14:paraId="556A6A81" w14:textId="77777777" w:rsidR="00EB26EC" w:rsidRPr="006F2EEE" w:rsidRDefault="00EB26EC" w:rsidP="0085405C">
            <w:pPr>
              <w:rPr>
                <w:rFonts w:cstheme="minorHAnsi"/>
                <w:sz w:val="18"/>
                <w:szCs w:val="18"/>
              </w:rPr>
            </w:pPr>
            <w:r w:rsidRPr="006F2EEE">
              <w:rPr>
                <w:rFonts w:cstheme="minorHAnsi"/>
                <w:sz w:val="18"/>
                <w:szCs w:val="18"/>
              </w:rPr>
              <w:t xml:space="preserve">Progress </w:t>
            </w:r>
          </w:p>
          <w:p w14:paraId="6E84A78F" w14:textId="77777777" w:rsidR="00EB26EC" w:rsidRPr="006F2EEE" w:rsidRDefault="00EB26EC" w:rsidP="0085405C">
            <w:pPr>
              <w:rPr>
                <w:rFonts w:cstheme="minorHAnsi"/>
                <w:sz w:val="18"/>
                <w:szCs w:val="18"/>
              </w:rPr>
            </w:pPr>
            <w:r w:rsidRPr="006F2EEE">
              <w:rPr>
                <w:rFonts w:cstheme="minorHAnsi"/>
                <w:sz w:val="18"/>
                <w:szCs w:val="18"/>
              </w:rPr>
              <w:t xml:space="preserve">Monitoring </w:t>
            </w:r>
            <w:r>
              <w:rPr>
                <w:rFonts w:cstheme="minorHAnsi"/>
                <w:sz w:val="18"/>
                <w:szCs w:val="18"/>
              </w:rPr>
              <w:t>Tools Included</w:t>
            </w:r>
          </w:p>
        </w:tc>
        <w:tc>
          <w:tcPr>
            <w:tcW w:w="720" w:type="dxa"/>
            <w:shd w:val="clear" w:color="auto" w:fill="0070C0"/>
          </w:tcPr>
          <w:p w14:paraId="721D0AD6" w14:textId="77777777" w:rsidR="00EB26EC" w:rsidRPr="006F2EEE" w:rsidRDefault="00EB26EC" w:rsidP="0085405C">
            <w:pPr>
              <w:jc w:val="center"/>
              <w:rPr>
                <w:rFonts w:cstheme="minorHAnsi"/>
                <w:sz w:val="18"/>
                <w:szCs w:val="18"/>
              </w:rPr>
            </w:pPr>
          </w:p>
          <w:p w14:paraId="5F35B78A" w14:textId="77777777" w:rsidR="00EB26EC" w:rsidRPr="009B38CB" w:rsidRDefault="00EB26EC" w:rsidP="0085405C">
            <w:pPr>
              <w:jc w:val="center"/>
              <w:rPr>
                <w:rFonts w:cstheme="minorHAnsi"/>
                <w:b/>
                <w:bCs/>
                <w:sz w:val="18"/>
                <w:szCs w:val="18"/>
              </w:rPr>
            </w:pPr>
            <w:r w:rsidRPr="00D16734">
              <w:rPr>
                <w:rFonts w:cstheme="minorHAnsi"/>
                <w:b/>
                <w:bCs/>
                <w:color w:val="FFFFFF" w:themeColor="background1"/>
                <w:sz w:val="18"/>
                <w:szCs w:val="18"/>
              </w:rPr>
              <w:t>Yes</w:t>
            </w:r>
          </w:p>
        </w:tc>
        <w:tc>
          <w:tcPr>
            <w:tcW w:w="720" w:type="dxa"/>
            <w:shd w:val="clear" w:color="auto" w:fill="0070C0"/>
          </w:tcPr>
          <w:p w14:paraId="2ACF1674" w14:textId="77777777" w:rsidR="00EB26EC" w:rsidRDefault="00EB26EC" w:rsidP="0085405C">
            <w:pPr>
              <w:jc w:val="center"/>
              <w:rPr>
                <w:rFonts w:cstheme="minorHAnsi"/>
                <w:sz w:val="18"/>
                <w:szCs w:val="18"/>
              </w:rPr>
            </w:pPr>
          </w:p>
          <w:p w14:paraId="659D3A81"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Yes</w:t>
            </w:r>
          </w:p>
        </w:tc>
        <w:tc>
          <w:tcPr>
            <w:tcW w:w="720" w:type="dxa"/>
            <w:shd w:val="clear" w:color="auto" w:fill="0070C0"/>
          </w:tcPr>
          <w:p w14:paraId="5BDA42F3" w14:textId="77777777" w:rsidR="00EB26EC" w:rsidRPr="006F2EEE" w:rsidRDefault="00EB26EC" w:rsidP="0085405C">
            <w:pPr>
              <w:jc w:val="center"/>
              <w:rPr>
                <w:rFonts w:cstheme="minorHAnsi"/>
                <w:sz w:val="18"/>
                <w:szCs w:val="18"/>
              </w:rPr>
            </w:pPr>
          </w:p>
          <w:p w14:paraId="5F47472E"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Yes</w:t>
            </w:r>
          </w:p>
        </w:tc>
        <w:tc>
          <w:tcPr>
            <w:tcW w:w="720" w:type="dxa"/>
            <w:shd w:val="clear" w:color="auto" w:fill="C00000"/>
            <w:vAlign w:val="bottom"/>
          </w:tcPr>
          <w:p w14:paraId="4C82A6EC" w14:textId="77777777" w:rsidR="00EB26EC" w:rsidRPr="009B38CB" w:rsidRDefault="00EB26EC" w:rsidP="0085405C">
            <w:pPr>
              <w:jc w:val="center"/>
              <w:rPr>
                <w:rFonts w:cstheme="minorHAnsi"/>
                <w:b/>
                <w:bCs/>
                <w:color w:val="FFFFFF" w:themeColor="background1"/>
                <w:sz w:val="18"/>
                <w:szCs w:val="18"/>
              </w:rPr>
            </w:pPr>
            <w:r w:rsidRPr="009B38CB">
              <w:rPr>
                <w:rFonts w:cstheme="minorHAnsi"/>
                <w:b/>
                <w:bCs/>
                <w:color w:val="FFFFFF" w:themeColor="background1"/>
                <w:sz w:val="18"/>
                <w:szCs w:val="18"/>
              </w:rPr>
              <w:t>No</w:t>
            </w:r>
          </w:p>
          <w:p w14:paraId="4B4A8533" w14:textId="77777777" w:rsidR="00EB26EC" w:rsidRPr="00A11094" w:rsidRDefault="00EB26EC" w:rsidP="0085405C">
            <w:pPr>
              <w:jc w:val="center"/>
              <w:rPr>
                <w:rFonts w:cstheme="minorHAnsi"/>
                <w:color w:val="ED7D31" w:themeColor="accent2"/>
                <w:sz w:val="18"/>
                <w:szCs w:val="18"/>
              </w:rPr>
            </w:pPr>
          </w:p>
        </w:tc>
        <w:tc>
          <w:tcPr>
            <w:tcW w:w="720" w:type="dxa"/>
            <w:shd w:val="clear" w:color="auto" w:fill="0070C0"/>
            <w:vAlign w:val="center"/>
          </w:tcPr>
          <w:p w14:paraId="04E4CABA" w14:textId="77777777" w:rsidR="00EB26EC" w:rsidRPr="00A11094" w:rsidRDefault="00EB26EC" w:rsidP="0085405C">
            <w:pPr>
              <w:jc w:val="center"/>
              <w:rPr>
                <w:rFonts w:cstheme="minorHAnsi"/>
                <w:color w:val="ED7D31" w:themeColor="accent2"/>
                <w:sz w:val="18"/>
                <w:szCs w:val="18"/>
              </w:rPr>
            </w:pPr>
          </w:p>
          <w:p w14:paraId="5841E2D6" w14:textId="77777777" w:rsidR="00EB26EC" w:rsidRDefault="00EB26EC" w:rsidP="0085405C">
            <w:pPr>
              <w:jc w:val="center"/>
              <w:rPr>
                <w:rFonts w:cstheme="minorHAnsi"/>
                <w:sz w:val="18"/>
                <w:szCs w:val="18"/>
              </w:rPr>
            </w:pPr>
            <w:r w:rsidRPr="00D16734">
              <w:rPr>
                <w:rFonts w:cstheme="minorHAnsi"/>
                <w:b/>
                <w:bCs/>
                <w:color w:val="FFFFFF" w:themeColor="background1"/>
                <w:sz w:val="18"/>
                <w:szCs w:val="18"/>
              </w:rPr>
              <w:t>Yes</w:t>
            </w:r>
          </w:p>
          <w:p w14:paraId="72A81E74" w14:textId="77777777" w:rsidR="00EB26EC" w:rsidRPr="00A11094" w:rsidRDefault="00EB26EC" w:rsidP="0085405C">
            <w:pPr>
              <w:jc w:val="center"/>
              <w:rPr>
                <w:rFonts w:cstheme="minorHAnsi"/>
                <w:color w:val="ED7D31" w:themeColor="accent2"/>
                <w:sz w:val="18"/>
                <w:szCs w:val="18"/>
              </w:rPr>
            </w:pPr>
          </w:p>
        </w:tc>
        <w:tc>
          <w:tcPr>
            <w:tcW w:w="720" w:type="dxa"/>
            <w:shd w:val="clear" w:color="auto" w:fill="0070C0"/>
            <w:vAlign w:val="center"/>
          </w:tcPr>
          <w:p w14:paraId="36A54BDE" w14:textId="77777777" w:rsidR="00EB26EC" w:rsidRDefault="00EB26EC" w:rsidP="0085405C">
            <w:pPr>
              <w:jc w:val="center"/>
              <w:rPr>
                <w:rFonts w:cstheme="minorHAnsi"/>
                <w:sz w:val="18"/>
                <w:szCs w:val="18"/>
              </w:rPr>
            </w:pPr>
            <w:r w:rsidRPr="00D16734">
              <w:rPr>
                <w:rFonts w:cstheme="minorHAnsi"/>
                <w:b/>
                <w:bCs/>
                <w:color w:val="FFFFFF" w:themeColor="background1"/>
                <w:sz w:val="18"/>
                <w:szCs w:val="18"/>
              </w:rPr>
              <w:t>Yes</w:t>
            </w:r>
          </w:p>
        </w:tc>
        <w:tc>
          <w:tcPr>
            <w:tcW w:w="720" w:type="dxa"/>
            <w:shd w:val="clear" w:color="auto" w:fill="0070C0"/>
            <w:vAlign w:val="bottom"/>
          </w:tcPr>
          <w:p w14:paraId="7E5C43B5" w14:textId="77777777" w:rsidR="00EB26EC" w:rsidRDefault="00EB26EC" w:rsidP="0085405C">
            <w:pPr>
              <w:jc w:val="center"/>
              <w:rPr>
                <w:rFonts w:cstheme="minorHAnsi"/>
                <w:sz w:val="18"/>
                <w:szCs w:val="18"/>
              </w:rPr>
            </w:pPr>
            <w:r w:rsidRPr="00D16734">
              <w:rPr>
                <w:rFonts w:cstheme="minorHAnsi"/>
                <w:b/>
                <w:bCs/>
                <w:color w:val="FFFFFF" w:themeColor="background1"/>
                <w:sz w:val="18"/>
                <w:szCs w:val="18"/>
              </w:rPr>
              <w:t>Yes</w:t>
            </w:r>
          </w:p>
          <w:p w14:paraId="349E8292" w14:textId="77777777" w:rsidR="00EB26EC" w:rsidRPr="006F2EEE" w:rsidRDefault="00EB26EC" w:rsidP="0085405C">
            <w:pPr>
              <w:jc w:val="center"/>
              <w:rPr>
                <w:rFonts w:cstheme="minorHAnsi"/>
                <w:sz w:val="18"/>
                <w:szCs w:val="18"/>
              </w:rPr>
            </w:pPr>
          </w:p>
        </w:tc>
        <w:tc>
          <w:tcPr>
            <w:tcW w:w="720" w:type="dxa"/>
            <w:shd w:val="clear" w:color="auto" w:fill="0070C0"/>
            <w:vAlign w:val="bottom"/>
          </w:tcPr>
          <w:p w14:paraId="4003F2C8"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Yes</w:t>
            </w:r>
          </w:p>
          <w:p w14:paraId="7285B107" w14:textId="77777777" w:rsidR="00EB26EC" w:rsidRPr="006F2EEE" w:rsidRDefault="00EB26EC" w:rsidP="0085405C">
            <w:pPr>
              <w:jc w:val="center"/>
              <w:rPr>
                <w:rFonts w:cstheme="minorHAnsi"/>
                <w:sz w:val="18"/>
                <w:szCs w:val="18"/>
              </w:rPr>
            </w:pPr>
          </w:p>
        </w:tc>
        <w:tc>
          <w:tcPr>
            <w:tcW w:w="720" w:type="dxa"/>
            <w:shd w:val="clear" w:color="auto" w:fill="0070C0"/>
            <w:vAlign w:val="bottom"/>
          </w:tcPr>
          <w:p w14:paraId="0DE55999"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Yes</w:t>
            </w:r>
          </w:p>
          <w:p w14:paraId="32AB0665" w14:textId="77777777" w:rsidR="00EB26EC" w:rsidRPr="006F2EEE" w:rsidRDefault="00EB26EC" w:rsidP="0085405C">
            <w:pPr>
              <w:jc w:val="center"/>
              <w:rPr>
                <w:rFonts w:cstheme="minorHAnsi"/>
                <w:sz w:val="18"/>
                <w:szCs w:val="18"/>
              </w:rPr>
            </w:pPr>
          </w:p>
        </w:tc>
        <w:tc>
          <w:tcPr>
            <w:tcW w:w="720" w:type="dxa"/>
            <w:shd w:val="clear" w:color="auto" w:fill="C00000"/>
            <w:vAlign w:val="center"/>
          </w:tcPr>
          <w:p w14:paraId="662112ED" w14:textId="77777777" w:rsidR="00EB26EC" w:rsidRPr="006F2EEE" w:rsidRDefault="00EB26EC" w:rsidP="0085405C">
            <w:pPr>
              <w:jc w:val="center"/>
              <w:rPr>
                <w:rFonts w:cstheme="minorHAnsi"/>
                <w:sz w:val="18"/>
                <w:szCs w:val="18"/>
              </w:rPr>
            </w:pPr>
          </w:p>
          <w:p w14:paraId="1DDFFDD1" w14:textId="77777777" w:rsidR="00EB26EC" w:rsidRPr="009B38CB" w:rsidRDefault="00EB26EC" w:rsidP="0085405C">
            <w:pPr>
              <w:jc w:val="center"/>
              <w:rPr>
                <w:rFonts w:cstheme="minorHAnsi"/>
                <w:b/>
                <w:bCs/>
                <w:color w:val="FFFFFF" w:themeColor="background1"/>
                <w:sz w:val="18"/>
                <w:szCs w:val="18"/>
              </w:rPr>
            </w:pPr>
            <w:r w:rsidRPr="009B38CB">
              <w:rPr>
                <w:rFonts w:cstheme="minorHAnsi"/>
                <w:b/>
                <w:bCs/>
                <w:color w:val="FFFFFF" w:themeColor="background1"/>
                <w:sz w:val="18"/>
                <w:szCs w:val="18"/>
              </w:rPr>
              <w:t>No</w:t>
            </w:r>
          </w:p>
          <w:p w14:paraId="35190E19" w14:textId="77777777" w:rsidR="00EB26EC" w:rsidRPr="006F2EEE" w:rsidRDefault="00EB26EC" w:rsidP="0085405C">
            <w:pPr>
              <w:jc w:val="center"/>
              <w:rPr>
                <w:rFonts w:cstheme="minorHAnsi"/>
                <w:sz w:val="18"/>
                <w:szCs w:val="18"/>
              </w:rPr>
            </w:pPr>
          </w:p>
        </w:tc>
        <w:tc>
          <w:tcPr>
            <w:tcW w:w="720" w:type="dxa"/>
            <w:shd w:val="clear" w:color="auto" w:fill="C00000"/>
            <w:vAlign w:val="bottom"/>
          </w:tcPr>
          <w:p w14:paraId="1D3EA063" w14:textId="77777777" w:rsidR="00EB26EC" w:rsidRPr="006F2EEE" w:rsidRDefault="00EB26EC" w:rsidP="0085405C">
            <w:pPr>
              <w:jc w:val="center"/>
              <w:rPr>
                <w:rFonts w:cstheme="minorHAnsi"/>
                <w:sz w:val="18"/>
                <w:szCs w:val="18"/>
              </w:rPr>
            </w:pPr>
            <w:r>
              <w:rPr>
                <w:rFonts w:cstheme="minorHAnsi"/>
                <w:b/>
                <w:bCs/>
                <w:color w:val="FFFFFF" w:themeColor="background1"/>
                <w:sz w:val="18"/>
                <w:szCs w:val="18"/>
              </w:rPr>
              <w:t>No</w:t>
            </w:r>
          </w:p>
          <w:p w14:paraId="069BBE80" w14:textId="77777777" w:rsidR="00EB26EC" w:rsidRPr="006F2EEE" w:rsidRDefault="00EB26EC" w:rsidP="0085405C">
            <w:pPr>
              <w:jc w:val="center"/>
              <w:rPr>
                <w:rFonts w:cstheme="minorHAnsi"/>
                <w:sz w:val="18"/>
                <w:szCs w:val="18"/>
              </w:rPr>
            </w:pPr>
          </w:p>
        </w:tc>
        <w:tc>
          <w:tcPr>
            <w:tcW w:w="720" w:type="dxa"/>
            <w:shd w:val="clear" w:color="auto" w:fill="0070C0"/>
          </w:tcPr>
          <w:p w14:paraId="1FE7E162" w14:textId="77777777" w:rsidR="00EB26EC" w:rsidRPr="006F2EEE" w:rsidRDefault="00EB26EC" w:rsidP="0085405C">
            <w:pPr>
              <w:jc w:val="center"/>
              <w:rPr>
                <w:rFonts w:cstheme="minorHAnsi"/>
                <w:sz w:val="18"/>
                <w:szCs w:val="18"/>
              </w:rPr>
            </w:pPr>
          </w:p>
          <w:p w14:paraId="1DBE3EE0" w14:textId="77777777" w:rsidR="00EB26EC" w:rsidRPr="006F2EEE" w:rsidRDefault="00EB26EC" w:rsidP="0085405C">
            <w:pPr>
              <w:jc w:val="center"/>
              <w:rPr>
                <w:rFonts w:cstheme="minorHAnsi"/>
                <w:sz w:val="18"/>
                <w:szCs w:val="18"/>
              </w:rPr>
            </w:pPr>
            <w:r w:rsidRPr="00D16734">
              <w:rPr>
                <w:rFonts w:cstheme="minorHAnsi"/>
                <w:b/>
                <w:bCs/>
                <w:color w:val="FFFFFF" w:themeColor="background1"/>
                <w:sz w:val="18"/>
                <w:szCs w:val="18"/>
              </w:rPr>
              <w:t>Yes</w:t>
            </w:r>
          </w:p>
        </w:tc>
      </w:tr>
    </w:tbl>
    <w:p w14:paraId="6BC281A3" w14:textId="101549D8" w:rsidR="00EB26EC" w:rsidRPr="00EB26EC" w:rsidRDefault="00EB26EC" w:rsidP="00EB26EC">
      <w:pPr>
        <w:tabs>
          <w:tab w:val="left" w:pos="2840"/>
        </w:tabs>
        <w:spacing w:after="0"/>
        <w:rPr>
          <w:rFonts w:cstheme="minorHAnsi"/>
          <w:i/>
          <w:iCs/>
          <w:color w:val="030A13"/>
        </w:rPr>
      </w:pPr>
      <w:r>
        <w:rPr>
          <w:rFonts w:cstheme="minorHAnsi"/>
          <w:noProof/>
          <w:color w:val="030A13"/>
        </w:rPr>
        <mc:AlternateContent>
          <mc:Choice Requires="wps">
            <w:drawing>
              <wp:anchor distT="0" distB="0" distL="114300" distR="114300" simplePos="0" relativeHeight="251659264" behindDoc="0" locked="0" layoutInCell="1" allowOverlap="1" wp14:anchorId="7E994A39" wp14:editId="2CB0D31F">
                <wp:simplePos x="0" y="0"/>
                <wp:positionH relativeFrom="margin">
                  <wp:posOffset>4069007</wp:posOffset>
                </wp:positionH>
                <wp:positionV relativeFrom="paragraph">
                  <wp:posOffset>53340</wp:posOffset>
                </wp:positionV>
                <wp:extent cx="215900" cy="88900"/>
                <wp:effectExtent l="0" t="0" r="12700"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88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9D54D67" id="Rectangle 1" o:spid="_x0000_s1026" alt="&quot;&quot;" style="position:absolute;margin-left:320.4pt;margin-top:4.2pt;width:17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" fillcolor="#c00000" strokecolor="#c00000" strokeweight="1pt">
                <w10:wrap anchorx="margin"/>
              </v:rect>
            </w:pict>
          </mc:Fallback>
        </mc:AlternateContent>
      </w:r>
      <w:r>
        <w:rPr>
          <w:rFonts w:cstheme="minorHAnsi"/>
          <w:noProof/>
          <w:color w:val="030A13"/>
        </w:rPr>
        <mc:AlternateContent>
          <mc:Choice Requires="wps">
            <w:drawing>
              <wp:anchor distT="0" distB="0" distL="114300" distR="114300" simplePos="0" relativeHeight="251661312" behindDoc="0" locked="0" layoutInCell="1" allowOverlap="1" wp14:anchorId="6A206A7A" wp14:editId="16A01505">
                <wp:simplePos x="0" y="0"/>
                <wp:positionH relativeFrom="leftMargin">
                  <wp:posOffset>2898383</wp:posOffset>
                </wp:positionH>
                <wp:positionV relativeFrom="paragraph">
                  <wp:posOffset>60960</wp:posOffset>
                </wp:positionV>
                <wp:extent cx="215900" cy="88900"/>
                <wp:effectExtent l="0" t="0" r="12700" b="254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889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3DAB332" id="Rectangle 3" o:spid="_x0000_s1026" alt="&quot;&quot;" style="position:absolute;margin-left:228.2pt;margin-top:4.8pt;width:17pt;height:7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" fillcolor="#0070c0" strokecolor="#0070c0" strokeweight="1pt">
                <w10:wrap anchorx="margin"/>
              </v:rect>
            </w:pict>
          </mc:Fallback>
        </mc:AlternateContent>
      </w:r>
      <w:r>
        <w:rPr>
          <w:rFonts w:cstheme="minorHAnsi"/>
          <w:color w:val="030A13"/>
        </w:rPr>
        <w:t xml:space="preserve">         </w:t>
      </w:r>
      <w:r w:rsidRPr="00EB26EC">
        <w:rPr>
          <w:rFonts w:cstheme="minorHAnsi"/>
          <w:i/>
          <w:iCs/>
          <w:color w:val="030A13"/>
        </w:rPr>
        <w:t xml:space="preserve">Administration Time:            </w:t>
      </w:r>
      <w:r w:rsidRPr="00EB26EC">
        <w:rPr>
          <w:rFonts w:cstheme="minorHAnsi"/>
          <w:i/>
          <w:iCs/>
          <w:color w:val="030A13"/>
        </w:rPr>
        <w:tab/>
      </w:r>
      <w:r w:rsidRPr="00EB26EC">
        <w:rPr>
          <w:rFonts w:cstheme="minorHAnsi"/>
          <w:i/>
          <w:iCs/>
          <w:color w:val="030A13"/>
        </w:rPr>
        <w:tab/>
        <w:t xml:space="preserve">Less than 30 minutes </w:t>
      </w:r>
      <w:r w:rsidRPr="00EB26EC">
        <w:rPr>
          <w:rFonts w:cstheme="minorHAnsi"/>
          <w:i/>
          <w:iCs/>
          <w:color w:val="030A13"/>
        </w:rPr>
        <w:tab/>
        <w:t xml:space="preserve">      30 to 60 minutes  </w:t>
      </w:r>
    </w:p>
    <w:p w14:paraId="1FF43F54" w14:textId="28AC4519" w:rsidR="00EB26EC" w:rsidRPr="00EB26EC" w:rsidRDefault="00EB26EC" w:rsidP="00EB26EC">
      <w:pPr>
        <w:tabs>
          <w:tab w:val="left" w:pos="2840"/>
        </w:tabs>
        <w:spacing w:after="0"/>
        <w:rPr>
          <w:b/>
          <w:i/>
          <w:iCs/>
          <w:color w:val="000000" w:themeColor="text1"/>
        </w:rPr>
      </w:pPr>
      <w:r w:rsidRPr="00EB26EC">
        <w:rPr>
          <w:rFonts w:cstheme="minorHAnsi"/>
          <w:i/>
          <w:iCs/>
          <w:noProof/>
          <w:color w:val="030A13"/>
        </w:rPr>
        <mc:AlternateContent>
          <mc:Choice Requires="wps">
            <w:drawing>
              <wp:anchor distT="0" distB="0" distL="114300" distR="114300" simplePos="0" relativeHeight="251662336" behindDoc="0" locked="0" layoutInCell="1" allowOverlap="1" wp14:anchorId="6DEC9600" wp14:editId="1653229B">
                <wp:simplePos x="0" y="0"/>
                <wp:positionH relativeFrom="margin">
                  <wp:posOffset>4059070</wp:posOffset>
                </wp:positionH>
                <wp:positionV relativeFrom="paragraph">
                  <wp:posOffset>75565</wp:posOffset>
                </wp:positionV>
                <wp:extent cx="215900" cy="88900"/>
                <wp:effectExtent l="0" t="0" r="12700" b="254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88900"/>
                        </a:xfrm>
                        <a:prstGeom prst="rect">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C806246" id="Rectangle 4" o:spid="_x0000_s1026" alt="&quot;&quot;" style="position:absolute;margin-left:319.6pt;margin-top:5.95pt;width:17pt;height: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" fillcolor="#c00000" strokecolor="#c00000" strokeweight="1pt">
                <w10:wrap anchorx="margin"/>
              </v:rect>
            </w:pict>
          </mc:Fallback>
        </mc:AlternateContent>
      </w:r>
      <w:r w:rsidRPr="00EB26EC">
        <w:rPr>
          <w:rFonts w:cstheme="minorHAnsi"/>
          <w:i/>
          <w:iCs/>
          <w:noProof/>
          <w:color w:val="030A13"/>
        </w:rPr>
        <mc:AlternateContent>
          <mc:Choice Requires="wps">
            <w:drawing>
              <wp:anchor distT="0" distB="0" distL="114300" distR="114300" simplePos="0" relativeHeight="251660288" behindDoc="0" locked="0" layoutInCell="1" allowOverlap="1" wp14:anchorId="3FC92896" wp14:editId="0E635A38">
                <wp:simplePos x="0" y="0"/>
                <wp:positionH relativeFrom="margin">
                  <wp:posOffset>2455938</wp:posOffset>
                </wp:positionH>
                <wp:positionV relativeFrom="paragraph">
                  <wp:posOffset>57785</wp:posOffset>
                </wp:positionV>
                <wp:extent cx="215900" cy="88900"/>
                <wp:effectExtent l="0" t="0" r="1270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889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945FA62" id="Rectangle 2" o:spid="_x0000_s1026" alt="&quot;&quot;" style="position:absolute;margin-left:193.4pt;margin-top:4.55pt;width:17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" fillcolor="#0070c0" strokecolor="#0070c0" strokeweight="1pt">
                <w10:wrap anchorx="margin"/>
              </v:rect>
            </w:pict>
          </mc:Fallback>
        </mc:AlternateContent>
      </w:r>
      <w:r w:rsidRPr="00EB26EC">
        <w:rPr>
          <w:rFonts w:cstheme="minorHAnsi"/>
          <w:i/>
          <w:iCs/>
          <w:color w:val="030A13"/>
        </w:rPr>
        <w:t xml:space="preserve">         Includes Progress Monitoring Tools:            </w:t>
      </w:r>
      <w:r w:rsidRPr="00EB26EC">
        <w:rPr>
          <w:rFonts w:cstheme="minorHAnsi"/>
          <w:bCs/>
          <w:i/>
          <w:iCs/>
          <w:color w:val="030A13"/>
        </w:rPr>
        <w:t xml:space="preserve"> </w:t>
      </w:r>
      <w:r w:rsidRPr="00EB26EC">
        <w:rPr>
          <w:bCs/>
          <w:i/>
          <w:iCs/>
          <w:color w:val="000000" w:themeColor="text1"/>
        </w:rPr>
        <w:t>Yes</w:t>
      </w:r>
      <w:r w:rsidRPr="00EB26EC">
        <w:rPr>
          <w:b/>
          <w:i/>
          <w:iCs/>
          <w:color w:val="000000" w:themeColor="text1"/>
        </w:rPr>
        <w:t xml:space="preserve">               </w:t>
      </w:r>
      <w:r w:rsidRPr="00EB26EC">
        <w:rPr>
          <w:bCs/>
          <w:i/>
          <w:iCs/>
          <w:color w:val="000000" w:themeColor="text1"/>
        </w:rPr>
        <w:t xml:space="preserve"> </w:t>
      </w:r>
      <w:r w:rsidRPr="00EB26EC">
        <w:rPr>
          <w:bCs/>
          <w:i/>
          <w:iCs/>
          <w:color w:val="000000" w:themeColor="text1"/>
        </w:rPr>
        <w:tab/>
      </w:r>
      <w:r w:rsidRPr="00EB26EC">
        <w:rPr>
          <w:bCs/>
          <w:i/>
          <w:iCs/>
          <w:color w:val="000000" w:themeColor="text1"/>
        </w:rPr>
        <w:tab/>
        <w:t xml:space="preserve">      No</w:t>
      </w:r>
      <w:r w:rsidRPr="00EB26EC">
        <w:rPr>
          <w:b/>
          <w:i/>
          <w:iCs/>
          <w:color w:val="000000" w:themeColor="text1"/>
        </w:rPr>
        <w:t xml:space="preserve">       </w:t>
      </w:r>
    </w:p>
    <w:p w14:paraId="5DCA7067" w14:textId="77777777" w:rsidR="001032E8" w:rsidRDefault="001032E8" w:rsidP="001032E8">
      <w:pPr>
        <w:tabs>
          <w:tab w:val="left" w:pos="2840"/>
        </w:tabs>
        <w:jc w:val="center"/>
        <w:rPr>
          <w:b/>
          <w:color w:val="000000" w:themeColor="text1"/>
        </w:rPr>
      </w:pPr>
    </w:p>
    <w:p w14:paraId="782E4FC1" w14:textId="2C734929" w:rsidR="00EB26EC" w:rsidRDefault="00EB26EC" w:rsidP="001032E8">
      <w:pPr>
        <w:tabs>
          <w:tab w:val="left" w:pos="2840"/>
        </w:tabs>
        <w:jc w:val="center"/>
        <w:rPr>
          <w:b/>
          <w:color w:val="000000" w:themeColor="text1"/>
        </w:rPr>
      </w:pPr>
      <w:r>
        <w:rPr>
          <w:rFonts w:cstheme="minorHAnsi"/>
          <w:noProof/>
          <w:color w:val="030A13"/>
        </w:rPr>
        <mc:AlternateContent>
          <mc:Choice Requires="wps">
            <w:drawing>
              <wp:inline distT="0" distB="0" distL="0" distR="0" wp14:anchorId="2583532E" wp14:editId="0ACB1863">
                <wp:extent cx="5918200" cy="304800"/>
                <wp:effectExtent l="0" t="0" r="25400" b="19050"/>
                <wp:docPr id="6" name="Rectangle 6" descr="Text box that states:  earlyReading, Adaptive Reading, AUTOreading and CBMreading are all included in teh FastBRridge package."/>
                <wp:cNvGraphicFramePr/>
                <a:graphic xmlns:a="http://schemas.openxmlformats.org/drawingml/2006/main">
                  <a:graphicData uri="http://schemas.microsoft.com/office/word/2010/wordprocessingShape">
                    <wps:wsp>
                      <wps:cNvSpPr/>
                      <wps:spPr>
                        <a:xfrm>
                          <a:off x="0" y="0"/>
                          <a:ext cx="5918200" cy="30480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BC8D5" w14:textId="77777777" w:rsidR="0085405C" w:rsidRPr="00410021" w:rsidRDefault="0085405C" w:rsidP="00EB26EC">
                            <w:pPr>
                              <w:rPr>
                                <w:color w:val="171717" w:themeColor="background2" w:themeShade="1A"/>
                                <w:sz w:val="20"/>
                                <w:szCs w:val="20"/>
                              </w:rPr>
                            </w:pPr>
                            <w:r w:rsidRPr="00410021">
                              <w:rPr>
                                <w:color w:val="171717" w:themeColor="background2" w:themeShade="1A"/>
                                <w:sz w:val="20"/>
                                <w:szCs w:val="20"/>
                              </w:rPr>
                              <w:t>earlyReading, Adaptive Reading</w:t>
                            </w:r>
                            <w:r>
                              <w:rPr>
                                <w:color w:val="171717" w:themeColor="background2" w:themeShade="1A"/>
                                <w:sz w:val="20"/>
                                <w:szCs w:val="20"/>
                              </w:rPr>
                              <w:t>,</w:t>
                            </w:r>
                            <w:r w:rsidRPr="00410021">
                              <w:rPr>
                                <w:color w:val="171717" w:themeColor="background2" w:themeShade="1A"/>
                                <w:sz w:val="20"/>
                                <w:szCs w:val="20"/>
                              </w:rPr>
                              <w:t xml:space="preserve"> AUTOreading</w:t>
                            </w:r>
                            <w:r>
                              <w:rPr>
                                <w:color w:val="171717" w:themeColor="background2" w:themeShade="1A"/>
                                <w:sz w:val="20"/>
                                <w:szCs w:val="20"/>
                              </w:rPr>
                              <w:t xml:space="preserve"> and CBMreading</w:t>
                            </w:r>
                            <w:r w:rsidRPr="00410021">
                              <w:rPr>
                                <w:color w:val="171717" w:themeColor="background2" w:themeShade="1A"/>
                                <w:sz w:val="20"/>
                                <w:szCs w:val="20"/>
                              </w:rPr>
                              <w:t xml:space="preserve"> </w:t>
                            </w:r>
                            <w:r>
                              <w:rPr>
                                <w:color w:val="171717" w:themeColor="background2" w:themeShade="1A"/>
                                <w:sz w:val="20"/>
                                <w:szCs w:val="20"/>
                              </w:rPr>
                              <w:t xml:space="preserve">are all </w:t>
                            </w:r>
                            <w:r w:rsidRPr="00410021">
                              <w:rPr>
                                <w:color w:val="171717" w:themeColor="background2" w:themeShade="1A"/>
                                <w:sz w:val="20"/>
                                <w:szCs w:val="20"/>
                              </w:rPr>
                              <w:t>included in</w:t>
                            </w:r>
                            <w:r>
                              <w:rPr>
                                <w:color w:val="171717" w:themeColor="background2" w:themeShade="1A"/>
                                <w:sz w:val="20"/>
                                <w:szCs w:val="20"/>
                              </w:rPr>
                              <w:t xml:space="preserve"> the FastBridge</w:t>
                            </w:r>
                            <w:r w:rsidRPr="00410021">
                              <w:rPr>
                                <w:color w:val="171717" w:themeColor="background2" w:themeShade="1A"/>
                                <w:sz w:val="20"/>
                                <w:szCs w:val="20"/>
                              </w:rPr>
                              <w:t xml:space="preserve"> package.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83532E" id="Rectangle 6" o:spid="_x0000_s1026" alt="Text box that states:  earlyReading, Adaptive Reading, AUTOreading and CBMreading are all included in teh FastBRridge package." style="width:466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" fillcolor="#e2efd9 [665]" strokecolor="black [3213]" strokeweight="1pt">
                <v:textbox>
                  <w:txbxContent>
                    <w:p w14:paraId="782BC8D5" w14:textId="77777777" w:rsidR="0085405C" w:rsidRPr="00410021" w:rsidRDefault="0085405C" w:rsidP="00EB26EC">
                      <w:pPr>
                        <w:rPr>
                          <w:color w:val="171717" w:themeColor="background2" w:themeShade="1A"/>
                          <w:sz w:val="20"/>
                          <w:szCs w:val="20"/>
                        </w:rPr>
                      </w:pPr>
                      <w:r w:rsidRPr="00410021">
                        <w:rPr>
                          <w:color w:val="171717" w:themeColor="background2" w:themeShade="1A"/>
                          <w:sz w:val="20"/>
                          <w:szCs w:val="20"/>
                        </w:rPr>
                        <w:t>earlyReading, Adaptive Reading</w:t>
                      </w:r>
                      <w:r>
                        <w:rPr>
                          <w:color w:val="171717" w:themeColor="background2" w:themeShade="1A"/>
                          <w:sz w:val="20"/>
                          <w:szCs w:val="20"/>
                        </w:rPr>
                        <w:t>,</w:t>
                      </w:r>
                      <w:r w:rsidRPr="00410021">
                        <w:rPr>
                          <w:color w:val="171717" w:themeColor="background2" w:themeShade="1A"/>
                          <w:sz w:val="20"/>
                          <w:szCs w:val="20"/>
                        </w:rPr>
                        <w:t xml:space="preserve"> AUTOreading</w:t>
                      </w:r>
                      <w:r>
                        <w:rPr>
                          <w:color w:val="171717" w:themeColor="background2" w:themeShade="1A"/>
                          <w:sz w:val="20"/>
                          <w:szCs w:val="20"/>
                        </w:rPr>
                        <w:t xml:space="preserve"> and CBMreading</w:t>
                      </w:r>
                      <w:r w:rsidRPr="00410021">
                        <w:rPr>
                          <w:color w:val="171717" w:themeColor="background2" w:themeShade="1A"/>
                          <w:sz w:val="20"/>
                          <w:szCs w:val="20"/>
                        </w:rPr>
                        <w:t xml:space="preserve"> </w:t>
                      </w:r>
                      <w:r>
                        <w:rPr>
                          <w:color w:val="171717" w:themeColor="background2" w:themeShade="1A"/>
                          <w:sz w:val="20"/>
                          <w:szCs w:val="20"/>
                        </w:rPr>
                        <w:t xml:space="preserve">are all </w:t>
                      </w:r>
                      <w:r w:rsidRPr="00410021">
                        <w:rPr>
                          <w:color w:val="171717" w:themeColor="background2" w:themeShade="1A"/>
                          <w:sz w:val="20"/>
                          <w:szCs w:val="20"/>
                        </w:rPr>
                        <w:t>included in</w:t>
                      </w:r>
                      <w:r>
                        <w:rPr>
                          <w:color w:val="171717" w:themeColor="background2" w:themeShade="1A"/>
                          <w:sz w:val="20"/>
                          <w:szCs w:val="20"/>
                        </w:rPr>
                        <w:t xml:space="preserve"> the FastBridge</w:t>
                      </w:r>
                      <w:r w:rsidRPr="00410021">
                        <w:rPr>
                          <w:color w:val="171717" w:themeColor="background2" w:themeShade="1A"/>
                          <w:sz w:val="20"/>
                          <w:szCs w:val="20"/>
                        </w:rPr>
                        <w:t xml:space="preserve"> package.</w:t>
                      </w:r>
                    </w:p>
                  </w:txbxContent>
                </v:textbox>
                <w10:anchorlock/>
              </v:rect>
            </w:pict>
          </mc:Fallback>
        </mc:AlternateContent>
      </w:r>
    </w:p>
    <w:p w14:paraId="306F53B9" w14:textId="77777777" w:rsidR="00EB26EC" w:rsidRDefault="00EB26EC" w:rsidP="00EB26EC">
      <w:pPr>
        <w:pBdr>
          <w:top w:val="nil"/>
          <w:left w:val="nil"/>
          <w:bottom w:val="nil"/>
          <w:right w:val="nil"/>
          <w:between w:val="nil"/>
        </w:pBdr>
        <w:rPr>
          <w:b/>
          <w:color w:val="000000" w:themeColor="text1"/>
          <w:u w:val="single"/>
        </w:rPr>
      </w:pPr>
    </w:p>
    <w:p w14:paraId="39EBAA63" w14:textId="77777777" w:rsidR="00EB26EC" w:rsidRPr="007B0468" w:rsidRDefault="00EB26EC" w:rsidP="00EB26EC">
      <w:pPr>
        <w:pStyle w:val="ListParagraph"/>
        <w:numPr>
          <w:ilvl w:val="0"/>
          <w:numId w:val="4"/>
        </w:numPr>
        <w:pBdr>
          <w:top w:val="nil"/>
          <w:left w:val="nil"/>
          <w:bottom w:val="nil"/>
          <w:right w:val="nil"/>
          <w:between w:val="nil"/>
        </w:pBdr>
        <w:rPr>
          <w:color w:val="000000" w:themeColor="text1"/>
        </w:rPr>
      </w:pPr>
      <w:r w:rsidRPr="007B0468">
        <w:rPr>
          <w:color w:val="000000" w:themeColor="text1"/>
        </w:rPr>
        <w:t xml:space="preserve">Most teachers who provided feedback responded more positively to </w:t>
      </w:r>
      <w:proofErr w:type="spellStart"/>
      <w:r w:rsidRPr="007B0468">
        <w:rPr>
          <w:color w:val="000000" w:themeColor="text1"/>
        </w:rPr>
        <w:t>Istation</w:t>
      </w:r>
      <w:proofErr w:type="spellEnd"/>
      <w:r w:rsidRPr="007B0468">
        <w:rPr>
          <w:color w:val="000000" w:themeColor="text1"/>
        </w:rPr>
        <w:t xml:space="preserve"> ISIP, Lexia RAPID, and Renaissance STAR</w:t>
      </w:r>
      <w:r>
        <w:rPr>
          <w:color w:val="000000" w:themeColor="text1"/>
        </w:rPr>
        <w:t xml:space="preserve"> Early Literacy and Reading</w:t>
      </w:r>
      <w:r w:rsidRPr="007B0468">
        <w:rPr>
          <w:color w:val="000000" w:themeColor="text1"/>
        </w:rPr>
        <w:t xml:space="preserve"> as </w:t>
      </w:r>
      <w:r>
        <w:rPr>
          <w:color w:val="000000" w:themeColor="text1"/>
        </w:rPr>
        <w:t xml:space="preserve">being </w:t>
      </w:r>
      <w:r w:rsidRPr="007B0468">
        <w:rPr>
          <w:color w:val="000000" w:themeColor="text1"/>
        </w:rPr>
        <w:t>more teacher and student friendly in assessment administration, data analysis, and vendor support</w:t>
      </w:r>
      <w:r>
        <w:rPr>
          <w:color w:val="000000" w:themeColor="text1"/>
        </w:rPr>
        <w:t xml:space="preserve"> (see </w:t>
      </w:r>
      <w:r w:rsidRPr="00D6784C">
        <w:rPr>
          <w:i/>
          <w:iCs/>
          <w:color w:val="000000" w:themeColor="text1"/>
        </w:rPr>
        <w:t>Appendix C</w:t>
      </w:r>
      <w:r>
        <w:rPr>
          <w:color w:val="000000" w:themeColor="text1"/>
        </w:rPr>
        <w:t>)</w:t>
      </w:r>
      <w:r w:rsidRPr="007B0468">
        <w:rPr>
          <w:color w:val="000000" w:themeColor="text1"/>
        </w:rPr>
        <w:t>.</w:t>
      </w:r>
    </w:p>
    <w:p w14:paraId="20F46B10" w14:textId="77777777" w:rsidR="00EB26EC" w:rsidRDefault="00EB26EC" w:rsidP="00EB26EC">
      <w:pPr>
        <w:pStyle w:val="ListParagraph"/>
        <w:numPr>
          <w:ilvl w:val="0"/>
          <w:numId w:val="2"/>
        </w:numPr>
        <w:pBdr>
          <w:top w:val="nil"/>
          <w:left w:val="nil"/>
          <w:bottom w:val="nil"/>
          <w:right w:val="nil"/>
          <w:between w:val="nil"/>
        </w:pBdr>
        <w:rPr>
          <w:color w:val="000000" w:themeColor="text1"/>
        </w:rPr>
      </w:pPr>
      <w:proofErr w:type="spellStart"/>
      <w:r w:rsidRPr="00BF7AED">
        <w:rPr>
          <w:color w:val="000000" w:themeColor="text1"/>
        </w:rPr>
        <w:t>Istation</w:t>
      </w:r>
      <w:proofErr w:type="spellEnd"/>
      <w:r>
        <w:rPr>
          <w:color w:val="000000" w:themeColor="text1"/>
        </w:rPr>
        <w:t xml:space="preserve"> ISIP</w:t>
      </w:r>
      <w:r w:rsidRPr="00BF7AED">
        <w:rPr>
          <w:color w:val="000000" w:themeColor="text1"/>
        </w:rPr>
        <w:t xml:space="preserve"> and Renaissance STAR</w:t>
      </w:r>
      <w:r>
        <w:rPr>
          <w:color w:val="000000" w:themeColor="text1"/>
        </w:rPr>
        <w:t xml:space="preserve"> Early Literacy and Reading</w:t>
      </w:r>
      <w:r w:rsidRPr="00BF7AED">
        <w:rPr>
          <w:color w:val="000000" w:themeColor="text1"/>
        </w:rPr>
        <w:t xml:space="preserve"> </w:t>
      </w:r>
      <w:r>
        <w:rPr>
          <w:color w:val="000000" w:themeColor="text1"/>
        </w:rPr>
        <w:t xml:space="preserve">provide </w:t>
      </w:r>
      <w:r w:rsidRPr="00BF7AED">
        <w:rPr>
          <w:color w:val="000000" w:themeColor="text1"/>
        </w:rPr>
        <w:t>progress monitoring and instructional resources to support students with specific skill deficits</w:t>
      </w:r>
      <w:r>
        <w:rPr>
          <w:color w:val="000000" w:themeColor="text1"/>
        </w:rPr>
        <w:t>.</w:t>
      </w:r>
    </w:p>
    <w:p w14:paraId="5BBC0925" w14:textId="77777777" w:rsidR="00EB26EC" w:rsidRDefault="00EB26EC" w:rsidP="00EB26EC">
      <w:pPr>
        <w:pStyle w:val="ListParagraph"/>
        <w:numPr>
          <w:ilvl w:val="0"/>
          <w:numId w:val="2"/>
        </w:numPr>
        <w:pBdr>
          <w:top w:val="nil"/>
          <w:left w:val="nil"/>
          <w:bottom w:val="nil"/>
          <w:right w:val="nil"/>
          <w:between w:val="nil"/>
        </w:pBdr>
        <w:rPr>
          <w:color w:val="000000" w:themeColor="text1"/>
        </w:rPr>
      </w:pPr>
      <w:r w:rsidRPr="00BF7AED">
        <w:rPr>
          <w:color w:val="000000" w:themeColor="text1"/>
        </w:rPr>
        <w:t>Lexia RAPID provid</w:t>
      </w:r>
      <w:r>
        <w:rPr>
          <w:color w:val="000000" w:themeColor="text1"/>
        </w:rPr>
        <w:t xml:space="preserve">es </w:t>
      </w:r>
      <w:r w:rsidRPr="00BF7AED">
        <w:rPr>
          <w:color w:val="000000" w:themeColor="text1"/>
        </w:rPr>
        <w:t>instructional resources but no progress monitoring</w:t>
      </w:r>
      <w:r>
        <w:rPr>
          <w:color w:val="000000" w:themeColor="text1"/>
        </w:rPr>
        <w:t xml:space="preserve"> tools.</w:t>
      </w:r>
    </w:p>
    <w:p w14:paraId="57B7C375" w14:textId="77777777" w:rsidR="00EB26EC" w:rsidRPr="002F58A5" w:rsidRDefault="00EB26EC" w:rsidP="00EB26EC">
      <w:pPr>
        <w:pStyle w:val="ListParagraph"/>
        <w:numPr>
          <w:ilvl w:val="0"/>
          <w:numId w:val="2"/>
        </w:numPr>
        <w:pBdr>
          <w:top w:val="nil"/>
          <w:left w:val="nil"/>
          <w:bottom w:val="nil"/>
          <w:right w:val="nil"/>
          <w:between w:val="nil"/>
        </w:pBdr>
        <w:rPr>
          <w:color w:val="000000" w:themeColor="text1"/>
        </w:rPr>
      </w:pPr>
      <w:r w:rsidRPr="00BF7AED">
        <w:rPr>
          <w:color w:val="000000" w:themeColor="text1"/>
        </w:rPr>
        <w:t>NWEA MAP Growth provide</w:t>
      </w:r>
      <w:r>
        <w:rPr>
          <w:color w:val="000000" w:themeColor="text1"/>
        </w:rPr>
        <w:t>s</w:t>
      </w:r>
      <w:r w:rsidRPr="00BF7AED">
        <w:rPr>
          <w:color w:val="000000" w:themeColor="text1"/>
        </w:rPr>
        <w:t xml:space="preserve"> student grouping for specific skills</w:t>
      </w:r>
      <w:r>
        <w:rPr>
          <w:color w:val="000000" w:themeColor="text1"/>
        </w:rPr>
        <w:t xml:space="preserve"> to teachers,</w:t>
      </w:r>
      <w:r w:rsidRPr="00BF7AED">
        <w:rPr>
          <w:color w:val="000000" w:themeColor="text1"/>
        </w:rPr>
        <w:t xml:space="preserve"> but </w:t>
      </w:r>
      <w:r>
        <w:rPr>
          <w:color w:val="000000" w:themeColor="text1"/>
        </w:rPr>
        <w:t xml:space="preserve">teachers indicated they did not receive adequate </w:t>
      </w:r>
      <w:r w:rsidRPr="00BF7AED">
        <w:rPr>
          <w:color w:val="000000" w:themeColor="text1"/>
        </w:rPr>
        <w:t>support</w:t>
      </w:r>
      <w:r>
        <w:rPr>
          <w:color w:val="000000" w:themeColor="text1"/>
        </w:rPr>
        <w:t xml:space="preserve"> </w:t>
      </w:r>
      <w:r w:rsidRPr="00BF7AED">
        <w:rPr>
          <w:color w:val="000000" w:themeColor="text1"/>
        </w:rPr>
        <w:t>in data analysis</w:t>
      </w:r>
      <w:r>
        <w:rPr>
          <w:color w:val="000000" w:themeColor="text1"/>
        </w:rPr>
        <w:t xml:space="preserve"> or have access to</w:t>
      </w:r>
      <w:r w:rsidRPr="00BF7AED">
        <w:rPr>
          <w:color w:val="000000" w:themeColor="text1"/>
        </w:rPr>
        <w:t xml:space="preserve"> progress monitoring</w:t>
      </w:r>
      <w:r>
        <w:rPr>
          <w:color w:val="000000" w:themeColor="text1"/>
        </w:rPr>
        <w:t xml:space="preserve"> tools and </w:t>
      </w:r>
      <w:r w:rsidRPr="00BF7AED">
        <w:rPr>
          <w:color w:val="000000" w:themeColor="text1"/>
        </w:rPr>
        <w:t>instructional resources</w:t>
      </w:r>
      <w:r>
        <w:rPr>
          <w:color w:val="000000" w:themeColor="text1"/>
        </w:rPr>
        <w:t xml:space="preserve"> (see </w:t>
      </w:r>
      <w:r w:rsidRPr="00D6784C">
        <w:rPr>
          <w:i/>
          <w:iCs/>
          <w:color w:val="000000" w:themeColor="text1"/>
        </w:rPr>
        <w:t>Appendix C</w:t>
      </w:r>
      <w:r>
        <w:rPr>
          <w:color w:val="000000" w:themeColor="text1"/>
        </w:rPr>
        <w:t xml:space="preserve">). </w:t>
      </w:r>
      <w:r>
        <w:rPr>
          <w:color w:val="000000" w:themeColor="text1"/>
        </w:rPr>
        <w:br/>
      </w:r>
    </w:p>
    <w:p w14:paraId="3FD23260" w14:textId="77777777" w:rsidR="00EB26EC" w:rsidRPr="00EF02F0" w:rsidRDefault="00EB26EC" w:rsidP="00EB26EC">
      <w:pPr>
        <w:pStyle w:val="NormalWeb"/>
        <w:spacing w:line="331" w:lineRule="atLeast"/>
        <w:rPr>
          <w:rFonts w:asciiTheme="minorHAnsi" w:hAnsiTheme="minorHAnsi" w:cstheme="minorHAnsi"/>
          <w:color w:val="000000"/>
          <w:sz w:val="22"/>
          <w:szCs w:val="22"/>
          <w:u w:val="single"/>
        </w:rPr>
      </w:pPr>
      <w:r w:rsidRPr="00EF02F0">
        <w:rPr>
          <w:rFonts w:asciiTheme="minorHAnsi" w:hAnsiTheme="minorHAnsi" w:cstheme="minorHAnsi"/>
          <w:b/>
          <w:bCs/>
          <w:color w:val="000000"/>
          <w:sz w:val="22"/>
          <w:szCs w:val="22"/>
          <w:u w:val="single"/>
        </w:rPr>
        <w:t xml:space="preserve">Relationship </w:t>
      </w:r>
      <w:r>
        <w:rPr>
          <w:rFonts w:asciiTheme="minorHAnsi" w:hAnsiTheme="minorHAnsi" w:cstheme="minorHAnsi"/>
          <w:b/>
          <w:bCs/>
          <w:color w:val="000000"/>
          <w:sz w:val="22"/>
          <w:szCs w:val="22"/>
          <w:u w:val="single"/>
        </w:rPr>
        <w:t>B</w:t>
      </w:r>
      <w:r w:rsidRPr="00EF02F0">
        <w:rPr>
          <w:rFonts w:asciiTheme="minorHAnsi" w:hAnsiTheme="minorHAnsi" w:cstheme="minorHAnsi"/>
          <w:b/>
          <w:bCs/>
          <w:color w:val="000000"/>
          <w:sz w:val="22"/>
          <w:szCs w:val="22"/>
          <w:u w:val="single"/>
        </w:rPr>
        <w:t xml:space="preserve">etween </w:t>
      </w:r>
      <w:r>
        <w:rPr>
          <w:rFonts w:asciiTheme="minorHAnsi" w:hAnsiTheme="minorHAnsi" w:cstheme="minorHAnsi"/>
          <w:b/>
          <w:bCs/>
          <w:color w:val="000000"/>
          <w:sz w:val="22"/>
          <w:szCs w:val="22"/>
          <w:u w:val="single"/>
        </w:rPr>
        <w:t>U</w:t>
      </w:r>
      <w:r w:rsidRPr="00EF02F0">
        <w:rPr>
          <w:rFonts w:asciiTheme="minorHAnsi" w:hAnsiTheme="minorHAnsi" w:cstheme="minorHAnsi"/>
          <w:b/>
          <w:bCs/>
          <w:color w:val="000000"/>
          <w:sz w:val="22"/>
          <w:szCs w:val="22"/>
          <w:u w:val="single"/>
        </w:rPr>
        <w:t xml:space="preserve">niversal </w:t>
      </w:r>
      <w:r>
        <w:rPr>
          <w:rFonts w:asciiTheme="minorHAnsi" w:hAnsiTheme="minorHAnsi" w:cstheme="minorHAnsi"/>
          <w:b/>
          <w:bCs/>
          <w:color w:val="000000"/>
          <w:sz w:val="22"/>
          <w:szCs w:val="22"/>
          <w:u w:val="single"/>
        </w:rPr>
        <w:t>S</w:t>
      </w:r>
      <w:r w:rsidRPr="00EF02F0">
        <w:rPr>
          <w:rFonts w:asciiTheme="minorHAnsi" w:hAnsiTheme="minorHAnsi" w:cstheme="minorHAnsi"/>
          <w:b/>
          <w:bCs/>
          <w:color w:val="000000"/>
          <w:sz w:val="22"/>
          <w:szCs w:val="22"/>
          <w:u w:val="single"/>
        </w:rPr>
        <w:t xml:space="preserve">creening and </w:t>
      </w:r>
      <w:r>
        <w:rPr>
          <w:rFonts w:asciiTheme="minorHAnsi" w:hAnsiTheme="minorHAnsi" w:cstheme="minorHAnsi"/>
          <w:b/>
          <w:bCs/>
          <w:color w:val="000000"/>
          <w:sz w:val="22"/>
          <w:szCs w:val="22"/>
          <w:u w:val="single"/>
        </w:rPr>
        <w:t>D</w:t>
      </w:r>
      <w:r w:rsidRPr="00EF02F0">
        <w:rPr>
          <w:rFonts w:asciiTheme="minorHAnsi" w:hAnsiTheme="minorHAnsi" w:cstheme="minorHAnsi"/>
          <w:b/>
          <w:bCs/>
          <w:color w:val="000000"/>
          <w:sz w:val="22"/>
          <w:szCs w:val="22"/>
          <w:u w:val="single"/>
        </w:rPr>
        <w:t>yslexia</w:t>
      </w:r>
    </w:p>
    <w:p w14:paraId="6664CADA" w14:textId="1531173A" w:rsidR="00EB26EC" w:rsidRDefault="00EB26EC" w:rsidP="00EB26EC">
      <w:pPr>
        <w:pBdr>
          <w:top w:val="nil"/>
          <w:left w:val="nil"/>
          <w:bottom w:val="nil"/>
          <w:right w:val="nil"/>
          <w:between w:val="nil"/>
        </w:pBdr>
        <w:spacing w:line="240" w:lineRule="auto"/>
      </w:pPr>
      <w:r w:rsidRPr="002C38CD">
        <w:rPr>
          <w:rFonts w:ascii="Calibri" w:hAnsi="Calibri" w:cs="Calibri"/>
          <w:color w:val="000000"/>
        </w:rPr>
        <w:t>DESE recommends that schools select a high-quality</w:t>
      </w:r>
      <w:r>
        <w:rPr>
          <w:rFonts w:ascii="Calibri" w:hAnsi="Calibri" w:cs="Calibri"/>
          <w:color w:val="000000"/>
        </w:rPr>
        <w:t xml:space="preserve"> universal</w:t>
      </w:r>
      <w:r w:rsidRPr="002C38CD">
        <w:rPr>
          <w:rFonts w:ascii="Calibri" w:hAnsi="Calibri" w:cs="Calibri"/>
          <w:color w:val="000000"/>
        </w:rPr>
        <w:t xml:space="preserve"> screening assessment that includes brief progress monitoring tools (see </w:t>
      </w:r>
      <w:r w:rsidRPr="00026DE9">
        <w:rPr>
          <w:rFonts w:ascii="Calibri" w:hAnsi="Calibri" w:cs="Calibri"/>
          <w:i/>
          <w:color w:val="000000"/>
        </w:rPr>
        <w:t>Appendix B</w:t>
      </w:r>
      <w:r w:rsidRPr="002C38CD">
        <w:rPr>
          <w:rFonts w:ascii="Calibri" w:hAnsi="Calibri" w:cs="Calibri"/>
          <w:color w:val="000000"/>
        </w:rPr>
        <w:t xml:space="preserve"> or</w:t>
      </w:r>
      <w:hyperlink r:id="rId15" w:history="1">
        <w:r w:rsidRPr="002C38CD">
          <w:rPr>
            <w:rStyle w:val="Hyperlink"/>
            <w:rFonts w:ascii="Calibri" w:hAnsi="Calibri" w:cs="Calibri"/>
            <w:color w:val="000000"/>
          </w:rPr>
          <w:t xml:space="preserve"> </w:t>
        </w:r>
        <w:r w:rsidRPr="002C38CD">
          <w:rPr>
            <w:rStyle w:val="Hyperlink"/>
            <w:rFonts w:ascii="Calibri" w:hAnsi="Calibri" w:cs="Calibri"/>
            <w:i/>
            <w:iCs/>
            <w:color w:val="0563C1"/>
          </w:rPr>
          <w:t>National Center on Intensive Intervention</w:t>
        </w:r>
      </w:hyperlink>
      <w:r w:rsidRPr="002C38CD">
        <w:rPr>
          <w:rFonts w:ascii="Calibri" w:hAnsi="Calibri" w:cs="Calibri"/>
          <w:color w:val="000000"/>
        </w:rPr>
        <w:t>).  A</w:t>
      </w:r>
      <w:r>
        <w:rPr>
          <w:rFonts w:ascii="Calibri" w:hAnsi="Calibri" w:cs="Calibri"/>
          <w:color w:val="000000"/>
        </w:rPr>
        <w:t xml:space="preserve"> universal screening assessment</w:t>
      </w:r>
      <w:r w:rsidRPr="002C38CD">
        <w:rPr>
          <w:rFonts w:ascii="Calibri" w:hAnsi="Calibri" w:cs="Calibri"/>
          <w:color w:val="000000"/>
        </w:rPr>
        <w:t xml:space="preserve"> will </w:t>
      </w:r>
      <w:r w:rsidRPr="002C38CD">
        <w:rPr>
          <w:rFonts w:ascii="Calibri" w:hAnsi="Calibri" w:cs="Calibri"/>
          <w:b/>
          <w:bCs/>
          <w:i/>
          <w:iCs/>
          <w:color w:val="000000"/>
        </w:rPr>
        <w:t>identify students at risk</w:t>
      </w:r>
      <w:r w:rsidRPr="002C38CD">
        <w:rPr>
          <w:rFonts w:ascii="Calibri" w:hAnsi="Calibri" w:cs="Calibri"/>
          <w:color w:val="000000"/>
        </w:rPr>
        <w:t xml:space="preserve"> for future reading difficulties, not students with dyslexia. Upon identification of students at risk based upon code-based subtests, students should receive evidence-based, </w:t>
      </w:r>
      <w:r w:rsidRPr="002C38CD">
        <w:rPr>
          <w:rFonts w:ascii="Calibri" w:hAnsi="Calibri" w:cs="Calibri"/>
          <w:color w:val="000000"/>
        </w:rPr>
        <w:lastRenderedPageBreak/>
        <w:t>code-based</w:t>
      </w:r>
      <w:r>
        <w:rPr>
          <w:rFonts w:ascii="Calibri" w:hAnsi="Calibri" w:cs="Calibri"/>
          <w:color w:val="000000"/>
        </w:rPr>
        <w:t>, core</w:t>
      </w:r>
      <w:r w:rsidRPr="002C38CD">
        <w:rPr>
          <w:rFonts w:ascii="Calibri" w:hAnsi="Calibri" w:cs="Calibri"/>
          <w:color w:val="000000"/>
        </w:rPr>
        <w:t xml:space="preserve"> instruction or intervention in addition to core instruction that can be examined for adequate response or non-response.</w:t>
      </w:r>
      <w:r>
        <w:rPr>
          <w:rFonts w:ascii="Calibri" w:hAnsi="Calibri" w:cs="Calibri"/>
          <w:color w:val="000000"/>
        </w:rPr>
        <w:t xml:space="preserve">  </w:t>
      </w:r>
      <w:r>
        <w:rPr>
          <w:rFonts w:eastAsia="Times New Roman"/>
          <w:color w:val="000000"/>
        </w:rPr>
        <w:t>Further assessment may then be appropriate for students who do not make adequate progress.</w:t>
      </w:r>
      <w:r w:rsidR="00A51DD9">
        <w:rPr>
          <w:rFonts w:eastAsia="Times New Roman"/>
          <w:color w:val="000000"/>
        </w:rPr>
        <w:t xml:space="preserve"> Please consult the </w:t>
      </w:r>
      <w:hyperlink r:id="rId16" w:history="1">
        <w:r w:rsidR="00A51DD9" w:rsidRPr="00A51DD9">
          <w:rPr>
            <w:rStyle w:val="Hyperlink"/>
            <w:rFonts w:eastAsia="Times New Roman"/>
          </w:rPr>
          <w:t>Massachusetts Dyslexia Guidelines</w:t>
        </w:r>
      </w:hyperlink>
      <w:r w:rsidR="00A51DD9">
        <w:rPr>
          <w:rFonts w:eastAsia="Times New Roman"/>
          <w:color w:val="000000"/>
        </w:rPr>
        <w:t xml:space="preserve"> for detailed information.</w:t>
      </w:r>
    </w:p>
    <w:p w14:paraId="18C6D037" w14:textId="77777777" w:rsidR="00EB26EC" w:rsidRDefault="00EB26EC">
      <w:r>
        <w:br w:type="page"/>
      </w:r>
    </w:p>
    <w:p w14:paraId="1E2E7BB0" w14:textId="77777777" w:rsidR="00EB26EC" w:rsidRPr="00C456A3" w:rsidRDefault="00EB26EC" w:rsidP="00EB26EC">
      <w:pPr>
        <w:jc w:val="center"/>
        <w:rPr>
          <w:rFonts w:cstheme="minorHAnsi"/>
          <w:b/>
          <w:bCs/>
          <w:sz w:val="28"/>
          <w:szCs w:val="28"/>
        </w:rPr>
      </w:pPr>
      <w:r w:rsidRPr="00C456A3">
        <w:rPr>
          <w:rFonts w:cstheme="minorHAnsi"/>
          <w:b/>
          <w:bCs/>
          <w:sz w:val="28"/>
          <w:szCs w:val="28"/>
        </w:rPr>
        <w:lastRenderedPageBreak/>
        <w:t>Appendix A</w:t>
      </w:r>
    </w:p>
    <w:p w14:paraId="784BE121" w14:textId="77777777" w:rsidR="00EB26EC" w:rsidRPr="00E70680" w:rsidRDefault="00EB26EC" w:rsidP="00EB26EC">
      <w:pPr>
        <w:jc w:val="center"/>
        <w:rPr>
          <w:rFonts w:cstheme="minorHAnsi"/>
          <w:b/>
          <w:bCs/>
          <w:sz w:val="28"/>
          <w:szCs w:val="28"/>
        </w:rPr>
      </w:pPr>
      <w:r w:rsidRPr="00C456A3">
        <w:rPr>
          <w:rFonts w:cstheme="minorHAnsi"/>
          <w:b/>
          <w:bCs/>
          <w:sz w:val="28"/>
          <w:szCs w:val="28"/>
        </w:rPr>
        <w:t>Universal Screening Assessment Criteria</w:t>
      </w:r>
    </w:p>
    <w:p w14:paraId="1208B929" w14:textId="673D4471" w:rsidR="00EB26EC" w:rsidRPr="00C456A3" w:rsidRDefault="00EB26EC" w:rsidP="00EB26EC">
      <w:pPr>
        <w:rPr>
          <w:rFonts w:cstheme="minorHAnsi"/>
        </w:rPr>
      </w:pPr>
      <w:r w:rsidRPr="00C456A3">
        <w:rPr>
          <w:rFonts w:cstheme="minorHAnsi"/>
        </w:rPr>
        <w:t>The approved screening assessments met the following criteria:</w:t>
      </w:r>
    </w:p>
    <w:p w14:paraId="73B40B45" w14:textId="64B73748" w:rsidR="00EB26EC" w:rsidRPr="00C456A3" w:rsidRDefault="00EB26EC" w:rsidP="00EB26EC">
      <w:pPr>
        <w:numPr>
          <w:ilvl w:val="0"/>
          <w:numId w:val="18"/>
        </w:numPr>
        <w:spacing w:after="0" w:line="240" w:lineRule="auto"/>
        <w:ind w:left="360"/>
        <w:contextualSpacing/>
        <w:rPr>
          <w:rFonts w:eastAsia="Times New Roman" w:cstheme="minorHAnsi"/>
        </w:rPr>
      </w:pPr>
      <w:r w:rsidRPr="00C456A3">
        <w:rPr>
          <w:rFonts w:eastAsia="Times New Roman" w:cstheme="minorHAnsi"/>
        </w:rPr>
        <w:t>Provide specific evidence that the early literacy screening tool meets each of the following criteria:</w:t>
      </w:r>
    </w:p>
    <w:p w14:paraId="5D214ACE" w14:textId="0D3A9098" w:rsidR="00EB26EC" w:rsidRPr="00C456A3" w:rsidRDefault="00EB26EC" w:rsidP="00EB26EC">
      <w:pPr>
        <w:numPr>
          <w:ilvl w:val="0"/>
          <w:numId w:val="17"/>
        </w:numPr>
        <w:tabs>
          <w:tab w:val="clear" w:pos="720"/>
          <w:tab w:val="num" w:pos="360"/>
        </w:tabs>
        <w:spacing w:after="0" w:line="240" w:lineRule="auto"/>
        <w:textAlignment w:val="baseline"/>
        <w:rPr>
          <w:rFonts w:eastAsia="Times New Roman" w:cstheme="minorHAnsi"/>
          <w:b/>
          <w:bCs/>
        </w:rPr>
      </w:pPr>
      <w:bookmarkStart w:id="0" w:name="_Hlk4500417"/>
      <w:r w:rsidRPr="00C456A3">
        <w:rPr>
          <w:rFonts w:eastAsia="Times New Roman" w:cstheme="minorHAnsi"/>
          <w:b/>
          <w:bCs/>
        </w:rPr>
        <w:t xml:space="preserve">Valid and Reliable: </w:t>
      </w:r>
      <w:r w:rsidRPr="00C456A3">
        <w:rPr>
          <w:rFonts w:eastAsia="Times New Roman" w:cstheme="minorHAnsi"/>
          <w:b/>
          <w:bCs/>
          <w:iCs/>
        </w:rPr>
        <w:t> </w:t>
      </w:r>
      <w:bookmarkEnd w:id="0"/>
      <w:r w:rsidRPr="00C456A3">
        <w:rPr>
          <w:rFonts w:eastAsia="Times New Roman" w:cstheme="minorHAnsi"/>
        </w:rPr>
        <w:t>conforms to standards of validity and reliability such as those defined in “</w:t>
      </w:r>
      <w:hyperlink r:id="rId17" w:history="1">
        <w:r w:rsidRPr="00EB26EC">
          <w:rPr>
            <w:rStyle w:val="Hyperlink"/>
            <w:rFonts w:eastAsia="Times New Roman" w:cstheme="minorHAnsi"/>
          </w:rPr>
          <w:t>Academic Screening Tools Chart Rating Rubric</w:t>
        </w:r>
      </w:hyperlink>
      <w:r w:rsidRPr="00C456A3">
        <w:rPr>
          <w:rFonts w:eastAsia="Times New Roman" w:cstheme="minorHAnsi"/>
        </w:rPr>
        <w:t>,” National Center of Intensive Intervention at American Institutes for Research, Ideas That Work, U.S. Office of Special Education Programs.</w:t>
      </w:r>
    </w:p>
    <w:p w14:paraId="613F9AAC" w14:textId="1CB4BE0B" w:rsidR="00EB26EC" w:rsidRPr="00C456A3" w:rsidRDefault="00EB26EC" w:rsidP="00EB26EC">
      <w:pPr>
        <w:numPr>
          <w:ilvl w:val="0"/>
          <w:numId w:val="17"/>
        </w:numPr>
        <w:tabs>
          <w:tab w:val="clear" w:pos="720"/>
          <w:tab w:val="num" w:pos="360"/>
        </w:tabs>
        <w:spacing w:after="0" w:line="240" w:lineRule="auto"/>
        <w:textAlignment w:val="baseline"/>
        <w:rPr>
          <w:rFonts w:eastAsia="Times New Roman" w:cstheme="minorHAnsi"/>
          <w:b/>
          <w:bCs/>
        </w:rPr>
      </w:pPr>
      <w:bookmarkStart w:id="1" w:name="_Hlk4500796"/>
      <w:r w:rsidRPr="00C456A3">
        <w:rPr>
          <w:rFonts w:eastAsia="Times New Roman" w:cstheme="minorHAnsi"/>
          <w:iCs/>
        </w:rPr>
        <w:t xml:space="preserve">Developed and/or evaluated using </w:t>
      </w:r>
      <w:bookmarkEnd w:id="1"/>
      <w:r w:rsidRPr="00C456A3">
        <w:rPr>
          <w:rFonts w:eastAsia="Times New Roman" w:cstheme="minorHAnsi"/>
          <w:b/>
          <w:bCs/>
        </w:rPr>
        <w:t>scientifically based research methods</w:t>
      </w:r>
      <w:r w:rsidR="00446DB0">
        <w:rPr>
          <w:rFonts w:eastAsia="Times New Roman" w:cstheme="minorHAnsi"/>
          <w:b/>
          <w:bCs/>
        </w:rPr>
        <w:t>*</w:t>
      </w:r>
    </w:p>
    <w:p w14:paraId="601DB085" w14:textId="77777777" w:rsidR="00EB26EC" w:rsidRPr="00C456A3" w:rsidRDefault="00EB26EC" w:rsidP="00EB26EC">
      <w:pPr>
        <w:numPr>
          <w:ilvl w:val="0"/>
          <w:numId w:val="17"/>
        </w:numPr>
        <w:spacing w:after="0" w:line="240" w:lineRule="auto"/>
        <w:textAlignment w:val="baseline"/>
        <w:rPr>
          <w:rFonts w:eastAsia="Times New Roman" w:cstheme="minorHAnsi"/>
          <w:b/>
          <w:bCs/>
        </w:rPr>
      </w:pPr>
      <w:r w:rsidRPr="00C456A3">
        <w:rPr>
          <w:rFonts w:eastAsia="Times New Roman" w:cstheme="minorHAnsi"/>
          <w:b/>
          <w:bCs/>
        </w:rPr>
        <w:t xml:space="preserve">Brief: </w:t>
      </w:r>
      <w:r w:rsidRPr="00C456A3">
        <w:rPr>
          <w:rFonts w:eastAsia="Times New Roman" w:cstheme="minorHAnsi"/>
          <w:iCs/>
        </w:rPr>
        <w:t xml:space="preserve"> Less than 60 minutes to administer </w:t>
      </w:r>
    </w:p>
    <w:p w14:paraId="6E09B7B4" w14:textId="77777777" w:rsidR="00EB26EC" w:rsidRPr="00C456A3" w:rsidRDefault="00EB26EC" w:rsidP="00EB26EC">
      <w:pPr>
        <w:numPr>
          <w:ilvl w:val="0"/>
          <w:numId w:val="17"/>
        </w:numPr>
        <w:spacing w:after="0" w:line="240" w:lineRule="auto"/>
        <w:textAlignment w:val="baseline"/>
        <w:rPr>
          <w:rFonts w:eastAsia="Times New Roman" w:cstheme="minorHAnsi"/>
          <w:b/>
          <w:bCs/>
        </w:rPr>
      </w:pPr>
      <w:r w:rsidRPr="00C456A3">
        <w:rPr>
          <w:rFonts w:eastAsia="Times New Roman" w:cstheme="minorHAnsi"/>
          <w:b/>
          <w:bCs/>
        </w:rPr>
        <w:t>Scoring Criteria (must include a minimum of the following):</w:t>
      </w:r>
    </w:p>
    <w:p w14:paraId="05D968FC" w14:textId="77777777" w:rsidR="00EB26EC" w:rsidRPr="00C456A3" w:rsidRDefault="00EB26EC" w:rsidP="00EB26EC">
      <w:pPr>
        <w:numPr>
          <w:ilvl w:val="1"/>
          <w:numId w:val="17"/>
        </w:numPr>
        <w:spacing w:after="0" w:line="240" w:lineRule="auto"/>
        <w:textAlignment w:val="baseline"/>
        <w:rPr>
          <w:rFonts w:eastAsia="Times New Roman" w:cstheme="minorHAnsi"/>
          <w:b/>
          <w:bCs/>
        </w:rPr>
      </w:pPr>
      <w:bookmarkStart w:id="2" w:name="_Hlk4501366"/>
      <w:r w:rsidRPr="00C456A3">
        <w:rPr>
          <w:rFonts w:eastAsia="Times New Roman" w:cstheme="minorHAnsi"/>
          <w:iCs/>
        </w:rPr>
        <w:t>Provides a percentile rank that compares the students’ results to a nationally representative group</w:t>
      </w:r>
    </w:p>
    <w:p w14:paraId="009D30F1" w14:textId="77777777" w:rsidR="00EB26EC" w:rsidRPr="00C456A3" w:rsidRDefault="00EB26EC" w:rsidP="00EB26EC">
      <w:pPr>
        <w:numPr>
          <w:ilvl w:val="1"/>
          <w:numId w:val="17"/>
        </w:numPr>
        <w:spacing w:after="0" w:line="240" w:lineRule="auto"/>
        <w:textAlignment w:val="baseline"/>
        <w:rPr>
          <w:rFonts w:eastAsia="Times New Roman" w:cstheme="minorHAnsi"/>
          <w:iCs/>
        </w:rPr>
      </w:pPr>
      <w:r w:rsidRPr="00C456A3">
        <w:rPr>
          <w:rFonts w:eastAsia="Times New Roman" w:cstheme="minorHAnsi"/>
          <w:iCs/>
        </w:rPr>
        <w:t>Includes a predetermined (external) benchmark score that represents levels of proficiency</w:t>
      </w:r>
    </w:p>
    <w:p w14:paraId="296B332B" w14:textId="77777777" w:rsidR="00EB26EC" w:rsidRPr="00C456A3" w:rsidRDefault="00EB26EC" w:rsidP="00EB26EC">
      <w:pPr>
        <w:numPr>
          <w:ilvl w:val="1"/>
          <w:numId w:val="17"/>
        </w:numPr>
        <w:spacing w:after="0" w:line="240" w:lineRule="auto"/>
        <w:textAlignment w:val="baseline"/>
        <w:rPr>
          <w:rFonts w:eastAsia="Times New Roman" w:cstheme="minorHAnsi"/>
          <w:iCs/>
        </w:rPr>
      </w:pPr>
      <w:r w:rsidRPr="00C456A3">
        <w:rPr>
          <w:rFonts w:eastAsia="Times New Roman" w:cstheme="minorHAnsi"/>
          <w:iCs/>
        </w:rPr>
        <w:t>Provide percentile ranks or benchmarks in narrowly defined skills (e.g., phonemic awareness, comprehension)</w:t>
      </w:r>
    </w:p>
    <w:bookmarkEnd w:id="2"/>
    <w:p w14:paraId="1096B325" w14:textId="77777777" w:rsidR="00EB26EC" w:rsidRPr="00C456A3" w:rsidRDefault="00EB26EC" w:rsidP="00EB26EC">
      <w:pPr>
        <w:numPr>
          <w:ilvl w:val="0"/>
          <w:numId w:val="16"/>
        </w:numPr>
        <w:spacing w:after="0" w:line="240" w:lineRule="auto"/>
        <w:contextualSpacing/>
        <w:rPr>
          <w:rFonts w:eastAsia="Times New Roman" w:cstheme="minorHAnsi"/>
        </w:rPr>
      </w:pPr>
      <w:r w:rsidRPr="00C456A3">
        <w:rPr>
          <w:rFonts w:eastAsia="Times New Roman" w:cstheme="minorHAnsi"/>
          <w:b/>
          <w:bCs/>
        </w:rPr>
        <w:t>Able to be administered more than once a year:   </w:t>
      </w:r>
      <w:r w:rsidRPr="00C456A3">
        <w:rPr>
          <w:rFonts w:eastAsia="Times New Roman" w:cstheme="minorHAnsi"/>
          <w:iCs/>
        </w:rPr>
        <w:t>Screening three times is necessary to evaluate program effectiveness, establish local norms and cut scores, and provide data to the following year teacher.</w:t>
      </w:r>
    </w:p>
    <w:p w14:paraId="00634C1A" w14:textId="097416CD" w:rsidR="00EB26EC" w:rsidRPr="00C456A3" w:rsidRDefault="00EB26EC" w:rsidP="00EB26EC">
      <w:pPr>
        <w:numPr>
          <w:ilvl w:val="0"/>
          <w:numId w:val="16"/>
        </w:numPr>
        <w:spacing w:after="0" w:line="240" w:lineRule="auto"/>
        <w:textAlignment w:val="baseline"/>
        <w:rPr>
          <w:rFonts w:eastAsia="Times New Roman" w:cstheme="minorHAnsi"/>
          <w:b/>
          <w:bCs/>
        </w:rPr>
      </w:pPr>
      <w:r w:rsidRPr="00C456A3">
        <w:rPr>
          <w:rFonts w:eastAsia="Times New Roman" w:cstheme="minorHAnsi"/>
          <w:b/>
          <w:bCs/>
        </w:rPr>
        <w:t>Code- and Meaning-Based Assessment AND/OR Rapid Automatized Naming Assessment:  </w:t>
      </w:r>
      <w:r w:rsidRPr="00C456A3">
        <w:rPr>
          <w:rFonts w:eastAsia="Times New Roman" w:cstheme="minorHAnsi"/>
          <w:iCs/>
        </w:rPr>
        <w:t>We need measurements across different areas to fully gauge student progress</w:t>
      </w:r>
    </w:p>
    <w:p w14:paraId="7C6B3F5F" w14:textId="77777777" w:rsidR="00EB26EC" w:rsidRPr="00C456A3" w:rsidRDefault="00EB26EC" w:rsidP="00EB26EC">
      <w:pPr>
        <w:numPr>
          <w:ilvl w:val="1"/>
          <w:numId w:val="16"/>
        </w:numPr>
        <w:spacing w:after="0" w:line="240" w:lineRule="auto"/>
        <w:textAlignment w:val="baseline"/>
        <w:rPr>
          <w:rFonts w:eastAsia="Times New Roman" w:cstheme="minorHAnsi"/>
          <w:iCs/>
        </w:rPr>
      </w:pPr>
      <w:r w:rsidRPr="00C456A3">
        <w:rPr>
          <w:rFonts w:eastAsia="Times New Roman" w:cstheme="minorHAnsi"/>
          <w:iCs/>
        </w:rPr>
        <w:t>Code- and meaning-based assessments must assess the following constructs: (</w:t>
      </w:r>
      <w:r w:rsidRPr="00C456A3">
        <w:rPr>
          <w:rFonts w:eastAsia="Times New Roman" w:cstheme="minorHAnsi"/>
          <w:iCs/>
          <w:u w:val="single"/>
        </w:rPr>
        <w:t>minimum</w:t>
      </w:r>
      <w:r w:rsidRPr="00C456A3">
        <w:rPr>
          <w:rFonts w:eastAsia="Times New Roman" w:cstheme="minorHAnsi"/>
          <w:iCs/>
        </w:rPr>
        <w:t xml:space="preserve"> requirements; additional constructs are acceptable)</w:t>
      </w:r>
    </w:p>
    <w:p w14:paraId="396B115E" w14:textId="77777777" w:rsidR="00EB26EC" w:rsidRPr="00C456A3" w:rsidRDefault="00EB26EC" w:rsidP="00EB26EC">
      <w:pPr>
        <w:numPr>
          <w:ilvl w:val="2"/>
          <w:numId w:val="16"/>
        </w:numPr>
        <w:spacing w:after="0" w:line="240" w:lineRule="auto"/>
        <w:textAlignment w:val="baseline"/>
        <w:rPr>
          <w:rFonts w:eastAsia="Times New Roman" w:cstheme="minorHAnsi"/>
          <w:iCs/>
        </w:rPr>
      </w:pPr>
      <w:r w:rsidRPr="00C456A3">
        <w:rPr>
          <w:rFonts w:eastAsia="Times New Roman" w:cstheme="minorHAnsi"/>
          <w:iCs/>
        </w:rPr>
        <w:t>Sound/symbol correspondence</w:t>
      </w:r>
    </w:p>
    <w:p w14:paraId="5B861857" w14:textId="77777777" w:rsidR="00EB26EC" w:rsidRPr="00C456A3" w:rsidRDefault="00EB26EC" w:rsidP="00EB26EC">
      <w:pPr>
        <w:numPr>
          <w:ilvl w:val="2"/>
          <w:numId w:val="16"/>
        </w:numPr>
        <w:spacing w:after="0" w:line="240" w:lineRule="auto"/>
        <w:textAlignment w:val="baseline"/>
        <w:rPr>
          <w:rFonts w:eastAsia="Times New Roman" w:cstheme="minorHAnsi"/>
          <w:iCs/>
        </w:rPr>
      </w:pPr>
      <w:r w:rsidRPr="00C456A3">
        <w:rPr>
          <w:rFonts w:eastAsia="Times New Roman" w:cstheme="minorHAnsi"/>
          <w:iCs/>
        </w:rPr>
        <w:t>Phonological Awareness (e.g., rhyming, blending, segmenting)</w:t>
      </w:r>
    </w:p>
    <w:p w14:paraId="4260AF9A" w14:textId="77777777" w:rsidR="00EB26EC" w:rsidRPr="0015769E" w:rsidRDefault="00EB26EC" w:rsidP="00EB26EC">
      <w:pPr>
        <w:numPr>
          <w:ilvl w:val="2"/>
          <w:numId w:val="16"/>
        </w:numPr>
        <w:spacing w:after="0" w:line="240" w:lineRule="auto"/>
        <w:textAlignment w:val="baseline"/>
        <w:rPr>
          <w:rFonts w:eastAsia="Times New Roman" w:cstheme="minorHAnsi"/>
          <w:iCs/>
        </w:rPr>
      </w:pPr>
      <w:r w:rsidRPr="00C456A3">
        <w:rPr>
          <w:rFonts w:eastAsia="Times New Roman" w:cstheme="minorHAnsi"/>
          <w:iCs/>
        </w:rPr>
        <w:t>Vocabulary and/or comprehension</w:t>
      </w:r>
    </w:p>
    <w:p w14:paraId="123D734D" w14:textId="77777777" w:rsidR="00EB26EC" w:rsidRPr="00C456A3" w:rsidRDefault="00EB26EC" w:rsidP="00EB26EC">
      <w:pPr>
        <w:numPr>
          <w:ilvl w:val="0"/>
          <w:numId w:val="18"/>
        </w:numPr>
        <w:spacing w:after="0" w:line="240" w:lineRule="auto"/>
        <w:ind w:left="360"/>
        <w:contextualSpacing/>
        <w:rPr>
          <w:rFonts w:eastAsia="Times New Roman" w:cstheme="minorHAnsi"/>
        </w:rPr>
      </w:pPr>
      <w:r w:rsidRPr="00C456A3">
        <w:rPr>
          <w:rFonts w:eastAsia="Times New Roman" w:cstheme="minorHAnsi"/>
        </w:rPr>
        <w:t>Vendor offers a training and support package to support school-based administrators and educators on screening administration, data collection and data analysis.</w:t>
      </w:r>
    </w:p>
    <w:p w14:paraId="5A7D07F8" w14:textId="77777777" w:rsidR="00EB26EC" w:rsidRDefault="00EB26EC" w:rsidP="00EB26EC">
      <w:pPr>
        <w:numPr>
          <w:ilvl w:val="0"/>
          <w:numId w:val="18"/>
        </w:numPr>
        <w:spacing w:after="0" w:line="240" w:lineRule="auto"/>
        <w:ind w:left="360"/>
        <w:contextualSpacing/>
        <w:rPr>
          <w:rFonts w:eastAsia="Times New Roman" w:cstheme="minorHAnsi"/>
        </w:rPr>
      </w:pPr>
      <w:r w:rsidRPr="00C456A3">
        <w:rPr>
          <w:rFonts w:eastAsia="Times New Roman" w:cstheme="minorHAnsi"/>
        </w:rPr>
        <w:t>Established reputation as a provider of high-quality, evidence-based, early literacy screening assessments that meet the criteria listed above</w:t>
      </w:r>
    </w:p>
    <w:p w14:paraId="09A79B60" w14:textId="77777777" w:rsidR="00EB26EC" w:rsidRDefault="00EB26EC" w:rsidP="00EB26EC">
      <w:pPr>
        <w:numPr>
          <w:ilvl w:val="0"/>
          <w:numId w:val="18"/>
        </w:numPr>
        <w:spacing w:after="0" w:line="240" w:lineRule="auto"/>
        <w:ind w:left="360"/>
        <w:contextualSpacing/>
        <w:rPr>
          <w:rFonts w:eastAsia="Times New Roman" w:cstheme="minorHAnsi"/>
        </w:rPr>
      </w:pPr>
      <w:r w:rsidRPr="009B07B5">
        <w:rPr>
          <w:rFonts w:eastAsia="Times New Roman" w:cstheme="minorHAnsi"/>
        </w:rPr>
        <w:t>Established reputation as a provider of professional development and/or support to public school administrators and educator</w:t>
      </w:r>
      <w:r>
        <w:rPr>
          <w:rFonts w:eastAsia="Times New Roman" w:cstheme="minorHAnsi"/>
        </w:rPr>
        <w:t>s</w:t>
      </w:r>
    </w:p>
    <w:p w14:paraId="7E006306" w14:textId="1A172BB3" w:rsidR="00EB26EC" w:rsidRDefault="00EB26EC">
      <w:pPr>
        <w:rPr>
          <w:rFonts w:eastAsia="Times New Roman" w:cstheme="minorHAnsi"/>
        </w:rPr>
      </w:pPr>
    </w:p>
    <w:p w14:paraId="03386D10" w14:textId="0A19B8D1" w:rsidR="00446DB0" w:rsidRPr="00446DB0" w:rsidRDefault="00446DB0" w:rsidP="00446DB0">
      <w:pPr>
        <w:spacing w:after="0" w:line="240" w:lineRule="auto"/>
        <w:rPr>
          <w:rFonts w:eastAsia="Times New Roman" w:cstheme="minorHAnsi"/>
          <w:color w:val="333333"/>
        </w:rPr>
      </w:pPr>
      <w:r w:rsidRPr="00446DB0">
        <w:rPr>
          <w:rFonts w:eastAsia="Times New Roman" w:cstheme="minorHAnsi"/>
          <w:color w:val="333333"/>
        </w:rPr>
        <w:t xml:space="preserve">*According to 20 USCS § 7801(37) the term “scientifically based research” </w:t>
      </w:r>
    </w:p>
    <w:p w14:paraId="26BCBD4E" w14:textId="77777777" w:rsidR="00446DB0" w:rsidRPr="00446DB0" w:rsidRDefault="00446DB0" w:rsidP="00446DB0">
      <w:pPr>
        <w:spacing w:after="0" w:line="240" w:lineRule="auto"/>
        <w:ind w:left="720"/>
        <w:rPr>
          <w:rFonts w:eastAsia="Times New Roman" w:cstheme="minorHAnsi"/>
          <w:color w:val="333333"/>
        </w:rPr>
      </w:pPr>
      <w:r w:rsidRPr="00446DB0">
        <w:rPr>
          <w:rFonts w:eastAsia="Times New Roman" w:cstheme="minorHAnsi"/>
          <w:color w:val="333333"/>
        </w:rPr>
        <w:t>(A) means research that involves the application of rigorous, systematic, and objective procedures to obtain reliable and valid knowledge relevant to education activities and programs; and</w:t>
      </w:r>
    </w:p>
    <w:p w14:paraId="31B71F8C" w14:textId="77777777" w:rsidR="00446DB0" w:rsidRPr="00446DB0" w:rsidRDefault="00446DB0" w:rsidP="00446DB0">
      <w:pPr>
        <w:spacing w:after="0" w:line="240" w:lineRule="auto"/>
        <w:ind w:firstLine="720"/>
        <w:rPr>
          <w:rFonts w:eastAsia="Times New Roman" w:cstheme="minorHAnsi"/>
          <w:color w:val="333333"/>
        </w:rPr>
      </w:pPr>
      <w:r w:rsidRPr="00446DB0">
        <w:rPr>
          <w:rFonts w:eastAsia="Times New Roman" w:cstheme="minorHAnsi"/>
          <w:color w:val="333333"/>
        </w:rPr>
        <w:t>(B) includes research that--</w:t>
      </w:r>
    </w:p>
    <w:p w14:paraId="59420FE8" w14:textId="77777777" w:rsidR="00446DB0" w:rsidRPr="00446DB0" w:rsidRDefault="00446DB0" w:rsidP="00446DB0">
      <w:pPr>
        <w:spacing w:after="0" w:line="240" w:lineRule="auto"/>
        <w:ind w:left="720" w:firstLine="720"/>
        <w:rPr>
          <w:rFonts w:eastAsia="Times New Roman" w:cstheme="minorHAnsi"/>
          <w:color w:val="333333"/>
        </w:rPr>
      </w:pPr>
      <w:r w:rsidRPr="00446DB0">
        <w:rPr>
          <w:rFonts w:eastAsia="Times New Roman" w:cstheme="minorHAnsi"/>
          <w:color w:val="333333"/>
        </w:rPr>
        <w:t xml:space="preserve">(i) employs systematic, empirical methods that draw on observation or </w:t>
      </w:r>
      <w:proofErr w:type="gramStart"/>
      <w:r w:rsidRPr="00446DB0">
        <w:rPr>
          <w:rFonts w:eastAsia="Times New Roman" w:cstheme="minorHAnsi"/>
          <w:color w:val="333333"/>
        </w:rPr>
        <w:t>experiment;</w:t>
      </w:r>
      <w:proofErr w:type="gramEnd"/>
      <w:r w:rsidRPr="00446DB0">
        <w:rPr>
          <w:rFonts w:eastAsia="Times New Roman" w:cstheme="minorHAnsi"/>
          <w:color w:val="333333"/>
        </w:rPr>
        <w:t xml:space="preserve"> </w:t>
      </w:r>
    </w:p>
    <w:p w14:paraId="56690D26" w14:textId="77777777" w:rsidR="00446DB0" w:rsidRPr="00446DB0" w:rsidRDefault="00446DB0" w:rsidP="00446DB0">
      <w:pPr>
        <w:spacing w:after="0" w:line="240" w:lineRule="auto"/>
        <w:ind w:left="1440"/>
        <w:rPr>
          <w:rFonts w:eastAsia="Times New Roman" w:cstheme="minorHAnsi"/>
          <w:color w:val="333333"/>
        </w:rPr>
      </w:pPr>
      <w:r w:rsidRPr="00446DB0">
        <w:rPr>
          <w:rFonts w:eastAsia="Times New Roman" w:cstheme="minorHAnsi"/>
          <w:color w:val="333333"/>
        </w:rPr>
        <w:t xml:space="preserve">(ii) involves rigorous data analyses that are adequate to test the stated hypotheses and justify the general conclusions </w:t>
      </w:r>
      <w:proofErr w:type="gramStart"/>
      <w:r w:rsidRPr="00446DB0">
        <w:rPr>
          <w:rFonts w:eastAsia="Times New Roman" w:cstheme="minorHAnsi"/>
          <w:color w:val="333333"/>
        </w:rPr>
        <w:t>drawn;</w:t>
      </w:r>
      <w:proofErr w:type="gramEnd"/>
      <w:r w:rsidRPr="00446DB0">
        <w:rPr>
          <w:rFonts w:eastAsia="Times New Roman" w:cstheme="minorHAnsi"/>
          <w:color w:val="333333"/>
        </w:rPr>
        <w:t xml:space="preserve"> </w:t>
      </w:r>
    </w:p>
    <w:p w14:paraId="172A4ACA" w14:textId="77777777" w:rsidR="00446DB0" w:rsidRPr="00446DB0" w:rsidRDefault="00446DB0" w:rsidP="00446DB0">
      <w:pPr>
        <w:spacing w:after="0" w:line="240" w:lineRule="auto"/>
        <w:ind w:left="1440"/>
        <w:rPr>
          <w:rFonts w:eastAsia="Times New Roman" w:cstheme="minorHAnsi"/>
          <w:color w:val="333333"/>
        </w:rPr>
      </w:pPr>
      <w:r w:rsidRPr="00446DB0">
        <w:rPr>
          <w:rFonts w:eastAsia="Times New Roman" w:cstheme="minorHAnsi"/>
          <w:color w:val="333333"/>
        </w:rPr>
        <w:lastRenderedPageBreak/>
        <w:t xml:space="preserve">(iii) relies on measurements or observational methods that provide reliable and valid data across evaluators and observers, across multiple measurements and observations, and across studies by the same or different </w:t>
      </w:r>
      <w:proofErr w:type="gramStart"/>
      <w:r w:rsidRPr="00446DB0">
        <w:rPr>
          <w:rFonts w:eastAsia="Times New Roman" w:cstheme="minorHAnsi"/>
          <w:color w:val="333333"/>
        </w:rPr>
        <w:t>investigators;</w:t>
      </w:r>
      <w:proofErr w:type="gramEnd"/>
      <w:r w:rsidRPr="00446DB0">
        <w:rPr>
          <w:rFonts w:eastAsia="Times New Roman" w:cstheme="minorHAnsi"/>
          <w:color w:val="333333"/>
        </w:rPr>
        <w:t xml:space="preserve"> </w:t>
      </w:r>
    </w:p>
    <w:p w14:paraId="4C83F502" w14:textId="77777777" w:rsidR="00446DB0" w:rsidRPr="00446DB0" w:rsidRDefault="00446DB0" w:rsidP="00446DB0">
      <w:pPr>
        <w:spacing w:after="0" w:line="240" w:lineRule="auto"/>
        <w:ind w:left="1440"/>
        <w:rPr>
          <w:rFonts w:eastAsia="Times New Roman" w:cstheme="minorHAnsi"/>
          <w:color w:val="333333"/>
        </w:rPr>
      </w:pPr>
      <w:r w:rsidRPr="00446DB0">
        <w:rPr>
          <w:rFonts w:eastAsia="Times New Roman" w:cstheme="minorHAnsi"/>
          <w:color w:val="333333"/>
        </w:rPr>
        <w:t xml:space="preserve">(iv)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 </w:t>
      </w:r>
    </w:p>
    <w:p w14:paraId="7D5B2E75" w14:textId="77777777" w:rsidR="00446DB0" w:rsidRPr="00446DB0" w:rsidRDefault="00446DB0" w:rsidP="00446DB0">
      <w:pPr>
        <w:spacing w:after="0" w:line="240" w:lineRule="auto"/>
        <w:ind w:left="1440"/>
        <w:rPr>
          <w:rFonts w:eastAsia="Times New Roman" w:cstheme="minorHAnsi"/>
          <w:color w:val="333333"/>
        </w:rPr>
      </w:pPr>
      <w:r w:rsidRPr="00446DB0">
        <w:rPr>
          <w:rFonts w:eastAsia="Times New Roman" w:cstheme="minorHAnsi"/>
          <w:color w:val="333333"/>
        </w:rPr>
        <w:t>(v) ensures that experimental studies are presented in sufficient detail and clarity to allow for replication or, at a minimum, offer the opportunity to build systematically on their findings; and</w:t>
      </w:r>
    </w:p>
    <w:p w14:paraId="2E122B73" w14:textId="77777777" w:rsidR="00446DB0" w:rsidRPr="00446DB0" w:rsidRDefault="00446DB0" w:rsidP="00446DB0">
      <w:pPr>
        <w:pStyle w:val="EndnoteText"/>
        <w:ind w:left="1440"/>
        <w:rPr>
          <w:rFonts w:cstheme="minorHAnsi"/>
          <w:color w:val="333333"/>
          <w:sz w:val="22"/>
          <w:szCs w:val="22"/>
        </w:rPr>
      </w:pPr>
      <w:r w:rsidRPr="00446DB0">
        <w:rPr>
          <w:rFonts w:cstheme="minorHAnsi"/>
          <w:color w:val="333333"/>
          <w:sz w:val="22"/>
          <w:szCs w:val="22"/>
        </w:rPr>
        <w:t>(vi) has been accepted by a peer-reviewed journal or approved by a panel of independent experts through a comparably rigorous, objective, and scientific review.”</w:t>
      </w:r>
    </w:p>
    <w:p w14:paraId="05F42B93" w14:textId="77777777" w:rsidR="00446DB0" w:rsidRDefault="00446DB0">
      <w:pPr>
        <w:rPr>
          <w:rFonts w:eastAsia="Times New Roman" w:cstheme="minorHAnsi"/>
        </w:rPr>
      </w:pPr>
    </w:p>
    <w:p w14:paraId="35A52CCE" w14:textId="77777777" w:rsidR="00446DB0" w:rsidRDefault="00446DB0">
      <w:pPr>
        <w:rPr>
          <w:b/>
          <w:bCs/>
          <w:sz w:val="28"/>
          <w:szCs w:val="28"/>
        </w:rPr>
      </w:pPr>
      <w:r>
        <w:rPr>
          <w:b/>
          <w:bCs/>
          <w:sz w:val="28"/>
          <w:szCs w:val="28"/>
        </w:rPr>
        <w:br w:type="page"/>
      </w:r>
    </w:p>
    <w:p w14:paraId="1F646721" w14:textId="17D3DBD5" w:rsidR="00A51DD9" w:rsidRPr="00E70680" w:rsidRDefault="00A51DD9" w:rsidP="00A51DD9">
      <w:pPr>
        <w:spacing w:line="240" w:lineRule="auto"/>
        <w:jc w:val="center"/>
        <w:rPr>
          <w:b/>
          <w:bCs/>
          <w:sz w:val="28"/>
          <w:szCs w:val="28"/>
        </w:rPr>
      </w:pPr>
      <w:r w:rsidRPr="00E70680">
        <w:rPr>
          <w:b/>
          <w:bCs/>
          <w:sz w:val="28"/>
          <w:szCs w:val="28"/>
        </w:rPr>
        <w:lastRenderedPageBreak/>
        <w:t>Appendix C</w:t>
      </w:r>
    </w:p>
    <w:p w14:paraId="2F539048" w14:textId="77777777" w:rsidR="00805062" w:rsidRPr="00E70680" w:rsidRDefault="00805062" w:rsidP="00805062">
      <w:pPr>
        <w:spacing w:line="240" w:lineRule="auto"/>
        <w:jc w:val="center"/>
        <w:rPr>
          <w:b/>
          <w:bCs/>
          <w:sz w:val="28"/>
          <w:szCs w:val="28"/>
        </w:rPr>
      </w:pPr>
      <w:r w:rsidRPr="00E70680">
        <w:rPr>
          <w:b/>
          <w:bCs/>
          <w:sz w:val="28"/>
          <w:szCs w:val="28"/>
        </w:rPr>
        <w:t>Screener Pilot Survey Data</w:t>
      </w:r>
    </w:p>
    <w:p w14:paraId="158E83A8" w14:textId="77777777" w:rsidR="00805062" w:rsidRDefault="00805062" w:rsidP="00805062">
      <w:r>
        <w:t xml:space="preserve">Grant participants participated in a Survey to give feedback on the assessment they piloted. Representing eleven schools from nine districts, 132 respondents participated fully in the survey.  </w:t>
      </w:r>
    </w:p>
    <w:p w14:paraId="175D855F" w14:textId="77777777" w:rsidR="00805062" w:rsidRDefault="00805062" w:rsidP="00805062">
      <w:pPr>
        <w:tabs>
          <w:tab w:val="left" w:pos="2250"/>
        </w:tabs>
      </w:pPr>
      <w:r w:rsidRPr="00542B3A">
        <w:rPr>
          <w:b/>
          <w:bCs/>
        </w:rPr>
        <w:t>Graphic 1</w:t>
      </w:r>
      <w:r>
        <w:rPr>
          <w:b/>
          <w:bCs/>
        </w:rPr>
        <w:t xml:space="preserve">: </w:t>
      </w:r>
      <w:r w:rsidRPr="00C456A3">
        <w:rPr>
          <w:b/>
          <w:bCs/>
        </w:rPr>
        <w:t>Pilot Assessment</w:t>
      </w:r>
    </w:p>
    <w:p w14:paraId="79D24FF8" w14:textId="77777777" w:rsidR="00805062" w:rsidRDefault="00805062" w:rsidP="00805062">
      <w:pPr>
        <w:jc w:val="center"/>
      </w:pPr>
      <w:r>
        <w:rPr>
          <w:noProof/>
        </w:rPr>
        <w:drawing>
          <wp:inline distT="0" distB="0" distL="0" distR="0" wp14:anchorId="3FB3BDA4" wp14:editId="29293D83">
            <wp:extent cx="3105150" cy="1479550"/>
            <wp:effectExtent l="0" t="0" r="0" b="6350"/>
            <wp:docPr id="26" name="Chart 26" descr="Graphic 1 is a pie chart that represents the number of participants who responded to the survey for each assessment.  Istation ISIP in light green is 24%, Lexia RAPID in light blue is  26%, MAP Growth in gold is 22% and STAR in dark green is 27%. ">
              <a:extLst xmlns:a="http://schemas.openxmlformats.org/drawingml/2006/main">
                <a:ext uri="{FF2B5EF4-FFF2-40B4-BE49-F238E27FC236}">
                  <a16:creationId xmlns:a16="http://schemas.microsoft.com/office/drawing/2014/main" id="{9414FF73-87F4-4433-8C9D-2261072550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52E1B8" w14:textId="77777777" w:rsidR="00805062" w:rsidRDefault="00805062" w:rsidP="00805062">
      <w:r>
        <w:t>The four pilot assessments were equally represented in the data collection.</w:t>
      </w:r>
    </w:p>
    <w:p w14:paraId="7A3990D5" w14:textId="77777777" w:rsidR="00805062" w:rsidRDefault="00805062" w:rsidP="00805062">
      <w:r w:rsidRPr="00542B3A">
        <w:rPr>
          <w:b/>
          <w:bCs/>
        </w:rPr>
        <w:t>Graphic 2</w:t>
      </w:r>
      <w:r>
        <w:t xml:space="preserve">:  </w:t>
      </w:r>
      <w:r w:rsidRPr="00C456A3">
        <w:rPr>
          <w:b/>
          <w:bCs/>
        </w:rPr>
        <w:t>Assessment instructions were easily understood by students.</w:t>
      </w:r>
    </w:p>
    <w:p w14:paraId="0D763DD5" w14:textId="77777777" w:rsidR="00805062" w:rsidRDefault="00805062" w:rsidP="00805062">
      <w:pPr>
        <w:jc w:val="center"/>
        <w:rPr>
          <w:noProof/>
        </w:rPr>
      </w:pPr>
      <w:r>
        <w:rPr>
          <w:noProof/>
        </w:rPr>
        <w:drawing>
          <wp:inline distT="0" distB="0" distL="0" distR="0" wp14:anchorId="3D4732AB" wp14:editId="67C8826F">
            <wp:extent cx="3181350" cy="1651000"/>
            <wp:effectExtent l="0" t="0" r="0" b="6350"/>
            <wp:docPr id="27" name="Chart 27" descr="Graphic 2 is a bar graph with four blue bars that represents participants who responded strongly agree, agree or somewhat agree with assessment instructions were easily understood by students for the four assessments.  Istation ISIP 82%, Lexia RAPID 89%, MAP Growth 63%, STAR 94%.">
              <a:extLst xmlns:a="http://schemas.openxmlformats.org/drawingml/2006/main">
                <a:ext uri="{FF2B5EF4-FFF2-40B4-BE49-F238E27FC236}">
                  <a16:creationId xmlns:a16="http://schemas.microsoft.com/office/drawing/2014/main" id="{756AE26D-5D4C-413F-82B7-0B6E661D6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1973B1" w14:textId="65E71D1E" w:rsidR="00805062" w:rsidRDefault="00805062" w:rsidP="00805062">
      <w:r>
        <w:t xml:space="preserve">Graphic 2 represents participants who responded strongly agree, agree or somewhat agree with </w:t>
      </w:r>
      <w:r w:rsidRPr="000E377B">
        <w:rPr>
          <w:i/>
          <w:iCs/>
        </w:rPr>
        <w:t>assessment instructions were easily understood by students</w:t>
      </w:r>
      <w:r>
        <w:t xml:space="preserve">.  94% (33/35) responded positively for STAR, 89% (34/38) for RAPID, 82% (32/39) for </w:t>
      </w:r>
      <w:proofErr w:type="spellStart"/>
      <w:r>
        <w:t>Istation</w:t>
      </w:r>
      <w:proofErr w:type="spellEnd"/>
      <w:r>
        <w:t xml:space="preserve"> ISIP and 63% (20/32) for NWEA MAP Growth.</w:t>
      </w:r>
    </w:p>
    <w:p w14:paraId="4F8ED60A" w14:textId="77777777" w:rsidR="00446DB0" w:rsidRDefault="00446DB0">
      <w:pPr>
        <w:rPr>
          <w:b/>
          <w:bCs/>
        </w:rPr>
      </w:pPr>
      <w:r>
        <w:rPr>
          <w:b/>
          <w:bCs/>
        </w:rPr>
        <w:br w:type="page"/>
      </w:r>
    </w:p>
    <w:p w14:paraId="604C1B3A" w14:textId="5CEB725A" w:rsidR="00805062" w:rsidRDefault="00805062" w:rsidP="00805062">
      <w:r w:rsidRPr="00542B3A">
        <w:rPr>
          <w:b/>
          <w:bCs/>
        </w:rPr>
        <w:lastRenderedPageBreak/>
        <w:t>Graphic 3</w:t>
      </w:r>
      <w:r>
        <w:t xml:space="preserve">:  </w:t>
      </w:r>
      <w:r w:rsidRPr="00C456A3">
        <w:rPr>
          <w:b/>
          <w:bCs/>
        </w:rPr>
        <w:t>Students were able to complete the computer-based literacy screener with no additional support.</w:t>
      </w:r>
    </w:p>
    <w:p w14:paraId="62BD5FC0" w14:textId="77777777" w:rsidR="00805062" w:rsidRDefault="00805062" w:rsidP="00805062">
      <w:pPr>
        <w:jc w:val="center"/>
      </w:pPr>
      <w:r>
        <w:rPr>
          <w:noProof/>
        </w:rPr>
        <w:drawing>
          <wp:inline distT="0" distB="0" distL="0" distR="0" wp14:anchorId="2725FABC" wp14:editId="1B971853">
            <wp:extent cx="2895600" cy="1657350"/>
            <wp:effectExtent l="0" t="0" r="0" b="0"/>
            <wp:docPr id="30" name="Chart 30" descr="Graphic 3 is a bar graph that represents participants who responded strongly agree, agree or somewhat agree with students were able to complete the computer based literacy screener with no additional support for the four screeners.  Istation ISIP, 64%, Lexia RAPID 61%, MAP Growth 34% and STAR 69%.">
              <a:extLst xmlns:a="http://schemas.openxmlformats.org/drawingml/2006/main">
                <a:ext uri="{FF2B5EF4-FFF2-40B4-BE49-F238E27FC236}">
                  <a16:creationId xmlns:a16="http://schemas.microsoft.com/office/drawing/2014/main" id="{756AE26D-5D4C-413F-82B7-0B6E661D6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0F473B" w14:textId="77777777" w:rsidR="00805062" w:rsidRDefault="00805062" w:rsidP="00805062">
      <w:r>
        <w:t xml:space="preserve">Graphic 3 represents participants who responded strongly agree, agree and somewhat agree with </w:t>
      </w:r>
      <w:r w:rsidRPr="000E377B">
        <w:rPr>
          <w:i/>
          <w:iCs/>
        </w:rPr>
        <w:t>students were able to complete the computer-based literacy screener with no additional support</w:t>
      </w:r>
      <w:r>
        <w:t xml:space="preserve">.  69% (24/35) responded positively for STAR, 64% for </w:t>
      </w:r>
      <w:proofErr w:type="spellStart"/>
      <w:r>
        <w:t>Istation</w:t>
      </w:r>
      <w:proofErr w:type="spellEnd"/>
      <w:r>
        <w:t xml:space="preserve"> ISIP, 61% for Lexia RAPID and 34% for NWEA MAP Growth.  </w:t>
      </w:r>
    </w:p>
    <w:p w14:paraId="632C6D49" w14:textId="77777777" w:rsidR="00805062" w:rsidRDefault="00805062" w:rsidP="00805062">
      <w:pPr>
        <w:rPr>
          <w:b/>
          <w:bCs/>
        </w:rPr>
      </w:pPr>
      <w:r w:rsidRPr="00A146BF">
        <w:rPr>
          <w:b/>
          <w:bCs/>
        </w:rPr>
        <w:t>Second Administration:</w:t>
      </w:r>
      <w:r>
        <w:rPr>
          <w:b/>
          <w:bCs/>
        </w:rPr>
        <w:t xml:space="preserve">  </w:t>
      </w:r>
    </w:p>
    <w:p w14:paraId="3A6974F8" w14:textId="77777777" w:rsidR="00805062" w:rsidRDefault="00805062" w:rsidP="00805062">
      <w:r>
        <w:t xml:space="preserve">Table 1:  69% (27/39) </w:t>
      </w:r>
      <w:proofErr w:type="spellStart"/>
      <w:r>
        <w:t>Istation</w:t>
      </w:r>
      <w:proofErr w:type="spellEnd"/>
      <w:r>
        <w:t xml:space="preserve"> respondents responded that the second administration was easier than the first.  68% (26/38) for Lexia RAPID, 67% (23/35) for STAR and 47% (15/32) for NWEA.</w:t>
      </w:r>
    </w:p>
    <w:p w14:paraId="7AB913B3" w14:textId="77777777" w:rsidR="00805062" w:rsidRPr="00A146BF" w:rsidRDefault="00805062" w:rsidP="00805062">
      <w:pPr>
        <w:rPr>
          <w:b/>
          <w:bCs/>
        </w:rPr>
      </w:pPr>
      <w:r>
        <w:rPr>
          <w:b/>
          <w:bCs/>
        </w:rPr>
        <w:t>Table 1:  Second Administration Participant Feedback.  This table represents a sampling of responses for each assessment.</w:t>
      </w:r>
    </w:p>
    <w:tbl>
      <w:tblPr>
        <w:tblStyle w:val="TableGrid"/>
        <w:tblW w:w="0" w:type="auto"/>
        <w:jc w:val="center"/>
        <w:tblLook w:val="04A0" w:firstRow="1" w:lastRow="0" w:firstColumn="1" w:lastColumn="0" w:noHBand="0" w:noVBand="1"/>
      </w:tblPr>
      <w:tblGrid>
        <w:gridCol w:w="1658"/>
        <w:gridCol w:w="8268"/>
      </w:tblGrid>
      <w:tr w:rsidR="00805062" w:rsidRPr="00CA3822" w14:paraId="6BB0E086" w14:textId="77777777" w:rsidTr="00120C51">
        <w:trPr>
          <w:jc w:val="center"/>
        </w:trPr>
        <w:tc>
          <w:tcPr>
            <w:tcW w:w="1705" w:type="dxa"/>
            <w:shd w:val="clear" w:color="auto" w:fill="D9E2F3" w:themeFill="accent1" w:themeFillTint="33"/>
          </w:tcPr>
          <w:p w14:paraId="2935B06A" w14:textId="77777777" w:rsidR="00805062" w:rsidRPr="00CA3822" w:rsidRDefault="00805062" w:rsidP="00120C51">
            <w:proofErr w:type="spellStart"/>
            <w:r>
              <w:t>Istation</w:t>
            </w:r>
            <w:proofErr w:type="spellEnd"/>
            <w:r>
              <w:t xml:space="preserve"> ISIP</w:t>
            </w:r>
          </w:p>
        </w:tc>
        <w:tc>
          <w:tcPr>
            <w:tcW w:w="9085" w:type="dxa"/>
            <w:shd w:val="clear" w:color="auto" w:fill="D9E2F3" w:themeFill="accent1" w:themeFillTint="33"/>
          </w:tcPr>
          <w:p w14:paraId="0BBDAC0D" w14:textId="77777777" w:rsidR="00805062" w:rsidRPr="00CA3822" w:rsidRDefault="00805062" w:rsidP="00805062">
            <w:pPr>
              <w:pStyle w:val="ListParagraph"/>
              <w:numPr>
                <w:ilvl w:val="0"/>
                <w:numId w:val="11"/>
              </w:numPr>
              <w:rPr>
                <w:rFonts w:cstheme="minorHAnsi"/>
              </w:rPr>
            </w:pPr>
            <w:r w:rsidRPr="00CA3822">
              <w:rPr>
                <w:rFonts w:eastAsia="Times New Roman" w:cstheme="minorHAnsi"/>
              </w:rPr>
              <w:t xml:space="preserve">It took a great amount of assistance for Kindergarten. </w:t>
            </w:r>
          </w:p>
          <w:p w14:paraId="067E2486" w14:textId="77777777" w:rsidR="00805062" w:rsidRPr="00CA3822" w:rsidRDefault="00805062" w:rsidP="00805062">
            <w:pPr>
              <w:pStyle w:val="ListParagraph"/>
              <w:numPr>
                <w:ilvl w:val="0"/>
                <w:numId w:val="11"/>
              </w:numPr>
              <w:rPr>
                <w:rFonts w:cstheme="minorHAnsi"/>
              </w:rPr>
            </w:pPr>
            <w:r w:rsidRPr="00CA3822">
              <w:rPr>
                <w:rFonts w:cstheme="minorHAnsi"/>
              </w:rPr>
              <w:t>I often had the same questions from each student. Knowing how to PAUSE to take a break, especially when a student needed more time to complete</w:t>
            </w:r>
            <w:r>
              <w:rPr>
                <w:rFonts w:cstheme="minorHAnsi"/>
              </w:rPr>
              <w:t>,</w:t>
            </w:r>
            <w:r w:rsidRPr="00CA3822">
              <w:rPr>
                <w:rFonts w:cstheme="minorHAnsi"/>
              </w:rPr>
              <w:t xml:space="preserve"> should be an important part to point out at the beginning trainings.</w:t>
            </w:r>
          </w:p>
          <w:p w14:paraId="304BEC31" w14:textId="77777777" w:rsidR="00805062" w:rsidRPr="00A146BF" w:rsidRDefault="00805062" w:rsidP="00805062">
            <w:pPr>
              <w:pStyle w:val="ListParagraph"/>
              <w:numPr>
                <w:ilvl w:val="0"/>
                <w:numId w:val="11"/>
              </w:numPr>
              <w:rPr>
                <w:rFonts w:cstheme="minorHAnsi"/>
              </w:rPr>
            </w:pPr>
            <w:r w:rsidRPr="00CA3822">
              <w:rPr>
                <w:rFonts w:cstheme="minorHAnsi"/>
              </w:rPr>
              <w:t>Beginning of the year instructions and the ability to complete assessment for students was challenging as their computer skills and difficulty on the computer factored into their ability to answer questions.</w:t>
            </w:r>
          </w:p>
        </w:tc>
      </w:tr>
      <w:tr w:rsidR="00805062" w:rsidRPr="00CA3822" w14:paraId="1BCF6374" w14:textId="77777777" w:rsidTr="00120C51">
        <w:trPr>
          <w:jc w:val="center"/>
        </w:trPr>
        <w:tc>
          <w:tcPr>
            <w:tcW w:w="1705" w:type="dxa"/>
            <w:shd w:val="clear" w:color="auto" w:fill="B4C6E7" w:themeFill="accent1" w:themeFillTint="66"/>
          </w:tcPr>
          <w:p w14:paraId="7BA274E1" w14:textId="77777777" w:rsidR="00805062" w:rsidRDefault="00805062" w:rsidP="00120C51">
            <w:r>
              <w:t>Lexia RAPD</w:t>
            </w:r>
          </w:p>
        </w:tc>
        <w:tc>
          <w:tcPr>
            <w:tcW w:w="9085" w:type="dxa"/>
            <w:shd w:val="clear" w:color="auto" w:fill="B4C6E7" w:themeFill="accent1" w:themeFillTint="66"/>
          </w:tcPr>
          <w:p w14:paraId="226AD3DA" w14:textId="77777777" w:rsidR="00805062" w:rsidRPr="000E377B" w:rsidRDefault="00805062" w:rsidP="00805062">
            <w:pPr>
              <w:pStyle w:val="ListParagraph"/>
              <w:numPr>
                <w:ilvl w:val="0"/>
                <w:numId w:val="11"/>
              </w:numPr>
              <w:rPr>
                <w:rFonts w:cstheme="minorHAnsi"/>
              </w:rPr>
            </w:pPr>
            <w:r w:rsidRPr="000E377B">
              <w:rPr>
                <w:rFonts w:cstheme="minorHAnsi"/>
              </w:rPr>
              <w:t>Students were more familiar using a Chromebook. At the beginning of the year they had never used one before.</w:t>
            </w:r>
          </w:p>
          <w:p w14:paraId="774E0C43" w14:textId="77777777" w:rsidR="00805062" w:rsidRPr="000E377B" w:rsidRDefault="00805062" w:rsidP="00805062">
            <w:pPr>
              <w:pStyle w:val="ListParagraph"/>
              <w:numPr>
                <w:ilvl w:val="0"/>
                <w:numId w:val="11"/>
              </w:numPr>
              <w:rPr>
                <w:rFonts w:eastAsia="Times New Roman" w:cstheme="minorHAnsi"/>
              </w:rPr>
            </w:pPr>
            <w:r w:rsidRPr="000E377B">
              <w:rPr>
                <w:rFonts w:cstheme="minorHAnsi"/>
              </w:rPr>
              <w:t>Now that I knew what to expect and the students had used the devices previously the whole process was easier. It still took about the same amount of time, but I felt more comfortable with the process.</w:t>
            </w:r>
          </w:p>
          <w:p w14:paraId="08395DC7" w14:textId="77777777" w:rsidR="00805062" w:rsidRPr="000E377B" w:rsidRDefault="00805062" w:rsidP="00805062">
            <w:pPr>
              <w:pStyle w:val="ListParagraph"/>
              <w:numPr>
                <w:ilvl w:val="0"/>
                <w:numId w:val="11"/>
              </w:numPr>
              <w:rPr>
                <w:rFonts w:eastAsia="Times New Roman" w:cstheme="minorHAnsi"/>
              </w:rPr>
            </w:pPr>
            <w:r w:rsidRPr="000E377B">
              <w:rPr>
                <w:rFonts w:eastAsia="Times New Roman" w:cstheme="minorHAnsi"/>
              </w:rPr>
              <w:t>I felt more confident the second time administrating the test. The second time I also completed the reading portion to see. I enjoyed the grading and thought it was an easy process and great way to collect more information on my students.</w:t>
            </w:r>
          </w:p>
        </w:tc>
      </w:tr>
      <w:tr w:rsidR="00805062" w:rsidRPr="00CA3822" w14:paraId="658D1973" w14:textId="77777777" w:rsidTr="00120C51">
        <w:trPr>
          <w:jc w:val="center"/>
        </w:trPr>
        <w:tc>
          <w:tcPr>
            <w:tcW w:w="1705" w:type="dxa"/>
            <w:shd w:val="clear" w:color="auto" w:fill="D9E2F3" w:themeFill="accent1" w:themeFillTint="33"/>
          </w:tcPr>
          <w:p w14:paraId="7E27098A" w14:textId="77777777" w:rsidR="00805062" w:rsidRDefault="00805062" w:rsidP="00120C51">
            <w:r>
              <w:t>NWEA MAP Growth</w:t>
            </w:r>
          </w:p>
        </w:tc>
        <w:tc>
          <w:tcPr>
            <w:tcW w:w="9085" w:type="dxa"/>
            <w:shd w:val="clear" w:color="auto" w:fill="D9E2F3" w:themeFill="accent1" w:themeFillTint="33"/>
          </w:tcPr>
          <w:p w14:paraId="3AA60060" w14:textId="77777777" w:rsidR="00805062" w:rsidRPr="000E377B" w:rsidRDefault="00805062" w:rsidP="00805062">
            <w:pPr>
              <w:pStyle w:val="ListParagraph"/>
              <w:numPr>
                <w:ilvl w:val="0"/>
                <w:numId w:val="11"/>
              </w:numPr>
              <w:rPr>
                <w:rFonts w:cstheme="minorHAnsi"/>
              </w:rPr>
            </w:pPr>
            <w:r w:rsidRPr="000E377B">
              <w:rPr>
                <w:rFonts w:eastAsia="Times New Roman" w:cstheme="minorHAnsi"/>
              </w:rPr>
              <w:t xml:space="preserve">Students had a very hard time understanding when to click for audio, when to read directions, how to drag and drop, when to type into a box. </w:t>
            </w:r>
          </w:p>
          <w:p w14:paraId="0D69257D" w14:textId="77777777" w:rsidR="00805062" w:rsidRPr="000E377B" w:rsidRDefault="00805062" w:rsidP="00805062">
            <w:pPr>
              <w:pStyle w:val="ListParagraph"/>
              <w:numPr>
                <w:ilvl w:val="0"/>
                <w:numId w:val="11"/>
              </w:numPr>
              <w:rPr>
                <w:rFonts w:cstheme="minorHAnsi"/>
              </w:rPr>
            </w:pPr>
            <w:r w:rsidRPr="000E377B">
              <w:rPr>
                <w:rFonts w:eastAsia="Times New Roman" w:cstheme="minorHAnsi"/>
              </w:rPr>
              <w:t xml:space="preserve">Children cannot read the questions and were not always instructed to press the speaker; therefore, they had many questions for administrators. </w:t>
            </w:r>
          </w:p>
          <w:p w14:paraId="15CFF23F" w14:textId="77777777" w:rsidR="00805062" w:rsidRPr="000E377B" w:rsidRDefault="00805062" w:rsidP="00805062">
            <w:pPr>
              <w:pStyle w:val="ListParagraph"/>
              <w:numPr>
                <w:ilvl w:val="0"/>
                <w:numId w:val="11"/>
              </w:numPr>
              <w:rPr>
                <w:rFonts w:cstheme="minorHAnsi"/>
              </w:rPr>
            </w:pPr>
            <w:r w:rsidRPr="000E377B">
              <w:rPr>
                <w:rFonts w:cstheme="minorHAnsi"/>
              </w:rPr>
              <w:lastRenderedPageBreak/>
              <w:t>Students frequently had questions during the assessment and needed individual help from the teacher in order to progress through the assessment. To manage this, I tried assessing with smaller groups of 4 or 5 and students still struggled.</w:t>
            </w:r>
          </w:p>
        </w:tc>
      </w:tr>
      <w:tr w:rsidR="00805062" w:rsidRPr="00CA3822" w14:paraId="211C8505" w14:textId="77777777" w:rsidTr="00120C51">
        <w:trPr>
          <w:jc w:val="center"/>
        </w:trPr>
        <w:tc>
          <w:tcPr>
            <w:tcW w:w="1705" w:type="dxa"/>
            <w:shd w:val="clear" w:color="auto" w:fill="B4C6E7" w:themeFill="accent1" w:themeFillTint="66"/>
          </w:tcPr>
          <w:p w14:paraId="71164450" w14:textId="77777777" w:rsidR="00805062" w:rsidRDefault="00805062" w:rsidP="00120C51">
            <w:r>
              <w:lastRenderedPageBreak/>
              <w:t>Renaissance STAR</w:t>
            </w:r>
          </w:p>
        </w:tc>
        <w:tc>
          <w:tcPr>
            <w:tcW w:w="9085" w:type="dxa"/>
            <w:shd w:val="clear" w:color="auto" w:fill="B4C6E7" w:themeFill="accent1" w:themeFillTint="66"/>
          </w:tcPr>
          <w:p w14:paraId="7E47B4B5" w14:textId="77777777" w:rsidR="00805062" w:rsidRPr="000E377B" w:rsidRDefault="00805062" w:rsidP="00805062">
            <w:pPr>
              <w:pStyle w:val="ListParagraph"/>
              <w:numPr>
                <w:ilvl w:val="0"/>
                <w:numId w:val="11"/>
              </w:numPr>
              <w:rPr>
                <w:rFonts w:cstheme="minorHAnsi"/>
              </w:rPr>
            </w:pPr>
            <w:r w:rsidRPr="000E377B">
              <w:rPr>
                <w:rFonts w:cstheme="minorHAnsi"/>
              </w:rPr>
              <w:t>The first time I administered the STAR literacy screener, it was performed whole group, which was incredibly difficult in a first-grade classroom. Technical issues combined with it being the first week of first grade added to the frustration. The second time, the assessment was given small group, which made it more manageable and easily monitored.</w:t>
            </w:r>
          </w:p>
          <w:p w14:paraId="1FEC8981" w14:textId="77777777" w:rsidR="00805062" w:rsidRPr="000E377B" w:rsidRDefault="00805062" w:rsidP="00805062">
            <w:pPr>
              <w:pStyle w:val="ListParagraph"/>
              <w:numPr>
                <w:ilvl w:val="0"/>
                <w:numId w:val="11"/>
              </w:numPr>
              <w:rPr>
                <w:rFonts w:eastAsia="Times New Roman" w:cstheme="minorHAnsi"/>
              </w:rPr>
            </w:pPr>
            <w:r w:rsidRPr="000E377B">
              <w:rPr>
                <w:rFonts w:cstheme="minorHAnsi"/>
                <w:color w:val="4F4F4F"/>
              </w:rPr>
              <w:t>The second screener administration was easier than the first, because my students were familiar with the assessment, as well as being less nervous. They also had a little more experience using technology due to having a few technology classes during Specials.</w:t>
            </w:r>
          </w:p>
          <w:p w14:paraId="5063D62E" w14:textId="77777777" w:rsidR="00805062" w:rsidRPr="000E377B" w:rsidRDefault="00805062" w:rsidP="00805062">
            <w:pPr>
              <w:pStyle w:val="ListParagraph"/>
              <w:numPr>
                <w:ilvl w:val="0"/>
                <w:numId w:val="11"/>
              </w:numPr>
              <w:rPr>
                <w:rFonts w:eastAsia="Times New Roman" w:cstheme="minorHAnsi"/>
              </w:rPr>
            </w:pPr>
            <w:r w:rsidRPr="000E377B">
              <w:rPr>
                <w:rFonts w:cstheme="minorHAnsi"/>
                <w:color w:val="4F4F4F"/>
              </w:rPr>
              <w:t>I knew what to expect and what troubles we would run into.</w:t>
            </w:r>
          </w:p>
        </w:tc>
      </w:tr>
    </w:tbl>
    <w:p w14:paraId="5E27D047" w14:textId="77777777" w:rsidR="00805062" w:rsidRPr="00A146BF" w:rsidRDefault="00805062" w:rsidP="00805062">
      <w:pPr>
        <w:rPr>
          <w:b/>
          <w:bCs/>
        </w:rPr>
      </w:pPr>
      <w:r>
        <w:t>.</w:t>
      </w:r>
    </w:p>
    <w:p w14:paraId="386E2E3A" w14:textId="77777777" w:rsidR="00805062" w:rsidRDefault="00805062" w:rsidP="00805062"/>
    <w:p w14:paraId="59B8827C" w14:textId="77777777" w:rsidR="00805062" w:rsidRDefault="00805062" w:rsidP="00805062">
      <w:pPr>
        <w:spacing w:after="0"/>
        <w:rPr>
          <w:b/>
          <w:bCs/>
        </w:rPr>
      </w:pPr>
    </w:p>
    <w:p w14:paraId="4BB6D0BE" w14:textId="77777777" w:rsidR="00805062" w:rsidRDefault="00805062" w:rsidP="00805062">
      <w:pPr>
        <w:spacing w:after="0"/>
        <w:rPr>
          <w:b/>
          <w:bCs/>
        </w:rPr>
      </w:pPr>
    </w:p>
    <w:p w14:paraId="3716D735" w14:textId="77777777" w:rsidR="00805062" w:rsidRDefault="00805062" w:rsidP="00805062">
      <w:pPr>
        <w:spacing w:after="0"/>
        <w:rPr>
          <w:b/>
          <w:bCs/>
        </w:rPr>
      </w:pPr>
    </w:p>
    <w:p w14:paraId="0B08BF52" w14:textId="77777777" w:rsidR="00805062" w:rsidRDefault="00805062" w:rsidP="00805062">
      <w:pPr>
        <w:spacing w:after="0"/>
        <w:rPr>
          <w:b/>
          <w:bCs/>
        </w:rPr>
      </w:pPr>
    </w:p>
    <w:p w14:paraId="75F03944" w14:textId="024ACF8B" w:rsidR="00805062" w:rsidRPr="00C456A3" w:rsidRDefault="00805062" w:rsidP="00805062">
      <w:pPr>
        <w:spacing w:after="0"/>
        <w:rPr>
          <w:b/>
          <w:bCs/>
        </w:rPr>
      </w:pPr>
      <w:r w:rsidRPr="00542B3A">
        <w:rPr>
          <w:b/>
          <w:bCs/>
        </w:rPr>
        <w:t xml:space="preserve">Graphic </w:t>
      </w:r>
      <w:r>
        <w:rPr>
          <w:b/>
          <w:bCs/>
        </w:rPr>
        <w:t>4</w:t>
      </w:r>
      <w:r>
        <w:t xml:space="preserve">:  </w:t>
      </w:r>
      <w:r w:rsidRPr="00C456A3">
        <w:rPr>
          <w:b/>
          <w:bCs/>
        </w:rPr>
        <w:t xml:space="preserve">Instructional resources were provided by the assessment program. </w:t>
      </w:r>
    </w:p>
    <w:p w14:paraId="1BD1C983" w14:textId="77777777" w:rsidR="00805062" w:rsidRDefault="00805062" w:rsidP="00805062">
      <w:pPr>
        <w:spacing w:after="0"/>
      </w:pPr>
    </w:p>
    <w:p w14:paraId="5A2C57F7" w14:textId="77777777" w:rsidR="00805062" w:rsidRDefault="00805062" w:rsidP="00805062">
      <w:pPr>
        <w:spacing w:after="0"/>
        <w:jc w:val="center"/>
      </w:pPr>
      <w:r>
        <w:rPr>
          <w:noProof/>
        </w:rPr>
        <w:drawing>
          <wp:inline distT="0" distB="0" distL="0" distR="0" wp14:anchorId="57893EB4" wp14:editId="47375D6D">
            <wp:extent cx="2997200" cy="1828800"/>
            <wp:effectExtent l="0" t="0" r="12700" b="0"/>
            <wp:docPr id="31" name="Chart 31" descr="Graphic 4 is a pie chart representing 79% of the respondents indicated that instructional resources were proved by the assessment program and 21% of the respondents indicated that resources were not included.">
              <a:extLst xmlns:a="http://schemas.openxmlformats.org/drawingml/2006/main">
                <a:ext uri="{FF2B5EF4-FFF2-40B4-BE49-F238E27FC236}">
                  <a16:creationId xmlns:a16="http://schemas.microsoft.com/office/drawing/2014/main" id="{77637106-E8AF-4B53-9B43-8A3D9E4755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379377" w14:textId="77777777" w:rsidR="00805062" w:rsidRDefault="00805062" w:rsidP="00805062">
      <w:pPr>
        <w:spacing w:after="0"/>
        <w:jc w:val="center"/>
      </w:pPr>
    </w:p>
    <w:p w14:paraId="59213C48" w14:textId="77777777" w:rsidR="00805062" w:rsidRDefault="00805062" w:rsidP="00805062">
      <w:pPr>
        <w:spacing w:after="0"/>
        <w:jc w:val="center"/>
      </w:pPr>
    </w:p>
    <w:p w14:paraId="6B128054" w14:textId="77777777" w:rsidR="00805062" w:rsidRDefault="00805062" w:rsidP="00805062">
      <w:pPr>
        <w:spacing w:after="0"/>
        <w:rPr>
          <w:b/>
          <w:bCs/>
        </w:rPr>
      </w:pPr>
      <w:r w:rsidRPr="00A146BF">
        <w:rPr>
          <w:b/>
          <w:bCs/>
        </w:rPr>
        <w:t>Table 2:</w:t>
      </w:r>
      <w:r>
        <w:rPr>
          <w:b/>
          <w:bCs/>
        </w:rPr>
        <w:t xml:space="preserve">  Explain how the instructional resources were useful in meeting the needs of students.  This table represents a sampling of responses for each assessment.</w:t>
      </w:r>
    </w:p>
    <w:p w14:paraId="3FD1FF1E" w14:textId="77777777" w:rsidR="00805062" w:rsidRPr="00A146BF" w:rsidRDefault="00805062" w:rsidP="00805062">
      <w:pPr>
        <w:spacing w:after="0"/>
        <w:rPr>
          <w:b/>
          <w:bCs/>
        </w:rPr>
      </w:pPr>
    </w:p>
    <w:tbl>
      <w:tblPr>
        <w:tblStyle w:val="TableGrid"/>
        <w:tblW w:w="0" w:type="auto"/>
        <w:jc w:val="center"/>
        <w:tblLook w:val="04A0" w:firstRow="1" w:lastRow="0" w:firstColumn="1" w:lastColumn="0" w:noHBand="0" w:noVBand="1"/>
      </w:tblPr>
      <w:tblGrid>
        <w:gridCol w:w="1822"/>
        <w:gridCol w:w="8104"/>
      </w:tblGrid>
      <w:tr w:rsidR="00805062" w14:paraId="0D19A16D" w14:textId="77777777" w:rsidTr="00120C51">
        <w:trPr>
          <w:jc w:val="center"/>
        </w:trPr>
        <w:tc>
          <w:tcPr>
            <w:tcW w:w="1890" w:type="dxa"/>
            <w:shd w:val="clear" w:color="auto" w:fill="D9E2F3" w:themeFill="accent1" w:themeFillTint="33"/>
          </w:tcPr>
          <w:p w14:paraId="7634EB40" w14:textId="77777777" w:rsidR="00805062" w:rsidRPr="00A146BF" w:rsidRDefault="00805062" w:rsidP="00120C51">
            <w:pPr>
              <w:rPr>
                <w:rFonts w:cstheme="minorHAnsi"/>
                <w:iCs/>
              </w:rPr>
            </w:pPr>
            <w:proofErr w:type="spellStart"/>
            <w:r w:rsidRPr="00A146BF">
              <w:rPr>
                <w:rFonts w:cstheme="minorHAnsi"/>
                <w:iCs/>
              </w:rPr>
              <w:t>Istation</w:t>
            </w:r>
            <w:proofErr w:type="spellEnd"/>
            <w:r w:rsidRPr="00A146BF">
              <w:rPr>
                <w:rFonts w:cstheme="minorHAnsi"/>
                <w:iCs/>
              </w:rPr>
              <w:t xml:space="preserve"> ISIP</w:t>
            </w:r>
          </w:p>
        </w:tc>
        <w:tc>
          <w:tcPr>
            <w:tcW w:w="8905" w:type="dxa"/>
            <w:shd w:val="clear" w:color="auto" w:fill="D9E2F3" w:themeFill="accent1" w:themeFillTint="33"/>
          </w:tcPr>
          <w:p w14:paraId="6731EFC8" w14:textId="77777777" w:rsidR="00805062" w:rsidRPr="009A5AB3" w:rsidRDefault="00805062" w:rsidP="00805062">
            <w:pPr>
              <w:pStyle w:val="ListParagraph"/>
              <w:numPr>
                <w:ilvl w:val="0"/>
                <w:numId w:val="12"/>
              </w:numPr>
              <w:rPr>
                <w:rFonts w:cstheme="minorHAnsi"/>
              </w:rPr>
            </w:pPr>
            <w:r w:rsidRPr="009A5AB3">
              <w:rPr>
                <w:rFonts w:cstheme="minorHAnsi"/>
              </w:rPr>
              <w:t xml:space="preserve">There were some decodable texts available. These decodable texts included some words that were too difficult for my students. The worksheets were helpful. </w:t>
            </w:r>
          </w:p>
          <w:p w14:paraId="01C8BD7A" w14:textId="77777777" w:rsidR="00805062" w:rsidRPr="00A146BF" w:rsidRDefault="00805062" w:rsidP="00805062">
            <w:pPr>
              <w:pStyle w:val="ListParagraph"/>
              <w:numPr>
                <w:ilvl w:val="0"/>
                <w:numId w:val="12"/>
              </w:numPr>
              <w:rPr>
                <w:rFonts w:cstheme="minorHAnsi"/>
              </w:rPr>
            </w:pPr>
            <w:r w:rsidRPr="009A5AB3">
              <w:rPr>
                <w:rFonts w:cstheme="minorHAnsi"/>
              </w:rPr>
              <w:lastRenderedPageBreak/>
              <w:t xml:space="preserve">They did provide many different PDF files to choose from with varying lessons across all fields in literacy. </w:t>
            </w:r>
          </w:p>
        </w:tc>
      </w:tr>
      <w:tr w:rsidR="00805062" w14:paraId="49749CD2" w14:textId="77777777" w:rsidTr="00120C51">
        <w:trPr>
          <w:jc w:val="center"/>
        </w:trPr>
        <w:tc>
          <w:tcPr>
            <w:tcW w:w="1890" w:type="dxa"/>
            <w:shd w:val="clear" w:color="auto" w:fill="B4C6E7" w:themeFill="accent1" w:themeFillTint="66"/>
          </w:tcPr>
          <w:p w14:paraId="2B529D9B" w14:textId="77777777" w:rsidR="00805062" w:rsidRPr="00A146BF" w:rsidRDefault="00805062" w:rsidP="00120C51">
            <w:pPr>
              <w:rPr>
                <w:rFonts w:cstheme="minorHAnsi"/>
                <w:iCs/>
              </w:rPr>
            </w:pPr>
            <w:r w:rsidRPr="00A146BF">
              <w:rPr>
                <w:rFonts w:cstheme="minorHAnsi"/>
                <w:iCs/>
              </w:rPr>
              <w:lastRenderedPageBreak/>
              <w:t>Lexia RAPID</w:t>
            </w:r>
          </w:p>
        </w:tc>
        <w:tc>
          <w:tcPr>
            <w:tcW w:w="8905" w:type="dxa"/>
            <w:shd w:val="clear" w:color="auto" w:fill="B4C6E7" w:themeFill="accent1" w:themeFillTint="66"/>
          </w:tcPr>
          <w:p w14:paraId="1B7506F6" w14:textId="77777777" w:rsidR="00805062" w:rsidRPr="009A5AB3" w:rsidRDefault="00805062" w:rsidP="00805062">
            <w:pPr>
              <w:pStyle w:val="ListParagraph"/>
              <w:numPr>
                <w:ilvl w:val="0"/>
                <w:numId w:val="12"/>
              </w:numPr>
              <w:rPr>
                <w:rFonts w:cstheme="minorHAnsi"/>
              </w:rPr>
            </w:pPr>
            <w:r w:rsidRPr="009A5AB3">
              <w:rPr>
                <w:rFonts w:cstheme="minorHAnsi"/>
              </w:rPr>
              <w:t>The instructional resources were based on the skills the child needed to progress in the curriculum. Some children needed to work on basic concepts, letter naming, beginning sounds, picturing stories and blending</w:t>
            </w:r>
            <w:r>
              <w:rPr>
                <w:rFonts w:cstheme="minorHAnsi"/>
              </w:rPr>
              <w:t xml:space="preserve"> and segmenting using pictures.</w:t>
            </w:r>
          </w:p>
          <w:p w14:paraId="7398D6C8" w14:textId="77777777" w:rsidR="00805062" w:rsidRPr="00A146BF" w:rsidRDefault="00805062" w:rsidP="00805062">
            <w:pPr>
              <w:pStyle w:val="ListParagraph"/>
              <w:numPr>
                <w:ilvl w:val="0"/>
                <w:numId w:val="12"/>
              </w:numPr>
              <w:rPr>
                <w:rFonts w:cstheme="minorHAnsi"/>
              </w:rPr>
            </w:pPr>
            <w:r w:rsidRPr="009A5AB3">
              <w:rPr>
                <w:rFonts w:cstheme="minorHAnsi"/>
              </w:rPr>
              <w:t xml:space="preserve">I found the instructional resources helpful for intervention times and especially now during remote learning. </w:t>
            </w:r>
          </w:p>
        </w:tc>
      </w:tr>
      <w:tr w:rsidR="00805062" w14:paraId="3A01EBAF" w14:textId="77777777" w:rsidTr="00120C51">
        <w:trPr>
          <w:jc w:val="center"/>
        </w:trPr>
        <w:tc>
          <w:tcPr>
            <w:tcW w:w="1890" w:type="dxa"/>
            <w:shd w:val="clear" w:color="auto" w:fill="D9E2F3" w:themeFill="accent1" w:themeFillTint="33"/>
          </w:tcPr>
          <w:p w14:paraId="19B10493" w14:textId="77777777" w:rsidR="00805062" w:rsidRPr="00A146BF" w:rsidRDefault="00805062" w:rsidP="00120C51">
            <w:pPr>
              <w:rPr>
                <w:rFonts w:cstheme="minorHAnsi"/>
                <w:iCs/>
              </w:rPr>
            </w:pPr>
            <w:r w:rsidRPr="00A146BF">
              <w:rPr>
                <w:rFonts w:cstheme="minorHAnsi"/>
                <w:iCs/>
              </w:rPr>
              <w:t>Renaissance STAR</w:t>
            </w:r>
          </w:p>
        </w:tc>
        <w:tc>
          <w:tcPr>
            <w:tcW w:w="8905" w:type="dxa"/>
            <w:shd w:val="clear" w:color="auto" w:fill="D9E2F3" w:themeFill="accent1" w:themeFillTint="33"/>
          </w:tcPr>
          <w:p w14:paraId="37093E8A" w14:textId="77777777" w:rsidR="00805062" w:rsidRPr="009A5AB3" w:rsidRDefault="00805062" w:rsidP="00805062">
            <w:pPr>
              <w:pStyle w:val="ListParagraph"/>
              <w:numPr>
                <w:ilvl w:val="0"/>
                <w:numId w:val="12"/>
              </w:numPr>
              <w:rPr>
                <w:rFonts w:cstheme="minorHAnsi"/>
              </w:rPr>
            </w:pPr>
            <w:r w:rsidRPr="009A5AB3">
              <w:rPr>
                <w:rFonts w:cstheme="minorHAnsi"/>
              </w:rPr>
              <w:t>The resources were geared to the instruction level of the student. Even if students were high in one area</w:t>
            </w:r>
            <w:r>
              <w:rPr>
                <w:rFonts w:cstheme="minorHAnsi"/>
              </w:rPr>
              <w:t>,</w:t>
            </w:r>
            <w:r w:rsidRPr="009A5AB3">
              <w:rPr>
                <w:rFonts w:cstheme="minorHAnsi"/>
              </w:rPr>
              <w:t xml:space="preserve"> they may have been lower in another and you could differentiate according to the data. </w:t>
            </w:r>
          </w:p>
          <w:p w14:paraId="78B10461" w14:textId="77777777" w:rsidR="00805062" w:rsidRPr="00A146BF" w:rsidRDefault="00805062" w:rsidP="00805062">
            <w:pPr>
              <w:pStyle w:val="ListParagraph"/>
              <w:numPr>
                <w:ilvl w:val="0"/>
                <w:numId w:val="12"/>
              </w:numPr>
              <w:rPr>
                <w:rFonts w:cstheme="minorHAnsi"/>
              </w:rPr>
            </w:pPr>
            <w:r w:rsidRPr="009A5AB3">
              <w:rPr>
                <w:rFonts w:cstheme="minorHAnsi"/>
              </w:rPr>
              <w:t>I could set up groups and they were able to do work that supported areas that they were weak in acc</w:t>
            </w:r>
            <w:r>
              <w:rPr>
                <w:rFonts w:cstheme="minorHAnsi"/>
              </w:rPr>
              <w:t>ording to the data I received.</w:t>
            </w:r>
          </w:p>
        </w:tc>
      </w:tr>
      <w:tr w:rsidR="00805062" w14:paraId="2B43ACA6" w14:textId="77777777" w:rsidTr="00120C51">
        <w:trPr>
          <w:jc w:val="center"/>
        </w:trPr>
        <w:tc>
          <w:tcPr>
            <w:tcW w:w="1890" w:type="dxa"/>
            <w:shd w:val="clear" w:color="auto" w:fill="B4C6E7" w:themeFill="accent1" w:themeFillTint="66"/>
          </w:tcPr>
          <w:p w14:paraId="76BB6885" w14:textId="77777777" w:rsidR="00805062" w:rsidRPr="00A146BF" w:rsidRDefault="00805062" w:rsidP="00120C51">
            <w:pPr>
              <w:rPr>
                <w:rFonts w:cstheme="minorHAnsi"/>
                <w:iCs/>
              </w:rPr>
            </w:pPr>
            <w:r w:rsidRPr="00A146BF">
              <w:rPr>
                <w:rFonts w:cstheme="minorHAnsi"/>
                <w:iCs/>
              </w:rPr>
              <w:t>NWEA MAP Growth</w:t>
            </w:r>
          </w:p>
        </w:tc>
        <w:tc>
          <w:tcPr>
            <w:tcW w:w="8905" w:type="dxa"/>
            <w:shd w:val="clear" w:color="auto" w:fill="B4C6E7" w:themeFill="accent1" w:themeFillTint="66"/>
          </w:tcPr>
          <w:p w14:paraId="0EA5AF41" w14:textId="77777777" w:rsidR="00805062" w:rsidRPr="000E377B" w:rsidRDefault="00805062" w:rsidP="00805062">
            <w:pPr>
              <w:pStyle w:val="ListParagraph"/>
              <w:numPr>
                <w:ilvl w:val="0"/>
                <w:numId w:val="15"/>
              </w:numPr>
              <w:rPr>
                <w:rFonts w:cstheme="minorHAnsi"/>
              </w:rPr>
            </w:pPr>
            <w:r w:rsidRPr="000E377B">
              <w:rPr>
                <w:rFonts w:cstheme="minorHAnsi"/>
              </w:rPr>
              <w:t>NWEA MAP Growth does not provide additional resources; however, the reports provided groupings of students by specific skills for instruction.</w:t>
            </w:r>
          </w:p>
          <w:p w14:paraId="05410AB0" w14:textId="77777777" w:rsidR="00805062" w:rsidRPr="00A146BF" w:rsidRDefault="00805062" w:rsidP="00805062">
            <w:pPr>
              <w:pStyle w:val="ListParagraph"/>
              <w:numPr>
                <w:ilvl w:val="0"/>
                <w:numId w:val="14"/>
              </w:numPr>
              <w:rPr>
                <w:rFonts w:cstheme="minorHAnsi"/>
              </w:rPr>
            </w:pPr>
            <w:r w:rsidRPr="00A146BF">
              <w:rPr>
                <w:rFonts w:cstheme="minorHAnsi"/>
              </w:rPr>
              <w:t>The reports were broken down into specific categories and skill areas.</w:t>
            </w:r>
          </w:p>
        </w:tc>
      </w:tr>
    </w:tbl>
    <w:p w14:paraId="5E43244F" w14:textId="77777777" w:rsidR="00805062" w:rsidRDefault="00805062" w:rsidP="00805062">
      <w:pPr>
        <w:spacing w:after="0"/>
      </w:pPr>
    </w:p>
    <w:p w14:paraId="6D1F6679" w14:textId="77777777" w:rsidR="00805062" w:rsidRDefault="00805062" w:rsidP="00805062">
      <w:pPr>
        <w:rPr>
          <w:b/>
          <w:bCs/>
        </w:rPr>
      </w:pPr>
    </w:p>
    <w:p w14:paraId="606C0D99" w14:textId="3EB97DE4" w:rsidR="00805062" w:rsidRDefault="00805062" w:rsidP="00805062">
      <w:r w:rsidRPr="00542B3A">
        <w:rPr>
          <w:b/>
          <w:bCs/>
        </w:rPr>
        <w:t xml:space="preserve">Graphic </w:t>
      </w:r>
      <w:r>
        <w:rPr>
          <w:b/>
          <w:bCs/>
        </w:rPr>
        <w:t>5</w:t>
      </w:r>
      <w:r>
        <w:t xml:space="preserve">:  </w:t>
      </w:r>
      <w:r w:rsidRPr="00C456A3">
        <w:rPr>
          <w:b/>
          <w:bCs/>
        </w:rPr>
        <w:t>Number of Professional Learning Days</w:t>
      </w:r>
    </w:p>
    <w:tbl>
      <w:tblPr>
        <w:tblStyle w:val="TableGrid"/>
        <w:tblW w:w="0" w:type="auto"/>
        <w:jc w:val="center"/>
        <w:tblLook w:val="04A0" w:firstRow="1" w:lastRow="0" w:firstColumn="1" w:lastColumn="0" w:noHBand="0" w:noVBand="1"/>
      </w:tblPr>
      <w:tblGrid>
        <w:gridCol w:w="1870"/>
        <w:gridCol w:w="1870"/>
        <w:gridCol w:w="1870"/>
        <w:gridCol w:w="1870"/>
      </w:tblGrid>
      <w:tr w:rsidR="00805062" w14:paraId="4240E233" w14:textId="77777777" w:rsidTr="00120C51">
        <w:trPr>
          <w:jc w:val="center"/>
        </w:trPr>
        <w:tc>
          <w:tcPr>
            <w:tcW w:w="1870" w:type="dxa"/>
            <w:tcBorders>
              <w:bottom w:val="nil"/>
            </w:tcBorders>
            <w:shd w:val="clear" w:color="auto" w:fill="B4C6E7" w:themeFill="accent1" w:themeFillTint="66"/>
          </w:tcPr>
          <w:p w14:paraId="2C529CF8" w14:textId="77777777" w:rsidR="00805062" w:rsidRDefault="00805062" w:rsidP="00120C51">
            <w:pPr>
              <w:jc w:val="center"/>
            </w:pPr>
            <w:r>
              <w:t>1</w:t>
            </w:r>
          </w:p>
        </w:tc>
        <w:tc>
          <w:tcPr>
            <w:tcW w:w="1870" w:type="dxa"/>
            <w:tcBorders>
              <w:bottom w:val="nil"/>
            </w:tcBorders>
            <w:shd w:val="clear" w:color="auto" w:fill="B4C6E7" w:themeFill="accent1" w:themeFillTint="66"/>
          </w:tcPr>
          <w:p w14:paraId="785CAFA1" w14:textId="77777777" w:rsidR="00805062" w:rsidRDefault="00805062" w:rsidP="00120C51">
            <w:pPr>
              <w:jc w:val="center"/>
            </w:pPr>
            <w:r>
              <w:t>2</w:t>
            </w:r>
          </w:p>
        </w:tc>
        <w:tc>
          <w:tcPr>
            <w:tcW w:w="1870" w:type="dxa"/>
            <w:tcBorders>
              <w:bottom w:val="nil"/>
            </w:tcBorders>
            <w:shd w:val="clear" w:color="auto" w:fill="B4C6E7" w:themeFill="accent1" w:themeFillTint="66"/>
          </w:tcPr>
          <w:p w14:paraId="16CAB604" w14:textId="77777777" w:rsidR="00805062" w:rsidRDefault="00805062" w:rsidP="00120C51">
            <w:pPr>
              <w:jc w:val="center"/>
            </w:pPr>
            <w:r>
              <w:t>3</w:t>
            </w:r>
          </w:p>
        </w:tc>
        <w:tc>
          <w:tcPr>
            <w:tcW w:w="1870" w:type="dxa"/>
            <w:tcBorders>
              <w:bottom w:val="nil"/>
            </w:tcBorders>
            <w:shd w:val="clear" w:color="auto" w:fill="B4C6E7" w:themeFill="accent1" w:themeFillTint="66"/>
          </w:tcPr>
          <w:p w14:paraId="79B57B1C" w14:textId="77777777" w:rsidR="00805062" w:rsidRDefault="00805062" w:rsidP="00120C51">
            <w:pPr>
              <w:jc w:val="center"/>
            </w:pPr>
            <w:r>
              <w:t>4</w:t>
            </w:r>
          </w:p>
        </w:tc>
      </w:tr>
      <w:tr w:rsidR="00805062" w14:paraId="11D5A997" w14:textId="77777777" w:rsidTr="00120C51">
        <w:trPr>
          <w:jc w:val="center"/>
        </w:trPr>
        <w:tc>
          <w:tcPr>
            <w:tcW w:w="1870" w:type="dxa"/>
            <w:tcBorders>
              <w:top w:val="nil"/>
            </w:tcBorders>
            <w:shd w:val="clear" w:color="auto" w:fill="D9E2F3" w:themeFill="accent1" w:themeFillTint="33"/>
          </w:tcPr>
          <w:p w14:paraId="4E329046" w14:textId="77777777" w:rsidR="00805062" w:rsidRDefault="00805062" w:rsidP="00120C51">
            <w:pPr>
              <w:jc w:val="center"/>
            </w:pPr>
            <w:r>
              <w:t>20%</w:t>
            </w:r>
          </w:p>
        </w:tc>
        <w:tc>
          <w:tcPr>
            <w:tcW w:w="1870" w:type="dxa"/>
            <w:tcBorders>
              <w:top w:val="nil"/>
            </w:tcBorders>
            <w:shd w:val="clear" w:color="auto" w:fill="D9E2F3" w:themeFill="accent1" w:themeFillTint="33"/>
          </w:tcPr>
          <w:p w14:paraId="04D5ADCB" w14:textId="77777777" w:rsidR="00805062" w:rsidRDefault="00805062" w:rsidP="00120C51">
            <w:pPr>
              <w:jc w:val="center"/>
            </w:pPr>
            <w:r>
              <w:t>39%</w:t>
            </w:r>
          </w:p>
        </w:tc>
        <w:tc>
          <w:tcPr>
            <w:tcW w:w="1870" w:type="dxa"/>
            <w:tcBorders>
              <w:top w:val="nil"/>
            </w:tcBorders>
            <w:shd w:val="clear" w:color="auto" w:fill="D9E2F3" w:themeFill="accent1" w:themeFillTint="33"/>
          </w:tcPr>
          <w:p w14:paraId="1478E87D" w14:textId="77777777" w:rsidR="00805062" w:rsidRDefault="00805062" w:rsidP="00120C51">
            <w:pPr>
              <w:jc w:val="center"/>
            </w:pPr>
            <w:r>
              <w:t>22%</w:t>
            </w:r>
          </w:p>
        </w:tc>
        <w:tc>
          <w:tcPr>
            <w:tcW w:w="1870" w:type="dxa"/>
            <w:tcBorders>
              <w:top w:val="nil"/>
            </w:tcBorders>
            <w:shd w:val="clear" w:color="auto" w:fill="D9E2F3" w:themeFill="accent1" w:themeFillTint="33"/>
          </w:tcPr>
          <w:p w14:paraId="7D7BCF89" w14:textId="77777777" w:rsidR="00805062" w:rsidRDefault="00805062" w:rsidP="00120C51">
            <w:pPr>
              <w:jc w:val="center"/>
            </w:pPr>
            <w:r>
              <w:t>18%</w:t>
            </w:r>
          </w:p>
        </w:tc>
      </w:tr>
    </w:tbl>
    <w:p w14:paraId="4CD7D235" w14:textId="77777777" w:rsidR="00805062" w:rsidRDefault="00805062" w:rsidP="00805062">
      <w:pPr>
        <w:jc w:val="center"/>
      </w:pPr>
    </w:p>
    <w:p w14:paraId="0EA8189E" w14:textId="77777777" w:rsidR="00805062" w:rsidRDefault="00805062" w:rsidP="00805062">
      <w:r>
        <w:t xml:space="preserve">Graphic 5 represents the </w:t>
      </w:r>
      <w:r w:rsidRPr="00C456A3">
        <w:rPr>
          <w:i/>
          <w:iCs/>
        </w:rPr>
        <w:t xml:space="preserve">number of professional learning days </w:t>
      </w:r>
      <w:r>
        <w:t>the vendor provided to the pilot schools.  96% of all respondents participated in professional learning sessions (see Graphic 6 and Graphic 7).  44% of those respondents received support through face-to-face, webinar, half-day, and full-day sessions.  About 4% indicated that they did not receive any support opportunities.  Most grant schools received 2 to 3 days of support.</w:t>
      </w:r>
    </w:p>
    <w:p w14:paraId="61C5254F" w14:textId="77777777" w:rsidR="00805062" w:rsidRDefault="00805062" w:rsidP="00805062">
      <w:pPr>
        <w:spacing w:after="0"/>
      </w:pPr>
    </w:p>
    <w:p w14:paraId="63354594" w14:textId="77777777" w:rsidR="00805062" w:rsidRPr="00C456A3" w:rsidRDefault="00805062" w:rsidP="00805062">
      <w:pPr>
        <w:spacing w:after="0"/>
        <w:rPr>
          <w:b/>
          <w:bCs/>
        </w:rPr>
      </w:pPr>
      <w:r w:rsidRPr="00A146BF">
        <w:rPr>
          <w:b/>
          <w:bCs/>
        </w:rPr>
        <w:t>Table 3</w:t>
      </w:r>
      <w:r>
        <w:t xml:space="preserve">:  </w:t>
      </w:r>
      <w:r w:rsidRPr="00C456A3">
        <w:rPr>
          <w:b/>
          <w:bCs/>
        </w:rPr>
        <w:t>How were you supported to use the data reports to make instructional decisions to meet the needs of your students? This table represents a sampling of responses for each assessment.</w:t>
      </w:r>
    </w:p>
    <w:p w14:paraId="0DBB1E9A" w14:textId="77777777" w:rsidR="00805062" w:rsidRDefault="00805062" w:rsidP="00805062">
      <w:pPr>
        <w:spacing w:after="0"/>
      </w:pPr>
    </w:p>
    <w:tbl>
      <w:tblPr>
        <w:tblStyle w:val="TableGrid"/>
        <w:tblW w:w="0" w:type="auto"/>
        <w:jc w:val="center"/>
        <w:tblLook w:val="04A0" w:firstRow="1" w:lastRow="0" w:firstColumn="1" w:lastColumn="0" w:noHBand="0" w:noVBand="1"/>
      </w:tblPr>
      <w:tblGrid>
        <w:gridCol w:w="1974"/>
        <w:gridCol w:w="7952"/>
      </w:tblGrid>
      <w:tr w:rsidR="00805062" w14:paraId="4C4710F8" w14:textId="77777777" w:rsidTr="00120C51">
        <w:trPr>
          <w:jc w:val="center"/>
        </w:trPr>
        <w:tc>
          <w:tcPr>
            <w:tcW w:w="2065" w:type="dxa"/>
            <w:shd w:val="clear" w:color="auto" w:fill="D9E2F3" w:themeFill="accent1" w:themeFillTint="33"/>
          </w:tcPr>
          <w:p w14:paraId="5E91B9A2" w14:textId="77777777" w:rsidR="00805062" w:rsidRPr="009A5AB3" w:rsidRDefault="00805062" w:rsidP="00120C51">
            <w:pPr>
              <w:rPr>
                <w:rFonts w:cstheme="minorHAnsi"/>
              </w:rPr>
            </w:pPr>
            <w:proofErr w:type="spellStart"/>
            <w:r>
              <w:rPr>
                <w:rFonts w:cstheme="minorHAnsi"/>
              </w:rPr>
              <w:t>Istation</w:t>
            </w:r>
            <w:proofErr w:type="spellEnd"/>
            <w:r>
              <w:rPr>
                <w:rFonts w:cstheme="minorHAnsi"/>
              </w:rPr>
              <w:t xml:space="preserve"> ISIP</w:t>
            </w:r>
          </w:p>
          <w:p w14:paraId="178B64D4" w14:textId="77777777" w:rsidR="00805062" w:rsidRDefault="00805062" w:rsidP="00120C51">
            <w:pPr>
              <w:pStyle w:val="ListParagraph"/>
              <w:rPr>
                <w:rFonts w:cstheme="minorHAnsi"/>
              </w:rPr>
            </w:pPr>
          </w:p>
          <w:p w14:paraId="59A7DED9" w14:textId="77777777" w:rsidR="00805062" w:rsidRDefault="00805062" w:rsidP="00120C51">
            <w:pPr>
              <w:pStyle w:val="ListParagraph"/>
              <w:rPr>
                <w:rFonts w:cstheme="minorHAnsi"/>
              </w:rPr>
            </w:pPr>
          </w:p>
          <w:p w14:paraId="181D0FC3" w14:textId="77777777" w:rsidR="00805062" w:rsidRPr="00A146BF" w:rsidRDefault="00805062" w:rsidP="00120C51">
            <w:pPr>
              <w:rPr>
                <w:rFonts w:cstheme="minorHAnsi"/>
              </w:rPr>
            </w:pPr>
          </w:p>
        </w:tc>
        <w:tc>
          <w:tcPr>
            <w:tcW w:w="8725" w:type="dxa"/>
            <w:shd w:val="clear" w:color="auto" w:fill="D9E2F3" w:themeFill="accent1" w:themeFillTint="33"/>
          </w:tcPr>
          <w:p w14:paraId="2DF27904" w14:textId="77777777" w:rsidR="00805062" w:rsidRPr="009A5AB3" w:rsidRDefault="00805062" w:rsidP="00805062">
            <w:pPr>
              <w:pStyle w:val="ListParagraph"/>
              <w:numPr>
                <w:ilvl w:val="0"/>
                <w:numId w:val="13"/>
              </w:numPr>
              <w:rPr>
                <w:rFonts w:cstheme="minorHAnsi"/>
              </w:rPr>
            </w:pPr>
            <w:r w:rsidRPr="00542B3A">
              <w:rPr>
                <w:rFonts w:cstheme="minorHAnsi"/>
              </w:rPr>
              <w:t xml:space="preserve">A representative from </w:t>
            </w:r>
            <w:proofErr w:type="spellStart"/>
            <w:r w:rsidRPr="00542B3A">
              <w:rPr>
                <w:rFonts w:cstheme="minorHAnsi"/>
              </w:rPr>
              <w:t>Istation</w:t>
            </w:r>
            <w:proofErr w:type="spellEnd"/>
            <w:r w:rsidRPr="00542B3A">
              <w:rPr>
                <w:rFonts w:cstheme="minorHAnsi"/>
              </w:rPr>
              <w:t xml:space="preserve"> was always more than willing to answer questions and welcomed emails and were very responsive to questions.</w:t>
            </w:r>
          </w:p>
          <w:p w14:paraId="4A196BBD" w14:textId="77777777" w:rsidR="00805062" w:rsidRPr="00A146BF" w:rsidRDefault="00805062" w:rsidP="00805062">
            <w:pPr>
              <w:pStyle w:val="ListParagraph"/>
              <w:numPr>
                <w:ilvl w:val="0"/>
                <w:numId w:val="13"/>
              </w:numPr>
              <w:rPr>
                <w:rFonts w:cstheme="minorHAnsi"/>
              </w:rPr>
            </w:pPr>
            <w:r w:rsidRPr="00542B3A">
              <w:rPr>
                <w:rFonts w:cstheme="minorHAnsi"/>
              </w:rPr>
              <w:t xml:space="preserve">The PD provided did a great job highlighting useful reports and how they could be utilized. </w:t>
            </w:r>
          </w:p>
        </w:tc>
      </w:tr>
      <w:tr w:rsidR="00805062" w14:paraId="0FD29C23" w14:textId="77777777" w:rsidTr="00120C51">
        <w:trPr>
          <w:jc w:val="center"/>
        </w:trPr>
        <w:tc>
          <w:tcPr>
            <w:tcW w:w="2065" w:type="dxa"/>
            <w:shd w:val="clear" w:color="auto" w:fill="B4C6E7" w:themeFill="accent1" w:themeFillTint="66"/>
          </w:tcPr>
          <w:p w14:paraId="5D62D5BB" w14:textId="77777777" w:rsidR="00805062" w:rsidRDefault="00805062" w:rsidP="00120C51">
            <w:pPr>
              <w:rPr>
                <w:rFonts w:cstheme="minorHAnsi"/>
              </w:rPr>
            </w:pPr>
            <w:r>
              <w:rPr>
                <w:rFonts w:cstheme="minorHAnsi"/>
              </w:rPr>
              <w:t>Lexia RAPID</w:t>
            </w:r>
          </w:p>
        </w:tc>
        <w:tc>
          <w:tcPr>
            <w:tcW w:w="8725" w:type="dxa"/>
            <w:shd w:val="clear" w:color="auto" w:fill="B4C6E7" w:themeFill="accent1" w:themeFillTint="66"/>
          </w:tcPr>
          <w:p w14:paraId="33AE4665" w14:textId="77777777" w:rsidR="00805062" w:rsidRDefault="00805062" w:rsidP="00805062">
            <w:pPr>
              <w:pStyle w:val="ListParagraph"/>
              <w:numPr>
                <w:ilvl w:val="0"/>
                <w:numId w:val="13"/>
              </w:numPr>
              <w:rPr>
                <w:rFonts w:cstheme="minorHAnsi"/>
              </w:rPr>
            </w:pPr>
            <w:r w:rsidRPr="00542B3A">
              <w:rPr>
                <w:rFonts w:cstheme="minorHAnsi"/>
              </w:rPr>
              <w:t xml:space="preserve">Our Lexia webinars were helpful in making sure we were efficient in finding reports and knew what we'd learn from each of them. Our school created data cycles afterwards, so a lot of the strategic planning coming out of the data was </w:t>
            </w:r>
            <w:r>
              <w:rPr>
                <w:rFonts w:cstheme="minorHAnsi"/>
              </w:rPr>
              <w:t xml:space="preserve">at the </w:t>
            </w:r>
            <w:r w:rsidRPr="00542B3A">
              <w:rPr>
                <w:rFonts w:cstheme="minorHAnsi"/>
              </w:rPr>
              <w:t>school level.</w:t>
            </w:r>
          </w:p>
          <w:p w14:paraId="3FCF53E7" w14:textId="77777777" w:rsidR="00805062" w:rsidRPr="00A146BF" w:rsidRDefault="00805062" w:rsidP="00805062">
            <w:pPr>
              <w:pStyle w:val="ListParagraph"/>
              <w:numPr>
                <w:ilvl w:val="0"/>
                <w:numId w:val="13"/>
              </w:numPr>
              <w:rPr>
                <w:rFonts w:cstheme="minorHAnsi"/>
              </w:rPr>
            </w:pPr>
            <w:r w:rsidRPr="00542B3A">
              <w:rPr>
                <w:rFonts w:cstheme="minorHAnsi"/>
              </w:rPr>
              <w:lastRenderedPageBreak/>
              <w:t>Our representative from Lexia came and showed us where to find the data reports and how to use the data reports to find resources to use for instruction.</w:t>
            </w:r>
          </w:p>
        </w:tc>
      </w:tr>
      <w:tr w:rsidR="00805062" w14:paraId="73D040E1" w14:textId="77777777" w:rsidTr="00120C51">
        <w:trPr>
          <w:jc w:val="center"/>
        </w:trPr>
        <w:tc>
          <w:tcPr>
            <w:tcW w:w="2065" w:type="dxa"/>
            <w:shd w:val="clear" w:color="auto" w:fill="D9E2F3" w:themeFill="accent1" w:themeFillTint="33"/>
          </w:tcPr>
          <w:p w14:paraId="1DBCAEAD" w14:textId="77777777" w:rsidR="00805062" w:rsidRDefault="00805062" w:rsidP="00120C51">
            <w:pPr>
              <w:rPr>
                <w:rFonts w:cstheme="minorHAnsi"/>
              </w:rPr>
            </w:pPr>
            <w:r>
              <w:rPr>
                <w:rFonts w:cstheme="minorHAnsi"/>
              </w:rPr>
              <w:lastRenderedPageBreak/>
              <w:t>NWEA MAP Growth</w:t>
            </w:r>
          </w:p>
        </w:tc>
        <w:tc>
          <w:tcPr>
            <w:tcW w:w="8725" w:type="dxa"/>
            <w:shd w:val="clear" w:color="auto" w:fill="D9E2F3" w:themeFill="accent1" w:themeFillTint="33"/>
          </w:tcPr>
          <w:p w14:paraId="6A85F305" w14:textId="77777777" w:rsidR="00805062" w:rsidRPr="002347DC" w:rsidRDefault="00805062" w:rsidP="00805062">
            <w:pPr>
              <w:pStyle w:val="ListParagraph"/>
              <w:numPr>
                <w:ilvl w:val="0"/>
                <w:numId w:val="13"/>
              </w:numPr>
              <w:rPr>
                <w:rFonts w:cstheme="minorHAnsi"/>
              </w:rPr>
            </w:pPr>
            <w:r w:rsidRPr="00542B3A">
              <w:rPr>
                <w:rFonts w:cstheme="minorHAnsi"/>
              </w:rPr>
              <w:t>I felt con</w:t>
            </w:r>
            <w:r>
              <w:rPr>
                <w:rFonts w:cstheme="minorHAnsi"/>
              </w:rPr>
              <w:t>fused on how to access reports.</w:t>
            </w:r>
            <w:r w:rsidRPr="002347DC">
              <w:rPr>
                <w:rFonts w:cstheme="minorHAnsi"/>
              </w:rPr>
              <w:t xml:space="preserve"> </w:t>
            </w:r>
          </w:p>
          <w:p w14:paraId="2FC8EE4B" w14:textId="77777777" w:rsidR="00805062" w:rsidRPr="00542B3A" w:rsidRDefault="00805062" w:rsidP="00805062">
            <w:pPr>
              <w:pStyle w:val="ListParagraph"/>
              <w:numPr>
                <w:ilvl w:val="0"/>
                <w:numId w:val="13"/>
              </w:numPr>
              <w:rPr>
                <w:rFonts w:cstheme="minorHAnsi"/>
              </w:rPr>
            </w:pPr>
            <w:r w:rsidRPr="00542B3A">
              <w:rPr>
                <w:rFonts w:cstheme="minorHAnsi"/>
              </w:rPr>
              <w:t xml:space="preserve">The reports were several pages long and we found them to be completely inaccurate. It was overwhelming and not worth the time to be able to identify and remediate an area of weakness. </w:t>
            </w:r>
          </w:p>
          <w:p w14:paraId="4A6A872A" w14:textId="77777777" w:rsidR="00805062" w:rsidRPr="00A146BF" w:rsidRDefault="00805062" w:rsidP="00805062">
            <w:pPr>
              <w:pStyle w:val="ListParagraph"/>
              <w:numPr>
                <w:ilvl w:val="0"/>
                <w:numId w:val="13"/>
              </w:numPr>
              <w:rPr>
                <w:rFonts w:cstheme="minorHAnsi"/>
              </w:rPr>
            </w:pPr>
            <w:r w:rsidRPr="00542B3A">
              <w:rPr>
                <w:rFonts w:eastAsia="Times New Roman" w:cstheme="minorHAnsi"/>
              </w:rPr>
              <w:t>I was supported by having our reading coach sit with me to review my students’ data.</w:t>
            </w:r>
          </w:p>
        </w:tc>
      </w:tr>
      <w:tr w:rsidR="00805062" w14:paraId="018EE88C" w14:textId="77777777" w:rsidTr="00120C51">
        <w:trPr>
          <w:jc w:val="center"/>
        </w:trPr>
        <w:tc>
          <w:tcPr>
            <w:tcW w:w="2065" w:type="dxa"/>
            <w:shd w:val="clear" w:color="auto" w:fill="B4C6E7" w:themeFill="accent1" w:themeFillTint="66"/>
          </w:tcPr>
          <w:p w14:paraId="1755E3CA" w14:textId="77777777" w:rsidR="00805062" w:rsidRDefault="00805062" w:rsidP="00120C51">
            <w:pPr>
              <w:rPr>
                <w:rFonts w:cstheme="minorHAnsi"/>
              </w:rPr>
            </w:pPr>
            <w:r>
              <w:rPr>
                <w:rFonts w:cstheme="minorHAnsi"/>
              </w:rPr>
              <w:t>Renaissance STAR</w:t>
            </w:r>
          </w:p>
        </w:tc>
        <w:tc>
          <w:tcPr>
            <w:tcW w:w="8725" w:type="dxa"/>
            <w:shd w:val="clear" w:color="auto" w:fill="B4C6E7" w:themeFill="accent1" w:themeFillTint="66"/>
          </w:tcPr>
          <w:p w14:paraId="55106D29" w14:textId="77777777" w:rsidR="00805062" w:rsidRPr="009A5AB3" w:rsidRDefault="00805062" w:rsidP="00805062">
            <w:pPr>
              <w:pStyle w:val="ListParagraph"/>
              <w:numPr>
                <w:ilvl w:val="0"/>
                <w:numId w:val="13"/>
              </w:numPr>
              <w:rPr>
                <w:rFonts w:cstheme="minorHAnsi"/>
              </w:rPr>
            </w:pPr>
            <w:r w:rsidRPr="009A5AB3">
              <w:rPr>
                <w:rFonts w:cstheme="minorHAnsi"/>
              </w:rPr>
              <w:t xml:space="preserve">The PD provided did a great job highlighting useful reports and how they could be utilized. </w:t>
            </w:r>
          </w:p>
          <w:p w14:paraId="7238A13F" w14:textId="77777777" w:rsidR="00805062" w:rsidRPr="00A146BF" w:rsidRDefault="00805062" w:rsidP="00805062">
            <w:pPr>
              <w:pStyle w:val="ListParagraph"/>
              <w:numPr>
                <w:ilvl w:val="0"/>
                <w:numId w:val="13"/>
              </w:numPr>
              <w:rPr>
                <w:rFonts w:cstheme="minorHAnsi"/>
              </w:rPr>
            </w:pPr>
            <w:r w:rsidRPr="00542B3A">
              <w:rPr>
                <w:rFonts w:cstheme="minorHAnsi"/>
              </w:rPr>
              <w:t>The team from Renaissance STAR</w:t>
            </w:r>
            <w:r>
              <w:rPr>
                <w:rFonts w:cstheme="minorHAnsi"/>
              </w:rPr>
              <w:t>,</w:t>
            </w:r>
            <w:r w:rsidRPr="00542B3A">
              <w:rPr>
                <w:rFonts w:cstheme="minorHAnsi"/>
              </w:rPr>
              <w:t xml:space="preserve"> as well as district literacy coach and administrators</w:t>
            </w:r>
            <w:r>
              <w:rPr>
                <w:rFonts w:cstheme="minorHAnsi"/>
              </w:rPr>
              <w:t>,</w:t>
            </w:r>
            <w:r w:rsidRPr="00542B3A">
              <w:rPr>
                <w:rFonts w:cstheme="minorHAnsi"/>
              </w:rPr>
              <w:t xml:space="preserve"> supported the use of data reports to make instructional decisions.</w:t>
            </w:r>
          </w:p>
        </w:tc>
      </w:tr>
    </w:tbl>
    <w:p w14:paraId="627C03AC" w14:textId="77777777" w:rsidR="00805062" w:rsidRDefault="00805062" w:rsidP="00805062">
      <w:pPr>
        <w:tabs>
          <w:tab w:val="left" w:pos="1660"/>
        </w:tabs>
        <w:rPr>
          <w:b/>
          <w:bCs/>
        </w:rPr>
      </w:pPr>
    </w:p>
    <w:p w14:paraId="12086D67" w14:textId="68AB1735" w:rsidR="00805062" w:rsidRDefault="00805062" w:rsidP="00805062">
      <w:pPr>
        <w:tabs>
          <w:tab w:val="left" w:pos="1660"/>
        </w:tabs>
      </w:pPr>
      <w:r w:rsidRPr="00542B3A">
        <w:rPr>
          <w:b/>
          <w:bCs/>
        </w:rPr>
        <w:t xml:space="preserve">Graphic </w:t>
      </w:r>
      <w:r>
        <w:rPr>
          <w:b/>
          <w:bCs/>
        </w:rPr>
        <w:t>6</w:t>
      </w:r>
      <w:r>
        <w:t xml:space="preserve">:  </w:t>
      </w:r>
      <w:r w:rsidRPr="00C456A3">
        <w:rPr>
          <w:b/>
          <w:bCs/>
        </w:rPr>
        <w:t>The data analysis professional development was a good use of my time.</w:t>
      </w:r>
    </w:p>
    <w:p w14:paraId="6859BBF7" w14:textId="77777777" w:rsidR="00805062" w:rsidRDefault="00805062" w:rsidP="00805062">
      <w:pPr>
        <w:jc w:val="center"/>
      </w:pPr>
      <w:r>
        <w:rPr>
          <w:noProof/>
        </w:rPr>
        <w:drawing>
          <wp:inline distT="0" distB="0" distL="0" distR="0" wp14:anchorId="3207F6DD" wp14:editId="76965512">
            <wp:extent cx="4184650" cy="2292350"/>
            <wp:effectExtent l="0" t="0" r="6350" b="12700"/>
            <wp:docPr id="32" name="Chart 32" descr="Graphic 6 is bar graph representing the number of participants who responded positively to data analysis professional development being a good use of their time for each assessment:  Istation ISIP 87%, Lexia RAPID 80%, MAP Growth 94%, Renaissance STAR 89%">
              <a:extLst xmlns:a="http://schemas.openxmlformats.org/drawingml/2006/main">
                <a:ext uri="{FF2B5EF4-FFF2-40B4-BE49-F238E27FC236}">
                  <a16:creationId xmlns:a16="http://schemas.microsoft.com/office/drawing/2014/main" id="{756AE26D-5D4C-413F-82B7-0B6E661D6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8CF1BC" w14:textId="77777777" w:rsidR="00805062" w:rsidRDefault="00805062" w:rsidP="00805062">
      <w:r>
        <w:t xml:space="preserve">Graphic 6 represents the number of participants who responded positively to </w:t>
      </w:r>
      <w:r w:rsidRPr="000E377B">
        <w:rPr>
          <w:i/>
          <w:iCs/>
        </w:rPr>
        <w:t xml:space="preserve">data analysis professional </w:t>
      </w:r>
      <w:r>
        <w:rPr>
          <w:i/>
          <w:iCs/>
        </w:rPr>
        <w:t>development</w:t>
      </w:r>
      <w:r w:rsidRPr="000E377B">
        <w:rPr>
          <w:i/>
          <w:iCs/>
        </w:rPr>
        <w:t xml:space="preserve"> was a good use of their time.</w:t>
      </w:r>
      <w:r>
        <w:t xml:space="preserve">  80% or more of the respondents for the four assessments agreed, most participants responded agree or somewhat agree to this statement with exception of Renaissance STAR, 31% (11/35) of participants strongly agreed with this statement. Approximately 85% of respondents agreed that the following professional learning opportunities were offered by the vendors and were a good use of their time:</w:t>
      </w:r>
    </w:p>
    <w:p w14:paraId="1B228E91" w14:textId="77777777" w:rsidR="00805062" w:rsidRDefault="00805062" w:rsidP="00805062">
      <w:pPr>
        <w:pStyle w:val="ListParagraph"/>
        <w:numPr>
          <w:ilvl w:val="0"/>
          <w:numId w:val="10"/>
        </w:numPr>
      </w:pPr>
      <w:r>
        <w:t>An understanding of data reports: 87%</w:t>
      </w:r>
    </w:p>
    <w:p w14:paraId="17C41F47" w14:textId="77777777" w:rsidR="00805062" w:rsidRDefault="00805062" w:rsidP="00805062">
      <w:pPr>
        <w:pStyle w:val="ListParagraph"/>
        <w:numPr>
          <w:ilvl w:val="0"/>
          <w:numId w:val="10"/>
        </w:numPr>
      </w:pPr>
      <w:r>
        <w:t>Training on the most useful data reports: 86%</w:t>
      </w:r>
    </w:p>
    <w:p w14:paraId="3841019B" w14:textId="77777777" w:rsidR="00805062" w:rsidRDefault="00805062" w:rsidP="00805062">
      <w:pPr>
        <w:pStyle w:val="ListParagraph"/>
        <w:numPr>
          <w:ilvl w:val="0"/>
          <w:numId w:val="10"/>
        </w:numPr>
      </w:pPr>
      <w:r>
        <w:t>An understanding of the information included in each data report: 78%</w:t>
      </w:r>
    </w:p>
    <w:p w14:paraId="25369410" w14:textId="77777777" w:rsidR="00446DB0" w:rsidRDefault="00446DB0">
      <w:pPr>
        <w:rPr>
          <w:b/>
          <w:bCs/>
        </w:rPr>
      </w:pPr>
      <w:r>
        <w:rPr>
          <w:b/>
          <w:bCs/>
        </w:rPr>
        <w:br w:type="page"/>
      </w:r>
    </w:p>
    <w:p w14:paraId="5A4E31C3" w14:textId="35B61453" w:rsidR="00805062" w:rsidRPr="00805062" w:rsidRDefault="00805062" w:rsidP="00805062">
      <w:pPr>
        <w:ind w:left="360"/>
      </w:pPr>
      <w:r w:rsidRPr="00805062">
        <w:rPr>
          <w:b/>
          <w:bCs/>
        </w:rPr>
        <w:lastRenderedPageBreak/>
        <w:t>Graphic 7</w:t>
      </w:r>
      <w:r>
        <w:t xml:space="preserve">:  </w:t>
      </w:r>
      <w:r w:rsidRPr="00805062">
        <w:rPr>
          <w:b/>
          <w:bCs/>
        </w:rPr>
        <w:t>Accessing Assessment Data was very easy or easy.</w:t>
      </w:r>
    </w:p>
    <w:p w14:paraId="04D7EF1F" w14:textId="77777777" w:rsidR="00805062" w:rsidRDefault="00805062" w:rsidP="00805062">
      <w:pPr>
        <w:jc w:val="center"/>
      </w:pPr>
      <w:r>
        <w:rPr>
          <w:noProof/>
        </w:rPr>
        <w:drawing>
          <wp:inline distT="0" distB="0" distL="0" distR="0" wp14:anchorId="004A9D1D" wp14:editId="497A0187">
            <wp:extent cx="4127500" cy="2387600"/>
            <wp:effectExtent l="0" t="0" r="6350" b="12700"/>
            <wp:docPr id="33" name="Chart 33" descr="Graphic 7 is a bar graph representing the percentage of participants that responded very easy or easy to accessing data for each assessment:  Istation ISIP 54%, NWEA MAP Growth 50%, Renaissance STAR 43% and Lexia Rapid 26%.">
              <a:extLst xmlns:a="http://schemas.openxmlformats.org/drawingml/2006/main">
                <a:ext uri="{FF2B5EF4-FFF2-40B4-BE49-F238E27FC236}">
                  <a16:creationId xmlns:a16="http://schemas.microsoft.com/office/drawing/2014/main" id="{756AE26D-5D4C-413F-82B7-0B6E661D6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FD18B4" w14:textId="77777777" w:rsidR="00805062" w:rsidRDefault="00805062" w:rsidP="00805062">
      <w:pPr>
        <w:jc w:val="center"/>
      </w:pPr>
    </w:p>
    <w:p w14:paraId="5A5A2ACA" w14:textId="155F11AE" w:rsidR="00805062" w:rsidRPr="00805062" w:rsidRDefault="00805062" w:rsidP="00805062">
      <w:r>
        <w:t xml:space="preserve">Graphic 7 represents the percentage of participants that responded very easy or easy to </w:t>
      </w:r>
      <w:r w:rsidRPr="00C456A3">
        <w:rPr>
          <w:i/>
          <w:iCs/>
        </w:rPr>
        <w:t>access assessment data</w:t>
      </w:r>
      <w:r>
        <w:t xml:space="preserve">.  54% (21/39) of </w:t>
      </w:r>
      <w:proofErr w:type="spellStart"/>
      <w:r>
        <w:t>Istation</w:t>
      </w:r>
      <w:proofErr w:type="spellEnd"/>
      <w:r>
        <w:t xml:space="preserve"> ISIP, 50% (16/32) for NWEA MAP Growth, 43% (15/35) for Renaissance STAR and 26% (10/38) for Lexia RAPID. </w:t>
      </w:r>
    </w:p>
    <w:p w14:paraId="50285F46" w14:textId="77777777" w:rsidR="00805062" w:rsidRDefault="00805062" w:rsidP="00805062">
      <w:r w:rsidRPr="00DE07CB">
        <w:rPr>
          <w:b/>
          <w:bCs/>
        </w:rPr>
        <w:t>Administ</w:t>
      </w:r>
      <w:r>
        <w:rPr>
          <w:b/>
          <w:bCs/>
        </w:rPr>
        <w:t>rators</w:t>
      </w:r>
      <w:r>
        <w:t>: (8/11 administrators responded to the survey)</w:t>
      </w:r>
    </w:p>
    <w:p w14:paraId="37DBDCBE" w14:textId="319C9162" w:rsidR="00805062" w:rsidRDefault="00805062" w:rsidP="00805062">
      <w:r>
        <w:t>100% of the administrators who responded to the survey agreed (75%) or strongly agreed (25%) that the assessment vendor provided support specific to school leadership.  88% of the administrators agreed (63%) or strongly agreed (25%) that the vendor provided additional support face-to-face or virtually when requested. 88% agreed or strongly agreed that the vendor was responsive to assessment needs and questions.</w:t>
      </w:r>
    </w:p>
    <w:p w14:paraId="5E823B62" w14:textId="452D1630" w:rsidR="00A51DD9" w:rsidRDefault="00A51DD9" w:rsidP="00805062"/>
    <w:p w14:paraId="6E104130" w14:textId="77777777" w:rsidR="00A51DD9" w:rsidRPr="00805062" w:rsidRDefault="00A51DD9" w:rsidP="00A51DD9">
      <w:pPr>
        <w:spacing w:after="0" w:line="240" w:lineRule="auto"/>
        <w:contextualSpacing/>
        <w:rPr>
          <w:b/>
          <w:bCs/>
          <w:sz w:val="24"/>
          <w:szCs w:val="24"/>
        </w:rPr>
      </w:pPr>
      <w:r w:rsidRPr="00805062">
        <w:rPr>
          <w:b/>
          <w:bCs/>
          <w:sz w:val="24"/>
          <w:szCs w:val="24"/>
        </w:rPr>
        <w:t>Disclosure Statement:</w:t>
      </w:r>
    </w:p>
    <w:p w14:paraId="00A1BE76" w14:textId="2BAC63F4" w:rsidR="00A51DD9" w:rsidRPr="00805062" w:rsidRDefault="00A51DD9" w:rsidP="00A51DD9">
      <w:pPr>
        <w:spacing w:after="0" w:line="240" w:lineRule="auto"/>
        <w:contextualSpacing/>
        <w:rPr>
          <w:rFonts w:eastAsia="Times New Roman" w:cstheme="minorHAnsi"/>
        </w:rPr>
      </w:pPr>
      <w:r w:rsidRPr="00805062">
        <w:t xml:space="preserve">Reference in this </w:t>
      </w:r>
      <w:r w:rsidR="00DF41F2">
        <w:t>document</w:t>
      </w:r>
      <w:r w:rsidRPr="00805062">
        <w:t xml:space="preserv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hyperlink r:id="rId24" w:history="1">
        <w:r w:rsidR="00DF41F2" w:rsidRPr="00C356A3">
          <w:rPr>
            <w:rStyle w:val="Hyperlink"/>
          </w:rPr>
          <w:t>instructionalsupport@doe.mass.edu</w:t>
        </w:r>
      </w:hyperlink>
      <w:r w:rsidR="00DF41F2">
        <w:t xml:space="preserve"> </w:t>
      </w:r>
    </w:p>
    <w:p w14:paraId="6DB90561" w14:textId="77777777" w:rsidR="00A51DD9" w:rsidRDefault="00A51DD9" w:rsidP="00805062"/>
    <w:p w14:paraId="08B03679" w14:textId="77777777" w:rsidR="00805062" w:rsidRDefault="00805062" w:rsidP="00805062">
      <w:pPr>
        <w:pStyle w:val="EndnoteText"/>
      </w:pPr>
    </w:p>
    <w:p w14:paraId="6B268470" w14:textId="77777777" w:rsidR="00805062" w:rsidRDefault="00805062" w:rsidP="00805062">
      <w:pPr>
        <w:pStyle w:val="EndnoteText"/>
      </w:pPr>
    </w:p>
    <w:p w14:paraId="22AD9B3B" w14:textId="77777777" w:rsidR="00805062" w:rsidRDefault="00805062" w:rsidP="00EB26EC">
      <w:pPr>
        <w:spacing w:after="0" w:line="240" w:lineRule="auto"/>
        <w:contextualSpacing/>
        <w:rPr>
          <w:rFonts w:eastAsia="Times New Roman" w:cstheme="minorHAnsi"/>
        </w:rPr>
      </w:pPr>
    </w:p>
    <w:sectPr w:rsidR="00805062" w:rsidSect="00446DB0">
      <w:footerReference w:type="default" r:id="rId2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E84F" w14:textId="77777777" w:rsidR="00EB22FE" w:rsidRDefault="00EB22FE" w:rsidP="00EB26EC">
      <w:pPr>
        <w:spacing w:after="0" w:line="240" w:lineRule="auto"/>
      </w:pPr>
      <w:r>
        <w:separator/>
      </w:r>
    </w:p>
  </w:endnote>
  <w:endnote w:type="continuationSeparator" w:id="0">
    <w:p w14:paraId="0C4141B6" w14:textId="77777777" w:rsidR="00EB22FE" w:rsidRDefault="00EB22FE" w:rsidP="00EB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F0F3" w14:textId="77C66C61" w:rsidR="004E362E" w:rsidRDefault="004E362E" w:rsidP="004E362E">
    <w:pPr>
      <w:pStyle w:val="Footer"/>
      <w:jc w:val="center"/>
    </w:pPr>
    <w:r>
      <w:rPr>
        <w:noProof/>
      </w:rPr>
      <w:drawing>
        <wp:inline distT="0" distB="0" distL="0" distR="0" wp14:anchorId="5E5037CB" wp14:editId="73A5DAC0">
          <wp:extent cx="1255751" cy="610710"/>
          <wp:effectExtent l="0" t="0" r="1905" b="0"/>
          <wp:docPr id="24" name="Picture 24"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ESE Logo&#10;"/>
                  <pic:cNvPicPr/>
                </pic:nvPicPr>
                <pic:blipFill>
                  <a:blip r:embed="rId1">
                    <a:extLst>
                      <a:ext uri="{28A0092B-C50C-407E-A947-70E740481C1C}">
                        <a14:useLocalDpi xmlns:a14="http://schemas.microsoft.com/office/drawing/2010/main" val="0"/>
                      </a:ext>
                    </a:extLst>
                  </a:blip>
                  <a:stretch>
                    <a:fillRect/>
                  </a:stretch>
                </pic:blipFill>
                <pic:spPr>
                  <a:xfrm>
                    <a:off x="0" y="0"/>
                    <a:ext cx="1284468" cy="624676"/>
                  </a:xfrm>
                  <a:prstGeom prst="rect">
                    <a:avLst/>
                  </a:prstGeom>
                </pic:spPr>
              </pic:pic>
            </a:graphicData>
          </a:graphic>
        </wp:inline>
      </w:drawing>
    </w:r>
  </w:p>
  <w:tbl>
    <w:tblPr>
      <w:tblW w:w="5000" w:type="pct"/>
      <w:jc w:val="center"/>
      <w:tblCellMar>
        <w:top w:w="144" w:type="dxa"/>
        <w:left w:w="115" w:type="dxa"/>
        <w:bottom w:w="144" w:type="dxa"/>
        <w:right w:w="115" w:type="dxa"/>
      </w:tblCellMar>
      <w:tblLook w:val="04A0" w:firstRow="1" w:lastRow="0" w:firstColumn="1" w:lastColumn="0" w:noHBand="0" w:noVBand="1"/>
    </w:tblPr>
    <w:tblGrid>
      <w:gridCol w:w="5350"/>
      <w:gridCol w:w="4586"/>
    </w:tblGrid>
    <w:tr w:rsidR="004E362E" w14:paraId="273E47DF" w14:textId="77777777" w:rsidTr="007E16B2">
      <w:trPr>
        <w:trHeight w:hRule="exact" w:val="115"/>
        <w:jc w:val="center"/>
      </w:trPr>
      <w:tc>
        <w:tcPr>
          <w:tcW w:w="5040" w:type="dxa"/>
          <w:shd w:val="clear" w:color="auto" w:fill="4472C4" w:themeFill="accent1"/>
          <w:tcMar>
            <w:top w:w="0" w:type="dxa"/>
            <w:bottom w:w="0" w:type="dxa"/>
          </w:tcMar>
        </w:tcPr>
        <w:p w14:paraId="2234F973" w14:textId="77777777" w:rsidR="004E362E" w:rsidRDefault="004E362E" w:rsidP="004E362E">
          <w:pPr>
            <w:pStyle w:val="Header"/>
            <w:tabs>
              <w:tab w:val="clear" w:pos="4680"/>
              <w:tab w:val="clear" w:pos="9360"/>
            </w:tabs>
            <w:rPr>
              <w:caps/>
              <w:sz w:val="18"/>
            </w:rPr>
          </w:pPr>
        </w:p>
      </w:tc>
      <w:tc>
        <w:tcPr>
          <w:tcW w:w="4320" w:type="dxa"/>
          <w:shd w:val="clear" w:color="auto" w:fill="4472C4" w:themeFill="accent1"/>
          <w:tcMar>
            <w:top w:w="0" w:type="dxa"/>
            <w:bottom w:w="0" w:type="dxa"/>
          </w:tcMar>
        </w:tcPr>
        <w:p w14:paraId="65527423" w14:textId="77777777" w:rsidR="004E362E" w:rsidRDefault="004E362E" w:rsidP="004E362E">
          <w:pPr>
            <w:pStyle w:val="Header"/>
            <w:tabs>
              <w:tab w:val="clear" w:pos="4680"/>
              <w:tab w:val="clear" w:pos="9360"/>
            </w:tabs>
            <w:jc w:val="right"/>
            <w:rPr>
              <w:caps/>
              <w:sz w:val="18"/>
            </w:rPr>
          </w:pPr>
        </w:p>
      </w:tc>
    </w:tr>
    <w:tr w:rsidR="004E362E" w14:paraId="3CC0A8FE" w14:textId="77777777" w:rsidTr="007E16B2">
      <w:trPr>
        <w:jc w:val="center"/>
      </w:trPr>
      <w:tc>
        <w:tcPr>
          <w:tcW w:w="5040" w:type="dxa"/>
          <w:shd w:val="clear" w:color="auto" w:fill="auto"/>
          <w:vAlign w:val="center"/>
        </w:tcPr>
        <w:p w14:paraId="1B57F1BB" w14:textId="77777777" w:rsidR="004E362E" w:rsidRDefault="004E362E" w:rsidP="004E362E">
          <w:pPr>
            <w:pStyle w:val="Footer"/>
            <w:tabs>
              <w:tab w:val="clear" w:pos="4680"/>
              <w:tab w:val="clear" w:pos="9360"/>
            </w:tabs>
            <w:rPr>
              <w:caps/>
              <w:color w:val="808080" w:themeColor="background1" w:themeShade="80"/>
              <w:sz w:val="18"/>
              <w:szCs w:val="18"/>
            </w:rPr>
          </w:pPr>
          <w:r w:rsidRPr="000E14FE">
            <w:rPr>
              <w:caps/>
              <w:color w:val="595959" w:themeColor="text1" w:themeTint="A6"/>
              <w:sz w:val="18"/>
              <w:szCs w:val="18"/>
            </w:rPr>
            <w:t>Early Literacy Universal Screening Assessment Guidance</w:t>
          </w:r>
        </w:p>
      </w:tc>
      <w:tc>
        <w:tcPr>
          <w:tcW w:w="4320" w:type="dxa"/>
          <w:shd w:val="clear" w:color="auto" w:fill="auto"/>
          <w:vAlign w:val="center"/>
        </w:tcPr>
        <w:p w14:paraId="17E163DC" w14:textId="77777777" w:rsidR="004E362E" w:rsidRDefault="004E362E" w:rsidP="004E362E">
          <w:pPr>
            <w:pStyle w:val="Footer"/>
            <w:tabs>
              <w:tab w:val="clear" w:pos="4680"/>
              <w:tab w:val="clear" w:pos="9360"/>
            </w:tabs>
            <w:jc w:val="right"/>
            <w:rPr>
              <w:caps/>
              <w:color w:val="808080" w:themeColor="background1" w:themeShade="80"/>
              <w:sz w:val="18"/>
              <w:szCs w:val="18"/>
            </w:rPr>
          </w:pPr>
          <w:r w:rsidRPr="000E14FE">
            <w:rPr>
              <w:caps/>
              <w:color w:val="595959" w:themeColor="text1" w:themeTint="A6"/>
              <w:sz w:val="18"/>
              <w:szCs w:val="18"/>
            </w:rPr>
            <w:t>Updated May 2021</w:t>
          </w:r>
        </w:p>
      </w:tc>
    </w:tr>
  </w:tbl>
  <w:p w14:paraId="76CE0593" w14:textId="77777777" w:rsidR="0085405C" w:rsidRDefault="0085405C" w:rsidP="004E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5900" w14:textId="77777777" w:rsidR="00EB22FE" w:rsidRDefault="00EB22FE" w:rsidP="00EB26EC">
      <w:pPr>
        <w:spacing w:after="0" w:line="240" w:lineRule="auto"/>
      </w:pPr>
      <w:r>
        <w:separator/>
      </w:r>
    </w:p>
  </w:footnote>
  <w:footnote w:type="continuationSeparator" w:id="0">
    <w:p w14:paraId="47250D7C" w14:textId="77777777" w:rsidR="00EB22FE" w:rsidRDefault="00EB22FE" w:rsidP="00EB26EC">
      <w:pPr>
        <w:spacing w:after="0" w:line="240" w:lineRule="auto"/>
      </w:pPr>
      <w:r>
        <w:continuationSeparator/>
      </w:r>
    </w:p>
  </w:footnote>
  <w:footnote w:id="1">
    <w:p w14:paraId="341ECCD2" w14:textId="77777777" w:rsidR="0085405C" w:rsidRPr="00A06561" w:rsidRDefault="0085405C" w:rsidP="00EB26EC">
      <w:pPr>
        <w:pStyle w:val="FootnoteText"/>
        <w:ind w:left="360" w:hanging="360"/>
        <w:rPr>
          <w:sz w:val="16"/>
          <w:szCs w:val="16"/>
        </w:rPr>
      </w:pPr>
      <w:r w:rsidRPr="00A06561">
        <w:rPr>
          <w:rStyle w:val="FootnoteReference"/>
          <w:sz w:val="16"/>
          <w:szCs w:val="16"/>
        </w:rPr>
        <w:footnoteRef/>
      </w:r>
      <w:r w:rsidRPr="00A06561">
        <w:rPr>
          <w:color w:val="333333"/>
          <w:sz w:val="16"/>
          <w:szCs w:val="16"/>
          <w:shd w:val="clear" w:color="auto" w:fill="FFFFFF"/>
        </w:rPr>
        <w:t xml:space="preserve"> “Early Literacy: Tools.” </w:t>
      </w:r>
      <w:r w:rsidRPr="00A06561">
        <w:rPr>
          <w:i/>
          <w:iCs/>
          <w:color w:val="333333"/>
          <w:sz w:val="16"/>
          <w:szCs w:val="16"/>
        </w:rPr>
        <w:t>Home</w:t>
      </w:r>
      <w:r w:rsidRPr="00A06561">
        <w:rPr>
          <w:color w:val="333333"/>
          <w:sz w:val="16"/>
          <w:szCs w:val="16"/>
          <w:shd w:val="clear" w:color="auto" w:fill="FFFFFF"/>
        </w:rPr>
        <w:t>, US Department of Education (ED), 2 Aug. 2017, www2.ed.gov/about/inits/ed/earlyliteracy/tools.html.</w:t>
      </w:r>
    </w:p>
  </w:footnote>
  <w:footnote w:id="2">
    <w:p w14:paraId="1CA45721" w14:textId="77777777" w:rsidR="0085405C" w:rsidRPr="00674571" w:rsidRDefault="0085405C" w:rsidP="00EB26EC">
      <w:pPr>
        <w:pStyle w:val="NormalWeb"/>
        <w:ind w:left="567" w:hanging="567"/>
        <w:rPr>
          <w:rFonts w:eastAsia="Times New Roman"/>
        </w:rPr>
      </w:pPr>
      <w:r w:rsidRPr="00A06561">
        <w:rPr>
          <w:rStyle w:val="FootnoteReference"/>
          <w:sz w:val="16"/>
          <w:szCs w:val="16"/>
        </w:rPr>
        <w:footnoteRef/>
      </w:r>
      <w:r w:rsidRPr="001032E8">
        <w:rPr>
          <w:sz w:val="16"/>
          <w:szCs w:val="16"/>
          <w:lang w:val="es-ES"/>
        </w:rPr>
        <w:t xml:space="preserve"> </w:t>
      </w:r>
      <w:r w:rsidRPr="001032E8">
        <w:rPr>
          <w:rFonts w:asciiTheme="minorHAnsi" w:eastAsia="Times New Roman" w:hAnsiTheme="minorHAnsi"/>
          <w:sz w:val="16"/>
          <w:szCs w:val="16"/>
          <w:lang w:val="es-ES"/>
        </w:rPr>
        <w:t xml:space="preserve">Gersten, R., Compton, D., Connor, C. M., </w:t>
      </w:r>
      <w:proofErr w:type="spellStart"/>
      <w:r w:rsidRPr="001032E8">
        <w:rPr>
          <w:rFonts w:asciiTheme="minorHAnsi" w:eastAsia="Times New Roman" w:hAnsiTheme="minorHAnsi"/>
          <w:sz w:val="16"/>
          <w:szCs w:val="16"/>
          <w:lang w:val="es-ES"/>
        </w:rPr>
        <w:t>Dimino</w:t>
      </w:r>
      <w:proofErr w:type="spellEnd"/>
      <w:r w:rsidRPr="001032E8">
        <w:rPr>
          <w:rFonts w:asciiTheme="minorHAnsi" w:eastAsia="Times New Roman" w:hAnsiTheme="minorHAnsi"/>
          <w:sz w:val="16"/>
          <w:szCs w:val="16"/>
          <w:lang w:val="es-ES"/>
        </w:rPr>
        <w:t xml:space="preserve">, J., Santoro, L., </w:t>
      </w:r>
      <w:proofErr w:type="spellStart"/>
      <w:r w:rsidRPr="001032E8">
        <w:rPr>
          <w:rFonts w:asciiTheme="minorHAnsi" w:eastAsia="Times New Roman" w:hAnsiTheme="minorHAnsi"/>
          <w:sz w:val="16"/>
          <w:szCs w:val="16"/>
          <w:lang w:val="es-ES"/>
        </w:rPr>
        <w:t>Linan</w:t>
      </w:r>
      <w:proofErr w:type="spellEnd"/>
      <w:r w:rsidRPr="001032E8">
        <w:rPr>
          <w:rFonts w:asciiTheme="minorHAnsi" w:eastAsia="Times New Roman" w:hAnsiTheme="minorHAnsi"/>
          <w:sz w:val="16"/>
          <w:szCs w:val="16"/>
          <w:lang w:val="es-ES"/>
        </w:rPr>
        <w:t xml:space="preserve">-Thompson, S., . . . </w:t>
      </w:r>
      <w:proofErr w:type="spellStart"/>
      <w:r w:rsidRPr="00674571">
        <w:rPr>
          <w:rFonts w:asciiTheme="minorHAnsi" w:eastAsia="Times New Roman" w:hAnsiTheme="minorHAnsi"/>
          <w:sz w:val="16"/>
          <w:szCs w:val="16"/>
        </w:rPr>
        <w:t>Hallgren</w:t>
      </w:r>
      <w:proofErr w:type="spellEnd"/>
      <w:r w:rsidRPr="00674571">
        <w:rPr>
          <w:rFonts w:asciiTheme="minorHAnsi" w:eastAsia="Times New Roman" w:hAnsiTheme="minorHAnsi"/>
          <w:sz w:val="16"/>
          <w:szCs w:val="16"/>
        </w:rPr>
        <w:t xml:space="preserve">, K. (2009). </w:t>
      </w:r>
      <w:r w:rsidRPr="00674571">
        <w:rPr>
          <w:rFonts w:asciiTheme="minorHAnsi" w:eastAsia="Times New Roman" w:hAnsiTheme="minorHAnsi"/>
          <w:i/>
          <w:iCs/>
          <w:sz w:val="16"/>
          <w:szCs w:val="16"/>
        </w:rPr>
        <w:t>Assisting Students Struggling with Reading Response to Intervention (</w:t>
      </w:r>
      <w:proofErr w:type="spellStart"/>
      <w:r w:rsidRPr="00674571">
        <w:rPr>
          <w:rFonts w:asciiTheme="minorHAnsi" w:eastAsia="Times New Roman" w:hAnsiTheme="minorHAnsi"/>
          <w:i/>
          <w:iCs/>
          <w:sz w:val="16"/>
          <w:szCs w:val="16"/>
        </w:rPr>
        <w:t>RtI</w:t>
      </w:r>
      <w:proofErr w:type="spellEnd"/>
      <w:r w:rsidRPr="00674571">
        <w:rPr>
          <w:rFonts w:asciiTheme="minorHAnsi" w:eastAsia="Times New Roman" w:hAnsiTheme="minorHAnsi"/>
          <w:i/>
          <w:iCs/>
          <w:sz w:val="16"/>
          <w:szCs w:val="16"/>
        </w:rPr>
        <w:t>) and Multi-Tier Intervention in the Primary Grades. IES Practice Guide. NCEE 2009-4045</w:t>
      </w:r>
      <w:r w:rsidRPr="00674571">
        <w:rPr>
          <w:rFonts w:asciiTheme="minorHAnsi" w:eastAsia="Times New Roman" w:hAnsiTheme="minorHAnsi"/>
          <w:sz w:val="16"/>
          <w:szCs w:val="16"/>
        </w:rPr>
        <w:t>. Place of publication not identified: Distributed by ERIC Clearinghouse.</w:t>
      </w:r>
    </w:p>
    <w:p w14:paraId="67AF415C" w14:textId="77777777" w:rsidR="0085405C" w:rsidRDefault="0085405C" w:rsidP="00EB26EC">
      <w:pPr>
        <w:shd w:val="clear" w:color="auto" w:fill="FFFFFF"/>
        <w:spacing w:after="0" w:line="240" w:lineRule="auto"/>
        <w:ind w:left="360" w:hanging="360"/>
      </w:pPr>
    </w:p>
  </w:footnote>
  <w:footnote w:id="3">
    <w:p w14:paraId="0486E371" w14:textId="25B1F0F0" w:rsidR="0085405C" w:rsidRDefault="0085405C">
      <w:pPr>
        <w:pStyle w:val="FootnoteText"/>
      </w:pPr>
      <w:r>
        <w:rPr>
          <w:rStyle w:val="FootnoteReference"/>
        </w:rPr>
        <w:footnoteRef/>
      </w:r>
      <w:r>
        <w:t xml:space="preserve"> Others were not piloted.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DF5"/>
    <w:multiLevelType w:val="hybridMultilevel"/>
    <w:tmpl w:val="E676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E32"/>
    <w:multiLevelType w:val="multilevel"/>
    <w:tmpl w:val="839C6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74F"/>
    <w:multiLevelType w:val="hybridMultilevel"/>
    <w:tmpl w:val="382C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308"/>
    <w:multiLevelType w:val="hybridMultilevel"/>
    <w:tmpl w:val="951C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D53B4"/>
    <w:multiLevelType w:val="hybridMultilevel"/>
    <w:tmpl w:val="F36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256"/>
    <w:multiLevelType w:val="hybridMultilevel"/>
    <w:tmpl w:val="49106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51D95"/>
    <w:multiLevelType w:val="hybridMultilevel"/>
    <w:tmpl w:val="0CE02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F644B3"/>
    <w:multiLevelType w:val="hybridMultilevel"/>
    <w:tmpl w:val="B88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54392"/>
    <w:multiLevelType w:val="hybridMultilevel"/>
    <w:tmpl w:val="FE3CD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8455F5"/>
    <w:multiLevelType w:val="multilevel"/>
    <w:tmpl w:val="A2ECB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24458D"/>
    <w:multiLevelType w:val="hybridMultilevel"/>
    <w:tmpl w:val="0DD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03F88"/>
    <w:multiLevelType w:val="hybridMultilevel"/>
    <w:tmpl w:val="319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33C6"/>
    <w:multiLevelType w:val="hybridMultilevel"/>
    <w:tmpl w:val="DABA8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0A2033"/>
    <w:multiLevelType w:val="hybridMultilevel"/>
    <w:tmpl w:val="053C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40D8B"/>
    <w:multiLevelType w:val="hybridMultilevel"/>
    <w:tmpl w:val="034A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628B9"/>
    <w:multiLevelType w:val="hybridMultilevel"/>
    <w:tmpl w:val="F15AB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17D54"/>
    <w:multiLevelType w:val="hybridMultilevel"/>
    <w:tmpl w:val="89B427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6A7310C"/>
    <w:multiLevelType w:val="hybridMultilevel"/>
    <w:tmpl w:val="223EE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6C2831"/>
    <w:multiLevelType w:val="hybridMultilevel"/>
    <w:tmpl w:val="A9188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AD55B5"/>
    <w:multiLevelType w:val="hybridMultilevel"/>
    <w:tmpl w:val="8A706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4F4C60"/>
    <w:multiLevelType w:val="hybridMultilevel"/>
    <w:tmpl w:val="6B6E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9"/>
  </w:num>
  <w:num w:numId="5">
    <w:abstractNumId w:val="6"/>
  </w:num>
  <w:num w:numId="6">
    <w:abstractNumId w:val="15"/>
  </w:num>
  <w:num w:numId="7">
    <w:abstractNumId w:val="10"/>
  </w:num>
  <w:num w:numId="8">
    <w:abstractNumId w:val="17"/>
  </w:num>
  <w:num w:numId="9">
    <w:abstractNumId w:val="18"/>
  </w:num>
  <w:num w:numId="10">
    <w:abstractNumId w:val="0"/>
  </w:num>
  <w:num w:numId="11">
    <w:abstractNumId w:val="20"/>
  </w:num>
  <w:num w:numId="12">
    <w:abstractNumId w:val="11"/>
  </w:num>
  <w:num w:numId="13">
    <w:abstractNumId w:val="7"/>
  </w:num>
  <w:num w:numId="14">
    <w:abstractNumId w:val="4"/>
  </w:num>
  <w:num w:numId="15">
    <w:abstractNumId w:val="3"/>
  </w:num>
  <w:num w:numId="16">
    <w:abstractNumId w:val="13"/>
  </w:num>
  <w:num w:numId="17">
    <w:abstractNumId w:val="1"/>
  </w:num>
  <w:num w:numId="18">
    <w:abstractNumId w:val="14"/>
  </w:num>
  <w:num w:numId="19">
    <w:abstractNumId w:val="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EC"/>
    <w:rsid w:val="0005299C"/>
    <w:rsid w:val="000E14FE"/>
    <w:rsid w:val="001032E8"/>
    <w:rsid w:val="001F4A01"/>
    <w:rsid w:val="00221774"/>
    <w:rsid w:val="003E429F"/>
    <w:rsid w:val="004214D5"/>
    <w:rsid w:val="00430956"/>
    <w:rsid w:val="00446DB0"/>
    <w:rsid w:val="004E362E"/>
    <w:rsid w:val="00595EB4"/>
    <w:rsid w:val="00653B34"/>
    <w:rsid w:val="00670CF2"/>
    <w:rsid w:val="007430DB"/>
    <w:rsid w:val="00805062"/>
    <w:rsid w:val="0085405C"/>
    <w:rsid w:val="008A29E1"/>
    <w:rsid w:val="00A42AA0"/>
    <w:rsid w:val="00A51DD9"/>
    <w:rsid w:val="00AF2D6E"/>
    <w:rsid w:val="00B32F5D"/>
    <w:rsid w:val="00B4250F"/>
    <w:rsid w:val="00D16734"/>
    <w:rsid w:val="00D7786F"/>
    <w:rsid w:val="00DB0400"/>
    <w:rsid w:val="00DB4C8A"/>
    <w:rsid w:val="00DC2D28"/>
    <w:rsid w:val="00DC70B4"/>
    <w:rsid w:val="00DF41F2"/>
    <w:rsid w:val="00EB22FE"/>
    <w:rsid w:val="00EB26EC"/>
    <w:rsid w:val="00F74A37"/>
    <w:rsid w:val="00FB67F3"/>
    <w:rsid w:val="00FD5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595C"/>
  <w15:chartTrackingRefBased/>
  <w15:docId w15:val="{8D4618FA-9620-496B-93DD-FA810883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EC"/>
  </w:style>
  <w:style w:type="paragraph" w:styleId="Heading1">
    <w:name w:val="heading 1"/>
    <w:basedOn w:val="Normal"/>
    <w:next w:val="Normal"/>
    <w:link w:val="Heading1Char"/>
    <w:uiPriority w:val="9"/>
    <w:qFormat/>
    <w:rsid w:val="001032E8"/>
    <w:pPr>
      <w:jc w:val="center"/>
      <w:outlineLvl w:val="0"/>
    </w:pPr>
    <w:rPr>
      <w:rFonts w:cstheme="minorHAnsi"/>
      <w:b/>
      <w:bCs/>
      <w:sz w:val="28"/>
      <w:szCs w:val="28"/>
    </w:rPr>
  </w:style>
  <w:style w:type="paragraph" w:styleId="Heading2">
    <w:name w:val="heading 2"/>
    <w:basedOn w:val="Normal"/>
    <w:next w:val="Normal"/>
    <w:link w:val="Heading2Char"/>
    <w:uiPriority w:val="9"/>
    <w:unhideWhenUsed/>
    <w:qFormat/>
    <w:rsid w:val="00DF41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B26EC"/>
    <w:pPr>
      <w:spacing w:after="0" w:line="240" w:lineRule="auto"/>
    </w:pPr>
    <w:rPr>
      <w:sz w:val="20"/>
      <w:szCs w:val="20"/>
    </w:rPr>
  </w:style>
  <w:style w:type="character" w:customStyle="1" w:styleId="EndnoteTextChar">
    <w:name w:val="Endnote Text Char"/>
    <w:basedOn w:val="DefaultParagraphFont"/>
    <w:link w:val="EndnoteText"/>
    <w:uiPriority w:val="99"/>
    <w:rsid w:val="00EB26EC"/>
    <w:rPr>
      <w:sz w:val="20"/>
      <w:szCs w:val="20"/>
    </w:rPr>
  </w:style>
  <w:style w:type="character" w:styleId="EndnoteReference">
    <w:name w:val="endnote reference"/>
    <w:basedOn w:val="DefaultParagraphFont"/>
    <w:uiPriority w:val="99"/>
    <w:semiHidden/>
    <w:unhideWhenUsed/>
    <w:rsid w:val="00EB26EC"/>
    <w:rPr>
      <w:vertAlign w:val="superscript"/>
    </w:rPr>
  </w:style>
  <w:style w:type="paragraph" w:styleId="FootnoteText">
    <w:name w:val="footnote text"/>
    <w:basedOn w:val="Normal"/>
    <w:link w:val="FootnoteTextChar"/>
    <w:uiPriority w:val="99"/>
    <w:semiHidden/>
    <w:unhideWhenUsed/>
    <w:rsid w:val="00EB2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6EC"/>
    <w:rPr>
      <w:sz w:val="20"/>
      <w:szCs w:val="20"/>
    </w:rPr>
  </w:style>
  <w:style w:type="character" w:styleId="FootnoteReference">
    <w:name w:val="footnote reference"/>
    <w:basedOn w:val="DefaultParagraphFont"/>
    <w:uiPriority w:val="99"/>
    <w:semiHidden/>
    <w:unhideWhenUsed/>
    <w:rsid w:val="00EB26EC"/>
    <w:rPr>
      <w:vertAlign w:val="superscript"/>
    </w:rPr>
  </w:style>
  <w:style w:type="character" w:styleId="Hyperlink">
    <w:name w:val="Hyperlink"/>
    <w:basedOn w:val="DefaultParagraphFont"/>
    <w:uiPriority w:val="99"/>
    <w:unhideWhenUsed/>
    <w:rsid w:val="00EB26EC"/>
    <w:rPr>
      <w:color w:val="0563C1" w:themeColor="hyperlink"/>
      <w:u w:val="single"/>
    </w:rPr>
  </w:style>
  <w:style w:type="paragraph" w:styleId="ListParagraph">
    <w:name w:val="List Paragraph"/>
    <w:basedOn w:val="Normal"/>
    <w:uiPriority w:val="34"/>
    <w:qFormat/>
    <w:rsid w:val="00EB26EC"/>
    <w:pPr>
      <w:ind w:left="720"/>
      <w:contextualSpacing/>
    </w:pPr>
  </w:style>
  <w:style w:type="table" w:styleId="TableGrid">
    <w:name w:val="Table Grid"/>
    <w:basedOn w:val="TableNormal"/>
    <w:uiPriority w:val="39"/>
    <w:rsid w:val="00EB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26EC"/>
    <w:rPr>
      <w:rFonts w:ascii="Times New Roman" w:hAnsi="Times New Roman" w:cs="Times New Roman"/>
      <w:sz w:val="24"/>
      <w:szCs w:val="24"/>
    </w:rPr>
  </w:style>
  <w:style w:type="paragraph" w:styleId="Footer">
    <w:name w:val="footer"/>
    <w:basedOn w:val="Normal"/>
    <w:link w:val="FooterChar"/>
    <w:uiPriority w:val="99"/>
    <w:unhideWhenUsed/>
    <w:qFormat/>
    <w:rsid w:val="00EB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6EC"/>
  </w:style>
  <w:style w:type="table" w:customStyle="1" w:styleId="TableGrid1">
    <w:name w:val="Table Grid1"/>
    <w:basedOn w:val="TableNormal"/>
    <w:next w:val="TableGrid"/>
    <w:uiPriority w:val="39"/>
    <w:rsid w:val="00EB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6EC"/>
    <w:rPr>
      <w:color w:val="605E5C"/>
      <w:shd w:val="clear" w:color="auto" w:fill="E1DFDD"/>
    </w:rPr>
  </w:style>
  <w:style w:type="paragraph" w:styleId="BalloonText">
    <w:name w:val="Balloon Text"/>
    <w:basedOn w:val="Normal"/>
    <w:link w:val="BalloonTextChar"/>
    <w:uiPriority w:val="99"/>
    <w:semiHidden/>
    <w:unhideWhenUsed/>
    <w:rsid w:val="0085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5C"/>
    <w:rPr>
      <w:rFonts w:ascii="Segoe UI" w:hAnsi="Segoe UI" w:cs="Segoe UI"/>
      <w:sz w:val="18"/>
      <w:szCs w:val="18"/>
    </w:rPr>
  </w:style>
  <w:style w:type="character" w:customStyle="1" w:styleId="Heading1Char">
    <w:name w:val="Heading 1 Char"/>
    <w:basedOn w:val="DefaultParagraphFont"/>
    <w:link w:val="Heading1"/>
    <w:uiPriority w:val="9"/>
    <w:rsid w:val="001032E8"/>
    <w:rPr>
      <w:rFonts w:cstheme="minorHAnsi"/>
      <w:b/>
      <w:bCs/>
      <w:sz w:val="28"/>
      <w:szCs w:val="28"/>
    </w:rPr>
  </w:style>
  <w:style w:type="paragraph" w:styleId="Header">
    <w:name w:val="header"/>
    <w:basedOn w:val="Normal"/>
    <w:link w:val="HeaderChar"/>
    <w:uiPriority w:val="99"/>
    <w:unhideWhenUsed/>
    <w:rsid w:val="004E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62E"/>
  </w:style>
  <w:style w:type="character" w:customStyle="1" w:styleId="Heading2Char">
    <w:name w:val="Heading 2 Char"/>
    <w:basedOn w:val="DefaultParagraphFont"/>
    <w:link w:val="Heading2"/>
    <w:uiPriority w:val="9"/>
    <w:rsid w:val="00DF41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es.ed.gov/ncee/wwc/Docs/PracticeGuide/rti_reading_pg_021809.pdf"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ntensiveintervention.org/sites/default/files/NCII_AcademicScreening_RatingRubric_July2018.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mass.edu/sped/dyslexia-guidelines.pdf"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structionalsupport@doe.mass.edu" TargetMode="External"/><Relationship Id="rId5" Type="http://schemas.openxmlformats.org/officeDocument/2006/relationships/customXml" Target="../customXml/item5.xml"/><Relationship Id="rId15" Type="http://schemas.openxmlformats.org/officeDocument/2006/relationships/hyperlink" Target="https://charts.intensiveintervention.org/ascreening" TargetMode="External"/><Relationship Id="rId23" Type="http://schemas.openxmlformats.org/officeDocument/2006/relationships/chart" Target="charts/chart6.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massliteracy/leading-mtss/data-based-decision.html" TargetMode="External"/><Relationship Id="rId22" Type="http://schemas.openxmlformats.org/officeDocument/2006/relationships/chart" Target="charts/chart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6A8-4354-9F10-643C5140D7A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6A8-4354-9F10-643C5140D7A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6A8-4354-9F10-643C5140D7A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6A8-4354-9F10-643C5140D7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Istation ISIP</c:v>
                </c:pt>
                <c:pt idx="1">
                  <c:v>Lexia RAPID</c:v>
                </c:pt>
                <c:pt idx="2">
                  <c:v>MAP Growth</c:v>
                </c:pt>
                <c:pt idx="3">
                  <c:v>STAR</c:v>
                </c:pt>
              </c:strCache>
            </c:strRef>
          </c:cat>
          <c:val>
            <c:numRef>
              <c:f>Sheet1!$B$1:$B$4</c:f>
              <c:numCache>
                <c:formatCode>0%</c:formatCode>
                <c:ptCount val="4"/>
                <c:pt idx="0">
                  <c:v>0.27</c:v>
                </c:pt>
                <c:pt idx="1">
                  <c:v>0.26</c:v>
                </c:pt>
                <c:pt idx="2">
                  <c:v>0.22</c:v>
                </c:pt>
                <c:pt idx="3">
                  <c:v>0.24</c:v>
                </c:pt>
              </c:numCache>
            </c:numRef>
          </c:val>
          <c:extLst>
            <c:ext xmlns:c16="http://schemas.microsoft.com/office/drawing/2014/chart" uri="{C3380CC4-5D6E-409C-BE32-E72D297353CC}">
              <c16:uniqueId val="{00000008-46A8-4354-9F10-643C5140D7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Istation ISIP</c:v>
                </c:pt>
                <c:pt idx="1">
                  <c:v>Lexia RAPID</c:v>
                </c:pt>
                <c:pt idx="2">
                  <c:v>MAP Growth</c:v>
                </c:pt>
                <c:pt idx="3">
                  <c:v>STAR</c:v>
                </c:pt>
              </c:strCache>
            </c:strRef>
          </c:cat>
          <c:val>
            <c:numRef>
              <c:f>Sheet1!$B$1:$B$4</c:f>
              <c:numCache>
                <c:formatCode>0%</c:formatCode>
                <c:ptCount val="4"/>
                <c:pt idx="0">
                  <c:v>0.82</c:v>
                </c:pt>
                <c:pt idx="1">
                  <c:v>0.89</c:v>
                </c:pt>
                <c:pt idx="2">
                  <c:v>0.63</c:v>
                </c:pt>
                <c:pt idx="3">
                  <c:v>0.94</c:v>
                </c:pt>
              </c:numCache>
            </c:numRef>
          </c:val>
          <c:extLst>
            <c:ext xmlns:c16="http://schemas.microsoft.com/office/drawing/2014/chart" uri="{C3380CC4-5D6E-409C-BE32-E72D297353CC}">
              <c16:uniqueId val="{00000000-A5EF-4A56-87E9-3A5CE6DCD6EC}"/>
            </c:ext>
          </c:extLst>
        </c:ser>
        <c:dLbls>
          <c:showLegendKey val="0"/>
          <c:showVal val="0"/>
          <c:showCatName val="0"/>
          <c:showSerName val="0"/>
          <c:showPercent val="0"/>
          <c:showBubbleSize val="0"/>
        </c:dLbls>
        <c:gapWidth val="219"/>
        <c:overlap val="-27"/>
        <c:axId val="463052464"/>
        <c:axId val="462996048"/>
      </c:barChart>
      <c:catAx>
        <c:axId val="46305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96048"/>
        <c:crosses val="autoZero"/>
        <c:auto val="1"/>
        <c:lblAlgn val="ctr"/>
        <c:lblOffset val="100"/>
        <c:noMultiLvlLbl val="0"/>
      </c:catAx>
      <c:valAx>
        <c:axId val="462996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052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Istation ISIP</c:v>
                </c:pt>
                <c:pt idx="1">
                  <c:v>Lexia RAPID</c:v>
                </c:pt>
                <c:pt idx="2">
                  <c:v>MAP Growth</c:v>
                </c:pt>
                <c:pt idx="3">
                  <c:v>STAR</c:v>
                </c:pt>
              </c:strCache>
            </c:strRef>
          </c:cat>
          <c:val>
            <c:numRef>
              <c:f>Sheet1!$B$1:$B$4</c:f>
              <c:numCache>
                <c:formatCode>0%</c:formatCode>
                <c:ptCount val="4"/>
                <c:pt idx="0">
                  <c:v>0.64</c:v>
                </c:pt>
                <c:pt idx="1">
                  <c:v>0.61</c:v>
                </c:pt>
                <c:pt idx="2">
                  <c:v>0.34</c:v>
                </c:pt>
                <c:pt idx="3">
                  <c:v>0.69</c:v>
                </c:pt>
              </c:numCache>
            </c:numRef>
          </c:val>
          <c:extLst>
            <c:ext xmlns:c16="http://schemas.microsoft.com/office/drawing/2014/chart" uri="{C3380CC4-5D6E-409C-BE32-E72D297353CC}">
              <c16:uniqueId val="{00000000-4D08-465A-ACFD-90CB0F417359}"/>
            </c:ext>
          </c:extLst>
        </c:ser>
        <c:dLbls>
          <c:showLegendKey val="0"/>
          <c:showVal val="0"/>
          <c:showCatName val="0"/>
          <c:showSerName val="0"/>
          <c:showPercent val="0"/>
          <c:showBubbleSize val="0"/>
        </c:dLbls>
        <c:gapWidth val="219"/>
        <c:overlap val="-27"/>
        <c:axId val="463052464"/>
        <c:axId val="462996048"/>
      </c:barChart>
      <c:catAx>
        <c:axId val="46305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96048"/>
        <c:crosses val="autoZero"/>
        <c:auto val="1"/>
        <c:lblAlgn val="ctr"/>
        <c:lblOffset val="100"/>
        <c:noMultiLvlLbl val="0"/>
      </c:catAx>
      <c:valAx>
        <c:axId val="462996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052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85F-4B70-87A3-7C3F63A14C55}"/>
              </c:ext>
            </c:extLst>
          </c:dPt>
          <c:dPt>
            <c:idx val="1"/>
            <c:bubble3D val="0"/>
            <c:spPr>
              <a:solidFill>
                <a:schemeClr val="accent5">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5F-4B70-87A3-7C3F63A14C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Sheet1!$A$8:$A$9</c:f>
              <c:strCache>
                <c:ptCount val="2"/>
                <c:pt idx="0">
                  <c:v>Yes</c:v>
                </c:pt>
                <c:pt idx="1">
                  <c:v>No</c:v>
                </c:pt>
              </c:strCache>
            </c:strRef>
          </c:cat>
          <c:val>
            <c:numRef>
              <c:f>Sheet1!$B$8:$B$9</c:f>
              <c:numCache>
                <c:formatCode>0%</c:formatCode>
                <c:ptCount val="2"/>
                <c:pt idx="0">
                  <c:v>0.79</c:v>
                </c:pt>
                <c:pt idx="1">
                  <c:v>0.21</c:v>
                </c:pt>
              </c:numCache>
            </c:numRef>
          </c:val>
          <c:extLst>
            <c:ext xmlns:c16="http://schemas.microsoft.com/office/drawing/2014/chart" uri="{C3380CC4-5D6E-409C-BE32-E72D297353CC}">
              <c16:uniqueId val="{00000004-E85F-4B70-87A3-7C3F63A14C55}"/>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938310252948282E-2"/>
          <c:y val="6.0941828254847646E-2"/>
          <c:w val="0.86050326789576193"/>
          <c:h val="0.81053591292778149"/>
        </c:manualLayout>
      </c:layout>
      <c:barChart>
        <c:barDir val="col"/>
        <c:grouping val="clustered"/>
        <c:varyColors val="0"/>
        <c:ser>
          <c:idx val="0"/>
          <c:order val="0"/>
          <c:spPr>
            <a:solidFill>
              <a:schemeClr val="accent1"/>
            </a:solidFill>
            <a:ln>
              <a:noFill/>
            </a:ln>
            <a:effectLst/>
          </c:spPr>
          <c:invertIfNegative val="0"/>
          <c:cat>
            <c:strRef>
              <c:f>Sheet1!$A$1:$A$4</c:f>
              <c:strCache>
                <c:ptCount val="4"/>
                <c:pt idx="0">
                  <c:v>Istation ISIP</c:v>
                </c:pt>
                <c:pt idx="1">
                  <c:v>Lexia RAPID</c:v>
                </c:pt>
                <c:pt idx="2">
                  <c:v>MAP Growth</c:v>
                </c:pt>
                <c:pt idx="3">
                  <c:v>STAR</c:v>
                </c:pt>
              </c:strCache>
            </c:strRef>
          </c:cat>
          <c:val>
            <c:numRef>
              <c:f>Sheet1!$B$1:$B$4</c:f>
              <c:numCache>
                <c:formatCode>0%</c:formatCode>
                <c:ptCount val="4"/>
                <c:pt idx="0">
                  <c:v>0.87</c:v>
                </c:pt>
                <c:pt idx="1">
                  <c:v>0.8</c:v>
                </c:pt>
                <c:pt idx="2">
                  <c:v>0.94</c:v>
                </c:pt>
                <c:pt idx="3">
                  <c:v>0.89</c:v>
                </c:pt>
              </c:numCache>
            </c:numRef>
          </c:val>
          <c:extLst>
            <c:ext xmlns:c16="http://schemas.microsoft.com/office/drawing/2014/chart" uri="{C3380CC4-5D6E-409C-BE32-E72D297353CC}">
              <c16:uniqueId val="{00000000-7B5D-443A-90E6-308AD76B6A68}"/>
            </c:ext>
          </c:extLst>
        </c:ser>
        <c:dLbls>
          <c:showLegendKey val="0"/>
          <c:showVal val="0"/>
          <c:showCatName val="0"/>
          <c:showSerName val="0"/>
          <c:showPercent val="0"/>
          <c:showBubbleSize val="0"/>
        </c:dLbls>
        <c:gapWidth val="219"/>
        <c:overlap val="-27"/>
        <c:axId val="463052464"/>
        <c:axId val="462996048"/>
      </c:barChart>
      <c:catAx>
        <c:axId val="46305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96048"/>
        <c:crosses val="autoZero"/>
        <c:auto val="1"/>
        <c:lblAlgn val="ctr"/>
        <c:lblOffset val="100"/>
        <c:noMultiLvlLbl val="0"/>
      </c:catAx>
      <c:valAx>
        <c:axId val="462996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052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Istation ISIP</c:v>
                </c:pt>
                <c:pt idx="1">
                  <c:v>Lexia RAPID</c:v>
                </c:pt>
                <c:pt idx="2">
                  <c:v>MAP Growth</c:v>
                </c:pt>
                <c:pt idx="3">
                  <c:v>STAR</c:v>
                </c:pt>
              </c:strCache>
            </c:strRef>
          </c:cat>
          <c:val>
            <c:numRef>
              <c:f>Sheet1!$B$1:$B$4</c:f>
              <c:numCache>
                <c:formatCode>0%</c:formatCode>
                <c:ptCount val="4"/>
                <c:pt idx="0">
                  <c:v>0.54</c:v>
                </c:pt>
                <c:pt idx="1">
                  <c:v>0.26</c:v>
                </c:pt>
                <c:pt idx="2">
                  <c:v>0.5</c:v>
                </c:pt>
                <c:pt idx="3">
                  <c:v>0.43</c:v>
                </c:pt>
              </c:numCache>
            </c:numRef>
          </c:val>
          <c:extLst>
            <c:ext xmlns:c16="http://schemas.microsoft.com/office/drawing/2014/chart" uri="{C3380CC4-5D6E-409C-BE32-E72D297353CC}">
              <c16:uniqueId val="{00000000-EFC6-4E46-8DCE-C6125E2EA275}"/>
            </c:ext>
          </c:extLst>
        </c:ser>
        <c:dLbls>
          <c:showLegendKey val="0"/>
          <c:showVal val="0"/>
          <c:showCatName val="0"/>
          <c:showSerName val="0"/>
          <c:showPercent val="0"/>
          <c:showBubbleSize val="0"/>
        </c:dLbls>
        <c:gapWidth val="219"/>
        <c:overlap val="-27"/>
        <c:axId val="463052464"/>
        <c:axId val="462996048"/>
      </c:barChart>
      <c:catAx>
        <c:axId val="46305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96048"/>
        <c:crosses val="autoZero"/>
        <c:auto val="1"/>
        <c:lblAlgn val="ctr"/>
        <c:lblOffset val="100"/>
        <c:noMultiLvlLbl val="0"/>
      </c:catAx>
      <c:valAx>
        <c:axId val="462996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052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DESE-231-71205</_dlc_DocId>
    <_dlc_DocIdUrl xmlns="733efe1c-5bbe-4968-87dc-d400e65c879f">
      <Url>https://sharepoint.doemass.org/ese/webteam/cps/_layouts/DocIdRedir.aspx?ID=DESE-231-71205</Url>
      <Description>DESE-231-71205</Description>
    </_dlc_DocIdUrl>
  </documentManagement>
</p:properties>
</file>

<file path=customXml/itemProps1.xml><?xml version="1.0" encoding="utf-8"?>
<ds:datastoreItem xmlns:ds="http://schemas.openxmlformats.org/officeDocument/2006/customXml" ds:itemID="{5E9F77CA-1DEB-4B94-9F7D-A3AF15C6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F46A4-1C71-42DC-BB8C-0488522B865D}">
  <ds:schemaRefs>
    <ds:schemaRef ds:uri="http://schemas.microsoft.com/sharepoint/events"/>
  </ds:schemaRefs>
</ds:datastoreItem>
</file>

<file path=customXml/itemProps3.xml><?xml version="1.0" encoding="utf-8"?>
<ds:datastoreItem xmlns:ds="http://schemas.openxmlformats.org/officeDocument/2006/customXml" ds:itemID="{E71EA936-3BEE-42A9-ADB6-F4B9854DA725}">
  <ds:schemaRefs>
    <ds:schemaRef ds:uri="http://schemas.openxmlformats.org/officeDocument/2006/bibliography"/>
  </ds:schemaRefs>
</ds:datastoreItem>
</file>

<file path=customXml/itemProps4.xml><?xml version="1.0" encoding="utf-8"?>
<ds:datastoreItem xmlns:ds="http://schemas.openxmlformats.org/officeDocument/2006/customXml" ds:itemID="{AB1F932A-D162-4931-AE5C-23BF860A7475}">
  <ds:schemaRefs>
    <ds:schemaRef ds:uri="http://schemas.microsoft.com/sharepoint/v3/contenttype/forms"/>
  </ds:schemaRefs>
</ds:datastoreItem>
</file>

<file path=customXml/itemProps5.xml><?xml version="1.0" encoding="utf-8"?>
<ds:datastoreItem xmlns:ds="http://schemas.openxmlformats.org/officeDocument/2006/customXml" ds:itemID="{B8AFFE75-0F54-4042-AD57-D326CF07CB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Universal Screening Assessment Guidance</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Screening Assessment Guidance</dc:title>
  <dc:subject/>
  <dc:creator>DESE</dc:creator>
  <cp:keywords/>
  <dc:description/>
  <cp:lastModifiedBy>Zou, Dong (EOE)</cp:lastModifiedBy>
  <cp:revision>6</cp:revision>
  <dcterms:created xsi:type="dcterms:W3CDTF">2021-05-27T21:10:00Z</dcterms:created>
  <dcterms:modified xsi:type="dcterms:W3CDTF">2021-05-28T16:46:00Z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2021</vt:lpwstr>
  </property>
</Properties>
</file>