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8924"/>
      </w:tblGrid>
      <w:tr w:rsidR="001E5E4E" w:rsidRPr="00930449" w14:paraId="0CA9A82D" w14:textId="77777777" w:rsidTr="007933F1">
        <w:trPr>
          <w:trHeight w:val="720"/>
        </w:trPr>
        <w:tc>
          <w:tcPr>
            <w:tcW w:w="1620" w:type="dxa"/>
            <w:tcBorders>
              <w:right w:val="single" w:sz="24" w:space="0" w:color="FAA529"/>
            </w:tcBorders>
            <w:vAlign w:val="center"/>
          </w:tcPr>
          <w:p w14:paraId="2DAAB455" w14:textId="79A7FD22" w:rsidR="001E5E4E" w:rsidRDefault="001E5E4E" w:rsidP="007933F1">
            <w:pPr>
              <w:jc w:val="right"/>
            </w:pPr>
            <w:r>
              <w:rPr>
                <w:noProof/>
                <w:color w:val="587FAE"/>
                <w:sz w:val="48"/>
                <w:szCs w:val="48"/>
              </w:rPr>
              <w:drawing>
                <wp:inline distT="0" distB="0" distL="0" distR="0" wp14:anchorId="3CA700F5" wp14:editId="49CFFBBF">
                  <wp:extent cx="1051076" cy="701040"/>
                  <wp:effectExtent l="0" t="0" r="3175" b="0"/>
                  <wp:docPr id="2" name="Picture 2" descr="Investigating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vestigating History Logo"/>
                          <pic:cNvPicPr/>
                        </pic:nvPicPr>
                        <pic:blipFill rotWithShape="1">
                          <a:blip r:embed="rId12" cstate="print">
                            <a:duotone>
                              <a:schemeClr val="accent5">
                                <a:shade val="45000"/>
                                <a:satMod val="135000"/>
                              </a:schemeClr>
                              <a:prstClr val="white"/>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6507"/>
                          <a:stretch/>
                        </pic:blipFill>
                        <pic:spPr bwMode="auto">
                          <a:xfrm>
                            <a:off x="0" y="0"/>
                            <a:ext cx="1051076" cy="701040"/>
                          </a:xfrm>
                          <a:prstGeom prst="rect">
                            <a:avLst/>
                          </a:prstGeom>
                          <a:ln>
                            <a:noFill/>
                          </a:ln>
                          <a:extLst>
                            <a:ext uri="{53640926-AAD7-44D8-BBD7-CCE9431645EC}">
                              <a14:shadowObscured xmlns:a14="http://schemas.microsoft.com/office/drawing/2010/main"/>
                            </a:ext>
                          </a:extLst>
                        </pic:spPr>
                      </pic:pic>
                    </a:graphicData>
                  </a:graphic>
                </wp:inline>
              </w:drawing>
            </w:r>
          </w:p>
        </w:tc>
        <w:tc>
          <w:tcPr>
            <w:tcW w:w="9180" w:type="dxa"/>
            <w:tcBorders>
              <w:left w:val="single" w:sz="24" w:space="0" w:color="FAA529"/>
            </w:tcBorders>
            <w:vAlign w:val="center"/>
          </w:tcPr>
          <w:p w14:paraId="6908AB89" w14:textId="4355429B" w:rsidR="007933F1" w:rsidRPr="007933F1" w:rsidRDefault="007933F1" w:rsidP="007933F1">
            <w:pPr>
              <w:pStyle w:val="MainHeading"/>
              <w:ind w:left="75" w:right="-101"/>
              <w:rPr>
                <w:b w:val="0"/>
                <w:bCs w:val="0"/>
                <w:color w:val="2B669A"/>
                <w:sz w:val="48"/>
                <w:szCs w:val="48"/>
              </w:rPr>
            </w:pPr>
            <w:r>
              <w:rPr>
                <w:color w:val="2B669A"/>
                <w:sz w:val="48"/>
                <w:szCs w:val="48"/>
              </w:rPr>
              <w:t>Setting the Stage for Success:</w:t>
            </w:r>
            <w:r>
              <w:rPr>
                <w:color w:val="2B669A"/>
                <w:sz w:val="48"/>
                <w:szCs w:val="48"/>
              </w:rPr>
              <w:br/>
            </w:r>
            <w:r w:rsidRPr="007933F1">
              <w:rPr>
                <w:b w:val="0"/>
                <w:bCs w:val="0"/>
                <w:color w:val="2B669A"/>
                <w:sz w:val="40"/>
                <w:szCs w:val="40"/>
              </w:rPr>
              <w:t>Adoption and Implementation Guide</w:t>
            </w:r>
          </w:p>
        </w:tc>
      </w:tr>
    </w:tbl>
    <w:p w14:paraId="11FFA8A8" w14:textId="77777777" w:rsidR="007933F1" w:rsidRDefault="007933F1" w:rsidP="00C70D03">
      <w:pPr>
        <w:rPr>
          <w:rFonts w:ascii="Avenir Book" w:eastAsia="Calibri" w:hAnsi="Avenir Book" w:cs="Calibri"/>
          <w:sz w:val="22"/>
          <w:szCs w:val="22"/>
        </w:rPr>
      </w:pPr>
    </w:p>
    <w:p w14:paraId="07E97BFE" w14:textId="3368F6AB" w:rsidR="00C70D03" w:rsidRPr="00C70D03" w:rsidRDefault="00C70D03" w:rsidP="007933F1">
      <w:pPr>
        <w:spacing w:after="120"/>
        <w:rPr>
          <w:rFonts w:ascii="Avenir Book" w:eastAsia="Calibri" w:hAnsi="Avenir Book" w:cs="Calibri"/>
          <w:sz w:val="22"/>
          <w:szCs w:val="22"/>
        </w:rPr>
      </w:pPr>
      <w:r w:rsidRPr="00C70D03">
        <w:rPr>
          <w:rFonts w:ascii="Avenir Book" w:eastAsia="Calibri" w:hAnsi="Avenir Book" w:cs="Calibri"/>
          <w:sz w:val="22"/>
          <w:szCs w:val="22"/>
        </w:rPr>
        <w:t>Adopting and implementing new, comprehensive, inquiry-based curricular materials like Investigating History requires an intentional, long-term commitment and may represent a dramatic shift from existing history/social science instructional practice. It is important to remember that the implementation process is just that–a process–and will require the sustained investment and effort of a variety of stakeholders across multiple school years.</w:t>
      </w:r>
    </w:p>
    <w:p w14:paraId="234661E4" w14:textId="77777777" w:rsidR="00C70D03" w:rsidRPr="00C70D03" w:rsidRDefault="00C70D03" w:rsidP="00C70D03">
      <w:pPr>
        <w:rPr>
          <w:rFonts w:ascii="Avenir Book" w:eastAsia="Calibri" w:hAnsi="Avenir Book" w:cs="Calibri"/>
          <w:sz w:val="22"/>
          <w:szCs w:val="22"/>
        </w:rPr>
      </w:pPr>
      <w:r w:rsidRPr="00C70D03">
        <w:rPr>
          <w:rFonts w:ascii="Avenir Book" w:eastAsia="Calibri" w:hAnsi="Avenir Book" w:cs="Calibri"/>
          <w:sz w:val="22"/>
          <w:szCs w:val="22"/>
        </w:rPr>
        <w:t>Schools and districts who choose to implement Investigating History will have to answer a number of questions early in the process, such as:</w:t>
      </w:r>
    </w:p>
    <w:p w14:paraId="5E263E85" w14:textId="77777777" w:rsidR="00C70D03" w:rsidRPr="00C70D03" w:rsidRDefault="00C70D03" w:rsidP="00C70D03">
      <w:pPr>
        <w:numPr>
          <w:ilvl w:val="0"/>
          <w:numId w:val="32"/>
        </w:numPr>
        <w:rPr>
          <w:rFonts w:ascii="Avenir Book" w:eastAsia="Calibri" w:hAnsi="Avenir Book" w:cs="Calibri"/>
          <w:sz w:val="22"/>
          <w:szCs w:val="22"/>
        </w:rPr>
      </w:pPr>
      <w:r w:rsidRPr="00C70D03">
        <w:rPr>
          <w:rFonts w:ascii="Avenir Book" w:eastAsia="Calibri" w:hAnsi="Avenir Book" w:cs="Calibri"/>
          <w:sz w:val="22"/>
          <w:szCs w:val="22"/>
        </w:rPr>
        <w:t xml:space="preserve">Along </w:t>
      </w:r>
      <w:r w:rsidRPr="00C70D03">
        <w:rPr>
          <w:rFonts w:ascii="Avenir Heavy" w:eastAsia="Calibri" w:hAnsi="Avenir Heavy" w:cs="Calibri"/>
          <w:b/>
          <w:bCs/>
          <w:sz w:val="22"/>
          <w:szCs w:val="22"/>
        </w:rPr>
        <w:t>what timeline</w:t>
      </w:r>
      <w:r w:rsidRPr="00C70D03">
        <w:rPr>
          <w:rFonts w:ascii="Avenir Book" w:eastAsia="Calibri" w:hAnsi="Avenir Book" w:cs="Calibri"/>
          <w:sz w:val="22"/>
          <w:szCs w:val="22"/>
        </w:rPr>
        <w:t xml:space="preserve"> will we implement Investigating History at each grade level?</w:t>
      </w:r>
    </w:p>
    <w:p w14:paraId="7C395439" w14:textId="77777777" w:rsidR="00C70D03" w:rsidRPr="00C70D03" w:rsidRDefault="00C70D03" w:rsidP="00C70D03">
      <w:pPr>
        <w:numPr>
          <w:ilvl w:val="0"/>
          <w:numId w:val="32"/>
        </w:numPr>
        <w:rPr>
          <w:rFonts w:ascii="Avenir Book" w:eastAsia="Calibri" w:hAnsi="Avenir Book" w:cs="Calibri"/>
          <w:sz w:val="22"/>
          <w:szCs w:val="22"/>
        </w:rPr>
      </w:pPr>
      <w:r w:rsidRPr="00C70D03">
        <w:rPr>
          <w:rFonts w:ascii="Avenir Heavy" w:eastAsia="Calibri" w:hAnsi="Avenir Heavy" w:cs="Calibri"/>
          <w:b/>
          <w:bCs/>
          <w:sz w:val="22"/>
          <w:szCs w:val="22"/>
        </w:rPr>
        <w:t>Who</w:t>
      </w:r>
      <w:r w:rsidRPr="00C70D03">
        <w:rPr>
          <w:rFonts w:ascii="Avenir Book" w:eastAsia="Calibri" w:hAnsi="Avenir Book" w:cs="Calibri"/>
          <w:sz w:val="22"/>
          <w:szCs w:val="22"/>
        </w:rPr>
        <w:t xml:space="preserve"> should be involved in the implementation process and in what ways?</w:t>
      </w:r>
    </w:p>
    <w:p w14:paraId="66401A17" w14:textId="77777777" w:rsidR="00C70D03" w:rsidRPr="007933F1" w:rsidRDefault="00C70D03" w:rsidP="00C70D03">
      <w:pPr>
        <w:numPr>
          <w:ilvl w:val="0"/>
          <w:numId w:val="32"/>
        </w:numPr>
        <w:rPr>
          <w:rFonts w:ascii="Avenir Book" w:eastAsia="Calibri" w:hAnsi="Avenir Book" w:cs="Calibri"/>
          <w:sz w:val="22"/>
          <w:szCs w:val="22"/>
        </w:rPr>
      </w:pPr>
      <w:r w:rsidRPr="00C70D03">
        <w:rPr>
          <w:rFonts w:ascii="Avenir Book" w:eastAsia="Calibri" w:hAnsi="Avenir Book" w:cs="Calibri"/>
          <w:sz w:val="22"/>
          <w:szCs w:val="22"/>
        </w:rPr>
        <w:t xml:space="preserve">What is the </w:t>
      </w:r>
      <w:r w:rsidRPr="00C70D03">
        <w:rPr>
          <w:rFonts w:ascii="Avenir Heavy" w:eastAsia="Calibri" w:hAnsi="Avenir Heavy" w:cs="Calibri"/>
          <w:b/>
          <w:bCs/>
          <w:sz w:val="22"/>
          <w:szCs w:val="22"/>
        </w:rPr>
        <w:t>model and nature</w:t>
      </w:r>
      <w:r w:rsidRPr="00C70D03">
        <w:rPr>
          <w:rFonts w:ascii="Avenir Book" w:eastAsia="Calibri" w:hAnsi="Avenir Book" w:cs="Calibri"/>
          <w:sz w:val="22"/>
          <w:szCs w:val="22"/>
        </w:rPr>
        <w:t xml:space="preserve"> </w:t>
      </w:r>
      <w:r w:rsidRPr="00C70D03">
        <w:rPr>
          <w:rFonts w:ascii="Avenir Heavy" w:eastAsia="Calibri" w:hAnsi="Avenir Heavy" w:cs="Calibri"/>
          <w:b/>
          <w:bCs/>
          <w:sz w:val="22"/>
          <w:szCs w:val="22"/>
        </w:rPr>
        <w:t>of the professional learning</w:t>
      </w:r>
      <w:r w:rsidRPr="00C70D03">
        <w:rPr>
          <w:rFonts w:ascii="Avenir Book" w:eastAsia="Calibri" w:hAnsi="Avenir Book" w:cs="Calibri"/>
          <w:sz w:val="22"/>
          <w:szCs w:val="22"/>
        </w:rPr>
        <w:t xml:space="preserve"> that educators will receive, and with which </w:t>
      </w:r>
      <w:r w:rsidRPr="00C70D03">
        <w:rPr>
          <w:rFonts w:ascii="Avenir Heavy" w:eastAsia="Calibri" w:hAnsi="Avenir Heavy" w:cs="Calibri"/>
          <w:b/>
          <w:bCs/>
          <w:sz w:val="22"/>
          <w:szCs w:val="22"/>
        </w:rPr>
        <w:t xml:space="preserve">certified professional development provider </w:t>
      </w:r>
      <w:r w:rsidRPr="00C70D03">
        <w:rPr>
          <w:rFonts w:ascii="Avenir Book" w:eastAsia="Calibri" w:hAnsi="Avenir Book" w:cs="Calibri"/>
          <w:sz w:val="22"/>
          <w:szCs w:val="22"/>
        </w:rPr>
        <w:t>will we partner?</w:t>
      </w:r>
    </w:p>
    <w:p w14:paraId="0E90D535" w14:textId="7C3DBCBB" w:rsidR="00C70D03" w:rsidRPr="007933F1" w:rsidRDefault="00C70D03" w:rsidP="007933F1">
      <w:pPr>
        <w:numPr>
          <w:ilvl w:val="0"/>
          <w:numId w:val="32"/>
        </w:numPr>
        <w:spacing w:after="120"/>
        <w:rPr>
          <w:rFonts w:ascii="Avenir Book" w:eastAsia="Calibri" w:hAnsi="Avenir Book" w:cs="Calibri"/>
          <w:sz w:val="22"/>
          <w:szCs w:val="22"/>
        </w:rPr>
      </w:pPr>
      <w:r w:rsidRPr="007933F1">
        <w:rPr>
          <w:rFonts w:ascii="Avenir Book" w:eastAsia="Calibri" w:hAnsi="Avenir Book" w:cs="Calibri"/>
          <w:sz w:val="22"/>
          <w:szCs w:val="22"/>
        </w:rPr>
        <w:t xml:space="preserve">What </w:t>
      </w:r>
      <w:r w:rsidRPr="007933F1">
        <w:rPr>
          <w:rFonts w:ascii="Avenir Heavy" w:eastAsia="Calibri" w:hAnsi="Avenir Heavy" w:cs="Calibri"/>
          <w:b/>
          <w:bCs/>
          <w:sz w:val="22"/>
          <w:szCs w:val="22"/>
        </w:rPr>
        <w:t>systemic or structural changes</w:t>
      </w:r>
      <w:r w:rsidRPr="007933F1">
        <w:rPr>
          <w:rFonts w:ascii="Avenir Book" w:eastAsia="Calibri" w:hAnsi="Avenir Book" w:cs="Calibri"/>
          <w:sz w:val="22"/>
          <w:szCs w:val="22"/>
        </w:rPr>
        <w:t xml:space="preserve"> (e.g. schedule shifts or adjustments to the instructional coaching model) may be needed to support implementation? </w:t>
      </w:r>
    </w:p>
    <w:p w14:paraId="1C711939" w14:textId="51503F14" w:rsidR="00A63AE9" w:rsidRPr="00A63AE9" w:rsidRDefault="00A63AE9" w:rsidP="00C70D03">
      <w:pPr>
        <w:pBdr>
          <w:top w:val="single" w:sz="4" w:space="1" w:color="auto"/>
          <w:left w:val="single" w:sz="4" w:space="4" w:color="auto"/>
          <w:bottom w:val="single" w:sz="4" w:space="1" w:color="auto"/>
          <w:right w:val="single" w:sz="4" w:space="4" w:color="auto"/>
        </w:pBdr>
        <w:shd w:val="clear" w:color="auto" w:fill="EEF4FB"/>
        <w:rPr>
          <w:rFonts w:ascii="Avenir Book" w:eastAsia="Calibri" w:hAnsi="Avenir Book" w:cs="Calibri"/>
          <w:sz w:val="22"/>
          <w:szCs w:val="22"/>
        </w:rPr>
      </w:pPr>
      <w:r w:rsidRPr="00A63AE9">
        <w:rPr>
          <w:rFonts w:ascii="Avenir Heavy" w:eastAsia="Calibri" w:hAnsi="Avenir Heavy" w:cs="Calibri"/>
          <w:b/>
          <w:bCs/>
          <w:sz w:val="22"/>
          <w:szCs w:val="22"/>
        </w:rPr>
        <w:t>This guide is designed to help schools and districts make more informed and thoughtful choices about these and other questions, as well as to support their ongoing planning and implementation work by highlighting areas where they may need to invest additional time, resources, and/or attention.</w:t>
      </w:r>
      <w:r w:rsidRPr="00A63AE9">
        <w:rPr>
          <w:rFonts w:ascii="Avenir Book" w:eastAsia="Calibri" w:hAnsi="Avenir Book" w:cs="Calibri"/>
          <w:sz w:val="22"/>
          <w:szCs w:val="22"/>
        </w:rPr>
        <w:t xml:space="preserve"> It draws on the experiences of schools who piloted Investigating History to lay out the conditions that are critical to Investigating History’s long-term success and provide a tool that schools and districts can use to determine the extent to which each condition currently exists.</w:t>
      </w:r>
    </w:p>
    <w:p w14:paraId="39E15821" w14:textId="77777777" w:rsidR="00A63AE9" w:rsidRPr="00A63AE9" w:rsidRDefault="00A63AE9" w:rsidP="00A63AE9">
      <w:pPr>
        <w:rPr>
          <w:rFonts w:ascii="Avenir Book" w:eastAsia="Calibri" w:hAnsi="Avenir Book" w:cs="Calibri"/>
          <w:sz w:val="18"/>
          <w:szCs w:val="18"/>
        </w:rPr>
      </w:pPr>
    </w:p>
    <w:p w14:paraId="5DE94897" w14:textId="5F3FF1E2" w:rsidR="00424E8D" w:rsidRDefault="00D96BAF" w:rsidP="00F30B70">
      <w:pPr>
        <w:pStyle w:val="SupportingQuestion"/>
        <w:spacing w:before="120" w:after="120"/>
        <w:rPr>
          <w:bCs/>
          <w:iCs w:val="0"/>
          <w:sz w:val="32"/>
          <w:szCs w:val="32"/>
        </w:rPr>
      </w:pPr>
      <w:r>
        <w:rPr>
          <w:bCs/>
          <w:iCs w:val="0"/>
          <w:sz w:val="32"/>
          <w:szCs w:val="32"/>
        </w:rPr>
        <w:t>Conditions for Success</w:t>
      </w:r>
    </w:p>
    <w:p w14:paraId="00646FDF" w14:textId="3BE20BAB" w:rsidR="00D96BAF" w:rsidRPr="00D96BAF" w:rsidRDefault="00D96BAF" w:rsidP="007933F1">
      <w:pPr>
        <w:spacing w:after="120"/>
        <w:rPr>
          <w:rFonts w:ascii="Avenir Book" w:eastAsia="Calibri" w:hAnsi="Avenir Book" w:cs="Calibri"/>
          <w:sz w:val="22"/>
          <w:szCs w:val="22"/>
        </w:rPr>
      </w:pPr>
      <w:r w:rsidRPr="00D96BAF">
        <w:rPr>
          <w:rFonts w:ascii="Avenir Book" w:eastAsia="Calibri" w:hAnsi="Avenir Book" w:cs="Calibri"/>
          <w:sz w:val="22"/>
          <w:szCs w:val="22"/>
        </w:rPr>
        <w:t>In general, Investigating History’s success depends on the extent to which educators have (or are supported in developing) content and pedagogical knowledge and are able to work within structures and a climate that support Investigating History’s instructional approach.</w:t>
      </w:r>
    </w:p>
    <w:p w14:paraId="196796FB" w14:textId="5BBBFE59" w:rsidR="00D96BAF" w:rsidRPr="00D96BAF" w:rsidRDefault="00D96BAF" w:rsidP="007933F1">
      <w:pPr>
        <w:spacing w:after="120"/>
        <w:ind w:left="720"/>
        <w:rPr>
          <w:rFonts w:ascii="Avenir Book" w:eastAsia="Calibri" w:hAnsi="Avenir Book" w:cs="Calibri"/>
          <w:sz w:val="22"/>
          <w:szCs w:val="22"/>
        </w:rPr>
      </w:pPr>
      <w:r w:rsidRPr="00D96BAF">
        <w:rPr>
          <w:rFonts w:ascii="Avenir Heavy" w:eastAsia="Calibri" w:hAnsi="Avenir Heavy" w:cs="Calibri"/>
          <w:sz w:val="22"/>
          <w:szCs w:val="22"/>
        </w:rPr>
        <w:t>Educators’ content</w:t>
      </w:r>
      <w:r w:rsidR="004C35C3">
        <w:rPr>
          <w:rFonts w:ascii="Avenir Heavy" w:eastAsia="Calibri" w:hAnsi="Avenir Heavy" w:cs="Calibri"/>
          <w:sz w:val="22"/>
          <w:szCs w:val="22"/>
        </w:rPr>
        <w:t xml:space="preserve">, </w:t>
      </w:r>
      <w:r w:rsidRPr="00D96BAF">
        <w:rPr>
          <w:rFonts w:ascii="Avenir Heavy" w:eastAsia="Calibri" w:hAnsi="Avenir Heavy" w:cs="Calibri"/>
          <w:sz w:val="22"/>
          <w:szCs w:val="22"/>
        </w:rPr>
        <w:t>pedagogical</w:t>
      </w:r>
      <w:r w:rsidR="004C35C3">
        <w:rPr>
          <w:rFonts w:ascii="Avenir Heavy" w:eastAsia="Calibri" w:hAnsi="Avenir Heavy" w:cs="Calibri"/>
          <w:sz w:val="22"/>
          <w:szCs w:val="22"/>
        </w:rPr>
        <w:t xml:space="preserve">, and pedagogical content </w:t>
      </w:r>
      <w:r w:rsidRPr="00D96BAF">
        <w:rPr>
          <w:rFonts w:ascii="Avenir Heavy" w:eastAsia="Calibri" w:hAnsi="Avenir Heavy" w:cs="Calibri"/>
          <w:sz w:val="22"/>
          <w:szCs w:val="22"/>
        </w:rPr>
        <w:t>knowledge</w:t>
      </w:r>
      <w:r w:rsidRPr="00D96BAF">
        <w:rPr>
          <w:rFonts w:ascii="Avenir Book" w:eastAsia="Calibri" w:hAnsi="Avenir Book" w:cs="Calibri"/>
          <w:sz w:val="22"/>
          <w:szCs w:val="22"/>
        </w:rPr>
        <w:t xml:space="preserve"> includes knowledge of the content, practice, and literacy standards in the History/Social Science Framework; facility with instructional strategies to support practices such as student discourse, historical inquiry, and literacy development; and alignment with the vision and beliefs at the heart of Investigating History.</w:t>
      </w:r>
    </w:p>
    <w:p w14:paraId="380C7747" w14:textId="77777777" w:rsidR="007933F1" w:rsidRDefault="00D96BAF" w:rsidP="007933F1">
      <w:pPr>
        <w:spacing w:after="120"/>
        <w:ind w:left="720"/>
        <w:rPr>
          <w:rFonts w:ascii="Avenir Book" w:eastAsia="Calibri" w:hAnsi="Avenir Book" w:cs="Calibri"/>
          <w:sz w:val="22"/>
          <w:szCs w:val="22"/>
        </w:rPr>
      </w:pPr>
      <w:r w:rsidRPr="00D96BAF">
        <w:rPr>
          <w:rFonts w:ascii="Avenir Heavy" w:eastAsia="Calibri" w:hAnsi="Avenir Heavy" w:cs="Calibri"/>
          <w:sz w:val="22"/>
          <w:szCs w:val="22"/>
        </w:rPr>
        <w:t>Supportive structure</w:t>
      </w:r>
      <w:r w:rsidRPr="007933F1">
        <w:rPr>
          <w:rFonts w:ascii="Avenir Heavy" w:eastAsia="Calibri" w:hAnsi="Avenir Heavy" w:cs="Calibri"/>
          <w:sz w:val="22"/>
          <w:szCs w:val="22"/>
        </w:rPr>
        <w:t>s</w:t>
      </w:r>
      <w:r w:rsidRPr="00D96BAF">
        <w:rPr>
          <w:rFonts w:ascii="Avenir Book" w:eastAsia="Calibri" w:hAnsi="Avenir Book" w:cs="Calibri"/>
          <w:b/>
          <w:bCs/>
          <w:sz w:val="22"/>
          <w:szCs w:val="22"/>
        </w:rPr>
        <w:t xml:space="preserve"> </w:t>
      </w:r>
      <w:r w:rsidRPr="00D96BAF">
        <w:rPr>
          <w:rFonts w:ascii="Avenir Book" w:eastAsia="Calibri" w:hAnsi="Avenir Book" w:cs="Calibri"/>
          <w:sz w:val="22"/>
          <w:szCs w:val="22"/>
        </w:rPr>
        <w:t xml:space="preserve">refer to those existing school- and district-wide structures which reinforce educators’ ability to adopt Investigating History such as a well-defined instructional vision or appropriate time for professional development, planning, and collaboration. A </w:t>
      </w:r>
      <w:r w:rsidRPr="00D96BAF">
        <w:rPr>
          <w:rFonts w:ascii="Avenir Heavy" w:eastAsia="Calibri" w:hAnsi="Avenir Heavy" w:cs="Calibri"/>
          <w:sz w:val="22"/>
          <w:szCs w:val="22"/>
        </w:rPr>
        <w:t xml:space="preserve">supportive climate </w:t>
      </w:r>
      <w:r w:rsidRPr="007933F1">
        <w:rPr>
          <w:rFonts w:ascii="Avenir Book" w:eastAsia="Calibri" w:hAnsi="Avenir Book" w:cs="Calibri"/>
          <w:sz w:val="22"/>
          <w:szCs w:val="22"/>
        </w:rPr>
        <w:t xml:space="preserve">is </w:t>
      </w:r>
      <w:r w:rsidRPr="00D96BAF">
        <w:rPr>
          <w:rFonts w:ascii="Avenir Book" w:eastAsia="Calibri" w:hAnsi="Avenir Book" w:cs="Calibri"/>
          <w:sz w:val="22"/>
          <w:szCs w:val="22"/>
        </w:rPr>
        <w:t>one in which educators are able to make Investigating History a main priority and in which students and educators alike are accustomed to inquiry-based, student-centered, culturally and linguistically sustaining teaching across every subject area.</w:t>
      </w:r>
    </w:p>
    <w:p w14:paraId="14FEBB37" w14:textId="5148A35A" w:rsidR="007933F1" w:rsidRPr="007933F1" w:rsidRDefault="00D96BAF" w:rsidP="007933F1">
      <w:pPr>
        <w:spacing w:after="120"/>
        <w:rPr>
          <w:rFonts w:ascii="Avenir Book" w:eastAsia="Calibri" w:hAnsi="Avenir Book" w:cs="Calibri"/>
          <w:sz w:val="22"/>
          <w:szCs w:val="22"/>
        </w:rPr>
      </w:pPr>
      <w:r w:rsidRPr="007933F1">
        <w:rPr>
          <w:rFonts w:ascii="Avenir Book" w:eastAsia="Calibri" w:hAnsi="Avenir Book" w:cs="Calibri"/>
          <w:sz w:val="22"/>
          <w:szCs w:val="22"/>
        </w:rPr>
        <w:t xml:space="preserve">The extent to which these conditions exist—as measured by the Self-Assessment—can help schools and districts determine which </w:t>
      </w:r>
      <w:r w:rsidRPr="007933F1">
        <w:rPr>
          <w:rFonts w:ascii="Avenir Heavy" w:eastAsia="Calibri" w:hAnsi="Avenir Heavy" w:cs="Calibri"/>
          <w:sz w:val="22"/>
          <w:szCs w:val="22"/>
        </w:rPr>
        <w:t>implementation timeline and model</w:t>
      </w:r>
      <w:r w:rsidRPr="007933F1">
        <w:rPr>
          <w:rFonts w:ascii="Avenir Book" w:eastAsia="Calibri" w:hAnsi="Avenir Book" w:cs="Calibri"/>
          <w:sz w:val="22"/>
          <w:szCs w:val="22"/>
        </w:rPr>
        <w:t>,</w:t>
      </w:r>
      <w:r w:rsidRPr="007933F1">
        <w:rPr>
          <w:rFonts w:ascii="Avenir Book" w:eastAsia="Calibri" w:hAnsi="Avenir Book" w:cs="Calibri"/>
          <w:b/>
          <w:bCs/>
          <w:sz w:val="22"/>
          <w:szCs w:val="22"/>
        </w:rPr>
        <w:t xml:space="preserve"> </w:t>
      </w:r>
      <w:r w:rsidRPr="007933F1">
        <w:rPr>
          <w:rFonts w:ascii="Avenir Book" w:eastAsia="Calibri" w:hAnsi="Avenir Book" w:cs="Calibri"/>
          <w:sz w:val="22"/>
          <w:szCs w:val="22"/>
        </w:rPr>
        <w:t>as described below, will best leverage existing strengths and allow them to devote sufficient attention to building up those conditions which may not yet exist.</w:t>
      </w:r>
    </w:p>
    <w:p w14:paraId="428FDB63" w14:textId="2D1DA607" w:rsidR="007933F1" w:rsidRDefault="007933F1" w:rsidP="00F30B70">
      <w:pPr>
        <w:pStyle w:val="SupportingQuestion"/>
        <w:spacing w:after="120"/>
        <w:rPr>
          <w:bCs/>
          <w:iCs w:val="0"/>
          <w:sz w:val="32"/>
          <w:szCs w:val="32"/>
        </w:rPr>
      </w:pPr>
      <w:r>
        <w:rPr>
          <w:bCs/>
          <w:iCs w:val="0"/>
          <w:sz w:val="32"/>
          <w:szCs w:val="32"/>
        </w:rPr>
        <w:t>Implementation Timelines and Models</w:t>
      </w:r>
    </w:p>
    <w:p w14:paraId="1D4C6D63" w14:textId="1D1B22FC" w:rsidR="007933F1" w:rsidRDefault="007933F1" w:rsidP="007933F1">
      <w:pPr>
        <w:rPr>
          <w:rFonts w:ascii="Avenir Book" w:hAnsi="Avenir Book" w:cs="Calibri"/>
          <w:color w:val="000000"/>
          <w:sz w:val="22"/>
          <w:szCs w:val="22"/>
        </w:rPr>
      </w:pPr>
      <w:r w:rsidRPr="007933F1">
        <w:rPr>
          <w:rFonts w:ascii="Avenir Book" w:hAnsi="Avenir Book" w:cs="Calibri"/>
          <w:color w:val="000000"/>
          <w:sz w:val="22"/>
          <w:szCs w:val="22"/>
        </w:rPr>
        <w:t xml:space="preserve">When implementing Investigating History, schools and districts can choose between </w:t>
      </w:r>
      <w:r w:rsidR="00637B4C">
        <w:rPr>
          <w:rFonts w:ascii="Avenir Book" w:hAnsi="Avenir Book" w:cs="Calibri"/>
          <w:color w:val="000000"/>
          <w:sz w:val="22"/>
          <w:szCs w:val="22"/>
        </w:rPr>
        <w:t>a “short track” or “long track” implementation</w:t>
      </w:r>
      <w:r w:rsidRPr="007933F1">
        <w:rPr>
          <w:rFonts w:ascii="Avenir Book" w:hAnsi="Avenir Book" w:cs="Calibri"/>
          <w:color w:val="000000"/>
          <w:sz w:val="22"/>
          <w:szCs w:val="22"/>
        </w:rPr>
        <w:t xml:space="preserve"> timeline</w:t>
      </w:r>
      <w:r w:rsidR="00637B4C">
        <w:rPr>
          <w:rFonts w:ascii="Avenir Book" w:hAnsi="Avenir Book" w:cs="Calibri"/>
          <w:color w:val="000000"/>
          <w:sz w:val="22"/>
          <w:szCs w:val="22"/>
        </w:rPr>
        <w:t xml:space="preserve"> </w:t>
      </w:r>
      <w:r w:rsidRPr="007933F1">
        <w:rPr>
          <w:rFonts w:ascii="Avenir Book" w:hAnsi="Avenir Book" w:cs="Calibri"/>
          <w:color w:val="000000"/>
          <w:sz w:val="22"/>
          <w:szCs w:val="22"/>
        </w:rPr>
        <w:t>as they roll out the curriculum:</w:t>
      </w:r>
    </w:p>
    <w:p w14:paraId="3DC09C10" w14:textId="77777777" w:rsidR="008A3952" w:rsidRDefault="008A3952" w:rsidP="007933F1">
      <w:pPr>
        <w:rPr>
          <w:rFonts w:ascii="Avenir Book" w:hAnsi="Avenir Book" w:cs="Calibri"/>
          <w:color w:val="000000"/>
          <w:sz w:val="22"/>
          <w:szCs w:val="22"/>
        </w:rPr>
      </w:pP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22"/>
        <w:gridCol w:w="3138"/>
        <w:gridCol w:w="2608"/>
        <w:gridCol w:w="2247"/>
        <w:gridCol w:w="2245"/>
      </w:tblGrid>
      <w:tr w:rsidR="00796AF0" w:rsidRPr="008F1528" w14:paraId="3962B2EB" w14:textId="77777777" w:rsidTr="00637B4C">
        <w:trPr>
          <w:trHeight w:val="350"/>
        </w:trPr>
        <w:tc>
          <w:tcPr>
            <w:tcW w:w="243" w:type="pct"/>
            <w:tcBorders>
              <w:top w:val="single" w:sz="8" w:space="0" w:color="FFFFFF"/>
              <w:left w:val="single" w:sz="24" w:space="0" w:color="FFFFFF"/>
              <w:bottom w:val="single" w:sz="8" w:space="0" w:color="FFFFFF"/>
              <w:right w:val="single" w:sz="8" w:space="0" w:color="FFFFFF"/>
            </w:tcBorders>
            <w:shd w:val="clear" w:color="auto" w:fill="auto"/>
          </w:tcPr>
          <w:p w14:paraId="15E72672" w14:textId="77777777" w:rsidR="00796AF0" w:rsidRPr="008A3952" w:rsidRDefault="00796AF0" w:rsidP="00796AF0">
            <w:pPr>
              <w:jc w:val="center"/>
              <w:rPr>
                <w:rFonts w:ascii="Avenir Heavy" w:eastAsia="Calibri" w:hAnsi="Avenir Heavy" w:cs="Calibri"/>
                <w:b/>
                <w:bCs/>
                <w:color w:val="FFFFFF" w:themeColor="background1"/>
                <w:sz w:val="22"/>
                <w:szCs w:val="22"/>
              </w:rPr>
            </w:pPr>
          </w:p>
        </w:tc>
        <w:tc>
          <w:tcPr>
            <w:tcW w:w="1458" w:type="pct"/>
            <w:tcBorders>
              <w:top w:val="single" w:sz="8" w:space="0" w:color="FFFFFF"/>
              <w:left w:val="single" w:sz="24" w:space="0" w:color="FFFFFF"/>
              <w:bottom w:val="single" w:sz="8" w:space="0" w:color="FFFFFF"/>
              <w:right w:val="single" w:sz="24" w:space="0" w:color="auto"/>
            </w:tcBorders>
            <w:shd w:val="clear" w:color="auto" w:fill="A3D8CB"/>
            <w:vAlign w:val="center"/>
          </w:tcPr>
          <w:p w14:paraId="7AEF13A0" w14:textId="6A850487" w:rsidR="00796AF0" w:rsidRPr="008A3952" w:rsidRDefault="00CF4591" w:rsidP="00796AF0">
            <w:pPr>
              <w:jc w:val="center"/>
              <w:rPr>
                <w:rFonts w:ascii="Avenir Heavy" w:eastAsia="Calibri" w:hAnsi="Avenir Heavy" w:cs="Calibri"/>
                <w:b/>
                <w:bCs/>
                <w:color w:val="FFFFFF" w:themeColor="background1"/>
                <w:sz w:val="22"/>
                <w:szCs w:val="22"/>
              </w:rPr>
            </w:pPr>
            <w:r w:rsidRPr="00637B4C">
              <w:rPr>
                <w:rFonts w:ascii="Avenir Heavy" w:eastAsia="Calibri" w:hAnsi="Avenir Heavy" w:cs="Calibri"/>
                <w:b/>
                <w:bCs/>
                <w:sz w:val="22"/>
                <w:szCs w:val="22"/>
              </w:rPr>
              <w:t>“</w:t>
            </w:r>
            <w:r w:rsidR="00796AF0" w:rsidRPr="00637B4C">
              <w:rPr>
                <w:rFonts w:ascii="Avenir Heavy" w:eastAsia="Calibri" w:hAnsi="Avenir Heavy" w:cs="Calibri"/>
                <w:b/>
                <w:bCs/>
                <w:sz w:val="22"/>
                <w:szCs w:val="22"/>
              </w:rPr>
              <w:t>SHORT</w:t>
            </w:r>
            <w:r w:rsidRPr="00637B4C">
              <w:rPr>
                <w:rFonts w:ascii="Avenir Heavy" w:eastAsia="Calibri" w:hAnsi="Avenir Heavy" w:cs="Calibri"/>
                <w:b/>
                <w:bCs/>
                <w:sz w:val="22"/>
                <w:szCs w:val="22"/>
              </w:rPr>
              <w:t xml:space="preserve"> T</w:t>
            </w:r>
            <w:r w:rsidR="00796AF0" w:rsidRPr="00637B4C">
              <w:rPr>
                <w:rFonts w:ascii="Avenir Heavy" w:eastAsia="Calibri" w:hAnsi="Avenir Heavy" w:cs="Calibri"/>
                <w:b/>
                <w:bCs/>
                <w:sz w:val="22"/>
                <w:szCs w:val="22"/>
              </w:rPr>
              <w:t>RACK</w:t>
            </w:r>
            <w:r w:rsidRPr="00637B4C">
              <w:rPr>
                <w:rFonts w:ascii="Avenir Heavy" w:eastAsia="Calibri" w:hAnsi="Avenir Heavy" w:cs="Calibri"/>
                <w:b/>
                <w:bCs/>
                <w:sz w:val="22"/>
                <w:szCs w:val="22"/>
              </w:rPr>
              <w:t>”</w:t>
            </w:r>
          </w:p>
        </w:tc>
        <w:tc>
          <w:tcPr>
            <w:tcW w:w="3299" w:type="pct"/>
            <w:gridSpan w:val="3"/>
            <w:tcBorders>
              <w:top w:val="single" w:sz="8" w:space="0" w:color="FFFFFF"/>
              <w:left w:val="single" w:sz="24" w:space="0" w:color="auto"/>
              <w:bottom w:val="single" w:sz="8" w:space="0" w:color="FFFFFF"/>
              <w:right w:val="single" w:sz="8" w:space="0" w:color="FFFFFF"/>
            </w:tcBorders>
            <w:shd w:val="clear" w:color="auto" w:fill="FFCD85"/>
            <w:vAlign w:val="center"/>
          </w:tcPr>
          <w:p w14:paraId="169DA8D5" w14:textId="71C8AFEF" w:rsidR="00796AF0" w:rsidRPr="008A3952" w:rsidRDefault="00CF4591" w:rsidP="00796AF0">
            <w:pPr>
              <w:jc w:val="center"/>
              <w:rPr>
                <w:rFonts w:ascii="Avenir Heavy" w:eastAsia="Calibri" w:hAnsi="Avenir Heavy" w:cs="Calibri"/>
                <w:b/>
                <w:bCs/>
                <w:color w:val="FFFFFF" w:themeColor="background1"/>
                <w:sz w:val="22"/>
                <w:szCs w:val="22"/>
              </w:rPr>
            </w:pPr>
            <w:r w:rsidRPr="00637B4C">
              <w:rPr>
                <w:rFonts w:ascii="Avenir Heavy" w:eastAsia="Calibri" w:hAnsi="Avenir Heavy" w:cs="Calibri"/>
                <w:b/>
                <w:bCs/>
                <w:sz w:val="22"/>
                <w:szCs w:val="22"/>
              </w:rPr>
              <w:t>“</w:t>
            </w:r>
            <w:r w:rsidR="00796AF0" w:rsidRPr="00637B4C">
              <w:rPr>
                <w:rFonts w:ascii="Avenir Heavy" w:eastAsia="Calibri" w:hAnsi="Avenir Heavy" w:cs="Calibri"/>
                <w:b/>
                <w:bCs/>
                <w:sz w:val="22"/>
                <w:szCs w:val="22"/>
              </w:rPr>
              <w:t>LONG</w:t>
            </w:r>
            <w:r w:rsidRPr="00637B4C">
              <w:rPr>
                <w:rFonts w:ascii="Avenir Heavy" w:eastAsia="Calibri" w:hAnsi="Avenir Heavy" w:cs="Calibri"/>
                <w:b/>
                <w:bCs/>
                <w:sz w:val="22"/>
                <w:szCs w:val="22"/>
              </w:rPr>
              <w:t xml:space="preserve"> </w:t>
            </w:r>
            <w:r w:rsidR="00796AF0" w:rsidRPr="00637B4C">
              <w:rPr>
                <w:rFonts w:ascii="Avenir Heavy" w:eastAsia="Calibri" w:hAnsi="Avenir Heavy" w:cs="Calibri"/>
                <w:b/>
                <w:bCs/>
                <w:sz w:val="22"/>
                <w:szCs w:val="22"/>
              </w:rPr>
              <w:t>TRACK</w:t>
            </w:r>
            <w:r w:rsidRPr="00637B4C">
              <w:rPr>
                <w:rFonts w:ascii="Avenir Heavy" w:eastAsia="Calibri" w:hAnsi="Avenir Heavy" w:cs="Calibri"/>
                <w:b/>
                <w:bCs/>
                <w:sz w:val="22"/>
                <w:szCs w:val="22"/>
              </w:rPr>
              <w:t>”</w:t>
            </w:r>
          </w:p>
        </w:tc>
      </w:tr>
      <w:tr w:rsidR="00796AF0" w:rsidRPr="008C3633" w14:paraId="35E13324" w14:textId="77777777" w:rsidTr="00637B4C">
        <w:tc>
          <w:tcPr>
            <w:tcW w:w="243" w:type="pct"/>
            <w:tcBorders>
              <w:top w:val="single" w:sz="8" w:space="0" w:color="FFFFFF"/>
              <w:left w:val="single" w:sz="8" w:space="0" w:color="FFFFFF"/>
              <w:bottom w:val="single" w:sz="4" w:space="0" w:color="auto"/>
              <w:right w:val="single" w:sz="8" w:space="0" w:color="FFFFFF"/>
            </w:tcBorders>
            <w:shd w:val="clear" w:color="auto" w:fill="FFFFFF"/>
          </w:tcPr>
          <w:p w14:paraId="656E12F9" w14:textId="77777777" w:rsidR="00796AF0" w:rsidRDefault="00796AF0" w:rsidP="00796AF0">
            <w:pPr>
              <w:pStyle w:val="LessonList"/>
              <w:numPr>
                <w:ilvl w:val="0"/>
                <w:numId w:val="0"/>
              </w:numPr>
              <w:jc w:val="center"/>
              <w:rPr>
                <w:sz w:val="22"/>
                <w:szCs w:val="22"/>
              </w:rPr>
            </w:pPr>
          </w:p>
        </w:tc>
        <w:tc>
          <w:tcPr>
            <w:tcW w:w="1458" w:type="pct"/>
            <w:tcBorders>
              <w:top w:val="single" w:sz="8" w:space="0" w:color="FFFFFF"/>
              <w:left w:val="single" w:sz="8" w:space="0" w:color="FFFFFF"/>
              <w:bottom w:val="single" w:sz="4" w:space="0" w:color="auto"/>
              <w:right w:val="single" w:sz="24" w:space="0" w:color="auto"/>
            </w:tcBorders>
            <w:shd w:val="clear" w:color="auto" w:fill="FFFFFF"/>
          </w:tcPr>
          <w:p w14:paraId="60242375" w14:textId="77777777" w:rsidR="00796AF0" w:rsidRDefault="00796AF0" w:rsidP="00796AF0">
            <w:pPr>
              <w:pStyle w:val="LessonList"/>
              <w:numPr>
                <w:ilvl w:val="0"/>
                <w:numId w:val="0"/>
              </w:numPr>
              <w:jc w:val="center"/>
              <w:rPr>
                <w:sz w:val="22"/>
                <w:szCs w:val="22"/>
              </w:rPr>
            </w:pPr>
            <w:r>
              <w:rPr>
                <w:sz w:val="22"/>
                <w:szCs w:val="22"/>
              </w:rPr>
              <w:t>I</w:t>
            </w:r>
            <w:r w:rsidRPr="008A3952">
              <w:rPr>
                <w:sz w:val="22"/>
                <w:szCs w:val="22"/>
              </w:rPr>
              <w:t xml:space="preserve">mplement the </w:t>
            </w:r>
            <w:r w:rsidRPr="008A3952">
              <w:rPr>
                <w:sz w:val="22"/>
                <w:szCs w:val="22"/>
                <w:u w:val="single"/>
              </w:rPr>
              <w:t>entire yearlong curriculum</w:t>
            </w:r>
            <w:r w:rsidRPr="008A3952">
              <w:rPr>
                <w:sz w:val="22"/>
                <w:szCs w:val="22"/>
              </w:rPr>
              <w:t xml:space="preserve"> across </w:t>
            </w:r>
            <w:r w:rsidRPr="008A3952">
              <w:rPr>
                <w:sz w:val="22"/>
                <w:szCs w:val="22"/>
                <w:u w:val="single"/>
              </w:rPr>
              <w:t>all grade levels</w:t>
            </w:r>
            <w:r w:rsidRPr="008A3952">
              <w:rPr>
                <w:sz w:val="22"/>
                <w:szCs w:val="22"/>
              </w:rPr>
              <w:t xml:space="preserve"> in a </w:t>
            </w:r>
            <w:r w:rsidRPr="008A3952">
              <w:rPr>
                <w:rFonts w:ascii="Avenir Heavy" w:hAnsi="Avenir Heavy"/>
                <w:sz w:val="22"/>
                <w:szCs w:val="22"/>
              </w:rPr>
              <w:t>single school year</w:t>
            </w:r>
            <w:r w:rsidRPr="008A3952">
              <w:rPr>
                <w:sz w:val="22"/>
                <w:szCs w:val="22"/>
              </w:rPr>
              <w:t>.</w:t>
            </w:r>
          </w:p>
        </w:tc>
        <w:tc>
          <w:tcPr>
            <w:tcW w:w="3299" w:type="pct"/>
            <w:gridSpan w:val="3"/>
            <w:tcBorders>
              <w:top w:val="single" w:sz="8" w:space="0" w:color="FFFFFF"/>
              <w:left w:val="single" w:sz="24" w:space="0" w:color="auto"/>
              <w:bottom w:val="single" w:sz="4" w:space="0" w:color="auto"/>
              <w:right w:val="single" w:sz="8" w:space="0" w:color="FFFFFF"/>
            </w:tcBorders>
            <w:shd w:val="clear" w:color="auto" w:fill="FFFFFF"/>
          </w:tcPr>
          <w:p w14:paraId="09DB1C81" w14:textId="79FB350D" w:rsidR="00796AF0" w:rsidRPr="00796AF0" w:rsidRDefault="00796AF0" w:rsidP="00796AF0">
            <w:pPr>
              <w:pStyle w:val="LessonList"/>
              <w:numPr>
                <w:ilvl w:val="0"/>
                <w:numId w:val="0"/>
              </w:numPr>
              <w:jc w:val="center"/>
              <w:rPr>
                <w:sz w:val="22"/>
                <w:szCs w:val="22"/>
              </w:rPr>
            </w:pPr>
            <w:r>
              <w:rPr>
                <w:sz w:val="22"/>
                <w:szCs w:val="22"/>
              </w:rPr>
              <w:t>U</w:t>
            </w:r>
            <w:r w:rsidRPr="007933F1">
              <w:rPr>
                <w:sz w:val="22"/>
                <w:szCs w:val="22"/>
              </w:rPr>
              <w:t xml:space="preserve">se only some </w:t>
            </w:r>
            <w:r w:rsidRPr="007933F1">
              <w:rPr>
                <w:sz w:val="22"/>
                <w:szCs w:val="22"/>
                <w:u w:val="single"/>
              </w:rPr>
              <w:t>units</w:t>
            </w:r>
            <w:r w:rsidRPr="007933F1">
              <w:rPr>
                <w:sz w:val="22"/>
                <w:szCs w:val="22"/>
              </w:rPr>
              <w:t xml:space="preserve"> and/or use Investigating History in only some </w:t>
            </w:r>
            <w:r w:rsidRPr="007933F1">
              <w:rPr>
                <w:sz w:val="22"/>
                <w:szCs w:val="22"/>
                <w:u w:val="single"/>
              </w:rPr>
              <w:t>classrooms</w:t>
            </w:r>
            <w:r w:rsidRPr="007933F1">
              <w:rPr>
                <w:sz w:val="22"/>
                <w:szCs w:val="22"/>
              </w:rPr>
              <w:t xml:space="preserve"> in the initial school year, working towards implementing the entire grade-level curriculum across all classrooms </w:t>
            </w:r>
            <w:r w:rsidRPr="008A3952">
              <w:rPr>
                <w:rFonts w:ascii="Avenir Heavy" w:hAnsi="Avenir Heavy"/>
                <w:b/>
                <w:bCs/>
                <w:sz w:val="22"/>
                <w:szCs w:val="22"/>
              </w:rPr>
              <w:t>across multiple years</w:t>
            </w:r>
            <w:r>
              <w:rPr>
                <w:sz w:val="22"/>
                <w:szCs w:val="22"/>
              </w:rPr>
              <w:t>.</w:t>
            </w:r>
            <w:r w:rsidR="00637B4C">
              <w:rPr>
                <w:sz w:val="22"/>
                <w:szCs w:val="22"/>
              </w:rPr>
              <w:t xml:space="preserve"> For example…</w:t>
            </w:r>
          </w:p>
        </w:tc>
      </w:tr>
      <w:tr w:rsidR="00CF4591" w:rsidRPr="008C3633" w14:paraId="651F7601" w14:textId="77777777" w:rsidTr="00637B4C">
        <w:trPr>
          <w:cantSplit/>
          <w:trHeight w:val="1134"/>
        </w:trPr>
        <w:tc>
          <w:tcPr>
            <w:tcW w:w="243" w:type="pct"/>
            <w:tcBorders>
              <w:top w:val="single" w:sz="4" w:space="0" w:color="auto"/>
              <w:left w:val="single" w:sz="4" w:space="0" w:color="auto"/>
              <w:bottom w:val="single" w:sz="4" w:space="0" w:color="auto"/>
              <w:right w:val="single" w:sz="4" w:space="0" w:color="auto"/>
            </w:tcBorders>
            <w:shd w:val="clear" w:color="auto" w:fill="2B669A"/>
            <w:textDirection w:val="btLr"/>
          </w:tcPr>
          <w:p w14:paraId="7922A3C6" w14:textId="7E417228" w:rsidR="00CF4591" w:rsidRPr="00637B4C" w:rsidRDefault="00CF4591" w:rsidP="005B707A">
            <w:pPr>
              <w:pStyle w:val="LessonList"/>
              <w:numPr>
                <w:ilvl w:val="0"/>
                <w:numId w:val="0"/>
              </w:numPr>
              <w:ind w:left="113" w:right="113"/>
              <w:jc w:val="center"/>
              <w:rPr>
                <w:rFonts w:ascii="Avenir Heavy" w:hAnsi="Avenir Heavy"/>
                <w:b/>
                <w:bCs/>
                <w:color w:val="FFFFFF" w:themeColor="background1"/>
                <w:sz w:val="22"/>
                <w:szCs w:val="22"/>
              </w:rPr>
            </w:pPr>
            <w:r w:rsidRPr="00637B4C">
              <w:rPr>
                <w:rFonts w:ascii="Avenir Heavy" w:hAnsi="Avenir Heavy"/>
                <w:b/>
                <w:bCs/>
                <w:color w:val="FFFFFF" w:themeColor="background1"/>
                <w:sz w:val="22"/>
                <w:szCs w:val="22"/>
              </w:rPr>
              <w:t>Year 1</w:t>
            </w:r>
          </w:p>
        </w:tc>
        <w:tc>
          <w:tcPr>
            <w:tcW w:w="1458" w:type="pct"/>
            <w:tcBorders>
              <w:top w:val="single" w:sz="4" w:space="0" w:color="auto"/>
              <w:left w:val="single" w:sz="4" w:space="0" w:color="auto"/>
              <w:bottom w:val="single" w:sz="4" w:space="0" w:color="auto"/>
              <w:right w:val="single" w:sz="24" w:space="0" w:color="auto"/>
            </w:tcBorders>
            <w:shd w:val="clear" w:color="auto" w:fill="D7EBE6"/>
          </w:tcPr>
          <w:p w14:paraId="40F1ED06" w14:textId="4553AA23" w:rsidR="00CF4591" w:rsidRDefault="00CF4591" w:rsidP="00796AF0">
            <w:pPr>
              <w:pStyle w:val="LessonList"/>
              <w:numPr>
                <w:ilvl w:val="0"/>
                <w:numId w:val="0"/>
              </w:numPr>
              <w:jc w:val="center"/>
              <w:rPr>
                <w:sz w:val="22"/>
                <w:szCs w:val="22"/>
              </w:rPr>
            </w:pPr>
            <w:r>
              <w:rPr>
                <w:sz w:val="22"/>
                <w:szCs w:val="22"/>
              </w:rPr>
              <w:t>Fully implement the curriculum at all grade levels</w:t>
            </w:r>
          </w:p>
        </w:tc>
        <w:tc>
          <w:tcPr>
            <w:tcW w:w="1212" w:type="pct"/>
            <w:tcBorders>
              <w:top w:val="single" w:sz="4" w:space="0" w:color="auto"/>
              <w:left w:val="single" w:sz="24" w:space="0" w:color="auto"/>
              <w:bottom w:val="single" w:sz="4" w:space="0" w:color="auto"/>
              <w:right w:val="single" w:sz="18" w:space="0" w:color="auto"/>
            </w:tcBorders>
            <w:shd w:val="clear" w:color="auto" w:fill="FAE9D1"/>
          </w:tcPr>
          <w:p w14:paraId="4B2FF2AF" w14:textId="7803A84C" w:rsidR="00CF4591" w:rsidRDefault="00CF4591" w:rsidP="00796AF0">
            <w:pPr>
              <w:pStyle w:val="LessonList"/>
              <w:numPr>
                <w:ilvl w:val="0"/>
                <w:numId w:val="0"/>
              </w:numPr>
              <w:jc w:val="center"/>
              <w:rPr>
                <w:sz w:val="22"/>
                <w:szCs w:val="22"/>
              </w:rPr>
            </w:pPr>
            <w:r>
              <w:rPr>
                <w:sz w:val="22"/>
                <w:szCs w:val="22"/>
              </w:rPr>
              <w:t>Use</w:t>
            </w:r>
            <w:r w:rsidRPr="007933F1">
              <w:rPr>
                <w:sz w:val="22"/>
                <w:szCs w:val="22"/>
              </w:rPr>
              <w:t xml:space="preserve"> one or two units across all classrooms at each grade level</w:t>
            </w:r>
          </w:p>
        </w:tc>
        <w:tc>
          <w:tcPr>
            <w:tcW w:w="1044" w:type="pct"/>
            <w:tcBorders>
              <w:top w:val="single" w:sz="4" w:space="0" w:color="auto"/>
              <w:left w:val="single" w:sz="18" w:space="0" w:color="auto"/>
              <w:bottom w:val="single" w:sz="4" w:space="0" w:color="auto"/>
              <w:right w:val="single" w:sz="18" w:space="0" w:color="auto"/>
            </w:tcBorders>
            <w:shd w:val="clear" w:color="auto" w:fill="FAE9D1"/>
          </w:tcPr>
          <w:p w14:paraId="097DEFDB" w14:textId="74EA17F4" w:rsidR="00CF4591" w:rsidRDefault="00CF4591" w:rsidP="00796AF0">
            <w:pPr>
              <w:pStyle w:val="LessonList"/>
              <w:numPr>
                <w:ilvl w:val="0"/>
                <w:numId w:val="0"/>
              </w:numPr>
              <w:jc w:val="center"/>
              <w:rPr>
                <w:sz w:val="22"/>
                <w:szCs w:val="22"/>
              </w:rPr>
            </w:pPr>
            <w:r>
              <w:rPr>
                <w:sz w:val="22"/>
                <w:szCs w:val="22"/>
              </w:rPr>
              <w:t>Fully implement the curriculum at one grade level</w:t>
            </w:r>
          </w:p>
        </w:tc>
        <w:tc>
          <w:tcPr>
            <w:tcW w:w="1044" w:type="pct"/>
            <w:tcBorders>
              <w:top w:val="single" w:sz="4" w:space="0" w:color="auto"/>
              <w:left w:val="single" w:sz="18" w:space="0" w:color="auto"/>
              <w:bottom w:val="single" w:sz="4" w:space="0" w:color="auto"/>
              <w:right w:val="single" w:sz="4" w:space="0" w:color="auto"/>
            </w:tcBorders>
            <w:shd w:val="clear" w:color="auto" w:fill="FAE9D1"/>
          </w:tcPr>
          <w:p w14:paraId="1C1ED008" w14:textId="4821784C" w:rsidR="00CF4591" w:rsidRDefault="00CF4591" w:rsidP="00796AF0">
            <w:pPr>
              <w:pStyle w:val="LessonList"/>
              <w:numPr>
                <w:ilvl w:val="0"/>
                <w:numId w:val="0"/>
              </w:numPr>
              <w:jc w:val="center"/>
              <w:rPr>
                <w:sz w:val="22"/>
                <w:szCs w:val="22"/>
              </w:rPr>
            </w:pPr>
            <w:r>
              <w:rPr>
                <w:sz w:val="22"/>
                <w:szCs w:val="22"/>
              </w:rPr>
              <w:t>A small number of “early adopter” teachers implement the curriculum</w:t>
            </w:r>
          </w:p>
        </w:tc>
      </w:tr>
      <w:tr w:rsidR="00CF4591" w:rsidRPr="008C3633" w14:paraId="1FA6426D" w14:textId="77777777" w:rsidTr="00637B4C">
        <w:trPr>
          <w:cantSplit/>
          <w:trHeight w:val="1134"/>
        </w:trPr>
        <w:tc>
          <w:tcPr>
            <w:tcW w:w="243" w:type="pct"/>
            <w:tcBorders>
              <w:top w:val="single" w:sz="4" w:space="0" w:color="auto"/>
              <w:left w:val="single" w:sz="4" w:space="0" w:color="auto"/>
              <w:bottom w:val="single" w:sz="4" w:space="0" w:color="auto"/>
              <w:right w:val="single" w:sz="4" w:space="0" w:color="auto"/>
            </w:tcBorders>
            <w:shd w:val="clear" w:color="auto" w:fill="2B669A"/>
            <w:textDirection w:val="btLr"/>
          </w:tcPr>
          <w:p w14:paraId="4E1F4D1B" w14:textId="4113871B" w:rsidR="00CF4591" w:rsidRPr="00637B4C" w:rsidRDefault="00CF4591" w:rsidP="005B707A">
            <w:pPr>
              <w:pStyle w:val="LessonList"/>
              <w:numPr>
                <w:ilvl w:val="0"/>
                <w:numId w:val="0"/>
              </w:numPr>
              <w:ind w:left="113" w:right="113"/>
              <w:jc w:val="center"/>
              <w:rPr>
                <w:rFonts w:ascii="Avenir Heavy" w:hAnsi="Avenir Heavy"/>
                <w:b/>
                <w:bCs/>
                <w:color w:val="FFFFFF" w:themeColor="background1"/>
                <w:sz w:val="22"/>
                <w:szCs w:val="22"/>
              </w:rPr>
            </w:pPr>
            <w:r w:rsidRPr="00637B4C">
              <w:rPr>
                <w:rFonts w:ascii="Avenir Heavy" w:hAnsi="Avenir Heavy"/>
                <w:b/>
                <w:bCs/>
                <w:color w:val="FFFFFF" w:themeColor="background1"/>
                <w:sz w:val="22"/>
                <w:szCs w:val="22"/>
              </w:rPr>
              <w:t>Year 2</w:t>
            </w:r>
          </w:p>
        </w:tc>
        <w:tc>
          <w:tcPr>
            <w:tcW w:w="1458" w:type="pct"/>
            <w:tcBorders>
              <w:top w:val="single" w:sz="4" w:space="0" w:color="auto"/>
              <w:left w:val="single" w:sz="4" w:space="0" w:color="auto"/>
              <w:bottom w:val="single" w:sz="4" w:space="0" w:color="auto"/>
              <w:right w:val="single" w:sz="24" w:space="0" w:color="auto"/>
            </w:tcBorders>
            <w:shd w:val="clear" w:color="auto" w:fill="D7EBE6"/>
          </w:tcPr>
          <w:p w14:paraId="21DDF102" w14:textId="0DEB0671" w:rsidR="00CF4591" w:rsidRPr="00CF4591" w:rsidRDefault="00CF4591" w:rsidP="00796AF0">
            <w:pPr>
              <w:pStyle w:val="LessonList"/>
              <w:numPr>
                <w:ilvl w:val="0"/>
                <w:numId w:val="0"/>
              </w:numPr>
              <w:jc w:val="center"/>
              <w:rPr>
                <w:i/>
                <w:iCs/>
                <w:sz w:val="22"/>
                <w:szCs w:val="22"/>
              </w:rPr>
            </w:pPr>
            <w:r w:rsidRPr="00CF4591">
              <w:rPr>
                <w:i/>
                <w:iCs/>
                <w:sz w:val="22"/>
                <w:szCs w:val="22"/>
              </w:rPr>
              <w:t>Continue using the curriculum at all grade levels</w:t>
            </w:r>
          </w:p>
        </w:tc>
        <w:tc>
          <w:tcPr>
            <w:tcW w:w="1212" w:type="pct"/>
            <w:tcBorders>
              <w:top w:val="single" w:sz="4" w:space="0" w:color="auto"/>
              <w:left w:val="single" w:sz="24" w:space="0" w:color="auto"/>
              <w:bottom w:val="single" w:sz="4" w:space="0" w:color="auto"/>
              <w:right w:val="single" w:sz="18" w:space="0" w:color="auto"/>
            </w:tcBorders>
            <w:shd w:val="clear" w:color="auto" w:fill="FAE9D1"/>
          </w:tcPr>
          <w:p w14:paraId="0AE99961" w14:textId="340E27E5" w:rsidR="00CF4591" w:rsidRDefault="00CF4591" w:rsidP="00796AF0">
            <w:pPr>
              <w:pStyle w:val="LessonList"/>
              <w:numPr>
                <w:ilvl w:val="0"/>
                <w:numId w:val="0"/>
              </w:numPr>
              <w:jc w:val="center"/>
              <w:rPr>
                <w:sz w:val="22"/>
                <w:szCs w:val="22"/>
              </w:rPr>
            </w:pPr>
            <w:r>
              <w:rPr>
                <w:sz w:val="22"/>
                <w:szCs w:val="22"/>
              </w:rPr>
              <w:t xml:space="preserve">Fully implement </w:t>
            </w:r>
            <w:r w:rsidR="00637B4C">
              <w:rPr>
                <w:sz w:val="22"/>
                <w:szCs w:val="22"/>
              </w:rPr>
              <w:t xml:space="preserve">all units of </w:t>
            </w:r>
            <w:r>
              <w:rPr>
                <w:sz w:val="22"/>
                <w:szCs w:val="22"/>
              </w:rPr>
              <w:t>the curriculum at all grade levels</w:t>
            </w:r>
          </w:p>
        </w:tc>
        <w:tc>
          <w:tcPr>
            <w:tcW w:w="1044" w:type="pct"/>
            <w:tcBorders>
              <w:top w:val="single" w:sz="4" w:space="0" w:color="auto"/>
              <w:left w:val="single" w:sz="18" w:space="0" w:color="auto"/>
              <w:bottom w:val="single" w:sz="4" w:space="0" w:color="auto"/>
              <w:right w:val="single" w:sz="18" w:space="0" w:color="auto"/>
            </w:tcBorders>
            <w:shd w:val="clear" w:color="auto" w:fill="FAE9D1"/>
          </w:tcPr>
          <w:p w14:paraId="3EADDC04" w14:textId="198F5093" w:rsidR="00CF4591" w:rsidRDefault="00CF4591" w:rsidP="00796AF0">
            <w:pPr>
              <w:pStyle w:val="LessonList"/>
              <w:numPr>
                <w:ilvl w:val="0"/>
                <w:numId w:val="0"/>
              </w:numPr>
              <w:jc w:val="center"/>
              <w:rPr>
                <w:sz w:val="22"/>
                <w:szCs w:val="22"/>
              </w:rPr>
            </w:pPr>
            <w:r>
              <w:rPr>
                <w:sz w:val="22"/>
                <w:szCs w:val="22"/>
              </w:rPr>
              <w:t>Fully implement the curriculum at additional grade levels</w:t>
            </w:r>
          </w:p>
        </w:tc>
        <w:tc>
          <w:tcPr>
            <w:tcW w:w="1044" w:type="pct"/>
            <w:tcBorders>
              <w:top w:val="single" w:sz="4" w:space="0" w:color="auto"/>
              <w:left w:val="single" w:sz="18" w:space="0" w:color="auto"/>
              <w:bottom w:val="single" w:sz="4" w:space="0" w:color="auto"/>
              <w:right w:val="single" w:sz="4" w:space="0" w:color="auto"/>
            </w:tcBorders>
            <w:shd w:val="clear" w:color="auto" w:fill="FAE9D1"/>
          </w:tcPr>
          <w:p w14:paraId="5A73984A" w14:textId="4724F20A" w:rsidR="00CF4591" w:rsidRDefault="00CF4591" w:rsidP="00796AF0">
            <w:pPr>
              <w:pStyle w:val="LessonList"/>
              <w:numPr>
                <w:ilvl w:val="0"/>
                <w:numId w:val="0"/>
              </w:numPr>
              <w:jc w:val="center"/>
              <w:rPr>
                <w:sz w:val="22"/>
                <w:szCs w:val="22"/>
              </w:rPr>
            </w:pPr>
            <w:r>
              <w:rPr>
                <w:sz w:val="22"/>
                <w:szCs w:val="22"/>
              </w:rPr>
              <w:t>Early adopters support their grade-level colleagues in implementing the curriculum</w:t>
            </w:r>
          </w:p>
        </w:tc>
      </w:tr>
    </w:tbl>
    <w:p w14:paraId="7ECA15CA" w14:textId="556EC077" w:rsidR="00B379D1" w:rsidRPr="007933F1" w:rsidRDefault="007933F1" w:rsidP="007933F1">
      <w:pPr>
        <w:rPr>
          <w:rFonts w:ascii="Avenir Book" w:eastAsia="Calibri" w:hAnsi="Avenir Book" w:cs="Calibri"/>
          <w:sz w:val="16"/>
          <w:szCs w:val="16"/>
        </w:rPr>
      </w:pPr>
      <w:r w:rsidRPr="007933F1">
        <w:rPr>
          <w:rFonts w:ascii="Avenir Book" w:hAnsi="Avenir Book"/>
          <w:color w:val="000000"/>
          <w:sz w:val="22"/>
          <w:szCs w:val="22"/>
        </w:rPr>
        <w:br/>
      </w:r>
      <w:r w:rsidRPr="00CF4591">
        <w:rPr>
          <w:rFonts w:ascii="Avenir Heavy" w:hAnsi="Avenir Heavy" w:cs="Calibri"/>
          <w:b/>
          <w:bCs/>
          <w:color w:val="000000"/>
          <w:sz w:val="22"/>
          <w:szCs w:val="22"/>
        </w:rPr>
        <w:t xml:space="preserve">It is important to note that ultimately, the goal should be using the full Investigating History curriculum across </w:t>
      </w:r>
      <w:r w:rsidRPr="00CF4591">
        <w:rPr>
          <w:rFonts w:ascii="Avenir Heavy" w:hAnsi="Avenir Heavy" w:cs="Calibri"/>
          <w:b/>
          <w:bCs/>
          <w:color w:val="000000"/>
          <w:sz w:val="22"/>
          <w:szCs w:val="22"/>
          <w:u w:val="single"/>
        </w:rPr>
        <w:t xml:space="preserve">all </w:t>
      </w:r>
      <w:r w:rsidRPr="00CF4591">
        <w:rPr>
          <w:rFonts w:ascii="Avenir Heavy" w:hAnsi="Avenir Heavy" w:cs="Calibri"/>
          <w:b/>
          <w:bCs/>
          <w:color w:val="000000"/>
          <w:sz w:val="22"/>
          <w:szCs w:val="22"/>
        </w:rPr>
        <w:t>classrooms in one or more grade levels.</w:t>
      </w:r>
      <w:r w:rsidRPr="007933F1">
        <w:rPr>
          <w:rFonts w:ascii="Avenir Book" w:hAnsi="Avenir Book" w:cs="Calibri"/>
          <w:color w:val="000000"/>
          <w:sz w:val="22"/>
          <w:szCs w:val="22"/>
        </w:rPr>
        <w:t xml:space="preserve"> </w:t>
      </w:r>
      <w:r w:rsidR="00CF4591">
        <w:rPr>
          <w:rFonts w:ascii="Avenir Book" w:hAnsi="Avenir Book" w:cs="Calibri"/>
          <w:color w:val="000000"/>
          <w:sz w:val="22"/>
          <w:szCs w:val="22"/>
        </w:rPr>
        <w:t>Investigating History</w:t>
      </w:r>
      <w:r w:rsidRPr="007933F1">
        <w:rPr>
          <w:rFonts w:ascii="Avenir Book" w:hAnsi="Avenir Book" w:cs="Calibri"/>
          <w:color w:val="000000"/>
          <w:sz w:val="22"/>
          <w:szCs w:val="22"/>
        </w:rPr>
        <w:t xml:space="preserve"> is intentionally structured to develop students’ knowledge, understanding, and skills over the course of the year, and is designed to be used as a core curriculum for all students, including students with disabilities and multilingual learners.</w:t>
      </w:r>
    </w:p>
    <w:p w14:paraId="7734952B" w14:textId="77777777" w:rsidR="00B379D1" w:rsidRPr="001E5E4E" w:rsidRDefault="00B379D1" w:rsidP="001E5E4E">
      <w:pPr>
        <w:spacing w:after="120"/>
        <w:rPr>
          <w:rFonts w:ascii="Calibri" w:eastAsia="Calibri" w:hAnsi="Calibri" w:cs="Calibri"/>
          <w:b/>
          <w:color w:val="2A6041"/>
          <w:sz w:val="4"/>
          <w:szCs w:val="4"/>
        </w:rPr>
      </w:pPr>
    </w:p>
    <w:p w14:paraId="48B2A68C" w14:textId="77777777" w:rsidR="00675C33" w:rsidRDefault="00675C33"/>
    <w:p w14:paraId="4C4C3AC3" w14:textId="77777777" w:rsidR="00675C33" w:rsidRDefault="00675C33"/>
    <w:p w14:paraId="6483DA3C" w14:textId="428D704B" w:rsidR="00675C33" w:rsidRPr="00675C33" w:rsidRDefault="00675C33" w:rsidP="00F30B70">
      <w:pPr>
        <w:pBdr>
          <w:top w:val="single" w:sz="4" w:space="1" w:color="auto"/>
          <w:left w:val="single" w:sz="4" w:space="4" w:color="auto"/>
          <w:bottom w:val="single" w:sz="4" w:space="1" w:color="auto"/>
          <w:right w:val="single" w:sz="4" w:space="4" w:color="auto"/>
        </w:pBdr>
        <w:shd w:val="clear" w:color="auto" w:fill="EEF4FB"/>
        <w:spacing w:after="120"/>
        <w:rPr>
          <w:rFonts w:ascii="Garamond" w:eastAsia="Calibri" w:hAnsi="Garamond" w:cs="Calibri"/>
          <w:b/>
          <w:bCs/>
          <w:sz w:val="32"/>
          <w:szCs w:val="32"/>
        </w:rPr>
      </w:pPr>
      <w:r w:rsidRPr="00675C33">
        <w:rPr>
          <w:rFonts w:ascii="Garamond" w:eastAsia="Calibri" w:hAnsi="Garamond" w:cs="Calibri"/>
          <w:b/>
          <w:bCs/>
          <w:sz w:val="32"/>
          <w:szCs w:val="32"/>
        </w:rPr>
        <w:t>Pause for Equity</w:t>
      </w:r>
    </w:p>
    <w:p w14:paraId="7DC4D488" w14:textId="77777777" w:rsidR="0060110D" w:rsidRPr="0060110D" w:rsidRDefault="0060110D" w:rsidP="0060110D">
      <w:pPr>
        <w:pBdr>
          <w:top w:val="single" w:sz="4" w:space="1" w:color="auto"/>
          <w:left w:val="single" w:sz="4" w:space="4" w:color="auto"/>
          <w:bottom w:val="single" w:sz="4" w:space="1" w:color="auto"/>
          <w:right w:val="single" w:sz="4" w:space="4" w:color="auto"/>
        </w:pBdr>
        <w:shd w:val="clear" w:color="auto" w:fill="EEF4FB"/>
        <w:rPr>
          <w:rFonts w:ascii="Avenir" w:eastAsia="Calibri" w:hAnsi="Avenir" w:cs="Calibri"/>
          <w:sz w:val="22"/>
          <w:szCs w:val="22"/>
        </w:rPr>
      </w:pPr>
      <w:r w:rsidRPr="0060110D">
        <w:rPr>
          <w:rFonts w:ascii="Avenir" w:eastAsia="Calibri" w:hAnsi="Avenir" w:cs="Calibri"/>
          <w:sz w:val="22"/>
          <w:szCs w:val="22"/>
        </w:rPr>
        <w:t>It is important to consider the possible inequities that could result from whichever implementation timeline and model you choose.</w:t>
      </w:r>
    </w:p>
    <w:p w14:paraId="031A5979" w14:textId="77777777" w:rsidR="0060110D" w:rsidRPr="0060110D" w:rsidRDefault="0060110D" w:rsidP="0060110D">
      <w:pPr>
        <w:pBdr>
          <w:top w:val="single" w:sz="4" w:space="1" w:color="auto"/>
          <w:left w:val="single" w:sz="4" w:space="4" w:color="auto"/>
          <w:bottom w:val="single" w:sz="4" w:space="1" w:color="auto"/>
          <w:right w:val="single" w:sz="4" w:space="4" w:color="auto"/>
        </w:pBdr>
        <w:shd w:val="clear" w:color="auto" w:fill="EEF4FB"/>
        <w:rPr>
          <w:rFonts w:ascii="Avenir" w:eastAsia="Calibri" w:hAnsi="Avenir" w:cs="Calibri"/>
          <w:sz w:val="22"/>
          <w:szCs w:val="22"/>
        </w:rPr>
      </w:pPr>
    </w:p>
    <w:p w14:paraId="24E7385F" w14:textId="22796AAA" w:rsidR="0060110D" w:rsidRPr="0060110D" w:rsidRDefault="0060110D" w:rsidP="0060110D">
      <w:pPr>
        <w:pBdr>
          <w:top w:val="single" w:sz="4" w:space="1" w:color="auto"/>
          <w:left w:val="single" w:sz="4" w:space="4" w:color="auto"/>
          <w:bottom w:val="single" w:sz="4" w:space="1" w:color="auto"/>
          <w:right w:val="single" w:sz="4" w:space="4" w:color="auto"/>
        </w:pBdr>
        <w:shd w:val="clear" w:color="auto" w:fill="EEF4FB"/>
        <w:rPr>
          <w:rFonts w:ascii="Avenir" w:eastAsia="Calibri" w:hAnsi="Avenir" w:cs="Calibri"/>
          <w:sz w:val="22"/>
          <w:szCs w:val="22"/>
        </w:rPr>
      </w:pPr>
      <w:r w:rsidRPr="0060110D">
        <w:rPr>
          <w:rFonts w:ascii="Avenir Heavy" w:eastAsia="Calibri" w:hAnsi="Avenir Heavy" w:cs="Calibri"/>
          <w:b/>
          <w:bCs/>
          <w:sz w:val="22"/>
          <w:szCs w:val="22"/>
        </w:rPr>
        <w:t>Long-track implementation</w:t>
      </w:r>
      <w:r w:rsidRPr="0060110D">
        <w:rPr>
          <w:rFonts w:ascii="Avenir" w:eastAsia="Calibri" w:hAnsi="Avenir" w:cs="Calibri"/>
          <w:sz w:val="22"/>
          <w:szCs w:val="22"/>
        </w:rPr>
        <w:t xml:space="preserve"> has the potential to lead to incoherent and inequitable experiences for students, particularly if the rollout model reinforces existing inequities (e.g. early adopter teachers do not include any classrooms serving multilingual learners). </w:t>
      </w:r>
      <w:r w:rsidRPr="0060110D">
        <w:rPr>
          <w:rFonts w:ascii="Avenir Heavy" w:eastAsia="Calibri" w:hAnsi="Avenir Heavy" w:cs="Calibri"/>
          <w:b/>
          <w:bCs/>
          <w:sz w:val="22"/>
          <w:szCs w:val="22"/>
        </w:rPr>
        <w:t>Short-track implementation</w:t>
      </w:r>
      <w:r w:rsidRPr="0060110D">
        <w:rPr>
          <w:rFonts w:ascii="Avenir" w:eastAsia="Calibri" w:hAnsi="Avenir" w:cs="Calibri"/>
          <w:sz w:val="22"/>
          <w:szCs w:val="22"/>
        </w:rPr>
        <w:t xml:space="preserve"> might result in a timeline that misses opportunities for stakeholder input into the adoption process</w:t>
      </w:r>
      <w:r>
        <w:rPr>
          <w:rFonts w:ascii="Avenir" w:eastAsia="Calibri" w:hAnsi="Avenir" w:cs="Calibri"/>
          <w:sz w:val="22"/>
          <w:szCs w:val="22"/>
        </w:rPr>
        <w:t xml:space="preserve">, </w:t>
      </w:r>
      <w:r w:rsidRPr="0060110D">
        <w:rPr>
          <w:rFonts w:ascii="Avenir" w:eastAsia="Calibri" w:hAnsi="Avenir" w:cs="Calibri"/>
          <w:sz w:val="22"/>
          <w:szCs w:val="22"/>
        </w:rPr>
        <w:t xml:space="preserve">or </w:t>
      </w:r>
      <w:r>
        <w:rPr>
          <w:rFonts w:ascii="Avenir" w:eastAsia="Calibri" w:hAnsi="Avenir" w:cs="Calibri"/>
          <w:sz w:val="22"/>
          <w:szCs w:val="22"/>
        </w:rPr>
        <w:t>one that does not provide sufficient</w:t>
      </w:r>
      <w:r w:rsidRPr="0060110D">
        <w:rPr>
          <w:rFonts w:ascii="Avenir" w:eastAsia="Calibri" w:hAnsi="Avenir" w:cs="Calibri"/>
          <w:sz w:val="22"/>
          <w:szCs w:val="22"/>
        </w:rPr>
        <w:t xml:space="preserve"> professional development and/or planning time for teachers to use the materials successfully.</w:t>
      </w:r>
    </w:p>
    <w:p w14:paraId="23773025" w14:textId="556A5DF1" w:rsidR="00675C33" w:rsidRPr="00A63AE9" w:rsidRDefault="0060110D" w:rsidP="0060110D">
      <w:pPr>
        <w:pBdr>
          <w:top w:val="single" w:sz="4" w:space="1" w:color="auto"/>
          <w:left w:val="single" w:sz="4" w:space="4" w:color="auto"/>
          <w:bottom w:val="single" w:sz="4" w:space="1" w:color="auto"/>
          <w:right w:val="single" w:sz="4" w:space="4" w:color="auto"/>
        </w:pBdr>
        <w:shd w:val="clear" w:color="auto" w:fill="EEF4FB"/>
        <w:rPr>
          <w:rFonts w:ascii="Avenir" w:eastAsia="Calibri" w:hAnsi="Avenir" w:cs="Calibri"/>
          <w:i/>
          <w:iCs/>
          <w:sz w:val="22"/>
          <w:szCs w:val="22"/>
        </w:rPr>
      </w:pPr>
      <w:r w:rsidRPr="0060110D">
        <w:rPr>
          <w:rFonts w:ascii="Avenir" w:eastAsia="Calibri" w:hAnsi="Avenir" w:cs="Calibri"/>
          <w:sz w:val="22"/>
          <w:szCs w:val="22"/>
        </w:rPr>
        <w:br/>
        <w:t xml:space="preserve">Anticipating these potential effects can help you intentionally work to mitigate them as you develop the specifics of your implementation plan. As you go, consider: </w:t>
      </w:r>
      <w:r w:rsidRPr="0060110D">
        <w:rPr>
          <w:rFonts w:ascii="Avenir" w:eastAsia="Calibri" w:hAnsi="Avenir" w:cs="Calibri"/>
          <w:i/>
          <w:iCs/>
          <w:sz w:val="22"/>
          <w:szCs w:val="22"/>
        </w:rPr>
        <w:t>What are the impacts of my choices on students, particularly those who are historically underserved? On educators? On families and community members?</w:t>
      </w:r>
    </w:p>
    <w:p w14:paraId="3C9B5ED2" w14:textId="08AC1271" w:rsidR="00C22F5F" w:rsidRDefault="00C22F5F">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8924"/>
      </w:tblGrid>
      <w:tr w:rsidR="0060110D" w:rsidRPr="007933F1" w14:paraId="5A1349EC" w14:textId="77777777" w:rsidTr="00ED26E3">
        <w:trPr>
          <w:trHeight w:val="720"/>
        </w:trPr>
        <w:tc>
          <w:tcPr>
            <w:tcW w:w="1620" w:type="dxa"/>
            <w:tcBorders>
              <w:right w:val="single" w:sz="24" w:space="0" w:color="FAA529"/>
            </w:tcBorders>
            <w:vAlign w:val="center"/>
          </w:tcPr>
          <w:p w14:paraId="7C0AC9A4" w14:textId="77777777" w:rsidR="0060110D" w:rsidRDefault="0060110D" w:rsidP="00ED26E3">
            <w:pPr>
              <w:jc w:val="right"/>
            </w:pPr>
            <w:r>
              <w:rPr>
                <w:noProof/>
                <w:color w:val="587FAE"/>
                <w:sz w:val="48"/>
                <w:szCs w:val="48"/>
              </w:rPr>
              <w:drawing>
                <wp:inline distT="0" distB="0" distL="0" distR="0" wp14:anchorId="3107C0FF" wp14:editId="1183BD72">
                  <wp:extent cx="1051076" cy="701040"/>
                  <wp:effectExtent l="0" t="0" r="3175" b="0"/>
                  <wp:docPr id="3" name="Picture 3" descr="Investigating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vestigating History Logo"/>
                          <pic:cNvPicPr/>
                        </pic:nvPicPr>
                        <pic:blipFill rotWithShape="1">
                          <a:blip r:embed="rId12" cstate="print">
                            <a:duotone>
                              <a:schemeClr val="accent5">
                                <a:shade val="45000"/>
                                <a:satMod val="135000"/>
                              </a:schemeClr>
                              <a:prstClr val="white"/>
                            </a:duotone>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6507"/>
                          <a:stretch/>
                        </pic:blipFill>
                        <pic:spPr bwMode="auto">
                          <a:xfrm>
                            <a:off x="0" y="0"/>
                            <a:ext cx="1051076" cy="701040"/>
                          </a:xfrm>
                          <a:prstGeom prst="rect">
                            <a:avLst/>
                          </a:prstGeom>
                          <a:ln>
                            <a:noFill/>
                          </a:ln>
                          <a:extLst>
                            <a:ext uri="{53640926-AAD7-44D8-BBD7-CCE9431645EC}">
                              <a14:shadowObscured xmlns:a14="http://schemas.microsoft.com/office/drawing/2010/main"/>
                            </a:ext>
                          </a:extLst>
                        </pic:spPr>
                      </pic:pic>
                    </a:graphicData>
                  </a:graphic>
                </wp:inline>
              </w:drawing>
            </w:r>
          </w:p>
        </w:tc>
        <w:tc>
          <w:tcPr>
            <w:tcW w:w="9180" w:type="dxa"/>
            <w:tcBorders>
              <w:left w:val="single" w:sz="24" w:space="0" w:color="FAA529"/>
            </w:tcBorders>
            <w:vAlign w:val="center"/>
          </w:tcPr>
          <w:p w14:paraId="44E681ED" w14:textId="57E9A81B" w:rsidR="0060110D" w:rsidRPr="0060110D" w:rsidRDefault="0060110D" w:rsidP="0060110D">
            <w:pPr>
              <w:pStyle w:val="MainHeading"/>
              <w:ind w:left="75" w:right="-101"/>
              <w:rPr>
                <w:b w:val="0"/>
                <w:bCs w:val="0"/>
                <w:color w:val="2B669A"/>
                <w:sz w:val="48"/>
                <w:szCs w:val="48"/>
              </w:rPr>
            </w:pPr>
            <w:r w:rsidRPr="0060110D">
              <w:rPr>
                <w:color w:val="2B669A"/>
              </w:rPr>
              <w:t>Self-Assessment:</w:t>
            </w:r>
            <w:r w:rsidRPr="0060110D">
              <w:rPr>
                <w:color w:val="2B669A"/>
              </w:rPr>
              <w:br/>
            </w:r>
            <w:r w:rsidRPr="0060110D">
              <w:rPr>
                <w:b w:val="0"/>
                <w:bCs w:val="0"/>
                <w:color w:val="2B669A"/>
              </w:rPr>
              <w:t>Preparing to Launch and Implement Investigating History</w:t>
            </w:r>
          </w:p>
        </w:tc>
      </w:tr>
    </w:tbl>
    <w:p w14:paraId="44B6C446" w14:textId="77777777" w:rsidR="005361D5" w:rsidRDefault="005361D5">
      <w:pPr>
        <w:rPr>
          <w:rFonts w:ascii="Calibri" w:eastAsia="Calibri" w:hAnsi="Calibri" w:cs="Calibri"/>
        </w:rPr>
      </w:pPr>
    </w:p>
    <w:p w14:paraId="782E6D79" w14:textId="77777777" w:rsidR="00FC1D31" w:rsidRDefault="00FC1D31" w:rsidP="00FC1D31">
      <w:pPr>
        <w:rPr>
          <w:rFonts w:ascii="Avenir Book" w:eastAsia="Calibri" w:hAnsi="Avenir Book" w:cs="Calibri"/>
          <w:sz w:val="22"/>
          <w:szCs w:val="22"/>
        </w:rPr>
      </w:pPr>
      <w:r w:rsidRPr="00FC1D31">
        <w:rPr>
          <w:rFonts w:ascii="Avenir Book" w:eastAsia="Calibri" w:hAnsi="Avenir Book" w:cs="Calibri"/>
          <w:sz w:val="22"/>
          <w:szCs w:val="22"/>
        </w:rPr>
        <w:t>Thinking about the schools and educators who will be adopting Investigating History…</w:t>
      </w:r>
    </w:p>
    <w:tbl>
      <w:tblPr>
        <w:tblW w:w="0" w:type="auto"/>
        <w:tblCellMar>
          <w:top w:w="15" w:type="dxa"/>
          <w:left w:w="15" w:type="dxa"/>
          <w:bottom w:w="15" w:type="dxa"/>
          <w:right w:w="15" w:type="dxa"/>
        </w:tblCellMar>
        <w:tblLook w:val="04A0" w:firstRow="1" w:lastRow="0" w:firstColumn="1" w:lastColumn="0" w:noHBand="0" w:noVBand="1"/>
      </w:tblPr>
      <w:tblGrid>
        <w:gridCol w:w="5904"/>
        <w:gridCol w:w="2438"/>
        <w:gridCol w:w="2438"/>
      </w:tblGrid>
      <w:tr w:rsidR="00FC1D31" w:rsidRPr="00FC1D31" w14:paraId="157C4484" w14:textId="77777777" w:rsidTr="00FC1D31">
        <w:trPr>
          <w:trHeight w:val="4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E743E" w14:textId="77777777" w:rsidR="00FC1D31" w:rsidRPr="00FC1D31" w:rsidRDefault="00FC1D31" w:rsidP="00FC1D31">
            <w:pPr>
              <w:rPr>
                <w:rFonts w:ascii="Avenir Book" w:hAnsi="Avenir Book"/>
                <w:sz w:val="22"/>
                <w:szCs w:val="22"/>
              </w:rPr>
            </w:pPr>
            <w:r w:rsidRPr="00FC1D31">
              <w:rPr>
                <w:rFonts w:ascii="Avenir Book" w:hAnsi="Avenir Book" w:cs="Calibri"/>
                <w:color w:val="000000"/>
                <w:sz w:val="22"/>
                <w:szCs w:val="22"/>
              </w:rPr>
              <w:t> </w:t>
            </w:r>
          </w:p>
        </w:tc>
        <w:tc>
          <w:tcPr>
            <w:tcW w:w="0" w:type="auto"/>
            <w:tcBorders>
              <w:top w:val="single" w:sz="8" w:space="0" w:color="000000"/>
              <w:left w:val="single" w:sz="8" w:space="0" w:color="000000"/>
              <w:bottom w:val="single" w:sz="8" w:space="0" w:color="000000"/>
              <w:right w:val="single" w:sz="8" w:space="0" w:color="CCCCCC"/>
            </w:tcBorders>
            <w:tcMar>
              <w:top w:w="100" w:type="dxa"/>
              <w:left w:w="100" w:type="dxa"/>
              <w:bottom w:w="100" w:type="dxa"/>
              <w:right w:w="100" w:type="dxa"/>
            </w:tcMar>
            <w:hideMark/>
          </w:tcPr>
          <w:p w14:paraId="21EE5C72" w14:textId="77777777" w:rsidR="00FC1D31" w:rsidRPr="00FC1D31" w:rsidRDefault="00FC1D31" w:rsidP="00FC1D31">
            <w:pPr>
              <w:rPr>
                <w:rFonts w:ascii="Avenir Heavy" w:hAnsi="Avenir Heavy"/>
                <w:b/>
                <w:bCs/>
                <w:sz w:val="20"/>
                <w:szCs w:val="20"/>
              </w:rPr>
            </w:pPr>
            <w:r w:rsidRPr="00FC1D31">
              <w:rPr>
                <w:rFonts w:ascii="Avenir Heavy" w:hAnsi="Avenir Heavy" w:cs="Calibri"/>
                <w:b/>
                <w:bCs/>
                <w:color w:val="000000"/>
                <w:sz w:val="20"/>
                <w:szCs w:val="20"/>
              </w:rPr>
              <w:t>Strongly </w:t>
            </w:r>
          </w:p>
          <w:p w14:paraId="505D46CC" w14:textId="77777777" w:rsidR="00FC1D31" w:rsidRPr="00FC1D31" w:rsidRDefault="00FC1D31" w:rsidP="00FC1D31">
            <w:pPr>
              <w:rPr>
                <w:rFonts w:ascii="Avenir Heavy" w:hAnsi="Avenir Heavy"/>
                <w:b/>
                <w:bCs/>
                <w:sz w:val="20"/>
                <w:szCs w:val="20"/>
              </w:rPr>
            </w:pPr>
            <w:r w:rsidRPr="00FC1D31">
              <w:rPr>
                <w:rFonts w:ascii="Avenir Heavy" w:hAnsi="Avenir Heavy" w:cs="Calibri"/>
                <w:b/>
                <w:bCs/>
                <w:color w:val="000000"/>
                <w:sz w:val="20"/>
                <w:szCs w:val="20"/>
              </w:rPr>
              <w:t>Disagree</w:t>
            </w:r>
          </w:p>
        </w:tc>
        <w:tc>
          <w:tcPr>
            <w:tcW w:w="0" w:type="auto"/>
            <w:tcBorders>
              <w:top w:val="single" w:sz="8" w:space="0" w:color="000000"/>
              <w:left w:val="single" w:sz="8" w:space="0" w:color="CCCCCC"/>
              <w:bottom w:val="single" w:sz="8" w:space="0" w:color="000000"/>
              <w:right w:val="single" w:sz="8" w:space="0" w:color="000000"/>
            </w:tcBorders>
            <w:tcMar>
              <w:top w:w="100" w:type="dxa"/>
              <w:left w:w="100" w:type="dxa"/>
              <w:bottom w:w="100" w:type="dxa"/>
              <w:right w:w="100" w:type="dxa"/>
            </w:tcMar>
            <w:hideMark/>
          </w:tcPr>
          <w:p w14:paraId="2571E198" w14:textId="77777777" w:rsidR="00FC1D31" w:rsidRPr="00FC1D31" w:rsidRDefault="00FC1D31" w:rsidP="00FC1D31">
            <w:pPr>
              <w:jc w:val="right"/>
              <w:rPr>
                <w:rFonts w:ascii="Avenir Heavy" w:hAnsi="Avenir Heavy"/>
                <w:b/>
                <w:bCs/>
                <w:sz w:val="20"/>
                <w:szCs w:val="20"/>
              </w:rPr>
            </w:pPr>
            <w:r w:rsidRPr="00FC1D31">
              <w:rPr>
                <w:rFonts w:ascii="Avenir Heavy" w:hAnsi="Avenir Heavy" w:cs="Calibri"/>
                <w:b/>
                <w:bCs/>
                <w:color w:val="000000"/>
                <w:sz w:val="20"/>
                <w:szCs w:val="20"/>
              </w:rPr>
              <w:t>Strongly </w:t>
            </w:r>
          </w:p>
          <w:p w14:paraId="1CE843C3" w14:textId="77777777" w:rsidR="00FC1D31" w:rsidRPr="00FC1D31" w:rsidRDefault="00FC1D31" w:rsidP="00FC1D31">
            <w:pPr>
              <w:jc w:val="right"/>
              <w:rPr>
                <w:rFonts w:ascii="Avenir Heavy" w:hAnsi="Avenir Heavy"/>
                <w:b/>
                <w:bCs/>
                <w:sz w:val="20"/>
                <w:szCs w:val="20"/>
              </w:rPr>
            </w:pPr>
            <w:r w:rsidRPr="00FC1D31">
              <w:rPr>
                <w:rFonts w:ascii="Avenir Heavy" w:hAnsi="Avenir Heavy" w:cs="Calibri"/>
                <w:b/>
                <w:bCs/>
                <w:color w:val="000000"/>
                <w:sz w:val="20"/>
                <w:szCs w:val="20"/>
              </w:rPr>
              <w:t>Agree</w:t>
            </w:r>
          </w:p>
        </w:tc>
      </w:tr>
      <w:tr w:rsidR="00FC1D31" w:rsidRPr="00FC1D31" w14:paraId="24EDD2B9" w14:textId="77777777" w:rsidTr="00FC1D31">
        <w:trPr>
          <w:trHeight w:val="13"/>
        </w:trPr>
        <w:tc>
          <w:tcPr>
            <w:tcW w:w="0" w:type="auto"/>
            <w:gridSpan w:val="3"/>
            <w:tcBorders>
              <w:top w:val="single" w:sz="8" w:space="0" w:color="000000"/>
              <w:left w:val="single" w:sz="8" w:space="0" w:color="000000"/>
              <w:bottom w:val="single" w:sz="8" w:space="0" w:color="000000"/>
              <w:right w:val="single" w:sz="8" w:space="0" w:color="000000"/>
            </w:tcBorders>
            <w:shd w:val="clear" w:color="auto" w:fill="2B669A"/>
            <w:tcMar>
              <w:top w:w="100" w:type="dxa"/>
              <w:left w:w="100" w:type="dxa"/>
              <w:bottom w:w="100" w:type="dxa"/>
              <w:right w:w="100" w:type="dxa"/>
            </w:tcMar>
            <w:hideMark/>
          </w:tcPr>
          <w:p w14:paraId="5B5D4A07" w14:textId="3B3DF192" w:rsidR="00FC1D31" w:rsidRPr="00FC1D31" w:rsidRDefault="00FC1D31" w:rsidP="00FC1D31">
            <w:pPr>
              <w:jc w:val="center"/>
              <w:rPr>
                <w:rFonts w:ascii="Avenir Heavy" w:hAnsi="Avenir Heavy"/>
                <w:b/>
                <w:bCs/>
                <w:color w:val="FFFFFF" w:themeColor="background1"/>
                <w:sz w:val="22"/>
                <w:szCs w:val="22"/>
              </w:rPr>
            </w:pPr>
            <w:r w:rsidRPr="00FC1D31">
              <w:rPr>
                <w:rFonts w:ascii="Avenir Heavy" w:hAnsi="Avenir Heavy" w:cs="Calibri"/>
                <w:b/>
                <w:bCs/>
                <w:color w:val="FFFFFF" w:themeColor="background1"/>
                <w:sz w:val="22"/>
                <w:szCs w:val="22"/>
              </w:rPr>
              <w:t>EDUCATOR CONTENT</w:t>
            </w:r>
            <w:r w:rsidR="003D1B14">
              <w:rPr>
                <w:rFonts w:ascii="Avenir Heavy" w:hAnsi="Avenir Heavy" w:cs="Calibri"/>
                <w:b/>
                <w:bCs/>
                <w:color w:val="FFFFFF" w:themeColor="background1"/>
                <w:sz w:val="22"/>
                <w:szCs w:val="22"/>
              </w:rPr>
              <w:t xml:space="preserve">, </w:t>
            </w:r>
            <w:r w:rsidRPr="00FC1D31">
              <w:rPr>
                <w:rFonts w:ascii="Avenir Heavy" w:hAnsi="Avenir Heavy" w:cs="Calibri"/>
                <w:b/>
                <w:bCs/>
                <w:color w:val="FFFFFF" w:themeColor="background1"/>
                <w:sz w:val="22"/>
                <w:szCs w:val="22"/>
              </w:rPr>
              <w:t>PEDAGOGICAL</w:t>
            </w:r>
            <w:r w:rsidR="003D1B14">
              <w:rPr>
                <w:rFonts w:ascii="Avenir Heavy" w:hAnsi="Avenir Heavy" w:cs="Calibri"/>
                <w:b/>
                <w:bCs/>
                <w:color w:val="FFFFFF" w:themeColor="background1"/>
                <w:sz w:val="22"/>
                <w:szCs w:val="22"/>
              </w:rPr>
              <w:t xml:space="preserve">, AND PEDAGOGICAL CONTENT </w:t>
            </w:r>
            <w:r w:rsidRPr="00FC1D31">
              <w:rPr>
                <w:rFonts w:ascii="Avenir Heavy" w:hAnsi="Avenir Heavy" w:cs="Calibri"/>
                <w:b/>
                <w:bCs/>
                <w:color w:val="FFFFFF" w:themeColor="background1"/>
                <w:sz w:val="22"/>
                <w:szCs w:val="22"/>
              </w:rPr>
              <w:t>KNOWLEDGE</w:t>
            </w:r>
          </w:p>
        </w:tc>
      </w:tr>
      <w:tr w:rsidR="00FC1D31" w:rsidRPr="00FC1D31" w14:paraId="5B47F17F" w14:textId="77777777" w:rsidTr="00FC1D31">
        <w:trPr>
          <w:trHeight w:val="15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9D76D"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Based on the Investigating History inquiry maps and the content standards in the 2018 History and Social Science Framework, educators have ample </w:t>
            </w:r>
            <w:r w:rsidRPr="00FC1D31">
              <w:rPr>
                <w:rFonts w:ascii="Avenir Heavy" w:hAnsi="Avenir Heavy" w:cs="Calibri"/>
                <w:b/>
                <w:bCs/>
                <w:color w:val="000000"/>
                <w:sz w:val="20"/>
                <w:szCs w:val="20"/>
              </w:rPr>
              <w:t>content knowledge</w:t>
            </w:r>
            <w:r w:rsidRPr="00FC1D31">
              <w:rPr>
                <w:rFonts w:ascii="Avenir Book" w:hAnsi="Avenir Book" w:cs="Calibri"/>
                <w:color w:val="000000"/>
                <w:sz w:val="20"/>
                <w:szCs w:val="20"/>
              </w:rPr>
              <w:t xml:space="preserve"> about the material that each grade-level Investigating History unit covers—including the multiple voices and perspectives that are sometimes left out of traditional historical narratives.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A50BB" w14:textId="1DD9CEA1"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Pr="00FC1D31">
              <w:rPr>
                <w:rFonts w:ascii="Avenir Book" w:hAnsi="Avenir Book" w:cs="Arial"/>
                <w:noProof/>
                <w:color w:val="202122"/>
                <w:sz w:val="22"/>
                <w:szCs w:val="22"/>
                <w:bdr w:val="none" w:sz="0" w:space="0" w:color="auto" w:frame="1"/>
                <w:shd w:val="clear" w:color="auto" w:fill="FFFFFF"/>
              </w:rPr>
              <w:drawing>
                <wp:inline distT="0" distB="0" distL="0" distR="0" wp14:anchorId="63D697EA" wp14:editId="0FFCCF68">
                  <wp:extent cx="2969260" cy="164465"/>
                  <wp:effectExtent l="0" t="0" r="0" b="0"/>
                  <wp:docPr id="18" name="Picture 18"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05F4CF23" w14:textId="77777777" w:rsidTr="00FC1D31">
        <w:trPr>
          <w:trHeight w:val="6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86DA0"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Educators have an understanding of, and experience with, </w:t>
            </w:r>
            <w:r w:rsidRPr="00FC1D31">
              <w:rPr>
                <w:rFonts w:ascii="Avenir Heavy" w:hAnsi="Avenir Heavy" w:cs="Calibri"/>
                <w:b/>
                <w:bCs/>
                <w:color w:val="000000"/>
                <w:sz w:val="20"/>
                <w:szCs w:val="20"/>
              </w:rPr>
              <w:t>inquiry-based pedagogy</w:t>
            </w:r>
            <w:r w:rsidRPr="00FC1D31">
              <w:rPr>
                <w:rFonts w:ascii="Avenir Book" w:hAnsi="Avenir Book" w:cs="Calibri"/>
                <w:color w:val="000000"/>
                <w:sz w:val="20"/>
                <w:szCs w:val="20"/>
              </w:rPr>
              <w:t xml:space="preserve"> in history and social science—that is, a pedagogical approach that leverages history/social science practices to center students’ own questions, engagement with historical sources, and collaborative sense-making rather than relying on sustained direct instruction.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280D2" w14:textId="04134A68" w:rsidR="00FC1D31" w:rsidRPr="00FC1D31" w:rsidRDefault="00C90EFD"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Pr="00FC1D31">
              <w:rPr>
                <w:rFonts w:ascii="Avenir Book" w:hAnsi="Avenir Book" w:cs="Arial"/>
                <w:noProof/>
                <w:color w:val="202122"/>
                <w:sz w:val="22"/>
                <w:szCs w:val="22"/>
                <w:bdr w:val="none" w:sz="0" w:space="0" w:color="auto" w:frame="1"/>
                <w:shd w:val="clear" w:color="auto" w:fill="FFFFFF"/>
              </w:rPr>
              <w:drawing>
                <wp:inline distT="0" distB="0" distL="0" distR="0" wp14:anchorId="731A2C9A" wp14:editId="4E2E1252">
                  <wp:extent cx="2969260" cy="164465"/>
                  <wp:effectExtent l="0" t="0" r="0" b="0"/>
                  <wp:docPr id="19" name="Picture 19"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71659622" w14:textId="77777777" w:rsidTr="00FC1D31">
        <w:trPr>
          <w:trHeight w:val="10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B12D6"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Educators have an understanding of, and experience with, strategies to effectively </w:t>
            </w:r>
            <w:r w:rsidRPr="00FC1D31">
              <w:rPr>
                <w:rFonts w:ascii="Avenir Heavy" w:hAnsi="Avenir Heavy" w:cs="Calibri"/>
                <w:b/>
                <w:bCs/>
                <w:color w:val="000000"/>
                <w:sz w:val="20"/>
                <w:szCs w:val="20"/>
              </w:rPr>
              <w:t xml:space="preserve">support all students’ literacy and language development </w:t>
            </w:r>
            <w:r w:rsidRPr="00FC1D31">
              <w:rPr>
                <w:rFonts w:ascii="Avenir Book" w:hAnsi="Avenir Book" w:cs="Calibri"/>
                <w:color w:val="000000"/>
                <w:sz w:val="20"/>
                <w:szCs w:val="20"/>
              </w:rPr>
              <w:t>as they engage with complex, grade-level reading, writing, speaking, and listening tasks (e.g. practices for vocabulary instruction, scaffolding access to historical documents, etc.).</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E5A28" w14:textId="023F478B"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50A85239" wp14:editId="64672D6C">
                  <wp:extent cx="2969260" cy="164465"/>
                  <wp:effectExtent l="0" t="0" r="0" b="0"/>
                  <wp:docPr id="20" name="Picture 20"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67603729" w14:textId="77777777" w:rsidTr="00FC1D31">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D7BE1"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Educators have experience facilitating sustained </w:t>
            </w:r>
            <w:r w:rsidRPr="00FC1D31">
              <w:rPr>
                <w:rFonts w:ascii="Avenir Heavy" w:hAnsi="Avenir Heavy" w:cs="Calibri"/>
                <w:b/>
                <w:bCs/>
                <w:color w:val="000000"/>
                <w:sz w:val="20"/>
                <w:szCs w:val="20"/>
              </w:rPr>
              <w:t>student-to-student discours</w:t>
            </w:r>
            <w:r w:rsidRPr="00FC1D31">
              <w:rPr>
                <w:rFonts w:ascii="Avenir Book" w:hAnsi="Avenir Book" w:cs="Calibri"/>
                <w:b/>
                <w:bCs/>
                <w:color w:val="000000"/>
                <w:sz w:val="20"/>
                <w:szCs w:val="20"/>
              </w:rPr>
              <w:t xml:space="preserve">e </w:t>
            </w:r>
            <w:r w:rsidRPr="00FC1D31">
              <w:rPr>
                <w:rFonts w:ascii="Avenir Book" w:hAnsi="Avenir Book" w:cs="Calibri"/>
                <w:color w:val="000000"/>
                <w:sz w:val="20"/>
                <w:szCs w:val="20"/>
              </w:rPr>
              <w:t>in ways that engage all students, center their thinking and reasoning, and support their academic language development.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64560" w14:textId="5BFBB8BB"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62EACDBA" wp14:editId="64E332B5">
                  <wp:extent cx="2969260" cy="164465"/>
                  <wp:effectExtent l="0" t="0" r="0" b="0"/>
                  <wp:docPr id="21" name="Picture 21"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58E06B24" w14:textId="77777777" w:rsidTr="00FC1D31">
        <w:trPr>
          <w:trHeight w:val="2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E14"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Educators have experience and comfort facilitating </w:t>
            </w:r>
            <w:r w:rsidRPr="00FC1D31">
              <w:rPr>
                <w:rFonts w:ascii="Avenir Heavy" w:hAnsi="Avenir Heavy" w:cs="Calibri"/>
                <w:b/>
                <w:bCs/>
                <w:color w:val="000000"/>
                <w:sz w:val="20"/>
                <w:szCs w:val="20"/>
              </w:rPr>
              <w:t>potentially difficult conversations</w:t>
            </w:r>
            <w:r w:rsidRPr="00FC1D31">
              <w:rPr>
                <w:rFonts w:ascii="Avenir Book" w:hAnsi="Avenir Book" w:cs="Calibri"/>
                <w:b/>
                <w:bCs/>
                <w:color w:val="000000"/>
                <w:sz w:val="20"/>
                <w:szCs w:val="20"/>
              </w:rPr>
              <w:t xml:space="preserve"> </w:t>
            </w:r>
            <w:r w:rsidRPr="00FC1D31">
              <w:rPr>
                <w:rFonts w:ascii="Avenir Book" w:hAnsi="Avenir Book" w:cs="Calibri"/>
                <w:color w:val="000000"/>
                <w:sz w:val="20"/>
                <w:szCs w:val="20"/>
              </w:rPr>
              <w:t>around topics such as prejudice, racism, and bigotry in an informed and honest way. </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02B77" w14:textId="6B249551"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75814214" wp14:editId="7AD0EAA1">
                  <wp:extent cx="2969260" cy="164465"/>
                  <wp:effectExtent l="0" t="0" r="0" b="0"/>
                  <wp:docPr id="23" name="Picture 23"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6E52CA83" w14:textId="77777777" w:rsidTr="00FC1D31">
        <w:trPr>
          <w:trHeight w:val="21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B281C"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Educators are </w:t>
            </w:r>
            <w:r w:rsidRPr="00FC1D31">
              <w:rPr>
                <w:rFonts w:ascii="Avenir Heavy" w:hAnsi="Avenir Heavy" w:cs="Calibri"/>
                <w:b/>
                <w:bCs/>
                <w:color w:val="000000"/>
                <w:sz w:val="20"/>
                <w:szCs w:val="20"/>
              </w:rPr>
              <w:t>philosophically aligned with Investigating History’s vision</w:t>
            </w:r>
            <w:r w:rsidRPr="00FC1D31">
              <w:rPr>
                <w:rFonts w:ascii="Avenir Book" w:hAnsi="Avenir Book" w:cs="Calibri"/>
                <w:color w:val="000000"/>
                <w:sz w:val="20"/>
                <w:szCs w:val="20"/>
              </w:rPr>
              <w:t xml:space="preserve"> that history and social science learning should be grounded in the practices of inquiry and investigation; support students’ meaning-making in culturally and linguistically affirming and critical ways; deepen insight into human connections and develop historical empathy; and connect the past to the contemporary world.</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E8074" w14:textId="2ADF4DE1" w:rsidR="00FC1D31" w:rsidRPr="00FC1D31" w:rsidRDefault="00C90EFD"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Pr="00FC1D31">
              <w:rPr>
                <w:rFonts w:ascii="Avenir Book" w:hAnsi="Avenir Book" w:cs="Arial"/>
                <w:noProof/>
                <w:color w:val="202122"/>
                <w:sz w:val="22"/>
                <w:szCs w:val="22"/>
                <w:bdr w:val="none" w:sz="0" w:space="0" w:color="auto" w:frame="1"/>
                <w:shd w:val="clear" w:color="auto" w:fill="FFFFFF"/>
              </w:rPr>
              <w:drawing>
                <wp:inline distT="0" distB="0" distL="0" distR="0" wp14:anchorId="53BB8089" wp14:editId="5B3EF2C4">
                  <wp:extent cx="2969260" cy="164465"/>
                  <wp:effectExtent l="0" t="0" r="0" b="0"/>
                  <wp:docPr id="22" name="Picture 22"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Pr="00FC1D31">
              <w:rPr>
                <w:rFonts w:ascii="Avenir Book" w:hAnsi="Avenir Book" w:cs="Arial"/>
                <w:color w:val="202122"/>
                <w:sz w:val="22"/>
                <w:szCs w:val="22"/>
                <w:bdr w:val="none" w:sz="0" w:space="0" w:color="auto" w:frame="1"/>
                <w:shd w:val="clear" w:color="auto" w:fill="FFFFFF"/>
              </w:rPr>
              <w:fldChar w:fldCharType="end"/>
            </w:r>
          </w:p>
        </w:tc>
      </w:tr>
    </w:tbl>
    <w:p w14:paraId="55CB1D33" w14:textId="77777777" w:rsidR="00FC1D31" w:rsidRDefault="00FC1D31">
      <w:r>
        <w:br w:type="page"/>
      </w:r>
    </w:p>
    <w:tbl>
      <w:tblPr>
        <w:tblW w:w="0" w:type="auto"/>
        <w:tblCellMar>
          <w:top w:w="15" w:type="dxa"/>
          <w:left w:w="15" w:type="dxa"/>
          <w:bottom w:w="15" w:type="dxa"/>
          <w:right w:w="15" w:type="dxa"/>
        </w:tblCellMar>
        <w:tblLook w:val="04A0" w:firstRow="1" w:lastRow="0" w:firstColumn="1" w:lastColumn="0" w:noHBand="0" w:noVBand="1"/>
      </w:tblPr>
      <w:tblGrid>
        <w:gridCol w:w="5904"/>
        <w:gridCol w:w="4876"/>
      </w:tblGrid>
      <w:tr w:rsidR="00FC1D31" w:rsidRPr="00FC1D31" w14:paraId="423692AF" w14:textId="77777777" w:rsidTr="00FC1D31">
        <w:trPr>
          <w:trHeight w:val="23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2B669A"/>
            <w:tcMar>
              <w:top w:w="100" w:type="dxa"/>
              <w:left w:w="100" w:type="dxa"/>
              <w:bottom w:w="100" w:type="dxa"/>
              <w:right w:w="100" w:type="dxa"/>
            </w:tcMar>
            <w:hideMark/>
          </w:tcPr>
          <w:p w14:paraId="793004D7" w14:textId="1C1E69BC" w:rsidR="00FC1D31" w:rsidRPr="00FC1D31" w:rsidRDefault="00FC1D31" w:rsidP="00FC1D31">
            <w:pPr>
              <w:jc w:val="center"/>
              <w:rPr>
                <w:rFonts w:ascii="Avenir Book" w:hAnsi="Avenir Book"/>
                <w:sz w:val="22"/>
                <w:szCs w:val="22"/>
              </w:rPr>
            </w:pPr>
            <w:r w:rsidRPr="00FC1D31">
              <w:rPr>
                <w:rFonts w:ascii="Avenir Heavy" w:hAnsi="Avenir Heavy" w:cs="Calibri"/>
                <w:b/>
                <w:bCs/>
                <w:color w:val="FFFFFF" w:themeColor="background1"/>
                <w:sz w:val="22"/>
                <w:szCs w:val="22"/>
              </w:rPr>
              <w:t>SUPPORTIVE STRUCTURES AND CLIMATE</w:t>
            </w:r>
          </w:p>
        </w:tc>
      </w:tr>
      <w:tr w:rsidR="00FC1D31" w:rsidRPr="00FC1D31" w14:paraId="174C95B1" w14:textId="77777777" w:rsidTr="00FC1D31">
        <w:trPr>
          <w:trHeight w:val="7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610AD"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The school or district has an </w:t>
            </w:r>
            <w:r w:rsidRPr="00FC1D31">
              <w:rPr>
                <w:rFonts w:ascii="Avenir Heavy" w:hAnsi="Avenir Heavy" w:cs="Calibri"/>
                <w:b/>
                <w:bCs/>
                <w:color w:val="000000"/>
                <w:sz w:val="20"/>
                <w:szCs w:val="20"/>
              </w:rPr>
              <w:t>existing, well-defined, and widely understood instructional vision</w:t>
            </w:r>
            <w:r w:rsidRPr="00FC1D31">
              <w:rPr>
                <w:rFonts w:ascii="Avenir Book" w:hAnsi="Avenir Book" w:cs="Calibri"/>
                <w:color w:val="000000"/>
                <w:sz w:val="20"/>
                <w:szCs w:val="20"/>
              </w:rPr>
              <w:t xml:space="preserve"> (in general and/or for history/social studies more specifically) that aligns with the Investigating History vision described above.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A9329" w14:textId="3A2AFDB0"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1E531C8F" wp14:editId="757B68B2">
                  <wp:extent cx="2969260" cy="164465"/>
                  <wp:effectExtent l="0" t="0" r="0" b="0"/>
                  <wp:docPr id="24" name="Picture 24"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51290415" w14:textId="77777777" w:rsidTr="00FC1D31">
        <w:trPr>
          <w:trHeight w:val="10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75C46"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The </w:t>
            </w:r>
            <w:r w:rsidRPr="00FC1D31">
              <w:rPr>
                <w:rFonts w:ascii="Avenir Heavy" w:hAnsi="Avenir Heavy" w:cs="Calibri"/>
                <w:b/>
                <w:bCs/>
                <w:color w:val="000000"/>
                <w:sz w:val="20"/>
                <w:szCs w:val="20"/>
              </w:rPr>
              <w:t>current classroom and school climate</w:t>
            </w:r>
            <w:r w:rsidRPr="00FC1D31">
              <w:rPr>
                <w:rFonts w:ascii="Avenir Book" w:hAnsi="Avenir Book" w:cs="Calibri"/>
                <w:color w:val="000000"/>
                <w:sz w:val="20"/>
                <w:szCs w:val="20"/>
              </w:rPr>
              <w:t xml:space="preserve"> provides opportunities for students to be co-constructors of knowledge in the classroom and to take ownership of their learning; that is, students are used to seeing themselves as active and empowered participants in their classroom and school experiences.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BD361" w14:textId="4D3F60CE"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1371B048" wp14:editId="0B846DC9">
                  <wp:extent cx="2969260" cy="164465"/>
                  <wp:effectExtent l="0" t="0" r="0" b="0"/>
                  <wp:docPr id="25" name="Picture 25"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327CFDC5" w14:textId="77777777" w:rsidTr="00FC1D31">
        <w:trPr>
          <w:trHeight w:val="93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E7D49"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There are </w:t>
            </w:r>
            <w:r w:rsidRPr="00FC1D31">
              <w:rPr>
                <w:rFonts w:ascii="Avenir Heavy" w:hAnsi="Avenir Heavy" w:cs="Calibri"/>
                <w:b/>
                <w:bCs/>
                <w:color w:val="000000"/>
                <w:sz w:val="20"/>
                <w:szCs w:val="20"/>
              </w:rPr>
              <w:t xml:space="preserve">other school- or district-wide initiatives that resonate with Investigating History’s instructional principles </w:t>
            </w:r>
            <w:r w:rsidRPr="00FC1D31">
              <w:rPr>
                <w:rFonts w:ascii="Avenir Book" w:hAnsi="Avenir Book" w:cs="Calibri"/>
                <w:color w:val="000000"/>
                <w:sz w:val="20"/>
                <w:szCs w:val="20"/>
              </w:rPr>
              <w:t>(e.g., a schoolwide focus on discourse strategies, ongoing professional development focused on culturally and linguistically sustaining instruction, or the use of an inquiry-based curriculum in other content areas).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92353" w14:textId="782A0ED9"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00889040" wp14:editId="12128CA4">
                  <wp:extent cx="2969260" cy="164465"/>
                  <wp:effectExtent l="0" t="0" r="0" b="0"/>
                  <wp:docPr id="26" name="Picture 26"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26ED37D8" w14:textId="77777777" w:rsidTr="00FC1D31">
        <w:trPr>
          <w:trHeight w:val="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04783" w14:textId="195D0E70"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The educators adopting Investigating History have </w:t>
            </w:r>
            <w:r w:rsidRPr="00FC1D31">
              <w:rPr>
                <w:rFonts w:ascii="Avenir Heavy" w:hAnsi="Avenir Heavy" w:cs="Calibri"/>
                <w:b/>
                <w:bCs/>
                <w:color w:val="000000"/>
                <w:sz w:val="20"/>
                <w:szCs w:val="20"/>
              </w:rPr>
              <w:t>prior experience adopting and using a standards-based, comprehensive, core curriculum</w:t>
            </w:r>
            <w:r w:rsidRPr="00FC1D31">
              <w:rPr>
                <w:rFonts w:ascii="Avenir Book" w:hAnsi="Avenir Book" w:cs="Calibri"/>
                <w:color w:val="000000"/>
                <w:sz w:val="20"/>
                <w:szCs w:val="20"/>
              </w:rPr>
              <w:t xml:space="preserve"> and thus have tools and strategies that they can use to internalize and skillfully teach a lesson that they may not have written themselves.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41101" w14:textId="59BBA2F8"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0E67E761" wp14:editId="43241B33">
                  <wp:extent cx="2969260" cy="164465"/>
                  <wp:effectExtent l="0" t="0" r="0" b="0"/>
                  <wp:docPr id="27" name="Picture 27"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0D660F4F" w14:textId="77777777" w:rsidTr="00FC1D31">
        <w:trPr>
          <w:trHeight w:val="54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431A8"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The school or district has </w:t>
            </w:r>
            <w:r w:rsidRPr="00FC1D31">
              <w:rPr>
                <w:rFonts w:ascii="Avenir Heavy" w:hAnsi="Avenir Heavy" w:cs="Calibri"/>
                <w:b/>
                <w:bCs/>
                <w:color w:val="000000"/>
                <w:sz w:val="20"/>
                <w:szCs w:val="20"/>
              </w:rPr>
              <w:t>structures for regular collaboration and coaching</w:t>
            </w:r>
            <w:r w:rsidRPr="00FC1D31">
              <w:rPr>
                <w:rFonts w:ascii="Avenir Book" w:hAnsi="Avenir Book" w:cs="Calibri"/>
                <w:b/>
                <w:bCs/>
                <w:color w:val="000000"/>
                <w:sz w:val="20"/>
                <w:szCs w:val="20"/>
              </w:rPr>
              <w:t xml:space="preserve"> </w:t>
            </w:r>
            <w:r w:rsidRPr="00FC1D31">
              <w:rPr>
                <w:rFonts w:ascii="Avenir Book" w:hAnsi="Avenir Book" w:cs="Calibri"/>
                <w:color w:val="000000"/>
                <w:sz w:val="20"/>
                <w:szCs w:val="20"/>
              </w:rPr>
              <w:t>that can provide educators with the opportunities to get regular feedback on and support with their use of the Investigating History materials.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1F237" w14:textId="0323C2D2"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0DF5A851" wp14:editId="2446DD7B">
                  <wp:extent cx="2969260" cy="164465"/>
                  <wp:effectExtent l="0" t="0" r="0" b="0"/>
                  <wp:docPr id="28" name="Picture 28"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629C2317" w14:textId="77777777" w:rsidTr="00FC1D31">
        <w:trPr>
          <w:trHeight w:val="12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60FC2"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The school or district has the </w:t>
            </w:r>
            <w:r w:rsidRPr="00FC1D31">
              <w:rPr>
                <w:rFonts w:ascii="Avenir Heavy" w:hAnsi="Avenir Heavy" w:cs="Calibri"/>
                <w:b/>
                <w:bCs/>
                <w:color w:val="000000"/>
                <w:sz w:val="20"/>
                <w:szCs w:val="20"/>
              </w:rPr>
              <w:t>financial resources and/or internal capacity to provide educators with professional development</w:t>
            </w:r>
            <w:r w:rsidRPr="00FC1D31">
              <w:rPr>
                <w:rFonts w:ascii="Avenir Book" w:hAnsi="Avenir Book" w:cs="Calibri"/>
                <w:color w:val="000000"/>
                <w:sz w:val="20"/>
                <w:szCs w:val="20"/>
              </w:rPr>
              <w:t>, either through a partnership with a certified PD provider or by leveraging district educators with experience using Investigating History.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758F3" w14:textId="499BB79E"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75E016B1" wp14:editId="30D36C87">
                  <wp:extent cx="2969260" cy="164465"/>
                  <wp:effectExtent l="0" t="0" r="0" b="0"/>
                  <wp:docPr id="29" name="Picture 29"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795B3475" w14:textId="77777777" w:rsidTr="00FC1D31">
        <w:trPr>
          <w:trHeight w:val="7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B07C5" w14:textId="5C156173"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There is </w:t>
            </w:r>
            <w:r w:rsidRPr="00FC1D31">
              <w:rPr>
                <w:rFonts w:ascii="Avenir Heavy" w:hAnsi="Avenir Heavy" w:cs="Calibri"/>
                <w:b/>
                <w:bCs/>
                <w:color w:val="000000"/>
                <w:sz w:val="20"/>
                <w:szCs w:val="20"/>
              </w:rPr>
              <w:t>sufficient professional development and planning time in the schedule</w:t>
            </w:r>
            <w:r w:rsidRPr="00FC1D31">
              <w:rPr>
                <w:rFonts w:ascii="Avenir Book" w:hAnsi="Avenir Book" w:cs="Calibri"/>
                <w:color w:val="000000"/>
                <w:sz w:val="20"/>
                <w:szCs w:val="20"/>
              </w:rPr>
              <w:t>—at least a full day to launch each Investigating History unit before it is taught and opportunities for ongoing, continued learning and problem-solving throughout the unit.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5BEF3" w14:textId="5DF85604"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1B08C321" wp14:editId="3A327D24">
                  <wp:extent cx="2969260" cy="164465"/>
                  <wp:effectExtent l="0" t="0" r="0" b="0"/>
                  <wp:docPr id="30" name="Picture 30"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r w:rsidR="00FC1D31" w:rsidRPr="00FC1D31" w14:paraId="4C737375" w14:textId="77777777" w:rsidTr="00FC1D31">
        <w:trPr>
          <w:trHeight w:val="16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877F2" w14:textId="77777777" w:rsidR="00FC1D31" w:rsidRPr="00FC1D31" w:rsidRDefault="00FC1D31" w:rsidP="00FC1D31">
            <w:pPr>
              <w:rPr>
                <w:rFonts w:ascii="Avenir Book" w:hAnsi="Avenir Book"/>
                <w:sz w:val="20"/>
                <w:szCs w:val="20"/>
              </w:rPr>
            </w:pPr>
            <w:r w:rsidRPr="00FC1D31">
              <w:rPr>
                <w:rFonts w:ascii="Avenir Book" w:hAnsi="Avenir Book" w:cs="Calibri"/>
                <w:color w:val="000000"/>
                <w:sz w:val="20"/>
                <w:szCs w:val="20"/>
              </w:rPr>
              <w:t xml:space="preserve">Educators adopting Investigating History will be able to </w:t>
            </w:r>
            <w:r w:rsidRPr="00FC1D31">
              <w:rPr>
                <w:rFonts w:ascii="Avenir Heavy" w:hAnsi="Avenir Heavy" w:cs="Calibri"/>
                <w:b/>
                <w:bCs/>
                <w:color w:val="000000"/>
                <w:sz w:val="20"/>
                <w:szCs w:val="20"/>
              </w:rPr>
              <w:t>make this change a top priority</w:t>
            </w:r>
            <w:r w:rsidRPr="00FC1D31">
              <w:rPr>
                <w:rFonts w:ascii="Avenir Book" w:hAnsi="Avenir Book" w:cs="Calibri"/>
                <w:color w:val="000000"/>
                <w:sz w:val="20"/>
                <w:szCs w:val="20"/>
              </w:rPr>
              <w:t>, rather than being involved in other significant change initiatives that might compete for their attention and capacity, or might be at odds with the shifts that Investigating History requires (e.g. implementation of new materials for other content areas, prior time-intensive professional development commitments,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E5A1A" w14:textId="5D9EDA52" w:rsidR="00FC1D31" w:rsidRPr="00FC1D31" w:rsidRDefault="00FC1D31" w:rsidP="00FC1D31">
            <w:pPr>
              <w:jc w:val="center"/>
              <w:rPr>
                <w:rFonts w:ascii="Avenir Book" w:hAnsi="Avenir Book"/>
                <w:sz w:val="22"/>
                <w:szCs w:val="22"/>
              </w:rPr>
            </w:pPr>
            <w:r w:rsidRPr="00FC1D31">
              <w:rPr>
                <w:rFonts w:ascii="Avenir Book" w:hAnsi="Avenir Book" w:cs="Arial"/>
                <w:color w:val="202122"/>
                <w:sz w:val="22"/>
                <w:szCs w:val="22"/>
                <w:bdr w:val="none" w:sz="0" w:space="0" w:color="auto" w:frame="1"/>
                <w:shd w:val="clear" w:color="auto" w:fill="FFFFFF"/>
              </w:rPr>
              <w:fldChar w:fldCharType="begin"/>
            </w:r>
            <w:r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color w:val="202122"/>
                <w:sz w:val="22"/>
                <w:szCs w:val="22"/>
                <w:bdr w:val="none" w:sz="0" w:space="0" w:color="auto" w:frame="1"/>
                <w:shd w:val="clear" w:color="auto" w:fill="FFFFFF"/>
              </w:rPr>
              <w:fldChar w:fldCharType="begin"/>
            </w:r>
            <w:r w:rsidR="00C90EFD" w:rsidRPr="00FC1D31">
              <w:rPr>
                <w:rFonts w:ascii="Avenir Book" w:hAnsi="Avenir Book" w:cs="Arial"/>
                <w:color w:val="202122"/>
                <w:sz w:val="22"/>
                <w:szCs w:val="22"/>
                <w:bdr w:val="none" w:sz="0" w:space="0" w:color="auto" w:frame="1"/>
                <w:shd w:val="clear" w:color="auto" w:fill="FFFFFF"/>
              </w:rPr>
              <w:instrText xml:space="preserve"> INCLUDEPICTURE "https://lh5.googleusercontent.com/FtvzxYILyTifCBDlBIlDE3Rx5tOPL5stkzC_Ukjf9tfYr-lRc3dgU9qB10HKKWscEVFl3Th5TsRZo5pPWYXjzZsWhst18YciXBM6sZ3D8PAw_kgkZhmiYlpSTqUpoR3gLP_HuhvkMrl0LlHv7ifyqng" \* MERGEFORMATINET </w:instrText>
            </w:r>
            <w:r w:rsidR="00C90EFD" w:rsidRPr="00FC1D31">
              <w:rPr>
                <w:rFonts w:ascii="Avenir Book" w:hAnsi="Avenir Book" w:cs="Arial"/>
                <w:color w:val="202122"/>
                <w:sz w:val="22"/>
                <w:szCs w:val="22"/>
                <w:bdr w:val="none" w:sz="0" w:space="0" w:color="auto" w:frame="1"/>
                <w:shd w:val="clear" w:color="auto" w:fill="FFFFFF"/>
              </w:rPr>
              <w:fldChar w:fldCharType="separate"/>
            </w:r>
            <w:r w:rsidR="00C90EFD" w:rsidRPr="00FC1D31">
              <w:rPr>
                <w:rFonts w:ascii="Avenir Book" w:hAnsi="Avenir Book" w:cs="Arial"/>
                <w:noProof/>
                <w:color w:val="202122"/>
                <w:sz w:val="22"/>
                <w:szCs w:val="22"/>
                <w:bdr w:val="none" w:sz="0" w:space="0" w:color="auto" w:frame="1"/>
                <w:shd w:val="clear" w:color="auto" w:fill="FFFFFF"/>
              </w:rPr>
              <w:drawing>
                <wp:inline distT="0" distB="0" distL="0" distR="0" wp14:anchorId="322A73C0" wp14:editId="21A75F2C">
                  <wp:extent cx="2969260" cy="164465"/>
                  <wp:effectExtent l="0" t="0" r="0" b="0"/>
                  <wp:docPr id="31" name="Picture 31" descr="Double-sid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uble-sided arr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9260" cy="164465"/>
                          </a:xfrm>
                          <a:prstGeom prst="rect">
                            <a:avLst/>
                          </a:prstGeom>
                          <a:noFill/>
                          <a:ln>
                            <a:noFill/>
                          </a:ln>
                        </pic:spPr>
                      </pic:pic>
                    </a:graphicData>
                  </a:graphic>
                </wp:inline>
              </w:drawing>
            </w:r>
            <w:r w:rsidR="00C90EFD" w:rsidRPr="00FC1D31">
              <w:rPr>
                <w:rFonts w:ascii="Avenir Book" w:hAnsi="Avenir Book" w:cs="Arial"/>
                <w:color w:val="202122"/>
                <w:sz w:val="22"/>
                <w:szCs w:val="22"/>
                <w:bdr w:val="none" w:sz="0" w:space="0" w:color="auto" w:frame="1"/>
                <w:shd w:val="clear" w:color="auto" w:fill="FFFFFF"/>
              </w:rPr>
              <w:fldChar w:fldCharType="end"/>
            </w:r>
            <w:r w:rsidRPr="00FC1D31">
              <w:rPr>
                <w:rFonts w:ascii="Avenir Book" w:hAnsi="Avenir Book" w:cs="Arial"/>
                <w:color w:val="202122"/>
                <w:sz w:val="22"/>
                <w:szCs w:val="22"/>
                <w:bdr w:val="none" w:sz="0" w:space="0" w:color="auto" w:frame="1"/>
                <w:shd w:val="clear" w:color="auto" w:fill="FFFFFF"/>
              </w:rPr>
              <w:fldChar w:fldCharType="end"/>
            </w:r>
          </w:p>
        </w:tc>
      </w:tr>
    </w:tbl>
    <w:p w14:paraId="58F0AA3C" w14:textId="0E448EC8" w:rsidR="00FC1D31" w:rsidRDefault="002D0E66" w:rsidP="002D0E66">
      <w:pPr>
        <w:spacing w:after="120"/>
        <w:rPr>
          <w:rFonts w:ascii="Garamond" w:hAnsi="Garamond"/>
          <w:b/>
          <w:iCs/>
          <w:sz w:val="32"/>
          <w:szCs w:val="32"/>
        </w:rPr>
      </w:pPr>
      <w:r>
        <w:rPr>
          <w:rFonts w:ascii="Garamond" w:hAnsi="Garamond"/>
          <w:b/>
          <w:iCs/>
          <w:sz w:val="32"/>
          <w:szCs w:val="32"/>
        </w:rPr>
        <w:t>Interpreting Your Answers</w:t>
      </w:r>
    </w:p>
    <w:p w14:paraId="11087F61" w14:textId="30E034F3" w:rsidR="00121E90" w:rsidRPr="00121E90" w:rsidRDefault="00121E90" w:rsidP="00121E90">
      <w:pPr>
        <w:rPr>
          <w:rFonts w:ascii="Avenir Book" w:eastAsia="Calibri" w:hAnsi="Avenir Book" w:cs="Calibri"/>
          <w:sz w:val="22"/>
          <w:szCs w:val="22"/>
        </w:rPr>
      </w:pPr>
      <w:r w:rsidRPr="00121E90">
        <w:rPr>
          <w:rFonts w:ascii="Avenir Book" w:eastAsia="Calibri" w:hAnsi="Avenir Book" w:cs="Calibri"/>
          <w:sz w:val="22"/>
          <w:szCs w:val="22"/>
        </w:rPr>
        <w:t xml:space="preserve">Answers closer to the </w:t>
      </w:r>
      <w:r w:rsidRPr="00121E90">
        <w:rPr>
          <w:rFonts w:ascii="Avenir Heavy" w:eastAsia="Calibri" w:hAnsi="Avenir Heavy" w:cs="Calibri"/>
          <w:b/>
          <w:bCs/>
          <w:sz w:val="22"/>
          <w:szCs w:val="22"/>
        </w:rPr>
        <w:t>“strongly agree”</w:t>
      </w:r>
      <w:r w:rsidRPr="00121E90">
        <w:rPr>
          <w:rFonts w:ascii="Avenir Book" w:eastAsia="Calibri" w:hAnsi="Avenir Book" w:cs="Calibri"/>
          <w:sz w:val="22"/>
          <w:szCs w:val="22"/>
        </w:rPr>
        <w:t xml:space="preserve"> side reflect strengths or assets that can serve as a foundation for a successful implementation of Investigating History. Answers closer to the </w:t>
      </w:r>
      <w:r>
        <w:rPr>
          <w:rFonts w:ascii="Avenir Heavy" w:eastAsia="Calibri" w:hAnsi="Avenir Heavy" w:cs="Calibri"/>
          <w:b/>
          <w:bCs/>
          <w:sz w:val="22"/>
          <w:szCs w:val="22"/>
        </w:rPr>
        <w:t>”s</w:t>
      </w:r>
      <w:r w:rsidRPr="00121E90">
        <w:rPr>
          <w:rFonts w:ascii="Avenir Heavy" w:eastAsia="Calibri" w:hAnsi="Avenir Heavy" w:cs="Calibri"/>
          <w:b/>
          <w:bCs/>
          <w:sz w:val="22"/>
          <w:szCs w:val="22"/>
        </w:rPr>
        <w:t>trongly disagree</w:t>
      </w:r>
      <w:r>
        <w:rPr>
          <w:rFonts w:ascii="Avenir Heavy" w:eastAsia="Calibri" w:hAnsi="Avenir Heavy" w:cs="Calibri"/>
          <w:b/>
          <w:bCs/>
          <w:sz w:val="22"/>
          <w:szCs w:val="22"/>
        </w:rPr>
        <w:t>”</w:t>
      </w:r>
      <w:r w:rsidRPr="00121E90">
        <w:rPr>
          <w:rFonts w:ascii="Avenir Book" w:eastAsia="Calibri" w:hAnsi="Avenir Book" w:cs="Calibri"/>
          <w:b/>
          <w:bCs/>
          <w:sz w:val="22"/>
          <w:szCs w:val="22"/>
        </w:rPr>
        <w:t xml:space="preserve"> </w:t>
      </w:r>
      <w:r w:rsidRPr="00121E90">
        <w:rPr>
          <w:rFonts w:ascii="Avenir Book" w:eastAsia="Calibri" w:hAnsi="Avenir Book" w:cs="Calibri"/>
          <w:sz w:val="22"/>
          <w:szCs w:val="22"/>
        </w:rPr>
        <w:t>side reflect areas that may need additional focus and/or reinforcement before or during the implementation process.</w:t>
      </w:r>
    </w:p>
    <w:p w14:paraId="0E0B74EC" w14:textId="77777777" w:rsidR="00121E90" w:rsidRPr="00121E90" w:rsidRDefault="00121E90" w:rsidP="00121E90">
      <w:pPr>
        <w:rPr>
          <w:rFonts w:ascii="Avenir Book" w:eastAsia="Calibri" w:hAnsi="Avenir Book" w:cs="Calibri"/>
          <w:sz w:val="22"/>
          <w:szCs w:val="22"/>
        </w:rPr>
      </w:pPr>
      <w:r w:rsidRPr="00121E90">
        <w:rPr>
          <w:rFonts w:ascii="Avenir Book" w:eastAsia="Calibri" w:hAnsi="Avenir Book" w:cs="Calibri"/>
          <w:sz w:val="22"/>
          <w:szCs w:val="22"/>
        </w:rPr>
        <w:t> </w:t>
      </w:r>
    </w:p>
    <w:p w14:paraId="68913C8D" w14:textId="77777777" w:rsidR="00121E90" w:rsidRPr="00121E90" w:rsidRDefault="00121E90" w:rsidP="00121E90">
      <w:pPr>
        <w:rPr>
          <w:rFonts w:ascii="Avenir Book" w:eastAsia="Calibri" w:hAnsi="Avenir Book" w:cs="Calibri"/>
          <w:sz w:val="22"/>
          <w:szCs w:val="22"/>
        </w:rPr>
      </w:pPr>
      <w:r w:rsidRPr="00121E90">
        <w:rPr>
          <w:rFonts w:ascii="Avenir Heavy" w:eastAsia="Calibri" w:hAnsi="Avenir Heavy" w:cs="Calibri"/>
          <w:b/>
          <w:bCs/>
          <w:sz w:val="22"/>
          <w:szCs w:val="22"/>
        </w:rPr>
        <w:t>More agreement with these statements</w:t>
      </w:r>
      <w:r w:rsidRPr="00121E90">
        <w:rPr>
          <w:rFonts w:ascii="Avenir Book" w:eastAsia="Calibri" w:hAnsi="Avenir Book" w:cs="Calibri"/>
          <w:sz w:val="22"/>
          <w:szCs w:val="22"/>
        </w:rPr>
        <w:t xml:space="preserve"> suggests that many of the conditions necessary for Investigating History’s success already exist in your school or district and thus that you may be well-prepared for a short-track model. Noticing the patterns of agreement and disagreement can help shape your school or district’s implementation strategy by highlighting assets to draw on as well as areas that may need particular attention. </w:t>
      </w:r>
    </w:p>
    <w:p w14:paraId="26CCDD9E" w14:textId="77777777" w:rsidR="00121E90" w:rsidRPr="00121E90" w:rsidRDefault="00121E90" w:rsidP="00121E90">
      <w:pPr>
        <w:rPr>
          <w:rFonts w:ascii="Avenir Book" w:eastAsia="Calibri" w:hAnsi="Avenir Book" w:cs="Calibri"/>
          <w:sz w:val="22"/>
          <w:szCs w:val="22"/>
        </w:rPr>
      </w:pPr>
    </w:p>
    <w:p w14:paraId="1C5EBB8F" w14:textId="77777777" w:rsidR="00121E90" w:rsidRPr="00121E90" w:rsidRDefault="00121E90" w:rsidP="00121E90">
      <w:pPr>
        <w:rPr>
          <w:rFonts w:ascii="Avenir Book" w:eastAsia="Calibri" w:hAnsi="Avenir Book" w:cs="Calibri"/>
          <w:sz w:val="22"/>
          <w:szCs w:val="22"/>
        </w:rPr>
      </w:pPr>
      <w:r w:rsidRPr="00121E90">
        <w:rPr>
          <w:rFonts w:ascii="Avenir Heavy" w:eastAsia="Calibri" w:hAnsi="Avenir Heavy" w:cs="Calibri"/>
          <w:b/>
          <w:bCs/>
          <w:sz w:val="22"/>
          <w:szCs w:val="22"/>
        </w:rPr>
        <w:t>More disagreement with these statements</w:t>
      </w:r>
      <w:r w:rsidRPr="00121E90">
        <w:rPr>
          <w:rFonts w:ascii="Avenir Book" w:eastAsia="Calibri" w:hAnsi="Avenir Book" w:cs="Calibri"/>
          <w:sz w:val="22"/>
          <w:szCs w:val="22"/>
        </w:rPr>
        <w:t xml:space="preserve"> suggests that Investigating History may require additional capacity building or may represent a more significant shift from existing practice; in this case, a long-track</w:t>
      </w:r>
      <w:r w:rsidRPr="00121E90">
        <w:rPr>
          <w:rFonts w:ascii="Avenir Book" w:eastAsia="Calibri" w:hAnsi="Avenir Book" w:cs="Calibri"/>
          <w:b/>
          <w:bCs/>
          <w:sz w:val="22"/>
          <w:szCs w:val="22"/>
        </w:rPr>
        <w:t xml:space="preserve"> </w:t>
      </w:r>
      <w:r w:rsidRPr="00121E90">
        <w:rPr>
          <w:rFonts w:ascii="Avenir Book" w:eastAsia="Calibri" w:hAnsi="Avenir Book" w:cs="Calibri"/>
          <w:sz w:val="22"/>
          <w:szCs w:val="22"/>
        </w:rPr>
        <w:t>model may be more successful. Noticing patterns in your answers can help you determine which long-track approach may be most appropriate. For example:</w:t>
      </w:r>
    </w:p>
    <w:p w14:paraId="3744EDB0" w14:textId="77777777" w:rsidR="00121E90" w:rsidRDefault="00121E90" w:rsidP="00121E90">
      <w:pPr>
        <w:numPr>
          <w:ilvl w:val="0"/>
          <w:numId w:val="34"/>
        </w:numPr>
        <w:rPr>
          <w:rFonts w:ascii="Avenir Book" w:eastAsia="Calibri" w:hAnsi="Avenir Book" w:cs="Calibri"/>
          <w:sz w:val="22"/>
          <w:szCs w:val="22"/>
        </w:rPr>
      </w:pPr>
      <w:r w:rsidRPr="00121E90">
        <w:rPr>
          <w:rFonts w:ascii="Avenir Book" w:eastAsia="Calibri" w:hAnsi="Avenir Book" w:cs="Calibri"/>
          <w:sz w:val="22"/>
          <w:szCs w:val="22"/>
        </w:rPr>
        <w:t xml:space="preserve">In the case of more disagreement with statements about </w:t>
      </w:r>
      <w:r w:rsidRPr="00121E90">
        <w:rPr>
          <w:rFonts w:ascii="Avenir Heavy" w:eastAsia="Calibri" w:hAnsi="Avenir Heavy" w:cs="Calibri"/>
          <w:b/>
          <w:bCs/>
          <w:sz w:val="22"/>
          <w:szCs w:val="22"/>
        </w:rPr>
        <w:t>educator content and pedagogical knowledge</w:t>
      </w:r>
      <w:r w:rsidRPr="00121E90">
        <w:rPr>
          <w:rFonts w:ascii="Avenir Book" w:eastAsia="Calibri" w:hAnsi="Avenir Book" w:cs="Calibri"/>
          <w:sz w:val="22"/>
          <w:szCs w:val="22"/>
        </w:rPr>
        <w:t>, adopting a smaller number of units at each grade level in Year 1 can be an effective way of providing educators at each grade level with the time to develop this knowledge gradually.</w:t>
      </w:r>
    </w:p>
    <w:p w14:paraId="105E8C0E" w14:textId="283FEBC7" w:rsidR="002D0E66" w:rsidRDefault="00121E90" w:rsidP="00121E90">
      <w:pPr>
        <w:numPr>
          <w:ilvl w:val="0"/>
          <w:numId w:val="34"/>
        </w:numPr>
        <w:rPr>
          <w:rFonts w:ascii="Avenir Book" w:eastAsia="Calibri" w:hAnsi="Avenir Book" w:cs="Calibri"/>
          <w:sz w:val="22"/>
          <w:szCs w:val="22"/>
        </w:rPr>
      </w:pPr>
      <w:r w:rsidRPr="00121E90">
        <w:rPr>
          <w:rFonts w:ascii="Avenir Book" w:eastAsia="Calibri" w:hAnsi="Avenir Book" w:cs="Calibri"/>
          <w:sz w:val="22"/>
          <w:szCs w:val="22"/>
        </w:rPr>
        <w:t xml:space="preserve">In the case of more disagreement with statements about </w:t>
      </w:r>
      <w:r w:rsidRPr="00121E90">
        <w:rPr>
          <w:rFonts w:ascii="Avenir Heavy" w:eastAsia="Calibri" w:hAnsi="Avenir Heavy" w:cs="Calibri"/>
          <w:b/>
          <w:bCs/>
          <w:sz w:val="22"/>
          <w:szCs w:val="22"/>
        </w:rPr>
        <w:t>supportive structures and culture</w:t>
      </w:r>
      <w:r w:rsidRPr="00121E90">
        <w:rPr>
          <w:rFonts w:ascii="Avenir Book" w:eastAsia="Calibri" w:hAnsi="Avenir Book" w:cs="Calibri"/>
          <w:sz w:val="22"/>
          <w:szCs w:val="22"/>
        </w:rPr>
        <w:t>, adopting one grade level at a time may be more conducive to making the structural and cultural shifts necessary by focusing these shifts initially on a smaller cohort of teachers and students (i.e., a single grade level only), and then using them as a foundation for continued growth in future years.</w:t>
      </w:r>
    </w:p>
    <w:p w14:paraId="6287D589" w14:textId="77777777" w:rsidR="00121E90" w:rsidRDefault="00121E90" w:rsidP="00121E90">
      <w:pPr>
        <w:rPr>
          <w:rFonts w:ascii="Avenir Book" w:eastAsia="Calibri" w:hAnsi="Avenir Book" w:cs="Calibri"/>
          <w:sz w:val="22"/>
          <w:szCs w:val="22"/>
        </w:rPr>
      </w:pPr>
    </w:p>
    <w:p w14:paraId="7F827370" w14:textId="77777777" w:rsidR="00121E90" w:rsidRPr="00121E90" w:rsidRDefault="00121E90" w:rsidP="00121E90">
      <w:pPr>
        <w:rPr>
          <w:rFonts w:ascii="Avenir Book" w:eastAsia="Calibri" w:hAnsi="Avenir Book" w:cs="Calibri"/>
          <w:sz w:val="22"/>
          <w:szCs w:val="22"/>
        </w:rPr>
      </w:pPr>
    </w:p>
    <w:p w14:paraId="13DD6BD8" w14:textId="25BF4BFA" w:rsidR="002D0E66" w:rsidRDefault="000E759D" w:rsidP="000E759D">
      <w:pPr>
        <w:spacing w:after="120"/>
        <w:rPr>
          <w:rFonts w:ascii="Garamond" w:hAnsi="Garamond"/>
          <w:b/>
          <w:iCs/>
          <w:sz w:val="32"/>
          <w:szCs w:val="32"/>
        </w:rPr>
      </w:pPr>
      <w:r>
        <w:rPr>
          <w:rFonts w:ascii="Garamond" w:hAnsi="Garamond"/>
          <w:b/>
          <w:iCs/>
          <w:sz w:val="32"/>
          <w:szCs w:val="32"/>
        </w:rPr>
        <w:t>Next Steps: Supporting Ongoing Implementation</w:t>
      </w:r>
    </w:p>
    <w:p w14:paraId="0BF58F25" w14:textId="77777777" w:rsidR="000E759D" w:rsidRPr="000E759D" w:rsidRDefault="000E759D" w:rsidP="000E759D">
      <w:pPr>
        <w:spacing w:after="120"/>
        <w:rPr>
          <w:rFonts w:ascii="Avenir Book" w:eastAsia="Calibri" w:hAnsi="Avenir Book" w:cs="Calibri"/>
          <w:bCs/>
          <w:sz w:val="22"/>
          <w:szCs w:val="22"/>
        </w:rPr>
      </w:pPr>
      <w:r w:rsidRPr="000E759D">
        <w:rPr>
          <w:rFonts w:ascii="Avenir Book" w:eastAsia="Calibri" w:hAnsi="Avenir Book" w:cs="Calibri"/>
          <w:bCs/>
          <w:sz w:val="22"/>
          <w:szCs w:val="22"/>
        </w:rPr>
        <w:t>Once you have determined an implementation model, engage stakeholders in the process of setting implementation goals and determining how you will monitor them. Goals might include, for example:</w:t>
      </w:r>
    </w:p>
    <w:p w14:paraId="66812EEB" w14:textId="37DD40B0" w:rsidR="000E759D" w:rsidRDefault="004D449D" w:rsidP="000E759D">
      <w:pPr>
        <w:numPr>
          <w:ilvl w:val="0"/>
          <w:numId w:val="35"/>
        </w:numPr>
        <w:spacing w:after="120"/>
        <w:rPr>
          <w:rFonts w:ascii="Avenir Book" w:eastAsia="Calibri" w:hAnsi="Avenir Book" w:cs="Calibri"/>
          <w:bCs/>
          <w:sz w:val="22"/>
          <w:szCs w:val="22"/>
        </w:rPr>
      </w:pPr>
      <w:r>
        <w:rPr>
          <w:rFonts w:ascii="Avenir Book" w:eastAsia="Calibri" w:hAnsi="Avenir Book" w:cs="Calibri"/>
          <w:bCs/>
          <w:sz w:val="22"/>
          <w:szCs w:val="22"/>
        </w:rPr>
        <w:t>All teachers are familiar with the structure of the lessons, clusters, and units</w:t>
      </w:r>
      <w:r w:rsidR="00F86D5D">
        <w:rPr>
          <w:rFonts w:ascii="Avenir Book" w:eastAsia="Calibri" w:hAnsi="Avenir Book" w:cs="Calibri"/>
          <w:bCs/>
          <w:sz w:val="22"/>
          <w:szCs w:val="22"/>
        </w:rPr>
        <w:t xml:space="preserve"> as reported in professional development sessions</w:t>
      </w:r>
      <w:r>
        <w:rPr>
          <w:rFonts w:ascii="Avenir Book" w:eastAsia="Calibri" w:hAnsi="Avenir Book" w:cs="Calibri"/>
          <w:bCs/>
          <w:sz w:val="22"/>
          <w:szCs w:val="22"/>
        </w:rPr>
        <w:t>.</w:t>
      </w:r>
    </w:p>
    <w:p w14:paraId="716E4BD5" w14:textId="0E2195B9" w:rsidR="004D449D" w:rsidRDefault="004D449D" w:rsidP="000E759D">
      <w:pPr>
        <w:numPr>
          <w:ilvl w:val="0"/>
          <w:numId w:val="35"/>
        </w:numPr>
        <w:spacing w:after="120"/>
        <w:rPr>
          <w:rFonts w:ascii="Avenir Book" w:eastAsia="Calibri" w:hAnsi="Avenir Book" w:cs="Calibri"/>
          <w:bCs/>
          <w:sz w:val="22"/>
          <w:szCs w:val="22"/>
        </w:rPr>
      </w:pPr>
      <w:r>
        <w:rPr>
          <w:rFonts w:ascii="Avenir Book" w:eastAsia="Calibri" w:hAnsi="Avenir Book" w:cs="Calibri"/>
          <w:bCs/>
          <w:sz w:val="22"/>
          <w:szCs w:val="22"/>
        </w:rPr>
        <w:t xml:space="preserve">All teachers </w:t>
      </w:r>
      <w:r w:rsidR="00F86D5D">
        <w:rPr>
          <w:rFonts w:ascii="Avenir Book" w:eastAsia="Calibri" w:hAnsi="Avenir Book" w:cs="Calibri"/>
          <w:bCs/>
          <w:sz w:val="22"/>
          <w:szCs w:val="22"/>
        </w:rPr>
        <w:t>report</w:t>
      </w:r>
      <w:r>
        <w:rPr>
          <w:rFonts w:ascii="Avenir Book" w:eastAsia="Calibri" w:hAnsi="Avenir Book" w:cs="Calibri"/>
          <w:bCs/>
          <w:sz w:val="22"/>
          <w:szCs w:val="22"/>
        </w:rPr>
        <w:t xml:space="preserve"> </w:t>
      </w:r>
      <w:r w:rsidR="00F86D5D">
        <w:rPr>
          <w:rFonts w:ascii="Avenir Book" w:eastAsia="Calibri" w:hAnsi="Avenir Book" w:cs="Calibri"/>
          <w:bCs/>
          <w:sz w:val="22"/>
          <w:szCs w:val="22"/>
        </w:rPr>
        <w:t xml:space="preserve">regularly </w:t>
      </w:r>
      <w:r>
        <w:rPr>
          <w:rFonts w:ascii="Avenir Book" w:eastAsia="Calibri" w:hAnsi="Avenir Book" w:cs="Calibri"/>
          <w:bCs/>
          <w:sz w:val="22"/>
          <w:szCs w:val="22"/>
        </w:rPr>
        <w:t>us</w:t>
      </w:r>
      <w:r w:rsidR="00F86D5D">
        <w:rPr>
          <w:rFonts w:ascii="Avenir Book" w:eastAsia="Calibri" w:hAnsi="Avenir Book" w:cs="Calibri"/>
          <w:bCs/>
          <w:sz w:val="22"/>
          <w:szCs w:val="22"/>
        </w:rPr>
        <w:t xml:space="preserve">ing and understanding the purpose of </w:t>
      </w:r>
      <w:r>
        <w:rPr>
          <w:rFonts w:ascii="Avenir Book" w:eastAsia="Calibri" w:hAnsi="Avenir Book" w:cs="Calibri"/>
          <w:bCs/>
          <w:sz w:val="22"/>
          <w:szCs w:val="22"/>
        </w:rPr>
        <w:t xml:space="preserve">the </w:t>
      </w:r>
      <w:r w:rsidR="00F86D5D">
        <w:rPr>
          <w:rFonts w:ascii="Avenir Book" w:eastAsia="Calibri" w:hAnsi="Avenir Book" w:cs="Calibri"/>
          <w:bCs/>
          <w:sz w:val="22"/>
          <w:szCs w:val="22"/>
        </w:rPr>
        <w:t>main</w:t>
      </w:r>
      <w:r>
        <w:rPr>
          <w:rFonts w:ascii="Avenir Book" w:eastAsia="Calibri" w:hAnsi="Avenir Book" w:cs="Calibri"/>
          <w:bCs/>
          <w:sz w:val="22"/>
          <w:szCs w:val="22"/>
        </w:rPr>
        <w:t xml:space="preserve"> instructional routines in the curriculum.</w:t>
      </w:r>
    </w:p>
    <w:p w14:paraId="7E54B675" w14:textId="5E38B3CF" w:rsidR="004D449D" w:rsidRPr="000E759D" w:rsidRDefault="000B416C" w:rsidP="000E759D">
      <w:pPr>
        <w:numPr>
          <w:ilvl w:val="0"/>
          <w:numId w:val="35"/>
        </w:numPr>
        <w:spacing w:after="120"/>
        <w:rPr>
          <w:rFonts w:ascii="Avenir Book" w:eastAsia="Calibri" w:hAnsi="Avenir Book" w:cs="Calibri"/>
          <w:bCs/>
          <w:sz w:val="22"/>
          <w:szCs w:val="22"/>
        </w:rPr>
      </w:pPr>
      <w:r>
        <w:rPr>
          <w:rFonts w:ascii="Avenir Book" w:eastAsia="Calibri" w:hAnsi="Avenir Book" w:cs="Calibri"/>
          <w:bCs/>
          <w:sz w:val="22"/>
          <w:szCs w:val="22"/>
        </w:rPr>
        <w:t xml:space="preserve">Students’ voice and thinking is consistently at the center of lessons as measured by </w:t>
      </w:r>
      <w:r w:rsidR="00F86D5D">
        <w:rPr>
          <w:rFonts w:ascii="Avenir Book" w:eastAsia="Calibri" w:hAnsi="Avenir Book" w:cs="Calibri"/>
          <w:bCs/>
          <w:sz w:val="22"/>
          <w:szCs w:val="22"/>
        </w:rPr>
        <w:t>instructional walkthroughs.</w:t>
      </w:r>
    </w:p>
    <w:p w14:paraId="04F1DB38" w14:textId="3F0D947E" w:rsidR="000E759D" w:rsidRPr="000E759D" w:rsidRDefault="000E759D" w:rsidP="000E759D">
      <w:pPr>
        <w:spacing w:after="120"/>
        <w:rPr>
          <w:rFonts w:ascii="Avenir Book" w:eastAsia="Calibri" w:hAnsi="Avenir Book" w:cs="Calibri"/>
          <w:bCs/>
          <w:sz w:val="22"/>
          <w:szCs w:val="22"/>
        </w:rPr>
      </w:pPr>
      <w:r w:rsidRPr="000E759D">
        <w:rPr>
          <w:rFonts w:ascii="Avenir Book" w:eastAsia="Calibri" w:hAnsi="Avenir Book" w:cs="Calibri"/>
          <w:bCs/>
          <w:sz w:val="22"/>
          <w:szCs w:val="22"/>
        </w:rPr>
        <w:t>It is also important to think about how you will introduce Investigating History to educators</w:t>
      </w:r>
      <w:r w:rsidR="00733874">
        <w:rPr>
          <w:rFonts w:ascii="Avenir Book" w:eastAsia="Calibri" w:hAnsi="Avenir Book" w:cs="Calibri"/>
          <w:bCs/>
          <w:sz w:val="22"/>
          <w:szCs w:val="22"/>
        </w:rPr>
        <w:t xml:space="preserve">, </w:t>
      </w:r>
      <w:r w:rsidRPr="000E759D">
        <w:rPr>
          <w:rFonts w:ascii="Avenir Book" w:eastAsia="Calibri" w:hAnsi="Avenir Book" w:cs="Calibri"/>
          <w:bCs/>
          <w:sz w:val="22"/>
          <w:szCs w:val="22"/>
        </w:rPr>
        <w:t>and to families and community members</w:t>
      </w:r>
      <w:r w:rsidR="00733874">
        <w:rPr>
          <w:rFonts w:ascii="Avenir Book" w:eastAsia="Calibri" w:hAnsi="Avenir Book" w:cs="Calibri"/>
          <w:bCs/>
          <w:sz w:val="22"/>
          <w:szCs w:val="22"/>
        </w:rPr>
        <w:t xml:space="preserve">, </w:t>
      </w:r>
      <w:r w:rsidRPr="000E759D">
        <w:rPr>
          <w:rFonts w:ascii="Avenir Book" w:eastAsia="Calibri" w:hAnsi="Avenir Book" w:cs="Calibri"/>
          <w:bCs/>
          <w:sz w:val="22"/>
          <w:szCs w:val="22"/>
        </w:rPr>
        <w:t>from the very beginning of implementation.</w:t>
      </w:r>
    </w:p>
    <w:p w14:paraId="443D7654" w14:textId="33B9CACC" w:rsidR="000E759D" w:rsidRPr="000E759D" w:rsidRDefault="000E759D" w:rsidP="000E759D">
      <w:pPr>
        <w:spacing w:after="120"/>
        <w:rPr>
          <w:rFonts w:ascii="Avenir Book" w:eastAsia="Calibri" w:hAnsi="Avenir Book" w:cs="Calibri"/>
          <w:bCs/>
          <w:sz w:val="22"/>
          <w:szCs w:val="22"/>
        </w:rPr>
      </w:pPr>
      <w:r w:rsidRPr="000E759D">
        <w:rPr>
          <w:rFonts w:ascii="Avenir Book" w:eastAsia="Calibri" w:hAnsi="Avenir Book" w:cs="Calibri"/>
          <w:bCs/>
          <w:sz w:val="22"/>
          <w:szCs w:val="22"/>
        </w:rPr>
        <w:t xml:space="preserve">A valuable tool through the implementation process is DESE’s </w:t>
      </w:r>
      <w:hyperlink r:id="rId16" w:history="1">
        <w:r w:rsidRPr="000E759D">
          <w:rPr>
            <w:rStyle w:val="Hyperlink"/>
            <w:rFonts w:ascii="Avenir Book" w:eastAsia="Calibri" w:hAnsi="Avenir Book" w:cs="Calibri"/>
            <w:bCs/>
            <w:sz w:val="22"/>
            <w:szCs w:val="22"/>
          </w:rPr>
          <w:t>IMplement MA Guide</w:t>
        </w:r>
      </w:hyperlink>
      <w:r w:rsidRPr="000E759D">
        <w:rPr>
          <w:rFonts w:ascii="Avenir Book" w:eastAsia="Calibri" w:hAnsi="Avenir Book" w:cs="Calibri"/>
          <w:bCs/>
          <w:sz w:val="22"/>
          <w:szCs w:val="22"/>
        </w:rPr>
        <w:t xml:space="preserve">, particularly the </w:t>
      </w:r>
      <w:r w:rsidRPr="000E759D">
        <w:rPr>
          <w:rFonts w:ascii="Avenir Heavy" w:eastAsia="Calibri" w:hAnsi="Avenir Heavy" w:cs="Calibri"/>
          <w:b/>
          <w:bCs/>
          <w:sz w:val="22"/>
          <w:szCs w:val="22"/>
        </w:rPr>
        <w:t>Launch and Implement</w:t>
      </w:r>
      <w:r w:rsidRPr="000E759D">
        <w:rPr>
          <w:rFonts w:ascii="Avenir Book" w:eastAsia="Calibri" w:hAnsi="Avenir Book" w:cs="Calibri"/>
          <w:bCs/>
          <w:sz w:val="22"/>
          <w:szCs w:val="22"/>
        </w:rPr>
        <w:t xml:space="preserve"> and </w:t>
      </w:r>
      <w:r w:rsidRPr="000E759D">
        <w:rPr>
          <w:rFonts w:ascii="Avenir Heavy" w:eastAsia="Calibri" w:hAnsi="Avenir Heavy" w:cs="Calibri"/>
          <w:b/>
          <w:bCs/>
          <w:sz w:val="22"/>
          <w:szCs w:val="22"/>
        </w:rPr>
        <w:t>Monitor</w:t>
      </w:r>
      <w:r w:rsidRPr="000E759D">
        <w:rPr>
          <w:rFonts w:ascii="Avenir Book" w:eastAsia="Calibri" w:hAnsi="Avenir Book" w:cs="Calibri"/>
          <w:bCs/>
          <w:sz w:val="22"/>
          <w:szCs w:val="22"/>
        </w:rPr>
        <w:t xml:space="preserve"> sections. We encourage you to refer to the process laid out in this guide to help ensure that your ongoing implementation of Investigating History is collaborative, well-supported, and aligned to your school or district’s instructional vision.</w:t>
      </w:r>
    </w:p>
    <w:sectPr w:rsidR="000E759D" w:rsidRPr="000E759D" w:rsidSect="00B379D1">
      <w:footerReference w:type="default" r:id="rId17"/>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494F8D" w14:textId="77777777" w:rsidR="00AF0571" w:rsidRDefault="00AF0571" w:rsidP="004C515F">
      <w:r>
        <w:separator/>
      </w:r>
    </w:p>
  </w:endnote>
  <w:endnote w:type="continuationSeparator" w:id="0">
    <w:p w14:paraId="643225FB" w14:textId="77777777" w:rsidR="00AF0571" w:rsidRDefault="00AF0571" w:rsidP="004C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9D82B5-ECED-4480-9DCA-1099122D8739}"/>
    <w:embedBold r:id="rId2" w:fontKey="{77510242-81AE-4651-9110-93C44BA52DE1}"/>
    <w:embedItalic r:id="rId3" w:fontKey="{C008F360-F85F-4C44-824F-F11D38FE5DAD}"/>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venir Heavy">
    <w:altName w:val="Calibri"/>
    <w:charset w:val="4D"/>
    <w:family w:val="swiss"/>
    <w:pitch w:val="variable"/>
    <w:sig w:usb0="800000AF" w:usb1="5000204A" w:usb2="00000000" w:usb3="00000000" w:csb0="0000009B" w:csb1="00000000"/>
  </w:font>
  <w:font w:name="Garamond">
    <w:panose1 w:val="02020404030301010803"/>
    <w:charset w:val="00"/>
    <w:family w:val="roman"/>
    <w:pitch w:val="variable"/>
    <w:sig w:usb0="00000287" w:usb1="00000000" w:usb2="00000000" w:usb3="00000000" w:csb0="0000009F" w:csb1="00000000"/>
    <w:embedRegular r:id="rId4" w:fontKey="{D11E3335-9902-46D5-9B15-65D57691BEBA}"/>
    <w:embedBold r:id="rId5" w:fontKey="{BE6E5495-8BCD-4BB5-B3F4-1B3EE9BF6F30}"/>
  </w:font>
  <w:font w:name="Georgia">
    <w:panose1 w:val="02040502050405020303"/>
    <w:charset w:val="00"/>
    <w:family w:val="roman"/>
    <w:pitch w:val="variable"/>
    <w:sig w:usb0="00000287" w:usb1="00000000" w:usb2="00000000" w:usb3="00000000" w:csb0="0000009F" w:csb1="00000000"/>
    <w:embedRegular r:id="rId6" w:fontKey="{D8CB275B-C977-4F21-B06D-A7BE4870695E}"/>
    <w:embedItalic r:id="rId7" w:fontKey="{A7ADDE47-183B-4DD9-B7DE-C50C390149CF}"/>
  </w:font>
  <w:font w:name="Avenir Next LT Pro">
    <w:charset w:val="00"/>
    <w:family w:val="swiss"/>
    <w:pitch w:val="variable"/>
    <w:sig w:usb0="800000EF" w:usb1="5000204A" w:usb2="00000000" w:usb3="00000000" w:csb0="00000093" w:csb1="00000000"/>
    <w:embedRegular r:id="rId8" w:fontKey="{0606A250-A86E-43E8-B11C-3937F8C5DA2B}"/>
  </w:font>
  <w:font w:name="Avenir">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9" w:fontKey="{8CD94FFB-A7F8-4810-8DDA-56277D1081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CBC5A" w14:textId="5E5D2105" w:rsidR="004C515F" w:rsidRPr="00F30B70" w:rsidRDefault="008A3952" w:rsidP="00F30B70">
    <w:pPr>
      <w:pStyle w:val="Footer"/>
      <w:tabs>
        <w:tab w:val="clear" w:pos="9360"/>
        <w:tab w:val="left" w:pos="90"/>
        <w:tab w:val="center" w:pos="5400"/>
        <w:tab w:val="right" w:pos="14310"/>
      </w:tabs>
      <w:rPr>
        <w:rFonts w:ascii="Avenir Book" w:hAnsi="Avenir Book"/>
        <w:sz w:val="20"/>
        <w:szCs w:val="20"/>
      </w:rPr>
    </w:pPr>
    <w:r w:rsidRPr="00F30B70">
      <w:rPr>
        <w:rFonts w:ascii="Avenir Book" w:hAnsi="Avenir Book"/>
        <w:sz w:val="20"/>
        <w:szCs w:val="20"/>
      </w:rPr>
      <w:fldChar w:fldCharType="begin"/>
    </w:r>
    <w:r w:rsidR="00275E00">
      <w:rPr>
        <w:rFonts w:ascii="Avenir Book" w:hAnsi="Avenir Book"/>
        <w:sz w:val="20"/>
        <w:szCs w:val="20"/>
      </w:rPr>
      <w:instrText xml:space="preserve"> INCLUDEPICTURE "https://massgov-my.sharepoint.com/Users/reuben/Library/Group%20Containers/UBF8T346G9.ms/WebArchiveCopyPasteTempFiles/com.microsoft.Word/ESE-Logo.png" \* MERGEFORMAT </w:instrText>
    </w:r>
    <w:r w:rsidRPr="00F30B70">
      <w:rPr>
        <w:rFonts w:ascii="Avenir Book" w:hAnsi="Avenir Book"/>
        <w:sz w:val="20"/>
        <w:szCs w:val="20"/>
      </w:rPr>
      <w:fldChar w:fldCharType="separate"/>
    </w:r>
    <w:r w:rsidRPr="00F30B70">
      <w:rPr>
        <w:rFonts w:ascii="Avenir Book" w:hAnsi="Avenir Book"/>
        <w:noProof/>
        <w:sz w:val="20"/>
        <w:szCs w:val="20"/>
      </w:rPr>
      <w:drawing>
        <wp:inline distT="0" distB="0" distL="0" distR="0" wp14:anchorId="416553C4" wp14:editId="34E92043">
          <wp:extent cx="593725" cy="246380"/>
          <wp:effectExtent l="0" t="0" r="3175" b="0"/>
          <wp:docPr id="9" name="Picture 9" descr="School and District Report Cards - Massachusetts Department of Elementary  and Second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and District Report Cards - Massachusetts Department of Elementary  and Secondary Education"/>
                  <pic:cNvPicPr>
                    <a:picLocks noChangeAspect="1" noChangeArrowheads="1"/>
                  </pic:cNvPicPr>
                </pic:nvPicPr>
                <pic:blipFill rotWithShape="1">
                  <a:blip r:embed="rId1">
                    <a:extLst>
                      <a:ext uri="{28A0092B-C50C-407E-A947-70E740481C1C}">
                        <a14:useLocalDpi xmlns:a14="http://schemas.microsoft.com/office/drawing/2010/main" val="0"/>
                      </a:ext>
                    </a:extLst>
                  </a:blip>
                  <a:srcRect r="48546" b="25226"/>
                  <a:stretch/>
                </pic:blipFill>
                <pic:spPr bwMode="auto">
                  <a:xfrm>
                    <a:off x="0" y="0"/>
                    <a:ext cx="594279" cy="246610"/>
                  </a:xfrm>
                  <a:prstGeom prst="rect">
                    <a:avLst/>
                  </a:prstGeom>
                  <a:noFill/>
                  <a:ln>
                    <a:noFill/>
                  </a:ln>
                  <a:extLst>
                    <a:ext uri="{53640926-AAD7-44D8-BBD7-CCE9431645EC}">
                      <a14:shadowObscured xmlns:a14="http://schemas.microsoft.com/office/drawing/2010/main"/>
                    </a:ext>
                  </a:extLst>
                </pic:spPr>
              </pic:pic>
            </a:graphicData>
          </a:graphic>
        </wp:inline>
      </w:drawing>
    </w:r>
    <w:r w:rsidRPr="00F30B70">
      <w:rPr>
        <w:rFonts w:ascii="Avenir Book" w:hAnsi="Avenir Book"/>
        <w:sz w:val="20"/>
        <w:szCs w:val="20"/>
      </w:rPr>
      <w:fldChar w:fldCharType="end"/>
    </w:r>
    <w:r w:rsidR="00F079BA" w:rsidRPr="00F30B70">
      <w:rPr>
        <w:rFonts w:ascii="Avenir Book" w:hAnsi="Avenir Book"/>
        <w:sz w:val="20"/>
        <w:szCs w:val="20"/>
      </w:rPr>
      <w:t xml:space="preserve">    </w:t>
    </w:r>
    <w:r w:rsidR="00856B9B" w:rsidRPr="00F30B70">
      <w:rPr>
        <w:rFonts w:ascii="Avenir Book" w:hAnsi="Avenir Book"/>
        <w:sz w:val="20"/>
        <w:szCs w:val="20"/>
      </w:rPr>
      <w:tab/>
    </w:r>
    <w:r w:rsidR="00F30B70">
      <w:rPr>
        <w:rFonts w:ascii="Avenir Book" w:hAnsi="Avenir Book"/>
        <w:sz w:val="20"/>
        <w:szCs w:val="20"/>
      </w:rPr>
      <w:tab/>
    </w:r>
    <w:r w:rsidR="002D0E66">
      <w:rPr>
        <w:rFonts w:ascii="Avenir Book" w:hAnsi="Avenir Book"/>
        <w:sz w:val="20"/>
        <w:szCs w:val="20"/>
      </w:rPr>
      <w:fldChar w:fldCharType="begin"/>
    </w:r>
    <w:r w:rsidR="002D0E66">
      <w:rPr>
        <w:rFonts w:ascii="Avenir Book" w:hAnsi="Avenir Book"/>
        <w:sz w:val="20"/>
        <w:szCs w:val="20"/>
      </w:rPr>
      <w:instrText xml:space="preserve"> PAGE  \* MERGEFORMAT </w:instrText>
    </w:r>
    <w:r w:rsidR="002D0E66">
      <w:rPr>
        <w:rFonts w:ascii="Avenir Book" w:hAnsi="Avenir Book"/>
        <w:sz w:val="20"/>
        <w:szCs w:val="20"/>
      </w:rPr>
      <w:fldChar w:fldCharType="separate"/>
    </w:r>
    <w:r w:rsidR="002D0E66">
      <w:rPr>
        <w:rFonts w:ascii="Avenir Book" w:hAnsi="Avenir Book"/>
        <w:noProof/>
        <w:sz w:val="20"/>
        <w:szCs w:val="20"/>
      </w:rPr>
      <w:t>1</w:t>
    </w:r>
    <w:r w:rsidR="002D0E66">
      <w:rPr>
        <w:rFonts w:ascii="Avenir Book" w:hAnsi="Avenir Book"/>
        <w:sz w:val="20"/>
        <w:szCs w:val="20"/>
      </w:rPr>
      <w:fldChar w:fldCharType="end"/>
    </w:r>
    <w:r w:rsidR="00856B9B" w:rsidRPr="00F30B70">
      <w:rPr>
        <w:rFonts w:ascii="Avenir Book" w:hAnsi="Avenir Book"/>
        <w:sz w:val="20"/>
        <w:szCs w:val="20"/>
      </w:rPr>
      <w:tab/>
      <w:t>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FA94B" w14:textId="77777777" w:rsidR="00AF0571" w:rsidRDefault="00AF0571" w:rsidP="004C515F">
      <w:r>
        <w:separator/>
      </w:r>
    </w:p>
  </w:footnote>
  <w:footnote w:type="continuationSeparator" w:id="0">
    <w:p w14:paraId="580E3325" w14:textId="77777777" w:rsidR="00AF0571" w:rsidRDefault="00AF0571" w:rsidP="004C51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03C7F"/>
    <w:multiLevelType w:val="multilevel"/>
    <w:tmpl w:val="09B26F9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ED5AEE"/>
    <w:multiLevelType w:val="multilevel"/>
    <w:tmpl w:val="5364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11E37"/>
    <w:multiLevelType w:val="multilevel"/>
    <w:tmpl w:val="BDF8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93070"/>
    <w:multiLevelType w:val="multilevel"/>
    <w:tmpl w:val="CE1E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862E5"/>
    <w:multiLevelType w:val="multilevel"/>
    <w:tmpl w:val="4B0C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929D0"/>
    <w:multiLevelType w:val="multilevel"/>
    <w:tmpl w:val="77E6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496C"/>
    <w:multiLevelType w:val="multilevel"/>
    <w:tmpl w:val="12687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D26AA"/>
    <w:multiLevelType w:val="multilevel"/>
    <w:tmpl w:val="F6B6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93EDA"/>
    <w:multiLevelType w:val="multilevel"/>
    <w:tmpl w:val="0026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918D5"/>
    <w:multiLevelType w:val="multilevel"/>
    <w:tmpl w:val="C6E2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740C0"/>
    <w:multiLevelType w:val="multilevel"/>
    <w:tmpl w:val="9AE0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410CDC"/>
    <w:multiLevelType w:val="multilevel"/>
    <w:tmpl w:val="1AA6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3202F"/>
    <w:multiLevelType w:val="multilevel"/>
    <w:tmpl w:val="D1E0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D463E"/>
    <w:multiLevelType w:val="multilevel"/>
    <w:tmpl w:val="F208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F2C74"/>
    <w:multiLevelType w:val="multilevel"/>
    <w:tmpl w:val="2F2A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A2222"/>
    <w:multiLevelType w:val="multilevel"/>
    <w:tmpl w:val="42D4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875844"/>
    <w:multiLevelType w:val="multilevel"/>
    <w:tmpl w:val="F156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8F01C0"/>
    <w:multiLevelType w:val="multilevel"/>
    <w:tmpl w:val="8896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1B0789"/>
    <w:multiLevelType w:val="multilevel"/>
    <w:tmpl w:val="9E50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C07C88"/>
    <w:multiLevelType w:val="multilevel"/>
    <w:tmpl w:val="EC10DCF8"/>
    <w:styleLink w:val="CurrentList1"/>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E62088"/>
    <w:multiLevelType w:val="multilevel"/>
    <w:tmpl w:val="AAB8E56A"/>
    <w:lvl w:ilvl="0">
      <w:start w:val="1"/>
      <w:numFmt w:val="decimal"/>
      <w:pStyle w:val="LessonList"/>
      <w:lvlText w:val="L %1."/>
      <w:lvlJc w:val="left"/>
      <w:pPr>
        <w:ind w:left="720" w:hanging="360"/>
      </w:pPr>
      <w:rPr>
        <w:rFonts w:hint="default"/>
        <w:b/>
        <w:bCs/>
        <w:i w:val="0"/>
        <w:iCs w:val="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21" w15:restartNumberingAfterBreak="0">
    <w:nsid w:val="5DA7222C"/>
    <w:multiLevelType w:val="multilevel"/>
    <w:tmpl w:val="712E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55277"/>
    <w:multiLevelType w:val="multilevel"/>
    <w:tmpl w:val="C4AC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8968CC"/>
    <w:multiLevelType w:val="multilevel"/>
    <w:tmpl w:val="560C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3B5AD3"/>
    <w:multiLevelType w:val="multilevel"/>
    <w:tmpl w:val="12DA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83929"/>
    <w:multiLevelType w:val="multilevel"/>
    <w:tmpl w:val="4022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2E2262"/>
    <w:multiLevelType w:val="multilevel"/>
    <w:tmpl w:val="8046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F800C1"/>
    <w:multiLevelType w:val="multilevel"/>
    <w:tmpl w:val="262A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19"/>
  </w:num>
  <w:num w:numId="4">
    <w:abstractNumId w:val="23"/>
  </w:num>
  <w:num w:numId="5">
    <w:abstractNumId w:val="10"/>
  </w:num>
  <w:num w:numId="6">
    <w:abstractNumId w:val="21"/>
  </w:num>
  <w:num w:numId="7">
    <w:abstractNumId w:val="4"/>
  </w:num>
  <w:num w:numId="8">
    <w:abstractNumId w:val="26"/>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7"/>
  </w:num>
  <w:num w:numId="12">
    <w:abstractNumId w:val="1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9"/>
  </w:num>
  <w:num w:numId="19">
    <w:abstractNumId w:val="14"/>
  </w:num>
  <w:num w:numId="20">
    <w:abstractNumId w:val="1"/>
  </w:num>
  <w:num w:numId="21">
    <w:abstractNumId w:val="7"/>
  </w:num>
  <w:num w:numId="22">
    <w:abstractNumId w:val="16"/>
  </w:num>
  <w:num w:numId="23">
    <w:abstractNumId w:val="2"/>
  </w:num>
  <w:num w:numId="24">
    <w:abstractNumId w:val="22"/>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num>
  <w:num w:numId="33">
    <w:abstractNumId w:val="6"/>
  </w:num>
  <w:num w:numId="34">
    <w:abstractNumId w:val="18"/>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D5"/>
    <w:rsid w:val="00013359"/>
    <w:rsid w:val="000158B8"/>
    <w:rsid w:val="00062D66"/>
    <w:rsid w:val="00070DC1"/>
    <w:rsid w:val="000B416C"/>
    <w:rsid w:val="000E759D"/>
    <w:rsid w:val="00121E90"/>
    <w:rsid w:val="001B6F2C"/>
    <w:rsid w:val="001E5E4E"/>
    <w:rsid w:val="0020574E"/>
    <w:rsid w:val="00244CB6"/>
    <w:rsid w:val="00275E00"/>
    <w:rsid w:val="002D0E66"/>
    <w:rsid w:val="002E6CD5"/>
    <w:rsid w:val="00336836"/>
    <w:rsid w:val="003C4FE9"/>
    <w:rsid w:val="003D1B14"/>
    <w:rsid w:val="003D5783"/>
    <w:rsid w:val="00403049"/>
    <w:rsid w:val="004046C5"/>
    <w:rsid w:val="00424E8D"/>
    <w:rsid w:val="004416AD"/>
    <w:rsid w:val="00476942"/>
    <w:rsid w:val="00477298"/>
    <w:rsid w:val="004C35C3"/>
    <w:rsid w:val="004C515F"/>
    <w:rsid w:val="004D449D"/>
    <w:rsid w:val="005166C3"/>
    <w:rsid w:val="005361D5"/>
    <w:rsid w:val="00537EB9"/>
    <w:rsid w:val="005B707A"/>
    <w:rsid w:val="005E2698"/>
    <w:rsid w:val="0060110D"/>
    <w:rsid w:val="00637B4C"/>
    <w:rsid w:val="00661C48"/>
    <w:rsid w:val="00675C33"/>
    <w:rsid w:val="006C4446"/>
    <w:rsid w:val="00733874"/>
    <w:rsid w:val="007628A5"/>
    <w:rsid w:val="007933F1"/>
    <w:rsid w:val="00796AF0"/>
    <w:rsid w:val="007B4EBE"/>
    <w:rsid w:val="00832758"/>
    <w:rsid w:val="00841D17"/>
    <w:rsid w:val="00851490"/>
    <w:rsid w:val="0085623E"/>
    <w:rsid w:val="00856B9B"/>
    <w:rsid w:val="00856BE2"/>
    <w:rsid w:val="008A3952"/>
    <w:rsid w:val="008C0064"/>
    <w:rsid w:val="008C3633"/>
    <w:rsid w:val="008F1528"/>
    <w:rsid w:val="00944C51"/>
    <w:rsid w:val="0098710D"/>
    <w:rsid w:val="00A27BDD"/>
    <w:rsid w:val="00A54F3E"/>
    <w:rsid w:val="00A63AE9"/>
    <w:rsid w:val="00AE04FB"/>
    <w:rsid w:val="00AF0571"/>
    <w:rsid w:val="00B13D13"/>
    <w:rsid w:val="00B379D1"/>
    <w:rsid w:val="00B53EEA"/>
    <w:rsid w:val="00B711BF"/>
    <w:rsid w:val="00C22F5F"/>
    <w:rsid w:val="00C269FF"/>
    <w:rsid w:val="00C70D03"/>
    <w:rsid w:val="00C90EFD"/>
    <w:rsid w:val="00CB2532"/>
    <w:rsid w:val="00CC57DC"/>
    <w:rsid w:val="00CF4591"/>
    <w:rsid w:val="00D26897"/>
    <w:rsid w:val="00D96BAF"/>
    <w:rsid w:val="00E14382"/>
    <w:rsid w:val="00ED181D"/>
    <w:rsid w:val="00EE536F"/>
    <w:rsid w:val="00F079BA"/>
    <w:rsid w:val="00F30B70"/>
    <w:rsid w:val="00F30DF6"/>
    <w:rsid w:val="00F43BE5"/>
    <w:rsid w:val="00F86D5D"/>
    <w:rsid w:val="00FA6696"/>
    <w:rsid w:val="00FA7C22"/>
    <w:rsid w:val="00FC1D31"/>
    <w:rsid w:val="00FC7234"/>
    <w:rsid w:val="00FD5C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28E4D7"/>
  <w15:docId w15:val="{A7AFF9EE-C3D2-ED4F-AC85-B37438B04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59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384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4876"/>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384876"/>
    <w:rPr>
      <w:rFonts w:eastAsiaTheme="minorHAnsi"/>
    </w:rPr>
  </w:style>
  <w:style w:type="paragraph" w:customStyle="1" w:styleId="ClusterHeader">
    <w:name w:val="Cluster Header"/>
    <w:basedOn w:val="Normal"/>
    <w:link w:val="ClusterHeaderChar"/>
    <w:qFormat/>
    <w:rsid w:val="0085623E"/>
    <w:pPr>
      <w:shd w:val="clear" w:color="auto" w:fill="FECD85"/>
    </w:pPr>
    <w:rPr>
      <w:rFonts w:ascii="Avenir Book" w:eastAsia="Calibri" w:hAnsi="Avenir Book" w:cs="Calibri"/>
      <w:sz w:val="20"/>
      <w:szCs w:val="20"/>
    </w:rPr>
  </w:style>
  <w:style w:type="paragraph" w:customStyle="1" w:styleId="ThroughlineHeader">
    <w:name w:val="Throughline Header"/>
    <w:basedOn w:val="Normal"/>
    <w:qFormat/>
    <w:rsid w:val="0085623E"/>
    <w:pPr>
      <w:shd w:val="clear" w:color="auto" w:fill="A2D8CB"/>
      <w:jc w:val="center"/>
    </w:pPr>
    <w:rPr>
      <w:rFonts w:ascii="Avenir Heavy" w:eastAsia="Calibri" w:hAnsi="Avenir Heavy" w:cs="Calibri"/>
      <w:b/>
      <w:bCs/>
      <w:sz w:val="18"/>
      <w:szCs w:val="18"/>
    </w:rPr>
  </w:style>
  <w:style w:type="paragraph" w:customStyle="1" w:styleId="SupportingQuestion">
    <w:name w:val="Supporting Question"/>
    <w:basedOn w:val="Normal"/>
    <w:qFormat/>
    <w:rsid w:val="0085623E"/>
    <w:pPr>
      <w:pBdr>
        <w:top w:val="nil"/>
        <w:left w:val="nil"/>
        <w:bottom w:val="nil"/>
        <w:right w:val="nil"/>
        <w:between w:val="nil"/>
      </w:pBdr>
    </w:pPr>
    <w:rPr>
      <w:rFonts w:ascii="Garamond" w:eastAsia="Calibri" w:hAnsi="Garamond" w:cs="Calibri"/>
      <w:b/>
      <w:iCs/>
    </w:rPr>
  </w:style>
  <w:style w:type="paragraph" w:styleId="Header">
    <w:name w:val="header"/>
    <w:basedOn w:val="Normal"/>
    <w:link w:val="HeaderChar"/>
    <w:uiPriority w:val="99"/>
    <w:unhideWhenUsed/>
    <w:rsid w:val="0090301F"/>
    <w:pPr>
      <w:tabs>
        <w:tab w:val="center" w:pos="4680"/>
        <w:tab w:val="right" w:pos="9360"/>
      </w:tabs>
    </w:pPr>
  </w:style>
  <w:style w:type="character" w:customStyle="1" w:styleId="HeaderChar">
    <w:name w:val="Header Char"/>
    <w:basedOn w:val="DefaultParagraphFont"/>
    <w:link w:val="Header"/>
    <w:uiPriority w:val="99"/>
    <w:rsid w:val="0090301F"/>
    <w:rPr>
      <w:rFonts w:ascii="Times New Roman" w:eastAsia="Times New Roman" w:hAnsi="Times New Roman" w:cs="Times New Roman"/>
    </w:rPr>
  </w:style>
  <w:style w:type="paragraph" w:styleId="Footer">
    <w:name w:val="footer"/>
    <w:basedOn w:val="Normal"/>
    <w:link w:val="FooterChar"/>
    <w:uiPriority w:val="99"/>
    <w:unhideWhenUsed/>
    <w:rsid w:val="0090301F"/>
    <w:pPr>
      <w:tabs>
        <w:tab w:val="center" w:pos="4680"/>
        <w:tab w:val="right" w:pos="9360"/>
      </w:tabs>
    </w:pPr>
  </w:style>
  <w:style w:type="character" w:customStyle="1" w:styleId="FooterChar">
    <w:name w:val="Footer Char"/>
    <w:basedOn w:val="DefaultParagraphFont"/>
    <w:link w:val="Footer"/>
    <w:uiPriority w:val="99"/>
    <w:rsid w:val="0090301F"/>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8" w:type="dxa"/>
        <w:bottom w:w="58" w:type="dxa"/>
      </w:tblCellMar>
    </w:tblPr>
  </w:style>
  <w:style w:type="table" w:customStyle="1" w:styleId="a0">
    <w:basedOn w:val="TableNormal"/>
    <w:tblPr>
      <w:tblStyleRowBandSize w:val="1"/>
      <w:tblStyleColBandSize w:val="1"/>
      <w:tblCellMar>
        <w:top w:w="58" w:type="dxa"/>
        <w:bottom w:w="58" w:type="dxa"/>
      </w:tblCellMar>
    </w:tblPr>
  </w:style>
  <w:style w:type="table" w:customStyle="1" w:styleId="a1">
    <w:basedOn w:val="TableNormal"/>
    <w:tblPr>
      <w:tblStyleRowBandSize w:val="1"/>
      <w:tblStyleColBandSize w:val="1"/>
      <w:tblCellMar>
        <w:top w:w="58" w:type="dxa"/>
        <w:bottom w:w="58" w:type="dxa"/>
      </w:tblCellMar>
    </w:tblPr>
  </w:style>
  <w:style w:type="paragraph" w:customStyle="1" w:styleId="MainHeading">
    <w:name w:val="Main Heading"/>
    <w:basedOn w:val="Normal"/>
    <w:qFormat/>
    <w:rsid w:val="001E5E4E"/>
    <w:pPr>
      <w:spacing w:after="120"/>
    </w:pPr>
    <w:rPr>
      <w:rFonts w:ascii="Garamond" w:eastAsiaTheme="minorHAnsi" w:hAnsi="Garamond" w:cstheme="minorBidi"/>
      <w:b/>
      <w:bCs/>
      <w:color w:val="FAA529"/>
      <w:sz w:val="36"/>
      <w:szCs w:val="36"/>
    </w:rPr>
  </w:style>
  <w:style w:type="paragraph" w:customStyle="1" w:styleId="ExplanationText">
    <w:name w:val="Explanation Text"/>
    <w:basedOn w:val="Normal"/>
    <w:next w:val="Normal"/>
    <w:link w:val="ExplanationTextChar"/>
    <w:qFormat/>
    <w:rsid w:val="001E5E4E"/>
    <w:pPr>
      <w:spacing w:after="120"/>
    </w:pPr>
    <w:rPr>
      <w:rFonts w:ascii="Avenir Next LT Pro" w:eastAsiaTheme="minorHAnsi" w:hAnsi="Avenir Next LT Pro" w:cstheme="minorBidi"/>
      <w:iCs/>
      <w:color w:val="8A9B9A"/>
      <w:sz w:val="20"/>
      <w:szCs w:val="22"/>
    </w:rPr>
  </w:style>
  <w:style w:type="character" w:customStyle="1" w:styleId="ExplanationTextChar">
    <w:name w:val="Explanation Text Char"/>
    <w:basedOn w:val="DefaultParagraphFont"/>
    <w:link w:val="ExplanationText"/>
    <w:rsid w:val="001E5E4E"/>
    <w:rPr>
      <w:rFonts w:ascii="Avenir Next LT Pro" w:eastAsiaTheme="minorHAnsi" w:hAnsi="Avenir Next LT Pro" w:cstheme="minorBidi"/>
      <w:iCs/>
      <w:color w:val="8A9B9A"/>
      <w:sz w:val="20"/>
      <w:szCs w:val="22"/>
    </w:rPr>
  </w:style>
  <w:style w:type="numbering" w:customStyle="1" w:styleId="CurrentList1">
    <w:name w:val="Current List1"/>
    <w:uiPriority w:val="99"/>
    <w:rsid w:val="0085623E"/>
    <w:pPr>
      <w:numPr>
        <w:numId w:val="3"/>
      </w:numPr>
    </w:pPr>
  </w:style>
  <w:style w:type="paragraph" w:customStyle="1" w:styleId="ClusterTitle">
    <w:name w:val="Cluster Title"/>
    <w:basedOn w:val="ClusterHeader"/>
    <w:link w:val="ClusterTitleChar"/>
    <w:qFormat/>
    <w:rsid w:val="0085623E"/>
    <w:rPr>
      <w:rFonts w:ascii="Avenir Heavy" w:hAnsi="Avenir Heavy"/>
      <w:bCs/>
    </w:rPr>
  </w:style>
  <w:style w:type="paragraph" w:customStyle="1" w:styleId="LessonList">
    <w:name w:val="Lesson List"/>
    <w:basedOn w:val="Normal"/>
    <w:qFormat/>
    <w:rsid w:val="0085623E"/>
    <w:pPr>
      <w:numPr>
        <w:numId w:val="2"/>
      </w:numPr>
      <w:pBdr>
        <w:top w:val="nil"/>
        <w:left w:val="nil"/>
        <w:bottom w:val="nil"/>
        <w:right w:val="nil"/>
        <w:between w:val="nil"/>
      </w:pBdr>
    </w:pPr>
    <w:rPr>
      <w:rFonts w:ascii="Avenir Book" w:eastAsia="Calibri" w:hAnsi="Avenir Book" w:cs="Calibri"/>
      <w:color w:val="000000"/>
      <w:sz w:val="20"/>
      <w:szCs w:val="20"/>
    </w:rPr>
  </w:style>
  <w:style w:type="character" w:customStyle="1" w:styleId="ClusterHeaderChar">
    <w:name w:val="Cluster Header Char"/>
    <w:basedOn w:val="DefaultParagraphFont"/>
    <w:link w:val="ClusterHeader"/>
    <w:rsid w:val="0085623E"/>
    <w:rPr>
      <w:rFonts w:ascii="Avenir Book" w:eastAsia="Calibri" w:hAnsi="Avenir Book" w:cs="Calibri"/>
      <w:sz w:val="20"/>
      <w:szCs w:val="20"/>
      <w:shd w:val="clear" w:color="auto" w:fill="FECD85"/>
    </w:rPr>
  </w:style>
  <w:style w:type="character" w:customStyle="1" w:styleId="ClusterTitleChar">
    <w:name w:val="Cluster Title Char"/>
    <w:basedOn w:val="ClusterHeaderChar"/>
    <w:link w:val="ClusterTitle"/>
    <w:rsid w:val="0085623E"/>
    <w:rPr>
      <w:rFonts w:ascii="Avenir Heavy" w:eastAsia="Calibri" w:hAnsi="Avenir Heavy" w:cs="Calibri"/>
      <w:bCs/>
      <w:sz w:val="20"/>
      <w:szCs w:val="20"/>
      <w:shd w:val="clear" w:color="auto" w:fill="FECD85"/>
    </w:rPr>
  </w:style>
  <w:style w:type="character" w:styleId="Hyperlink">
    <w:name w:val="Hyperlink"/>
    <w:basedOn w:val="DefaultParagraphFont"/>
    <w:uiPriority w:val="99"/>
    <w:unhideWhenUsed/>
    <w:rsid w:val="000E759D"/>
    <w:rPr>
      <w:color w:val="0563C1" w:themeColor="hyperlink"/>
      <w:u w:val="single"/>
    </w:rPr>
  </w:style>
  <w:style w:type="character" w:styleId="UnresolvedMention">
    <w:name w:val="Unresolved Mention"/>
    <w:basedOn w:val="DefaultParagraphFont"/>
    <w:uiPriority w:val="99"/>
    <w:semiHidden/>
    <w:unhideWhenUsed/>
    <w:rsid w:val="000E7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87165">
      <w:bodyDiv w:val="1"/>
      <w:marLeft w:val="0"/>
      <w:marRight w:val="0"/>
      <w:marTop w:val="0"/>
      <w:marBottom w:val="0"/>
      <w:divBdr>
        <w:top w:val="none" w:sz="0" w:space="0" w:color="auto"/>
        <w:left w:val="none" w:sz="0" w:space="0" w:color="auto"/>
        <w:bottom w:val="none" w:sz="0" w:space="0" w:color="auto"/>
        <w:right w:val="none" w:sz="0" w:space="0" w:color="auto"/>
      </w:divBdr>
    </w:div>
    <w:div w:id="77598430">
      <w:bodyDiv w:val="1"/>
      <w:marLeft w:val="0"/>
      <w:marRight w:val="0"/>
      <w:marTop w:val="0"/>
      <w:marBottom w:val="0"/>
      <w:divBdr>
        <w:top w:val="none" w:sz="0" w:space="0" w:color="auto"/>
        <w:left w:val="none" w:sz="0" w:space="0" w:color="auto"/>
        <w:bottom w:val="none" w:sz="0" w:space="0" w:color="auto"/>
        <w:right w:val="none" w:sz="0" w:space="0" w:color="auto"/>
      </w:divBdr>
    </w:div>
    <w:div w:id="96368586">
      <w:bodyDiv w:val="1"/>
      <w:marLeft w:val="0"/>
      <w:marRight w:val="0"/>
      <w:marTop w:val="0"/>
      <w:marBottom w:val="0"/>
      <w:divBdr>
        <w:top w:val="none" w:sz="0" w:space="0" w:color="auto"/>
        <w:left w:val="none" w:sz="0" w:space="0" w:color="auto"/>
        <w:bottom w:val="none" w:sz="0" w:space="0" w:color="auto"/>
        <w:right w:val="none" w:sz="0" w:space="0" w:color="auto"/>
      </w:divBdr>
    </w:div>
    <w:div w:id="180703944">
      <w:bodyDiv w:val="1"/>
      <w:marLeft w:val="0"/>
      <w:marRight w:val="0"/>
      <w:marTop w:val="0"/>
      <w:marBottom w:val="0"/>
      <w:divBdr>
        <w:top w:val="none" w:sz="0" w:space="0" w:color="auto"/>
        <w:left w:val="none" w:sz="0" w:space="0" w:color="auto"/>
        <w:bottom w:val="none" w:sz="0" w:space="0" w:color="auto"/>
        <w:right w:val="none" w:sz="0" w:space="0" w:color="auto"/>
      </w:divBdr>
    </w:div>
    <w:div w:id="189925562">
      <w:bodyDiv w:val="1"/>
      <w:marLeft w:val="0"/>
      <w:marRight w:val="0"/>
      <w:marTop w:val="0"/>
      <w:marBottom w:val="0"/>
      <w:divBdr>
        <w:top w:val="none" w:sz="0" w:space="0" w:color="auto"/>
        <w:left w:val="none" w:sz="0" w:space="0" w:color="auto"/>
        <w:bottom w:val="none" w:sz="0" w:space="0" w:color="auto"/>
        <w:right w:val="none" w:sz="0" w:space="0" w:color="auto"/>
      </w:divBdr>
    </w:div>
    <w:div w:id="195116913">
      <w:bodyDiv w:val="1"/>
      <w:marLeft w:val="0"/>
      <w:marRight w:val="0"/>
      <w:marTop w:val="0"/>
      <w:marBottom w:val="0"/>
      <w:divBdr>
        <w:top w:val="none" w:sz="0" w:space="0" w:color="auto"/>
        <w:left w:val="none" w:sz="0" w:space="0" w:color="auto"/>
        <w:bottom w:val="none" w:sz="0" w:space="0" w:color="auto"/>
        <w:right w:val="none" w:sz="0" w:space="0" w:color="auto"/>
      </w:divBdr>
    </w:div>
    <w:div w:id="219947013">
      <w:bodyDiv w:val="1"/>
      <w:marLeft w:val="0"/>
      <w:marRight w:val="0"/>
      <w:marTop w:val="0"/>
      <w:marBottom w:val="0"/>
      <w:divBdr>
        <w:top w:val="none" w:sz="0" w:space="0" w:color="auto"/>
        <w:left w:val="none" w:sz="0" w:space="0" w:color="auto"/>
        <w:bottom w:val="none" w:sz="0" w:space="0" w:color="auto"/>
        <w:right w:val="none" w:sz="0" w:space="0" w:color="auto"/>
      </w:divBdr>
    </w:div>
    <w:div w:id="230236160">
      <w:bodyDiv w:val="1"/>
      <w:marLeft w:val="0"/>
      <w:marRight w:val="0"/>
      <w:marTop w:val="0"/>
      <w:marBottom w:val="0"/>
      <w:divBdr>
        <w:top w:val="none" w:sz="0" w:space="0" w:color="auto"/>
        <w:left w:val="none" w:sz="0" w:space="0" w:color="auto"/>
        <w:bottom w:val="none" w:sz="0" w:space="0" w:color="auto"/>
        <w:right w:val="none" w:sz="0" w:space="0" w:color="auto"/>
      </w:divBdr>
    </w:div>
    <w:div w:id="286204965">
      <w:bodyDiv w:val="1"/>
      <w:marLeft w:val="0"/>
      <w:marRight w:val="0"/>
      <w:marTop w:val="0"/>
      <w:marBottom w:val="0"/>
      <w:divBdr>
        <w:top w:val="none" w:sz="0" w:space="0" w:color="auto"/>
        <w:left w:val="none" w:sz="0" w:space="0" w:color="auto"/>
        <w:bottom w:val="none" w:sz="0" w:space="0" w:color="auto"/>
        <w:right w:val="none" w:sz="0" w:space="0" w:color="auto"/>
      </w:divBdr>
    </w:div>
    <w:div w:id="389698323">
      <w:bodyDiv w:val="1"/>
      <w:marLeft w:val="0"/>
      <w:marRight w:val="0"/>
      <w:marTop w:val="0"/>
      <w:marBottom w:val="0"/>
      <w:divBdr>
        <w:top w:val="none" w:sz="0" w:space="0" w:color="auto"/>
        <w:left w:val="none" w:sz="0" w:space="0" w:color="auto"/>
        <w:bottom w:val="none" w:sz="0" w:space="0" w:color="auto"/>
        <w:right w:val="none" w:sz="0" w:space="0" w:color="auto"/>
      </w:divBdr>
    </w:div>
    <w:div w:id="475612527">
      <w:bodyDiv w:val="1"/>
      <w:marLeft w:val="0"/>
      <w:marRight w:val="0"/>
      <w:marTop w:val="0"/>
      <w:marBottom w:val="0"/>
      <w:divBdr>
        <w:top w:val="none" w:sz="0" w:space="0" w:color="auto"/>
        <w:left w:val="none" w:sz="0" w:space="0" w:color="auto"/>
        <w:bottom w:val="none" w:sz="0" w:space="0" w:color="auto"/>
        <w:right w:val="none" w:sz="0" w:space="0" w:color="auto"/>
      </w:divBdr>
    </w:div>
    <w:div w:id="518809834">
      <w:bodyDiv w:val="1"/>
      <w:marLeft w:val="0"/>
      <w:marRight w:val="0"/>
      <w:marTop w:val="0"/>
      <w:marBottom w:val="0"/>
      <w:divBdr>
        <w:top w:val="none" w:sz="0" w:space="0" w:color="auto"/>
        <w:left w:val="none" w:sz="0" w:space="0" w:color="auto"/>
        <w:bottom w:val="none" w:sz="0" w:space="0" w:color="auto"/>
        <w:right w:val="none" w:sz="0" w:space="0" w:color="auto"/>
      </w:divBdr>
    </w:div>
    <w:div w:id="598414803">
      <w:bodyDiv w:val="1"/>
      <w:marLeft w:val="0"/>
      <w:marRight w:val="0"/>
      <w:marTop w:val="0"/>
      <w:marBottom w:val="0"/>
      <w:divBdr>
        <w:top w:val="none" w:sz="0" w:space="0" w:color="auto"/>
        <w:left w:val="none" w:sz="0" w:space="0" w:color="auto"/>
        <w:bottom w:val="none" w:sz="0" w:space="0" w:color="auto"/>
        <w:right w:val="none" w:sz="0" w:space="0" w:color="auto"/>
      </w:divBdr>
    </w:div>
    <w:div w:id="692221820">
      <w:bodyDiv w:val="1"/>
      <w:marLeft w:val="0"/>
      <w:marRight w:val="0"/>
      <w:marTop w:val="0"/>
      <w:marBottom w:val="0"/>
      <w:divBdr>
        <w:top w:val="none" w:sz="0" w:space="0" w:color="auto"/>
        <w:left w:val="none" w:sz="0" w:space="0" w:color="auto"/>
        <w:bottom w:val="none" w:sz="0" w:space="0" w:color="auto"/>
        <w:right w:val="none" w:sz="0" w:space="0" w:color="auto"/>
      </w:divBdr>
    </w:div>
    <w:div w:id="693849820">
      <w:bodyDiv w:val="1"/>
      <w:marLeft w:val="0"/>
      <w:marRight w:val="0"/>
      <w:marTop w:val="0"/>
      <w:marBottom w:val="0"/>
      <w:divBdr>
        <w:top w:val="none" w:sz="0" w:space="0" w:color="auto"/>
        <w:left w:val="none" w:sz="0" w:space="0" w:color="auto"/>
        <w:bottom w:val="none" w:sz="0" w:space="0" w:color="auto"/>
        <w:right w:val="none" w:sz="0" w:space="0" w:color="auto"/>
      </w:divBdr>
    </w:div>
    <w:div w:id="703215642">
      <w:bodyDiv w:val="1"/>
      <w:marLeft w:val="0"/>
      <w:marRight w:val="0"/>
      <w:marTop w:val="0"/>
      <w:marBottom w:val="0"/>
      <w:divBdr>
        <w:top w:val="none" w:sz="0" w:space="0" w:color="auto"/>
        <w:left w:val="none" w:sz="0" w:space="0" w:color="auto"/>
        <w:bottom w:val="none" w:sz="0" w:space="0" w:color="auto"/>
        <w:right w:val="none" w:sz="0" w:space="0" w:color="auto"/>
      </w:divBdr>
    </w:div>
    <w:div w:id="895892206">
      <w:bodyDiv w:val="1"/>
      <w:marLeft w:val="0"/>
      <w:marRight w:val="0"/>
      <w:marTop w:val="0"/>
      <w:marBottom w:val="0"/>
      <w:divBdr>
        <w:top w:val="none" w:sz="0" w:space="0" w:color="auto"/>
        <w:left w:val="none" w:sz="0" w:space="0" w:color="auto"/>
        <w:bottom w:val="none" w:sz="0" w:space="0" w:color="auto"/>
        <w:right w:val="none" w:sz="0" w:space="0" w:color="auto"/>
      </w:divBdr>
    </w:div>
    <w:div w:id="921521800">
      <w:bodyDiv w:val="1"/>
      <w:marLeft w:val="0"/>
      <w:marRight w:val="0"/>
      <w:marTop w:val="0"/>
      <w:marBottom w:val="0"/>
      <w:divBdr>
        <w:top w:val="none" w:sz="0" w:space="0" w:color="auto"/>
        <w:left w:val="none" w:sz="0" w:space="0" w:color="auto"/>
        <w:bottom w:val="none" w:sz="0" w:space="0" w:color="auto"/>
        <w:right w:val="none" w:sz="0" w:space="0" w:color="auto"/>
      </w:divBdr>
    </w:div>
    <w:div w:id="928121536">
      <w:bodyDiv w:val="1"/>
      <w:marLeft w:val="0"/>
      <w:marRight w:val="0"/>
      <w:marTop w:val="0"/>
      <w:marBottom w:val="0"/>
      <w:divBdr>
        <w:top w:val="none" w:sz="0" w:space="0" w:color="auto"/>
        <w:left w:val="none" w:sz="0" w:space="0" w:color="auto"/>
        <w:bottom w:val="none" w:sz="0" w:space="0" w:color="auto"/>
        <w:right w:val="none" w:sz="0" w:space="0" w:color="auto"/>
      </w:divBdr>
    </w:div>
    <w:div w:id="929699999">
      <w:bodyDiv w:val="1"/>
      <w:marLeft w:val="0"/>
      <w:marRight w:val="0"/>
      <w:marTop w:val="0"/>
      <w:marBottom w:val="0"/>
      <w:divBdr>
        <w:top w:val="none" w:sz="0" w:space="0" w:color="auto"/>
        <w:left w:val="none" w:sz="0" w:space="0" w:color="auto"/>
        <w:bottom w:val="none" w:sz="0" w:space="0" w:color="auto"/>
        <w:right w:val="none" w:sz="0" w:space="0" w:color="auto"/>
      </w:divBdr>
    </w:div>
    <w:div w:id="935358981">
      <w:bodyDiv w:val="1"/>
      <w:marLeft w:val="0"/>
      <w:marRight w:val="0"/>
      <w:marTop w:val="0"/>
      <w:marBottom w:val="0"/>
      <w:divBdr>
        <w:top w:val="none" w:sz="0" w:space="0" w:color="auto"/>
        <w:left w:val="none" w:sz="0" w:space="0" w:color="auto"/>
        <w:bottom w:val="none" w:sz="0" w:space="0" w:color="auto"/>
        <w:right w:val="none" w:sz="0" w:space="0" w:color="auto"/>
      </w:divBdr>
    </w:div>
    <w:div w:id="939141571">
      <w:bodyDiv w:val="1"/>
      <w:marLeft w:val="0"/>
      <w:marRight w:val="0"/>
      <w:marTop w:val="0"/>
      <w:marBottom w:val="0"/>
      <w:divBdr>
        <w:top w:val="none" w:sz="0" w:space="0" w:color="auto"/>
        <w:left w:val="none" w:sz="0" w:space="0" w:color="auto"/>
        <w:bottom w:val="none" w:sz="0" w:space="0" w:color="auto"/>
        <w:right w:val="none" w:sz="0" w:space="0" w:color="auto"/>
      </w:divBdr>
    </w:div>
    <w:div w:id="952787126">
      <w:bodyDiv w:val="1"/>
      <w:marLeft w:val="0"/>
      <w:marRight w:val="0"/>
      <w:marTop w:val="0"/>
      <w:marBottom w:val="0"/>
      <w:divBdr>
        <w:top w:val="none" w:sz="0" w:space="0" w:color="auto"/>
        <w:left w:val="none" w:sz="0" w:space="0" w:color="auto"/>
        <w:bottom w:val="none" w:sz="0" w:space="0" w:color="auto"/>
        <w:right w:val="none" w:sz="0" w:space="0" w:color="auto"/>
      </w:divBdr>
    </w:div>
    <w:div w:id="963853609">
      <w:bodyDiv w:val="1"/>
      <w:marLeft w:val="0"/>
      <w:marRight w:val="0"/>
      <w:marTop w:val="0"/>
      <w:marBottom w:val="0"/>
      <w:divBdr>
        <w:top w:val="none" w:sz="0" w:space="0" w:color="auto"/>
        <w:left w:val="none" w:sz="0" w:space="0" w:color="auto"/>
        <w:bottom w:val="none" w:sz="0" w:space="0" w:color="auto"/>
        <w:right w:val="none" w:sz="0" w:space="0" w:color="auto"/>
      </w:divBdr>
    </w:div>
    <w:div w:id="1089305522">
      <w:bodyDiv w:val="1"/>
      <w:marLeft w:val="0"/>
      <w:marRight w:val="0"/>
      <w:marTop w:val="0"/>
      <w:marBottom w:val="0"/>
      <w:divBdr>
        <w:top w:val="none" w:sz="0" w:space="0" w:color="auto"/>
        <w:left w:val="none" w:sz="0" w:space="0" w:color="auto"/>
        <w:bottom w:val="none" w:sz="0" w:space="0" w:color="auto"/>
        <w:right w:val="none" w:sz="0" w:space="0" w:color="auto"/>
      </w:divBdr>
    </w:div>
    <w:div w:id="1098255991">
      <w:bodyDiv w:val="1"/>
      <w:marLeft w:val="0"/>
      <w:marRight w:val="0"/>
      <w:marTop w:val="0"/>
      <w:marBottom w:val="0"/>
      <w:divBdr>
        <w:top w:val="none" w:sz="0" w:space="0" w:color="auto"/>
        <w:left w:val="none" w:sz="0" w:space="0" w:color="auto"/>
        <w:bottom w:val="none" w:sz="0" w:space="0" w:color="auto"/>
        <w:right w:val="none" w:sz="0" w:space="0" w:color="auto"/>
      </w:divBdr>
    </w:div>
    <w:div w:id="1102146745">
      <w:bodyDiv w:val="1"/>
      <w:marLeft w:val="0"/>
      <w:marRight w:val="0"/>
      <w:marTop w:val="0"/>
      <w:marBottom w:val="0"/>
      <w:divBdr>
        <w:top w:val="none" w:sz="0" w:space="0" w:color="auto"/>
        <w:left w:val="none" w:sz="0" w:space="0" w:color="auto"/>
        <w:bottom w:val="none" w:sz="0" w:space="0" w:color="auto"/>
        <w:right w:val="none" w:sz="0" w:space="0" w:color="auto"/>
      </w:divBdr>
    </w:div>
    <w:div w:id="1134104610">
      <w:bodyDiv w:val="1"/>
      <w:marLeft w:val="0"/>
      <w:marRight w:val="0"/>
      <w:marTop w:val="0"/>
      <w:marBottom w:val="0"/>
      <w:divBdr>
        <w:top w:val="none" w:sz="0" w:space="0" w:color="auto"/>
        <w:left w:val="none" w:sz="0" w:space="0" w:color="auto"/>
        <w:bottom w:val="none" w:sz="0" w:space="0" w:color="auto"/>
        <w:right w:val="none" w:sz="0" w:space="0" w:color="auto"/>
      </w:divBdr>
    </w:div>
    <w:div w:id="1137720511">
      <w:bodyDiv w:val="1"/>
      <w:marLeft w:val="0"/>
      <w:marRight w:val="0"/>
      <w:marTop w:val="0"/>
      <w:marBottom w:val="0"/>
      <w:divBdr>
        <w:top w:val="none" w:sz="0" w:space="0" w:color="auto"/>
        <w:left w:val="none" w:sz="0" w:space="0" w:color="auto"/>
        <w:bottom w:val="none" w:sz="0" w:space="0" w:color="auto"/>
        <w:right w:val="none" w:sz="0" w:space="0" w:color="auto"/>
      </w:divBdr>
    </w:div>
    <w:div w:id="1144742047">
      <w:bodyDiv w:val="1"/>
      <w:marLeft w:val="0"/>
      <w:marRight w:val="0"/>
      <w:marTop w:val="0"/>
      <w:marBottom w:val="0"/>
      <w:divBdr>
        <w:top w:val="none" w:sz="0" w:space="0" w:color="auto"/>
        <w:left w:val="none" w:sz="0" w:space="0" w:color="auto"/>
        <w:bottom w:val="none" w:sz="0" w:space="0" w:color="auto"/>
        <w:right w:val="none" w:sz="0" w:space="0" w:color="auto"/>
      </w:divBdr>
    </w:div>
    <w:div w:id="1242179401">
      <w:bodyDiv w:val="1"/>
      <w:marLeft w:val="0"/>
      <w:marRight w:val="0"/>
      <w:marTop w:val="0"/>
      <w:marBottom w:val="0"/>
      <w:divBdr>
        <w:top w:val="none" w:sz="0" w:space="0" w:color="auto"/>
        <w:left w:val="none" w:sz="0" w:space="0" w:color="auto"/>
        <w:bottom w:val="none" w:sz="0" w:space="0" w:color="auto"/>
        <w:right w:val="none" w:sz="0" w:space="0" w:color="auto"/>
      </w:divBdr>
    </w:div>
    <w:div w:id="1278829894">
      <w:bodyDiv w:val="1"/>
      <w:marLeft w:val="0"/>
      <w:marRight w:val="0"/>
      <w:marTop w:val="0"/>
      <w:marBottom w:val="0"/>
      <w:divBdr>
        <w:top w:val="none" w:sz="0" w:space="0" w:color="auto"/>
        <w:left w:val="none" w:sz="0" w:space="0" w:color="auto"/>
        <w:bottom w:val="none" w:sz="0" w:space="0" w:color="auto"/>
        <w:right w:val="none" w:sz="0" w:space="0" w:color="auto"/>
      </w:divBdr>
    </w:div>
    <w:div w:id="1282760603">
      <w:bodyDiv w:val="1"/>
      <w:marLeft w:val="0"/>
      <w:marRight w:val="0"/>
      <w:marTop w:val="0"/>
      <w:marBottom w:val="0"/>
      <w:divBdr>
        <w:top w:val="none" w:sz="0" w:space="0" w:color="auto"/>
        <w:left w:val="none" w:sz="0" w:space="0" w:color="auto"/>
        <w:bottom w:val="none" w:sz="0" w:space="0" w:color="auto"/>
        <w:right w:val="none" w:sz="0" w:space="0" w:color="auto"/>
      </w:divBdr>
    </w:div>
    <w:div w:id="1298605366">
      <w:bodyDiv w:val="1"/>
      <w:marLeft w:val="0"/>
      <w:marRight w:val="0"/>
      <w:marTop w:val="0"/>
      <w:marBottom w:val="0"/>
      <w:divBdr>
        <w:top w:val="none" w:sz="0" w:space="0" w:color="auto"/>
        <w:left w:val="none" w:sz="0" w:space="0" w:color="auto"/>
        <w:bottom w:val="none" w:sz="0" w:space="0" w:color="auto"/>
        <w:right w:val="none" w:sz="0" w:space="0" w:color="auto"/>
      </w:divBdr>
    </w:div>
    <w:div w:id="1299798500">
      <w:bodyDiv w:val="1"/>
      <w:marLeft w:val="0"/>
      <w:marRight w:val="0"/>
      <w:marTop w:val="0"/>
      <w:marBottom w:val="0"/>
      <w:divBdr>
        <w:top w:val="none" w:sz="0" w:space="0" w:color="auto"/>
        <w:left w:val="none" w:sz="0" w:space="0" w:color="auto"/>
        <w:bottom w:val="none" w:sz="0" w:space="0" w:color="auto"/>
        <w:right w:val="none" w:sz="0" w:space="0" w:color="auto"/>
      </w:divBdr>
    </w:div>
    <w:div w:id="1321887041">
      <w:bodyDiv w:val="1"/>
      <w:marLeft w:val="0"/>
      <w:marRight w:val="0"/>
      <w:marTop w:val="0"/>
      <w:marBottom w:val="0"/>
      <w:divBdr>
        <w:top w:val="none" w:sz="0" w:space="0" w:color="auto"/>
        <w:left w:val="none" w:sz="0" w:space="0" w:color="auto"/>
        <w:bottom w:val="none" w:sz="0" w:space="0" w:color="auto"/>
        <w:right w:val="none" w:sz="0" w:space="0" w:color="auto"/>
      </w:divBdr>
    </w:div>
    <w:div w:id="1336810303">
      <w:bodyDiv w:val="1"/>
      <w:marLeft w:val="0"/>
      <w:marRight w:val="0"/>
      <w:marTop w:val="0"/>
      <w:marBottom w:val="0"/>
      <w:divBdr>
        <w:top w:val="none" w:sz="0" w:space="0" w:color="auto"/>
        <w:left w:val="none" w:sz="0" w:space="0" w:color="auto"/>
        <w:bottom w:val="none" w:sz="0" w:space="0" w:color="auto"/>
        <w:right w:val="none" w:sz="0" w:space="0" w:color="auto"/>
      </w:divBdr>
    </w:div>
    <w:div w:id="1442603985">
      <w:bodyDiv w:val="1"/>
      <w:marLeft w:val="0"/>
      <w:marRight w:val="0"/>
      <w:marTop w:val="0"/>
      <w:marBottom w:val="0"/>
      <w:divBdr>
        <w:top w:val="none" w:sz="0" w:space="0" w:color="auto"/>
        <w:left w:val="none" w:sz="0" w:space="0" w:color="auto"/>
        <w:bottom w:val="none" w:sz="0" w:space="0" w:color="auto"/>
        <w:right w:val="none" w:sz="0" w:space="0" w:color="auto"/>
      </w:divBdr>
    </w:div>
    <w:div w:id="1473908569">
      <w:bodyDiv w:val="1"/>
      <w:marLeft w:val="0"/>
      <w:marRight w:val="0"/>
      <w:marTop w:val="0"/>
      <w:marBottom w:val="0"/>
      <w:divBdr>
        <w:top w:val="none" w:sz="0" w:space="0" w:color="auto"/>
        <w:left w:val="none" w:sz="0" w:space="0" w:color="auto"/>
        <w:bottom w:val="none" w:sz="0" w:space="0" w:color="auto"/>
        <w:right w:val="none" w:sz="0" w:space="0" w:color="auto"/>
      </w:divBdr>
    </w:div>
    <w:div w:id="1510680156">
      <w:bodyDiv w:val="1"/>
      <w:marLeft w:val="0"/>
      <w:marRight w:val="0"/>
      <w:marTop w:val="0"/>
      <w:marBottom w:val="0"/>
      <w:divBdr>
        <w:top w:val="none" w:sz="0" w:space="0" w:color="auto"/>
        <w:left w:val="none" w:sz="0" w:space="0" w:color="auto"/>
        <w:bottom w:val="none" w:sz="0" w:space="0" w:color="auto"/>
        <w:right w:val="none" w:sz="0" w:space="0" w:color="auto"/>
      </w:divBdr>
    </w:div>
    <w:div w:id="1629775198">
      <w:bodyDiv w:val="1"/>
      <w:marLeft w:val="0"/>
      <w:marRight w:val="0"/>
      <w:marTop w:val="0"/>
      <w:marBottom w:val="0"/>
      <w:divBdr>
        <w:top w:val="none" w:sz="0" w:space="0" w:color="auto"/>
        <w:left w:val="none" w:sz="0" w:space="0" w:color="auto"/>
        <w:bottom w:val="none" w:sz="0" w:space="0" w:color="auto"/>
        <w:right w:val="none" w:sz="0" w:space="0" w:color="auto"/>
      </w:divBdr>
    </w:div>
    <w:div w:id="1634939943">
      <w:bodyDiv w:val="1"/>
      <w:marLeft w:val="0"/>
      <w:marRight w:val="0"/>
      <w:marTop w:val="0"/>
      <w:marBottom w:val="0"/>
      <w:divBdr>
        <w:top w:val="none" w:sz="0" w:space="0" w:color="auto"/>
        <w:left w:val="none" w:sz="0" w:space="0" w:color="auto"/>
        <w:bottom w:val="none" w:sz="0" w:space="0" w:color="auto"/>
        <w:right w:val="none" w:sz="0" w:space="0" w:color="auto"/>
      </w:divBdr>
      <w:divsChild>
        <w:div w:id="268776107">
          <w:marLeft w:val="0"/>
          <w:marRight w:val="0"/>
          <w:marTop w:val="0"/>
          <w:marBottom w:val="0"/>
          <w:divBdr>
            <w:top w:val="none" w:sz="0" w:space="0" w:color="auto"/>
            <w:left w:val="none" w:sz="0" w:space="0" w:color="auto"/>
            <w:bottom w:val="none" w:sz="0" w:space="0" w:color="auto"/>
            <w:right w:val="none" w:sz="0" w:space="0" w:color="auto"/>
          </w:divBdr>
          <w:divsChild>
            <w:div w:id="141704784">
              <w:marLeft w:val="0"/>
              <w:marRight w:val="0"/>
              <w:marTop w:val="0"/>
              <w:marBottom w:val="0"/>
              <w:divBdr>
                <w:top w:val="none" w:sz="0" w:space="0" w:color="auto"/>
                <w:left w:val="none" w:sz="0" w:space="0" w:color="auto"/>
                <w:bottom w:val="none" w:sz="0" w:space="0" w:color="auto"/>
                <w:right w:val="none" w:sz="0" w:space="0" w:color="auto"/>
              </w:divBdr>
              <w:divsChild>
                <w:div w:id="1179200345">
                  <w:marLeft w:val="0"/>
                  <w:marRight w:val="0"/>
                  <w:marTop w:val="0"/>
                  <w:marBottom w:val="0"/>
                  <w:divBdr>
                    <w:top w:val="none" w:sz="0" w:space="0" w:color="auto"/>
                    <w:left w:val="none" w:sz="0" w:space="0" w:color="auto"/>
                    <w:bottom w:val="none" w:sz="0" w:space="0" w:color="auto"/>
                    <w:right w:val="none" w:sz="0" w:space="0" w:color="auto"/>
                  </w:divBdr>
                  <w:divsChild>
                    <w:div w:id="19518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30669">
      <w:bodyDiv w:val="1"/>
      <w:marLeft w:val="0"/>
      <w:marRight w:val="0"/>
      <w:marTop w:val="0"/>
      <w:marBottom w:val="0"/>
      <w:divBdr>
        <w:top w:val="none" w:sz="0" w:space="0" w:color="auto"/>
        <w:left w:val="none" w:sz="0" w:space="0" w:color="auto"/>
        <w:bottom w:val="none" w:sz="0" w:space="0" w:color="auto"/>
        <w:right w:val="none" w:sz="0" w:space="0" w:color="auto"/>
      </w:divBdr>
    </w:div>
    <w:div w:id="1743526568">
      <w:bodyDiv w:val="1"/>
      <w:marLeft w:val="0"/>
      <w:marRight w:val="0"/>
      <w:marTop w:val="0"/>
      <w:marBottom w:val="0"/>
      <w:divBdr>
        <w:top w:val="none" w:sz="0" w:space="0" w:color="auto"/>
        <w:left w:val="none" w:sz="0" w:space="0" w:color="auto"/>
        <w:bottom w:val="none" w:sz="0" w:space="0" w:color="auto"/>
        <w:right w:val="none" w:sz="0" w:space="0" w:color="auto"/>
      </w:divBdr>
    </w:div>
    <w:div w:id="1762098427">
      <w:bodyDiv w:val="1"/>
      <w:marLeft w:val="0"/>
      <w:marRight w:val="0"/>
      <w:marTop w:val="0"/>
      <w:marBottom w:val="0"/>
      <w:divBdr>
        <w:top w:val="none" w:sz="0" w:space="0" w:color="auto"/>
        <w:left w:val="none" w:sz="0" w:space="0" w:color="auto"/>
        <w:bottom w:val="none" w:sz="0" w:space="0" w:color="auto"/>
        <w:right w:val="none" w:sz="0" w:space="0" w:color="auto"/>
      </w:divBdr>
    </w:div>
    <w:div w:id="1791896721">
      <w:bodyDiv w:val="1"/>
      <w:marLeft w:val="0"/>
      <w:marRight w:val="0"/>
      <w:marTop w:val="0"/>
      <w:marBottom w:val="0"/>
      <w:divBdr>
        <w:top w:val="none" w:sz="0" w:space="0" w:color="auto"/>
        <w:left w:val="none" w:sz="0" w:space="0" w:color="auto"/>
        <w:bottom w:val="none" w:sz="0" w:space="0" w:color="auto"/>
        <w:right w:val="none" w:sz="0" w:space="0" w:color="auto"/>
      </w:divBdr>
    </w:div>
    <w:div w:id="1948192904">
      <w:bodyDiv w:val="1"/>
      <w:marLeft w:val="0"/>
      <w:marRight w:val="0"/>
      <w:marTop w:val="0"/>
      <w:marBottom w:val="0"/>
      <w:divBdr>
        <w:top w:val="none" w:sz="0" w:space="0" w:color="auto"/>
        <w:left w:val="none" w:sz="0" w:space="0" w:color="auto"/>
        <w:bottom w:val="none" w:sz="0" w:space="0" w:color="auto"/>
        <w:right w:val="none" w:sz="0" w:space="0" w:color="auto"/>
      </w:divBdr>
    </w:div>
    <w:div w:id="1999456663">
      <w:bodyDiv w:val="1"/>
      <w:marLeft w:val="0"/>
      <w:marRight w:val="0"/>
      <w:marTop w:val="0"/>
      <w:marBottom w:val="0"/>
      <w:divBdr>
        <w:top w:val="none" w:sz="0" w:space="0" w:color="auto"/>
        <w:left w:val="none" w:sz="0" w:space="0" w:color="auto"/>
        <w:bottom w:val="none" w:sz="0" w:space="0" w:color="auto"/>
        <w:right w:val="none" w:sz="0" w:space="0" w:color="auto"/>
      </w:divBdr>
    </w:div>
    <w:div w:id="2007437289">
      <w:bodyDiv w:val="1"/>
      <w:marLeft w:val="0"/>
      <w:marRight w:val="0"/>
      <w:marTop w:val="0"/>
      <w:marBottom w:val="0"/>
      <w:divBdr>
        <w:top w:val="none" w:sz="0" w:space="0" w:color="auto"/>
        <w:left w:val="none" w:sz="0" w:space="0" w:color="auto"/>
        <w:bottom w:val="none" w:sz="0" w:space="0" w:color="auto"/>
        <w:right w:val="none" w:sz="0" w:space="0" w:color="auto"/>
      </w:divBdr>
    </w:div>
    <w:div w:id="2025983985">
      <w:bodyDiv w:val="1"/>
      <w:marLeft w:val="0"/>
      <w:marRight w:val="0"/>
      <w:marTop w:val="0"/>
      <w:marBottom w:val="0"/>
      <w:divBdr>
        <w:top w:val="none" w:sz="0" w:space="0" w:color="auto"/>
        <w:left w:val="none" w:sz="0" w:space="0" w:color="auto"/>
        <w:bottom w:val="none" w:sz="0" w:space="0" w:color="auto"/>
        <w:right w:val="none" w:sz="0" w:space="0" w:color="auto"/>
      </w:divBdr>
    </w:div>
    <w:div w:id="2110077588">
      <w:bodyDiv w:val="1"/>
      <w:marLeft w:val="0"/>
      <w:marRight w:val="0"/>
      <w:marTop w:val="0"/>
      <w:marBottom w:val="0"/>
      <w:divBdr>
        <w:top w:val="none" w:sz="0" w:space="0" w:color="auto"/>
        <w:left w:val="none" w:sz="0" w:space="0" w:color="auto"/>
        <w:bottom w:val="none" w:sz="0" w:space="0" w:color="auto"/>
        <w:right w:val="none" w:sz="0" w:space="0" w:color="auto"/>
      </w:divBdr>
    </w:div>
    <w:div w:id="2131586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doe.mass.edu/rlo/instruction/implement-ma-process/story.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2.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B2F43434AD48489DC7A3A83FD030F7" ma:contentTypeVersion="14" ma:contentTypeDescription="Create a new document." ma:contentTypeScope="" ma:versionID="aa5a66e3ac25c08c87a20fafa2674397">
  <xsd:schema xmlns:xsd="http://www.w3.org/2001/XMLSchema" xmlns:xs="http://www.w3.org/2001/XMLSchema" xmlns:p="http://schemas.microsoft.com/office/2006/metadata/properties" xmlns:ns2="7d325074-d398-43b9-9fad-f1a483cc331c" xmlns:ns3="8df8dc5e-e5f0-476b-aed9-3b59e9fde311" targetNamespace="http://schemas.microsoft.com/office/2006/metadata/properties" ma:root="true" ma:fieldsID="ae1616cc02d7567d755f508a005fe327" ns2:_="" ns3:_="">
    <xsd:import namespace="7d325074-d398-43b9-9fad-f1a483cc331c"/>
    <xsd:import namespace="8df8dc5e-e5f0-476b-aed9-3b59e9fde3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25074-d398-43b9-9fad-f1a483cc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f8dc5e-e5f0-476b-aed9-3b59e9fde3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a18fac6-a31a-4bd3-95c7-847842a5fb5e}" ma:internalName="TaxCatchAll" ma:showField="CatchAllData" ma:web="8df8dc5e-e5f0-476b-aed9-3b59e9fde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BXLzm57JuGLoe6AY78LLbDu3d0w==">AMUW2mX3i0n6vw4e9l3F3C7Oylq6gnprYULVg5Zr/6zozshyTagYTn07l7bU6S4i5je6ZRsPstk4mUFne29TQSiKM/XyqzBVLZBCRHs8H2Fi1qpPBG7Sam8=</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325074-d398-43b9-9fad-f1a483cc331c">
      <Terms xmlns="http://schemas.microsoft.com/office/infopath/2007/PartnerControls"/>
    </lcf76f155ced4ddcb4097134ff3c332f>
    <TaxCatchAll xmlns="8df8dc5e-e5f0-476b-aed9-3b59e9fde31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65848-754B-4608-823B-C9F7D10DF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25074-d398-43b9-9fad-f1a483cc331c"/>
    <ds:schemaRef ds:uri="8df8dc5e-e5f0-476b-aed9-3b59e9fde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C3170B-1AA7-4927-B436-4A134864C48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C480A72-95A7-46CB-BF37-07BFA79EC8B3}">
  <ds:schemaRefs>
    <ds:schemaRef ds:uri="http://schemas.microsoft.com/office/2006/metadata/properties"/>
    <ds:schemaRef ds:uri="http://schemas.microsoft.com/office/infopath/2007/PartnerControls"/>
    <ds:schemaRef ds:uri="7d325074-d398-43b9-9fad-f1a483cc331c"/>
    <ds:schemaRef ds:uri="8df8dc5e-e5f0-476b-aed9-3b59e9fde311"/>
  </ds:schemaRefs>
</ds:datastoreItem>
</file>

<file path=customXml/itemProps5.xml><?xml version="1.0" encoding="utf-8"?>
<ds:datastoreItem xmlns:ds="http://schemas.openxmlformats.org/officeDocument/2006/customXml" ds:itemID="{09EC5552-88E9-3E4E-87EB-336766CB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2675</Words>
  <Characters>16187</Characters>
  <Application>Microsoft Office Word</Application>
  <DocSecurity>0</DocSecurity>
  <Lines>337</Lines>
  <Paragraphs>115</Paragraphs>
  <ScaleCrop>false</ScaleCrop>
  <HeadingPairs>
    <vt:vector size="2" baseType="variant">
      <vt:variant>
        <vt:lpstr>Title</vt:lpstr>
      </vt:variant>
      <vt:variant>
        <vt:i4>1</vt:i4>
      </vt:variant>
    </vt:vector>
  </HeadingPairs>
  <TitlesOfParts>
    <vt:vector size="1" baseType="lpstr">
      <vt:lpstr>IH Implementation Self Assessment</vt:lpstr>
    </vt:vector>
  </TitlesOfParts>
  <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 Implementation Self Assessment</dc:title>
  <dc:subject/>
  <dc:creator>DESE</dc:creator>
  <cp:keywords/>
  <cp:lastModifiedBy>Zou, Dong (EOE)</cp:lastModifiedBy>
  <cp:revision>5</cp:revision>
  <cp:lastPrinted>2023-03-14T16:29:00Z</cp:lastPrinted>
  <dcterms:created xsi:type="dcterms:W3CDTF">2023-03-28T22:35:00Z</dcterms:created>
  <dcterms:modified xsi:type="dcterms:W3CDTF">2023-03-30T19:50:00Z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30 2023 12:00AM</vt:lpwstr>
  </property>
</Properties>
</file>