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41B88"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3884196E" wp14:editId="4ED6F806">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1C81278B"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1D6D22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5D47A483" wp14:editId="53B91077">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46EA8EF"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4948965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BBF9E6" w14:textId="77777777" w:rsidR="00A20194" w:rsidRPr="00C974A6" w:rsidRDefault="00A20194">
      <w:pPr>
        <w:ind w:left="720"/>
        <w:rPr>
          <w:rFonts w:ascii="Arial" w:hAnsi="Arial"/>
          <w:i/>
          <w:sz w:val="16"/>
          <w:szCs w:val="16"/>
        </w:rPr>
      </w:pPr>
    </w:p>
    <w:p w14:paraId="466E96D0" w14:textId="77777777" w:rsidR="00A20194" w:rsidRDefault="00A20194">
      <w:pPr>
        <w:ind w:left="720"/>
        <w:rPr>
          <w:rFonts w:ascii="Arial" w:hAnsi="Arial"/>
          <w:i/>
          <w:sz w:val="18"/>
        </w:rPr>
        <w:sectPr w:rsidR="00A20194" w:rsidSect="000D1E5A">
          <w:footerReference w:type="default" r:id="rId12"/>
          <w:endnotePr>
            <w:numFmt w:val="decimal"/>
          </w:endnotePr>
          <w:pgSz w:w="12240" w:h="15840"/>
          <w:pgMar w:top="864" w:right="1080" w:bottom="1440" w:left="1800" w:header="1440" w:footer="1440" w:gutter="0"/>
          <w:cols w:space="720"/>
          <w:noEndnote/>
          <w:titlePg/>
          <w:docGrid w:linePitch="326"/>
        </w:sectPr>
      </w:pPr>
    </w:p>
    <w:p w14:paraId="1B9C947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4C35C5F1" w14:textId="77777777">
        <w:tc>
          <w:tcPr>
            <w:tcW w:w="2988" w:type="dxa"/>
          </w:tcPr>
          <w:p w14:paraId="60F9461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5601DF07"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0D5FC1E" w14:textId="77777777" w:rsidR="00C974A6" w:rsidRPr="00C974A6" w:rsidRDefault="00C974A6" w:rsidP="00C974A6">
            <w:pPr>
              <w:jc w:val="center"/>
              <w:rPr>
                <w:rFonts w:ascii="Arial" w:hAnsi="Arial"/>
                <w:i/>
                <w:sz w:val="16"/>
                <w:szCs w:val="16"/>
              </w:rPr>
            </w:pPr>
          </w:p>
        </w:tc>
      </w:tr>
    </w:tbl>
    <w:p w14:paraId="45F78D7C" w14:textId="77777777" w:rsidR="00A20194" w:rsidRDefault="00A20194">
      <w:pPr>
        <w:rPr>
          <w:rFonts w:ascii="Arial" w:hAnsi="Arial"/>
          <w:i/>
          <w:sz w:val="18"/>
        </w:rPr>
      </w:pPr>
    </w:p>
    <w:p w14:paraId="44FBAD35"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tbl>
      <w:tblPr>
        <w:tblW w:w="0" w:type="auto"/>
        <w:tblLook w:val="01E0" w:firstRow="1" w:lastRow="1" w:firstColumn="1" w:lastColumn="1" w:noHBand="0" w:noVBand="0"/>
      </w:tblPr>
      <w:tblGrid>
        <w:gridCol w:w="1183"/>
        <w:gridCol w:w="8177"/>
      </w:tblGrid>
      <w:tr w:rsidR="00F1534C" w:rsidRPr="000934B1" w14:paraId="0BE7847A" w14:textId="77777777" w:rsidTr="00341D4C">
        <w:tc>
          <w:tcPr>
            <w:tcW w:w="1188" w:type="dxa"/>
          </w:tcPr>
          <w:p w14:paraId="00F09532" w14:textId="77777777" w:rsidR="00F1534C" w:rsidRDefault="00F1534C" w:rsidP="00341D4C">
            <w:pPr>
              <w:rPr>
                <w:b/>
                <w:sz w:val="23"/>
                <w:szCs w:val="23"/>
              </w:rPr>
            </w:pPr>
            <w:r w:rsidRPr="000934B1">
              <w:rPr>
                <w:b/>
                <w:sz w:val="23"/>
                <w:szCs w:val="23"/>
              </w:rPr>
              <w:t>To:</w:t>
            </w:r>
          </w:p>
          <w:p w14:paraId="0AA9A188" w14:textId="77777777" w:rsidR="00341D4C" w:rsidRDefault="00341D4C" w:rsidP="00341D4C">
            <w:pPr>
              <w:rPr>
                <w:b/>
                <w:sz w:val="23"/>
                <w:szCs w:val="23"/>
              </w:rPr>
            </w:pPr>
          </w:p>
          <w:p w14:paraId="1779D0D2" w14:textId="77777777" w:rsidR="00341D4C" w:rsidRDefault="00341D4C" w:rsidP="00341D4C">
            <w:pPr>
              <w:rPr>
                <w:b/>
                <w:sz w:val="23"/>
                <w:szCs w:val="23"/>
              </w:rPr>
            </w:pPr>
          </w:p>
          <w:p w14:paraId="19781597" w14:textId="77777777" w:rsidR="00341D4C" w:rsidRDefault="00341D4C" w:rsidP="00341D4C">
            <w:pPr>
              <w:rPr>
                <w:b/>
                <w:sz w:val="23"/>
                <w:szCs w:val="23"/>
              </w:rPr>
            </w:pPr>
          </w:p>
          <w:p w14:paraId="066478BD" w14:textId="77777777" w:rsidR="00341D4C" w:rsidRDefault="00341D4C" w:rsidP="00341D4C">
            <w:pPr>
              <w:rPr>
                <w:b/>
                <w:sz w:val="23"/>
                <w:szCs w:val="23"/>
              </w:rPr>
            </w:pPr>
          </w:p>
          <w:p w14:paraId="734DDEF2" w14:textId="77777777" w:rsidR="00341D4C" w:rsidRDefault="00341D4C" w:rsidP="00341D4C">
            <w:pPr>
              <w:rPr>
                <w:b/>
                <w:sz w:val="23"/>
                <w:szCs w:val="23"/>
              </w:rPr>
            </w:pPr>
          </w:p>
          <w:p w14:paraId="70833063" w14:textId="77777777" w:rsidR="00341D4C" w:rsidRDefault="00341D4C" w:rsidP="00341D4C">
            <w:pPr>
              <w:rPr>
                <w:b/>
                <w:sz w:val="23"/>
                <w:szCs w:val="23"/>
              </w:rPr>
            </w:pPr>
          </w:p>
          <w:p w14:paraId="2FB53405" w14:textId="77777777" w:rsidR="00341D4C" w:rsidRDefault="00341D4C" w:rsidP="00341D4C">
            <w:pPr>
              <w:rPr>
                <w:b/>
                <w:sz w:val="23"/>
                <w:szCs w:val="23"/>
              </w:rPr>
            </w:pPr>
          </w:p>
          <w:p w14:paraId="6CA3029E" w14:textId="77777777" w:rsidR="00341D4C" w:rsidRDefault="00341D4C" w:rsidP="00341D4C">
            <w:pPr>
              <w:rPr>
                <w:b/>
                <w:sz w:val="23"/>
                <w:szCs w:val="23"/>
              </w:rPr>
            </w:pPr>
          </w:p>
          <w:p w14:paraId="28985231" w14:textId="14286478" w:rsidR="00F1534C" w:rsidRPr="000934B1" w:rsidRDefault="00F1534C" w:rsidP="00341D4C">
            <w:pPr>
              <w:rPr>
                <w:b/>
                <w:sz w:val="23"/>
                <w:szCs w:val="23"/>
              </w:rPr>
            </w:pPr>
            <w:r>
              <w:rPr>
                <w:b/>
                <w:sz w:val="23"/>
                <w:szCs w:val="23"/>
              </w:rPr>
              <w:t>Cc:</w:t>
            </w:r>
          </w:p>
        </w:tc>
        <w:tc>
          <w:tcPr>
            <w:tcW w:w="8388" w:type="dxa"/>
          </w:tcPr>
          <w:p w14:paraId="4D82AA8D" w14:textId="77777777" w:rsidR="00341D4C" w:rsidRDefault="00341D4C" w:rsidP="00341D4C">
            <w:pPr>
              <w:pStyle w:val="Footer"/>
              <w:rPr>
                <w:bCs/>
                <w:sz w:val="23"/>
                <w:szCs w:val="23"/>
              </w:rPr>
            </w:pPr>
            <w:r>
              <w:rPr>
                <w:bCs/>
                <w:sz w:val="23"/>
                <w:szCs w:val="23"/>
              </w:rPr>
              <w:t xml:space="preserve">Matthew Brunell, Springfield Empowerment Zone </w:t>
            </w:r>
          </w:p>
          <w:p w14:paraId="1C5C4958" w14:textId="77777777" w:rsidR="00341D4C" w:rsidRDefault="00341D4C" w:rsidP="00341D4C">
            <w:pPr>
              <w:pStyle w:val="Footer"/>
              <w:rPr>
                <w:bCs/>
                <w:sz w:val="23"/>
                <w:szCs w:val="23"/>
              </w:rPr>
            </w:pPr>
            <w:r>
              <w:rPr>
                <w:bCs/>
                <w:sz w:val="23"/>
                <w:szCs w:val="23"/>
              </w:rPr>
              <w:t>Veronica Conforme, UP Education Network</w:t>
            </w:r>
          </w:p>
          <w:p w14:paraId="71D1BE72" w14:textId="77777777" w:rsidR="00341D4C" w:rsidRDefault="00341D4C" w:rsidP="00341D4C">
            <w:pPr>
              <w:pStyle w:val="Footer"/>
              <w:rPr>
                <w:bCs/>
                <w:sz w:val="23"/>
                <w:szCs w:val="23"/>
              </w:rPr>
            </w:pPr>
            <w:r>
              <w:rPr>
                <w:bCs/>
                <w:sz w:val="23"/>
                <w:szCs w:val="23"/>
              </w:rPr>
              <w:t>Colleen Curran, Springfield Empowerment Zone</w:t>
            </w:r>
          </w:p>
          <w:p w14:paraId="6651F892" w14:textId="77777777" w:rsidR="00341D4C" w:rsidRDefault="00341D4C" w:rsidP="00341D4C">
            <w:pPr>
              <w:pStyle w:val="Footer"/>
              <w:rPr>
                <w:bCs/>
                <w:sz w:val="23"/>
                <w:szCs w:val="23"/>
              </w:rPr>
            </w:pPr>
            <w:r>
              <w:rPr>
                <w:bCs/>
                <w:sz w:val="23"/>
                <w:szCs w:val="23"/>
              </w:rPr>
              <w:t>Cynthia Paris, Lawrence Public Schools</w:t>
            </w:r>
          </w:p>
          <w:p w14:paraId="526C8407" w14:textId="77777777" w:rsidR="00341D4C" w:rsidRDefault="00341D4C" w:rsidP="00341D4C">
            <w:pPr>
              <w:pStyle w:val="Footer"/>
              <w:rPr>
                <w:bCs/>
                <w:sz w:val="23"/>
                <w:szCs w:val="23"/>
              </w:rPr>
            </w:pPr>
            <w:r>
              <w:rPr>
                <w:bCs/>
                <w:sz w:val="23"/>
                <w:szCs w:val="23"/>
              </w:rPr>
              <w:t xml:space="preserve">Ventura Rodriguez, Lawrence Alliance for Education </w:t>
            </w:r>
          </w:p>
          <w:p w14:paraId="7D62AAF4" w14:textId="77777777" w:rsidR="00341D4C" w:rsidRDefault="00341D4C" w:rsidP="00341D4C">
            <w:pPr>
              <w:pStyle w:val="Footer"/>
              <w:rPr>
                <w:bCs/>
                <w:sz w:val="23"/>
                <w:szCs w:val="23"/>
              </w:rPr>
            </w:pPr>
            <w:r>
              <w:rPr>
                <w:bCs/>
                <w:sz w:val="23"/>
                <w:szCs w:val="23"/>
              </w:rPr>
              <w:t>Fran Roy, School &amp; Main Institute</w:t>
            </w:r>
          </w:p>
          <w:p w14:paraId="5984FCFF" w14:textId="77777777" w:rsidR="00341D4C" w:rsidRDefault="00341D4C" w:rsidP="00341D4C">
            <w:pPr>
              <w:pStyle w:val="Footer"/>
              <w:rPr>
                <w:bCs/>
                <w:sz w:val="23"/>
                <w:szCs w:val="23"/>
              </w:rPr>
            </w:pPr>
            <w:r>
              <w:rPr>
                <w:bCs/>
                <w:sz w:val="23"/>
                <w:szCs w:val="23"/>
              </w:rPr>
              <w:t>Anthony Soto, Holyoke Public Schools</w:t>
            </w:r>
          </w:p>
          <w:p w14:paraId="5E87ABF8" w14:textId="77777777" w:rsidR="00341D4C" w:rsidRDefault="00341D4C" w:rsidP="00341D4C">
            <w:pPr>
              <w:pStyle w:val="Footer"/>
              <w:rPr>
                <w:bCs/>
                <w:sz w:val="23"/>
                <w:szCs w:val="23"/>
              </w:rPr>
            </w:pPr>
            <w:r>
              <w:rPr>
                <w:bCs/>
                <w:sz w:val="23"/>
                <w:szCs w:val="23"/>
              </w:rPr>
              <w:t xml:space="preserve">Jeffrey Villar, Southbridge Public Schools </w:t>
            </w:r>
          </w:p>
          <w:p w14:paraId="3BC4DD57" w14:textId="0A87BB48" w:rsidR="00341D4C" w:rsidRDefault="00341D4C" w:rsidP="00341D4C">
            <w:pPr>
              <w:pStyle w:val="Footer"/>
              <w:rPr>
                <w:bCs/>
                <w:sz w:val="23"/>
                <w:szCs w:val="23"/>
              </w:rPr>
            </w:pPr>
            <w:r>
              <w:rPr>
                <w:bCs/>
                <w:sz w:val="23"/>
                <w:szCs w:val="23"/>
              </w:rPr>
              <w:t>Gregg Weltz, School &amp; Main Institute</w:t>
            </w:r>
          </w:p>
          <w:p w14:paraId="5CD253D9" w14:textId="68986AB3" w:rsidR="00F1534C" w:rsidRPr="000934B1" w:rsidRDefault="00341D4C" w:rsidP="00341D4C">
            <w:pPr>
              <w:pStyle w:val="Footer"/>
              <w:rPr>
                <w:bCs/>
                <w:sz w:val="23"/>
                <w:szCs w:val="23"/>
              </w:rPr>
            </w:pPr>
            <w:r>
              <w:rPr>
                <w:bCs/>
                <w:sz w:val="23"/>
                <w:szCs w:val="23"/>
              </w:rPr>
              <w:t>Lauren Woo, Department of Elementary and Secondary Education</w:t>
            </w:r>
          </w:p>
        </w:tc>
      </w:tr>
      <w:tr w:rsidR="00F1534C" w:rsidRPr="000934B1" w14:paraId="7A2034B6" w14:textId="77777777" w:rsidTr="00341D4C">
        <w:tc>
          <w:tcPr>
            <w:tcW w:w="1188" w:type="dxa"/>
          </w:tcPr>
          <w:p w14:paraId="4BD1EB3A" w14:textId="77777777" w:rsidR="00F1534C" w:rsidRPr="000934B1" w:rsidRDefault="00F1534C" w:rsidP="00341D4C">
            <w:pPr>
              <w:rPr>
                <w:b/>
                <w:sz w:val="23"/>
                <w:szCs w:val="23"/>
              </w:rPr>
            </w:pPr>
            <w:r w:rsidRPr="000934B1">
              <w:rPr>
                <w:b/>
                <w:sz w:val="23"/>
                <w:szCs w:val="23"/>
              </w:rPr>
              <w:t>From:</w:t>
            </w:r>
            <w:r w:rsidRPr="000934B1">
              <w:rPr>
                <w:sz w:val="23"/>
                <w:szCs w:val="23"/>
              </w:rPr>
              <w:tab/>
            </w:r>
          </w:p>
        </w:tc>
        <w:tc>
          <w:tcPr>
            <w:tcW w:w="8388" w:type="dxa"/>
          </w:tcPr>
          <w:p w14:paraId="4F39DEAB" w14:textId="602E0B19" w:rsidR="00F1534C" w:rsidRPr="000934B1" w:rsidRDefault="00341D4C" w:rsidP="00341D4C">
            <w:pPr>
              <w:pStyle w:val="Footer"/>
              <w:rPr>
                <w:bCs/>
                <w:sz w:val="23"/>
                <w:szCs w:val="23"/>
              </w:rPr>
            </w:pPr>
            <w:r>
              <w:rPr>
                <w:bCs/>
                <w:sz w:val="23"/>
                <w:szCs w:val="23"/>
              </w:rPr>
              <w:t>Russell Johnston, Department of Elementary and Secondary Education</w:t>
            </w:r>
          </w:p>
        </w:tc>
      </w:tr>
      <w:tr w:rsidR="00F1534C" w:rsidRPr="000934B1" w14:paraId="431DB371" w14:textId="77777777" w:rsidTr="00341D4C">
        <w:tc>
          <w:tcPr>
            <w:tcW w:w="1188" w:type="dxa"/>
          </w:tcPr>
          <w:p w14:paraId="40932E37" w14:textId="77777777" w:rsidR="00F1534C" w:rsidRPr="000934B1" w:rsidRDefault="00F1534C" w:rsidP="00341D4C">
            <w:pPr>
              <w:rPr>
                <w:b/>
                <w:sz w:val="23"/>
                <w:szCs w:val="23"/>
              </w:rPr>
            </w:pPr>
            <w:r w:rsidRPr="000934B1">
              <w:rPr>
                <w:b/>
                <w:sz w:val="23"/>
                <w:szCs w:val="23"/>
              </w:rPr>
              <w:t>Date:</w:t>
            </w:r>
            <w:r w:rsidRPr="000934B1">
              <w:rPr>
                <w:sz w:val="23"/>
                <w:szCs w:val="23"/>
              </w:rPr>
              <w:tab/>
            </w:r>
          </w:p>
        </w:tc>
        <w:tc>
          <w:tcPr>
            <w:tcW w:w="8388" w:type="dxa"/>
          </w:tcPr>
          <w:p w14:paraId="6960D6CF" w14:textId="30A71C36" w:rsidR="00F1534C" w:rsidRPr="000934B1" w:rsidRDefault="00341D4C" w:rsidP="00341D4C">
            <w:pPr>
              <w:pStyle w:val="Footer"/>
              <w:rPr>
                <w:sz w:val="23"/>
                <w:szCs w:val="23"/>
              </w:rPr>
            </w:pPr>
            <w:r>
              <w:rPr>
                <w:sz w:val="23"/>
                <w:szCs w:val="23"/>
              </w:rPr>
              <w:t>July 13, 2021</w:t>
            </w:r>
          </w:p>
        </w:tc>
      </w:tr>
      <w:tr w:rsidR="00F1534C" w:rsidRPr="000934B1" w14:paraId="09D0C96D" w14:textId="77777777" w:rsidTr="00341D4C">
        <w:trPr>
          <w:trHeight w:val="324"/>
        </w:trPr>
        <w:tc>
          <w:tcPr>
            <w:tcW w:w="1188" w:type="dxa"/>
          </w:tcPr>
          <w:p w14:paraId="6579D3A2" w14:textId="77777777" w:rsidR="00F1534C" w:rsidRPr="000934B1" w:rsidRDefault="00F1534C" w:rsidP="00341D4C">
            <w:pPr>
              <w:rPr>
                <w:b/>
                <w:sz w:val="23"/>
                <w:szCs w:val="23"/>
              </w:rPr>
            </w:pPr>
            <w:r w:rsidRPr="000934B1">
              <w:rPr>
                <w:b/>
                <w:sz w:val="23"/>
                <w:szCs w:val="23"/>
              </w:rPr>
              <w:t>Subject:</w:t>
            </w:r>
          </w:p>
        </w:tc>
        <w:tc>
          <w:tcPr>
            <w:tcW w:w="8388" w:type="dxa"/>
          </w:tcPr>
          <w:p w14:paraId="0DB8E909" w14:textId="0961ADF0" w:rsidR="00F1534C" w:rsidRPr="000934B1" w:rsidRDefault="007518D2" w:rsidP="00341D4C">
            <w:pPr>
              <w:pStyle w:val="Footer"/>
              <w:rPr>
                <w:bCs/>
                <w:sz w:val="23"/>
                <w:szCs w:val="23"/>
              </w:rPr>
            </w:pPr>
            <w:r>
              <w:rPr>
                <w:bCs/>
                <w:sz w:val="23"/>
                <w:szCs w:val="23"/>
              </w:rPr>
              <w:t>Removal of terminology from Turnaround Plans</w:t>
            </w:r>
            <w:r w:rsidR="00F1534C">
              <w:rPr>
                <w:bCs/>
                <w:sz w:val="23"/>
                <w:szCs w:val="23"/>
              </w:rPr>
              <w:t xml:space="preserve"> </w:t>
            </w:r>
          </w:p>
        </w:tc>
      </w:tr>
    </w:tbl>
    <w:p w14:paraId="2264F612" w14:textId="77777777" w:rsidR="001F6E8A" w:rsidRDefault="001F6E8A" w:rsidP="001F6E8A">
      <w:pPr>
        <w:pStyle w:val="paragraph"/>
        <w:spacing w:before="0" w:beforeAutospacing="0" w:after="0" w:afterAutospacing="0"/>
        <w:textAlignment w:val="baseline"/>
        <w:rPr>
          <w:rStyle w:val="normaltextrun"/>
          <w:rFonts w:ascii="Calibri" w:hAnsi="Calibri" w:cs="Calibri"/>
          <w:sz w:val="22"/>
          <w:szCs w:val="22"/>
        </w:rPr>
      </w:pPr>
    </w:p>
    <w:p w14:paraId="2F347095" w14:textId="27E556FD" w:rsidR="00432064" w:rsidRDefault="00432064" w:rsidP="00432064">
      <w:pPr>
        <w:pStyle w:val="NormalWeb"/>
        <w:spacing w:before="0" w:beforeAutospacing="0" w:after="0" w:afterAutospacing="0"/>
      </w:pPr>
      <w:r>
        <w:rPr>
          <w:color w:val="000000"/>
        </w:rPr>
        <w:t xml:space="preserve">Effective immediately, the label and reference to “Master Teacher” in school and district turnaround plans will be replaced with “Expert Teacher.”  This change represents an acknowledgement and reckoning that the terminology used in and around our schools and </w:t>
      </w:r>
      <w:proofErr w:type="gramStart"/>
      <w:r>
        <w:rPr>
          <w:color w:val="000000"/>
        </w:rPr>
        <w:t>students</w:t>
      </w:r>
      <w:proofErr w:type="gramEnd"/>
      <w:r>
        <w:rPr>
          <w:color w:val="000000"/>
        </w:rPr>
        <w:t xml:space="preserve"> matter, and should be supportive of, and sensitive to, the educators, children, and families we serve. The word “master” in relation to an individual is reminiscent of slavery and the systems of racial violence that have long existed for people of color, and runs counter to the affirming, inclusive dynamic we strive to cultivate. </w:t>
      </w:r>
    </w:p>
    <w:p w14:paraId="09CFE1CB" w14:textId="40CDD5F4" w:rsidR="009B725D" w:rsidRDefault="00432064" w:rsidP="00432064">
      <w:pPr>
        <w:pStyle w:val="NormalWeb"/>
        <w:spacing w:before="0" w:beforeAutospacing="0" w:after="0" w:afterAutospacing="0"/>
        <w:rPr>
          <w:color w:val="000000"/>
        </w:rPr>
      </w:pPr>
      <w:r>
        <w:rPr>
          <w:color w:val="000000"/>
        </w:rPr>
        <w:t> </w:t>
      </w:r>
    </w:p>
    <w:p w14:paraId="3395D5D2" w14:textId="77777777" w:rsidR="009B725D" w:rsidRDefault="009B725D">
      <w:pPr>
        <w:widowControl/>
        <w:rPr>
          <w:snapToGrid/>
          <w:color w:val="000000"/>
          <w:szCs w:val="24"/>
        </w:rPr>
      </w:pPr>
      <w:r>
        <w:rPr>
          <w:color w:val="000000"/>
        </w:rPr>
        <w:br w:type="page"/>
      </w:r>
    </w:p>
    <w:p w14:paraId="1638AD83" w14:textId="77777777" w:rsidR="009B725D" w:rsidRDefault="009B725D" w:rsidP="009B725D">
      <w:pPr>
        <w:spacing w:line="192" w:lineRule="auto"/>
        <w:outlineLvl w:val="0"/>
        <w:rPr>
          <w:rFonts w:ascii="Arial" w:hAnsi="Arial"/>
          <w:b/>
          <w:i/>
          <w:sz w:val="40"/>
          <w:lang w:val="es-419"/>
        </w:rPr>
      </w:pPr>
      <w:r w:rsidRPr="00F621E4">
        <w:rPr>
          <w:rFonts w:ascii="Arial" w:hAnsi="Arial"/>
          <w:b/>
          <w:i/>
          <w:sz w:val="40"/>
          <w:lang w:val="es-419"/>
        </w:rPr>
        <w:lastRenderedPageBreak/>
        <w:t>Departamento de</w:t>
      </w:r>
      <w:r>
        <w:rPr>
          <w:rFonts w:ascii="Arial" w:hAnsi="Arial"/>
          <w:b/>
          <w:i/>
          <w:sz w:val="40"/>
          <w:lang w:val="es-419"/>
        </w:rPr>
        <w:t xml:space="preserve"> </w:t>
      </w:r>
      <w:r w:rsidRPr="00F621E4">
        <w:rPr>
          <w:rFonts w:ascii="Arial" w:hAnsi="Arial"/>
          <w:b/>
          <w:i/>
          <w:sz w:val="40"/>
          <w:lang w:val="es-419"/>
        </w:rPr>
        <w:t>Educación Primaria</w:t>
      </w:r>
    </w:p>
    <w:p w14:paraId="1765345D" w14:textId="77777777" w:rsidR="009B725D" w:rsidRPr="00F621E4" w:rsidRDefault="009B725D" w:rsidP="009B725D">
      <w:pPr>
        <w:spacing w:line="192" w:lineRule="auto"/>
        <w:outlineLvl w:val="0"/>
        <w:rPr>
          <w:rFonts w:ascii="Arial" w:hAnsi="Arial"/>
          <w:b/>
          <w:i/>
          <w:sz w:val="40"/>
          <w:lang w:val="es-419"/>
        </w:rPr>
      </w:pPr>
      <w:r w:rsidRPr="00F621E4">
        <w:rPr>
          <w:rFonts w:ascii="Arial" w:hAnsi="Arial"/>
          <w:b/>
          <w:i/>
          <w:sz w:val="40"/>
          <w:lang w:val="es-419"/>
        </w:rPr>
        <w:t>y Secundaria</w:t>
      </w:r>
      <w:r>
        <w:rPr>
          <w:rFonts w:ascii="Arial" w:hAnsi="Arial"/>
          <w:i/>
          <w:noProof/>
          <w:snapToGrid/>
          <w:sz w:val="40"/>
        </w:rPr>
        <w:drawing>
          <wp:anchor distT="0" distB="0" distL="114300" distR="274320" simplePos="0" relativeHeight="251660288" behindDoc="0" locked="0" layoutInCell="0" allowOverlap="1" wp14:anchorId="1781A0AD" wp14:editId="27F5D639">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lang w:val="es-419"/>
        </w:rPr>
        <w:t xml:space="preserve"> de Massachusetts</w:t>
      </w:r>
    </w:p>
    <w:p w14:paraId="209688FD" w14:textId="77777777" w:rsidR="009B725D" w:rsidRPr="00F621E4" w:rsidRDefault="009B725D" w:rsidP="009B725D">
      <w:pPr>
        <w:rPr>
          <w:rFonts w:ascii="Arial" w:hAnsi="Arial"/>
          <w:i/>
          <w:lang w:val="es-419"/>
        </w:rPr>
      </w:pPr>
      <w:r>
        <w:rPr>
          <w:rFonts w:ascii="Arial" w:hAnsi="Arial"/>
          <w:i/>
          <w:noProof/>
          <w:snapToGrid/>
        </w:rPr>
        <mc:AlternateContent>
          <mc:Choice Requires="wps">
            <w:drawing>
              <wp:anchor distT="4294967295" distB="4294967295" distL="114300" distR="114300" simplePos="0" relativeHeight="251661312" behindDoc="0" locked="0" layoutInCell="0" allowOverlap="1" wp14:anchorId="3B5DA69C" wp14:editId="7DB97553">
                <wp:simplePos x="0" y="0"/>
                <wp:positionH relativeFrom="column">
                  <wp:posOffset>914400</wp:posOffset>
                </wp:positionH>
                <wp:positionV relativeFrom="paragraph">
                  <wp:posOffset>68580</wp:posOffset>
                </wp:positionV>
                <wp:extent cx="4800600" cy="0"/>
                <wp:effectExtent l="0" t="0" r="19050" b="19050"/>
                <wp:wrapNone/>
                <wp:docPr id="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F039B12" id="Line 3" o:spid="_x0000_s1026" alt="&quot;&quot;"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" o:allowincell="f" strokeweight="1pt"/>
            </w:pict>
          </mc:Fallback>
        </mc:AlternateContent>
      </w:r>
    </w:p>
    <w:p w14:paraId="4A120409" w14:textId="77777777" w:rsidR="009B725D" w:rsidRPr="00C974A6" w:rsidRDefault="009B725D" w:rsidP="009B725D">
      <w:pPr>
        <w:pStyle w:val="Heading3"/>
        <w:tabs>
          <w:tab w:val="right" w:pos="9000"/>
        </w:tabs>
        <w:ind w:right="360"/>
        <w:jc w:val="right"/>
        <w:rPr>
          <w:sz w:val="16"/>
          <w:szCs w:val="16"/>
        </w:rPr>
      </w:pPr>
      <w:r w:rsidRPr="002B4B10">
        <w:rPr>
          <w:sz w:val="16"/>
          <w:szCs w:val="16"/>
        </w:rPr>
        <w:t xml:space="preserve">75 Pleasant </w:t>
      </w:r>
      <w:r w:rsidRPr="00C974A6">
        <w:rPr>
          <w:sz w:val="16"/>
          <w:szCs w:val="16"/>
        </w:rPr>
        <w:t>Street, Malden, Massachusetts 02148-</w:t>
      </w:r>
      <w:r>
        <w:rPr>
          <w:sz w:val="16"/>
          <w:szCs w:val="16"/>
        </w:rPr>
        <w:t>4906</w:t>
      </w:r>
      <w:r w:rsidRPr="00C974A6">
        <w:rPr>
          <w:sz w:val="16"/>
          <w:szCs w:val="16"/>
        </w:rPr>
        <w:t xml:space="preserve"> </w:t>
      </w:r>
      <w:r>
        <w:rPr>
          <w:sz w:val="16"/>
          <w:szCs w:val="16"/>
        </w:rPr>
        <w:tab/>
        <w:t xml:space="preserve">       </w:t>
      </w:r>
      <w:proofErr w:type="spellStart"/>
      <w:r w:rsidRPr="00C974A6">
        <w:rPr>
          <w:sz w:val="16"/>
          <w:szCs w:val="16"/>
        </w:rPr>
        <w:t>Tel</w:t>
      </w:r>
      <w:r>
        <w:rPr>
          <w:sz w:val="16"/>
          <w:szCs w:val="16"/>
        </w:rPr>
        <w:t>éfono</w:t>
      </w:r>
      <w:proofErr w:type="spellEnd"/>
      <w:r w:rsidRPr="00C974A6">
        <w:rPr>
          <w:sz w:val="16"/>
          <w:szCs w:val="16"/>
        </w:rPr>
        <w:t>: (781) 338-3000</w:t>
      </w:r>
      <w:r>
        <w:rPr>
          <w:sz w:val="16"/>
          <w:szCs w:val="16"/>
        </w:rPr>
        <w:t xml:space="preserve">                                                                                                                 </w:t>
      </w:r>
      <w:r w:rsidRPr="00C974A6">
        <w:rPr>
          <w:sz w:val="16"/>
          <w:szCs w:val="16"/>
        </w:rPr>
        <w:t xml:space="preserve">TTY: </w:t>
      </w:r>
      <w:proofErr w:type="spellStart"/>
      <w:r>
        <w:rPr>
          <w:sz w:val="16"/>
          <w:szCs w:val="16"/>
        </w:rPr>
        <w:t>Retransmisión</w:t>
      </w:r>
      <w:proofErr w:type="spellEnd"/>
      <w:r>
        <w:rPr>
          <w:sz w:val="16"/>
          <w:szCs w:val="16"/>
        </w:rPr>
        <w:t xml:space="preserve"> </w:t>
      </w:r>
      <w:r w:rsidRPr="00C974A6">
        <w:rPr>
          <w:sz w:val="16"/>
          <w:szCs w:val="16"/>
        </w:rPr>
        <w:t>N.E.T. 1-800-439-2370</w:t>
      </w:r>
    </w:p>
    <w:p w14:paraId="3031BAF7" w14:textId="77777777" w:rsidR="009B725D" w:rsidRPr="00C974A6" w:rsidRDefault="009B725D" w:rsidP="009B725D">
      <w:pPr>
        <w:ind w:left="720"/>
        <w:rPr>
          <w:rFonts w:ascii="Arial" w:hAnsi="Arial"/>
          <w:i/>
          <w:sz w:val="16"/>
          <w:szCs w:val="16"/>
        </w:rPr>
      </w:pPr>
    </w:p>
    <w:p w14:paraId="7EDE6C92" w14:textId="77777777" w:rsidR="009B725D" w:rsidRDefault="009B725D" w:rsidP="009B725D">
      <w:pPr>
        <w:ind w:left="720"/>
        <w:rPr>
          <w:rFonts w:ascii="Arial" w:hAnsi="Arial"/>
          <w:i/>
          <w:sz w:val="18"/>
        </w:rPr>
        <w:sectPr w:rsidR="009B725D" w:rsidSect="009B725D">
          <w:footerReference w:type="default" r:id="rId13"/>
          <w:endnotePr>
            <w:numFmt w:val="decimal"/>
          </w:endnotePr>
          <w:type w:val="continuous"/>
          <w:pgSz w:w="12240" w:h="15840"/>
          <w:pgMar w:top="864" w:right="1080" w:bottom="1440" w:left="1800" w:header="1440" w:footer="1440" w:gutter="0"/>
          <w:cols w:space="720"/>
          <w:noEndnote/>
          <w:titlePg/>
          <w:docGrid w:linePitch="326"/>
        </w:sectPr>
      </w:pPr>
    </w:p>
    <w:p w14:paraId="35F80AE3" w14:textId="77777777" w:rsidR="009B725D" w:rsidRPr="00C974A6" w:rsidRDefault="009B725D" w:rsidP="009B725D">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9"/>
        <w:gridCol w:w="8427"/>
      </w:tblGrid>
      <w:tr w:rsidR="009B725D" w:rsidRPr="00C974A6" w14:paraId="4912A351" w14:textId="77777777" w:rsidTr="0003273B">
        <w:tc>
          <w:tcPr>
            <w:tcW w:w="2988" w:type="dxa"/>
          </w:tcPr>
          <w:p w14:paraId="07C66509" w14:textId="77777777" w:rsidR="009B725D" w:rsidRDefault="009B725D" w:rsidP="0003273B">
            <w:pPr>
              <w:jc w:val="center"/>
              <w:rPr>
                <w:rFonts w:ascii="Arial" w:hAnsi="Arial" w:cs="Arial"/>
                <w:sz w:val="16"/>
                <w:szCs w:val="16"/>
              </w:rPr>
            </w:pPr>
            <w:r>
              <w:rPr>
                <w:rFonts w:ascii="Arial" w:hAnsi="Arial" w:cs="Arial"/>
                <w:sz w:val="16"/>
                <w:szCs w:val="16"/>
              </w:rPr>
              <w:t>Jeffrey C. Riley</w:t>
            </w:r>
          </w:p>
          <w:p w14:paraId="611EB115" w14:textId="77777777" w:rsidR="009B725D" w:rsidRPr="00C974A6" w:rsidRDefault="009B725D" w:rsidP="0003273B">
            <w:pPr>
              <w:jc w:val="center"/>
              <w:rPr>
                <w:rFonts w:ascii="Arial" w:hAnsi="Arial"/>
                <w:i/>
                <w:sz w:val="16"/>
                <w:szCs w:val="16"/>
              </w:rPr>
            </w:pPr>
            <w:proofErr w:type="spellStart"/>
            <w:r w:rsidRPr="00C974A6">
              <w:rPr>
                <w:rFonts w:ascii="Arial" w:hAnsi="Arial"/>
                <w:i/>
                <w:sz w:val="16"/>
                <w:szCs w:val="16"/>
              </w:rPr>
              <w:t>Com</w:t>
            </w:r>
            <w:r>
              <w:rPr>
                <w:rFonts w:ascii="Arial" w:hAnsi="Arial"/>
                <w:i/>
                <w:sz w:val="16"/>
                <w:szCs w:val="16"/>
              </w:rPr>
              <w:t>isionado</w:t>
            </w:r>
            <w:proofErr w:type="spellEnd"/>
          </w:p>
        </w:tc>
        <w:tc>
          <w:tcPr>
            <w:tcW w:w="8604" w:type="dxa"/>
          </w:tcPr>
          <w:p w14:paraId="717C4FE9" w14:textId="77777777" w:rsidR="009B725D" w:rsidRPr="00C974A6" w:rsidRDefault="009B725D" w:rsidP="0003273B">
            <w:pPr>
              <w:jc w:val="center"/>
              <w:rPr>
                <w:rFonts w:ascii="Arial" w:hAnsi="Arial"/>
                <w:i/>
                <w:sz w:val="16"/>
                <w:szCs w:val="16"/>
              </w:rPr>
            </w:pPr>
          </w:p>
        </w:tc>
      </w:tr>
    </w:tbl>
    <w:p w14:paraId="6B103610" w14:textId="77777777" w:rsidR="009B725D" w:rsidRDefault="009B725D" w:rsidP="009B725D">
      <w:pPr>
        <w:rPr>
          <w:rFonts w:ascii="Arial" w:hAnsi="Arial"/>
          <w:i/>
          <w:sz w:val="18"/>
        </w:rPr>
      </w:pPr>
    </w:p>
    <w:p w14:paraId="67F6E345" w14:textId="77777777" w:rsidR="009B725D" w:rsidRDefault="009B725D" w:rsidP="009B725D">
      <w:pPr>
        <w:sectPr w:rsidR="009B725D">
          <w:endnotePr>
            <w:numFmt w:val="decimal"/>
          </w:endnotePr>
          <w:type w:val="continuous"/>
          <w:pgSz w:w="12240" w:h="15840"/>
          <w:pgMar w:top="864" w:right="432" w:bottom="1440" w:left="432" w:header="1440" w:footer="1440" w:gutter="0"/>
          <w:cols w:space="720"/>
          <w:noEndnote/>
        </w:sectPr>
      </w:pPr>
    </w:p>
    <w:tbl>
      <w:tblPr>
        <w:tblW w:w="0" w:type="auto"/>
        <w:tblLook w:val="01E0" w:firstRow="1" w:lastRow="1" w:firstColumn="1" w:lastColumn="1" w:noHBand="0" w:noVBand="0"/>
      </w:tblPr>
      <w:tblGrid>
        <w:gridCol w:w="1182"/>
        <w:gridCol w:w="8178"/>
      </w:tblGrid>
      <w:tr w:rsidR="009B725D" w:rsidRPr="00682E7B" w14:paraId="5139D008" w14:textId="77777777" w:rsidTr="0003273B">
        <w:tc>
          <w:tcPr>
            <w:tcW w:w="1188" w:type="dxa"/>
          </w:tcPr>
          <w:p w14:paraId="0579B7CB" w14:textId="77777777" w:rsidR="009B725D" w:rsidRDefault="009B725D" w:rsidP="0003273B">
            <w:pPr>
              <w:rPr>
                <w:b/>
                <w:sz w:val="23"/>
                <w:szCs w:val="23"/>
              </w:rPr>
            </w:pPr>
            <w:r>
              <w:rPr>
                <w:b/>
                <w:sz w:val="23"/>
                <w:szCs w:val="23"/>
              </w:rPr>
              <w:t>A</w:t>
            </w:r>
            <w:r w:rsidRPr="000934B1">
              <w:rPr>
                <w:b/>
                <w:sz w:val="23"/>
                <w:szCs w:val="23"/>
              </w:rPr>
              <w:t>:</w:t>
            </w:r>
          </w:p>
          <w:p w14:paraId="298CA58A" w14:textId="77777777" w:rsidR="009B725D" w:rsidRDefault="009B725D" w:rsidP="0003273B">
            <w:pPr>
              <w:rPr>
                <w:b/>
                <w:sz w:val="23"/>
                <w:szCs w:val="23"/>
              </w:rPr>
            </w:pPr>
          </w:p>
          <w:p w14:paraId="13B75ADB" w14:textId="77777777" w:rsidR="009B725D" w:rsidRDefault="009B725D" w:rsidP="0003273B">
            <w:pPr>
              <w:rPr>
                <w:b/>
                <w:sz w:val="23"/>
                <w:szCs w:val="23"/>
              </w:rPr>
            </w:pPr>
          </w:p>
          <w:p w14:paraId="7C252E1D" w14:textId="77777777" w:rsidR="009B725D" w:rsidRDefault="009B725D" w:rsidP="0003273B">
            <w:pPr>
              <w:rPr>
                <w:b/>
                <w:sz w:val="23"/>
                <w:szCs w:val="23"/>
              </w:rPr>
            </w:pPr>
          </w:p>
          <w:p w14:paraId="39671555" w14:textId="77777777" w:rsidR="009B725D" w:rsidRDefault="009B725D" w:rsidP="0003273B">
            <w:pPr>
              <w:rPr>
                <w:b/>
                <w:sz w:val="23"/>
                <w:szCs w:val="23"/>
              </w:rPr>
            </w:pPr>
          </w:p>
          <w:p w14:paraId="42AA2F07" w14:textId="77777777" w:rsidR="009B725D" w:rsidRDefault="009B725D" w:rsidP="0003273B">
            <w:pPr>
              <w:rPr>
                <w:b/>
                <w:sz w:val="23"/>
                <w:szCs w:val="23"/>
              </w:rPr>
            </w:pPr>
          </w:p>
          <w:p w14:paraId="15DAEE85" w14:textId="77777777" w:rsidR="009B725D" w:rsidRDefault="009B725D" w:rsidP="0003273B">
            <w:pPr>
              <w:rPr>
                <w:b/>
                <w:sz w:val="23"/>
                <w:szCs w:val="23"/>
              </w:rPr>
            </w:pPr>
          </w:p>
          <w:p w14:paraId="0AFD2907" w14:textId="77777777" w:rsidR="009B725D" w:rsidRDefault="009B725D" w:rsidP="0003273B">
            <w:pPr>
              <w:rPr>
                <w:b/>
                <w:sz w:val="23"/>
                <w:szCs w:val="23"/>
              </w:rPr>
            </w:pPr>
          </w:p>
          <w:p w14:paraId="2D1BBAAD" w14:textId="77777777" w:rsidR="009B725D" w:rsidRDefault="009B725D" w:rsidP="0003273B">
            <w:pPr>
              <w:rPr>
                <w:b/>
                <w:sz w:val="23"/>
                <w:szCs w:val="23"/>
              </w:rPr>
            </w:pPr>
          </w:p>
          <w:p w14:paraId="1BD53D1E" w14:textId="77777777" w:rsidR="009B725D" w:rsidRPr="000934B1" w:rsidRDefault="009B725D" w:rsidP="0003273B">
            <w:pPr>
              <w:rPr>
                <w:b/>
                <w:sz w:val="23"/>
                <w:szCs w:val="23"/>
              </w:rPr>
            </w:pPr>
            <w:proofErr w:type="spellStart"/>
            <w:r>
              <w:rPr>
                <w:b/>
                <w:sz w:val="23"/>
                <w:szCs w:val="23"/>
              </w:rPr>
              <w:t>Copia</w:t>
            </w:r>
            <w:proofErr w:type="spellEnd"/>
            <w:r>
              <w:rPr>
                <w:b/>
                <w:sz w:val="23"/>
                <w:szCs w:val="23"/>
              </w:rPr>
              <w:t>:</w:t>
            </w:r>
          </w:p>
        </w:tc>
        <w:tc>
          <w:tcPr>
            <w:tcW w:w="8388" w:type="dxa"/>
          </w:tcPr>
          <w:p w14:paraId="5E965933" w14:textId="77777777" w:rsidR="009B725D" w:rsidRDefault="009B725D" w:rsidP="0003273B">
            <w:pPr>
              <w:pStyle w:val="Footer"/>
              <w:rPr>
                <w:bCs/>
                <w:sz w:val="23"/>
                <w:szCs w:val="23"/>
              </w:rPr>
            </w:pPr>
            <w:r>
              <w:rPr>
                <w:bCs/>
                <w:sz w:val="23"/>
                <w:szCs w:val="23"/>
              </w:rPr>
              <w:t xml:space="preserve">Matthew Brunell, Springfield Empowerment Zone </w:t>
            </w:r>
          </w:p>
          <w:p w14:paraId="48E8E74C" w14:textId="77777777" w:rsidR="009B725D" w:rsidRDefault="009B725D" w:rsidP="0003273B">
            <w:pPr>
              <w:pStyle w:val="Footer"/>
              <w:rPr>
                <w:bCs/>
                <w:sz w:val="23"/>
                <w:szCs w:val="23"/>
              </w:rPr>
            </w:pPr>
            <w:r>
              <w:rPr>
                <w:bCs/>
                <w:sz w:val="23"/>
                <w:szCs w:val="23"/>
              </w:rPr>
              <w:t>Veronica Conforme, UP Education Network</w:t>
            </w:r>
          </w:p>
          <w:p w14:paraId="29FE2C6C" w14:textId="77777777" w:rsidR="009B725D" w:rsidRDefault="009B725D" w:rsidP="0003273B">
            <w:pPr>
              <w:pStyle w:val="Footer"/>
              <w:rPr>
                <w:bCs/>
                <w:sz w:val="23"/>
                <w:szCs w:val="23"/>
              </w:rPr>
            </w:pPr>
            <w:r>
              <w:rPr>
                <w:bCs/>
                <w:sz w:val="23"/>
                <w:szCs w:val="23"/>
              </w:rPr>
              <w:t>Colleen Curran, Springfield Empowerment Zone</w:t>
            </w:r>
          </w:p>
          <w:p w14:paraId="16FAEE99" w14:textId="77777777" w:rsidR="009B725D" w:rsidRDefault="009B725D" w:rsidP="0003273B">
            <w:pPr>
              <w:rPr>
                <w:bCs/>
                <w:sz w:val="23"/>
                <w:szCs w:val="23"/>
              </w:rPr>
            </w:pPr>
            <w:r>
              <w:rPr>
                <w:bCs/>
                <w:sz w:val="23"/>
                <w:szCs w:val="23"/>
              </w:rPr>
              <w:t xml:space="preserve">Cynthia Paris, </w:t>
            </w:r>
            <w:proofErr w:type="spellStart"/>
            <w:r w:rsidRPr="006F0C51">
              <w:rPr>
                <w:bCs/>
                <w:sz w:val="23"/>
                <w:szCs w:val="23"/>
              </w:rPr>
              <w:t>Escuelas</w:t>
            </w:r>
            <w:proofErr w:type="spellEnd"/>
            <w:r w:rsidRPr="006F0C51">
              <w:rPr>
                <w:bCs/>
                <w:sz w:val="23"/>
                <w:szCs w:val="23"/>
              </w:rPr>
              <w:t xml:space="preserve"> </w:t>
            </w:r>
            <w:proofErr w:type="spellStart"/>
            <w:r>
              <w:rPr>
                <w:bCs/>
                <w:sz w:val="23"/>
                <w:szCs w:val="23"/>
              </w:rPr>
              <w:t>P</w:t>
            </w:r>
            <w:r w:rsidRPr="006F0C51">
              <w:rPr>
                <w:bCs/>
                <w:sz w:val="23"/>
                <w:szCs w:val="23"/>
              </w:rPr>
              <w:t>úblicas</w:t>
            </w:r>
            <w:proofErr w:type="spellEnd"/>
            <w:r w:rsidRPr="006F0C51">
              <w:rPr>
                <w:bCs/>
                <w:sz w:val="23"/>
                <w:szCs w:val="23"/>
              </w:rPr>
              <w:t xml:space="preserve"> de Lawrence</w:t>
            </w:r>
          </w:p>
          <w:p w14:paraId="33A0225F" w14:textId="77777777" w:rsidR="009B725D" w:rsidRDefault="009B725D" w:rsidP="0003273B">
            <w:pPr>
              <w:pStyle w:val="Footer"/>
              <w:rPr>
                <w:bCs/>
                <w:sz w:val="23"/>
                <w:szCs w:val="23"/>
              </w:rPr>
            </w:pPr>
            <w:r>
              <w:rPr>
                <w:bCs/>
                <w:sz w:val="23"/>
                <w:szCs w:val="23"/>
              </w:rPr>
              <w:t xml:space="preserve">Ventura Rodriguez, Lawrence Alliance for Education </w:t>
            </w:r>
          </w:p>
          <w:p w14:paraId="21537898" w14:textId="77777777" w:rsidR="009B725D" w:rsidRDefault="009B725D" w:rsidP="0003273B">
            <w:pPr>
              <w:pStyle w:val="Footer"/>
              <w:rPr>
                <w:bCs/>
                <w:sz w:val="23"/>
                <w:szCs w:val="23"/>
              </w:rPr>
            </w:pPr>
            <w:r>
              <w:rPr>
                <w:bCs/>
                <w:sz w:val="23"/>
                <w:szCs w:val="23"/>
              </w:rPr>
              <w:t>Fran Roy, School &amp; Main Institute</w:t>
            </w:r>
          </w:p>
          <w:p w14:paraId="1A463025" w14:textId="77777777" w:rsidR="009B725D" w:rsidRPr="000D186D" w:rsidRDefault="009B725D" w:rsidP="0003273B">
            <w:pPr>
              <w:pStyle w:val="Footer"/>
              <w:rPr>
                <w:bCs/>
                <w:sz w:val="23"/>
                <w:szCs w:val="23"/>
                <w:lang w:val="es-ES"/>
              </w:rPr>
            </w:pPr>
            <w:r w:rsidRPr="000D186D">
              <w:rPr>
                <w:bCs/>
                <w:sz w:val="23"/>
                <w:szCs w:val="23"/>
                <w:lang w:val="es-ES"/>
              </w:rPr>
              <w:t>Anthony Soto, Escuelas Públicas de Holyoke</w:t>
            </w:r>
          </w:p>
          <w:p w14:paraId="11B1B584" w14:textId="77777777" w:rsidR="009B725D" w:rsidRPr="006F0C51" w:rsidRDefault="009B725D" w:rsidP="0003273B">
            <w:pPr>
              <w:pStyle w:val="Footer"/>
              <w:rPr>
                <w:bCs/>
                <w:sz w:val="23"/>
                <w:szCs w:val="23"/>
                <w:lang w:val="es-419"/>
              </w:rPr>
            </w:pPr>
            <w:r w:rsidRPr="006F0C51">
              <w:rPr>
                <w:bCs/>
                <w:sz w:val="23"/>
                <w:szCs w:val="23"/>
                <w:lang w:val="es-419"/>
              </w:rPr>
              <w:t xml:space="preserve">Jeffrey Villar, Escuelas Públicas de </w:t>
            </w:r>
            <w:proofErr w:type="spellStart"/>
            <w:r w:rsidRPr="006F0C51">
              <w:rPr>
                <w:bCs/>
                <w:sz w:val="23"/>
                <w:szCs w:val="23"/>
                <w:lang w:val="es-419"/>
              </w:rPr>
              <w:t>Southbridge</w:t>
            </w:r>
            <w:proofErr w:type="spellEnd"/>
            <w:r w:rsidRPr="006F0C51">
              <w:rPr>
                <w:bCs/>
                <w:sz w:val="23"/>
                <w:szCs w:val="23"/>
                <w:lang w:val="es-419"/>
              </w:rPr>
              <w:t xml:space="preserve"> </w:t>
            </w:r>
          </w:p>
          <w:p w14:paraId="698D33A9" w14:textId="77777777" w:rsidR="009B725D" w:rsidRPr="000D186D" w:rsidRDefault="009B725D" w:rsidP="0003273B">
            <w:pPr>
              <w:pStyle w:val="Footer"/>
              <w:rPr>
                <w:bCs/>
                <w:sz w:val="23"/>
                <w:szCs w:val="23"/>
                <w:lang w:val="es-ES"/>
              </w:rPr>
            </w:pPr>
            <w:r w:rsidRPr="000D186D">
              <w:rPr>
                <w:bCs/>
                <w:sz w:val="23"/>
                <w:szCs w:val="23"/>
                <w:lang w:val="es-ES"/>
              </w:rPr>
              <w:t>Gregg Weltz, School &amp; Main Institute</w:t>
            </w:r>
          </w:p>
          <w:p w14:paraId="6903C8C3" w14:textId="77777777" w:rsidR="009B725D" w:rsidRPr="006F0C51" w:rsidRDefault="009B725D" w:rsidP="0003273B">
            <w:pPr>
              <w:pStyle w:val="Footer"/>
              <w:rPr>
                <w:bCs/>
                <w:sz w:val="23"/>
                <w:szCs w:val="23"/>
                <w:lang w:val="es-419"/>
              </w:rPr>
            </w:pPr>
            <w:r w:rsidRPr="006F0C51">
              <w:rPr>
                <w:bCs/>
                <w:sz w:val="23"/>
                <w:szCs w:val="23"/>
                <w:lang w:val="es-419"/>
              </w:rPr>
              <w:t>Lauren Woo, Departamento de Educación Primaria y Secundaria</w:t>
            </w:r>
          </w:p>
        </w:tc>
      </w:tr>
      <w:tr w:rsidR="009B725D" w:rsidRPr="00682E7B" w14:paraId="37851ACA" w14:textId="77777777" w:rsidTr="0003273B">
        <w:tc>
          <w:tcPr>
            <w:tcW w:w="1188" w:type="dxa"/>
          </w:tcPr>
          <w:p w14:paraId="31EEB207" w14:textId="77777777" w:rsidR="009B725D" w:rsidRPr="000934B1" w:rsidRDefault="009B725D" w:rsidP="0003273B">
            <w:pPr>
              <w:rPr>
                <w:b/>
                <w:sz w:val="23"/>
                <w:szCs w:val="23"/>
              </w:rPr>
            </w:pPr>
            <w:r>
              <w:rPr>
                <w:b/>
                <w:sz w:val="23"/>
                <w:szCs w:val="23"/>
              </w:rPr>
              <w:t>De</w:t>
            </w:r>
            <w:r w:rsidRPr="000934B1">
              <w:rPr>
                <w:b/>
                <w:sz w:val="23"/>
                <w:szCs w:val="23"/>
              </w:rPr>
              <w:t>:</w:t>
            </w:r>
            <w:r w:rsidRPr="000934B1">
              <w:rPr>
                <w:sz w:val="23"/>
                <w:szCs w:val="23"/>
              </w:rPr>
              <w:tab/>
            </w:r>
          </w:p>
        </w:tc>
        <w:tc>
          <w:tcPr>
            <w:tcW w:w="8388" w:type="dxa"/>
          </w:tcPr>
          <w:p w14:paraId="2D307855" w14:textId="77777777" w:rsidR="009B725D" w:rsidRPr="006F0C51" w:rsidRDefault="009B725D" w:rsidP="0003273B">
            <w:pPr>
              <w:pStyle w:val="Footer"/>
              <w:rPr>
                <w:bCs/>
                <w:sz w:val="23"/>
                <w:szCs w:val="23"/>
                <w:lang w:val="es-419"/>
              </w:rPr>
            </w:pPr>
            <w:r w:rsidRPr="006F0C51">
              <w:rPr>
                <w:bCs/>
                <w:sz w:val="23"/>
                <w:szCs w:val="23"/>
                <w:lang w:val="es-419"/>
              </w:rPr>
              <w:t>Russell Johnston, Departamento de Educación Primaria y Secundaria</w:t>
            </w:r>
          </w:p>
        </w:tc>
      </w:tr>
      <w:tr w:rsidR="009B725D" w:rsidRPr="000934B1" w14:paraId="2CA38F42" w14:textId="77777777" w:rsidTr="0003273B">
        <w:tc>
          <w:tcPr>
            <w:tcW w:w="1188" w:type="dxa"/>
          </w:tcPr>
          <w:p w14:paraId="08617CEC" w14:textId="77777777" w:rsidR="009B725D" w:rsidRPr="000934B1" w:rsidRDefault="009B725D" w:rsidP="0003273B">
            <w:pPr>
              <w:rPr>
                <w:b/>
                <w:sz w:val="23"/>
                <w:szCs w:val="23"/>
              </w:rPr>
            </w:pPr>
            <w:proofErr w:type="spellStart"/>
            <w:r>
              <w:rPr>
                <w:b/>
                <w:sz w:val="23"/>
                <w:szCs w:val="23"/>
              </w:rPr>
              <w:t>Fecha</w:t>
            </w:r>
            <w:proofErr w:type="spellEnd"/>
            <w:r w:rsidRPr="000934B1">
              <w:rPr>
                <w:b/>
                <w:sz w:val="23"/>
                <w:szCs w:val="23"/>
              </w:rPr>
              <w:t>:</w:t>
            </w:r>
            <w:r w:rsidRPr="000934B1">
              <w:rPr>
                <w:sz w:val="23"/>
                <w:szCs w:val="23"/>
              </w:rPr>
              <w:tab/>
            </w:r>
          </w:p>
        </w:tc>
        <w:tc>
          <w:tcPr>
            <w:tcW w:w="8388" w:type="dxa"/>
          </w:tcPr>
          <w:p w14:paraId="1F020C6E" w14:textId="77777777" w:rsidR="009B725D" w:rsidRPr="000934B1" w:rsidRDefault="009B725D" w:rsidP="0003273B">
            <w:pPr>
              <w:pStyle w:val="Footer"/>
              <w:rPr>
                <w:sz w:val="23"/>
                <w:szCs w:val="23"/>
              </w:rPr>
            </w:pPr>
            <w:r>
              <w:rPr>
                <w:sz w:val="23"/>
                <w:szCs w:val="23"/>
              </w:rPr>
              <w:t xml:space="preserve">13 de </w:t>
            </w:r>
            <w:proofErr w:type="spellStart"/>
            <w:r>
              <w:rPr>
                <w:sz w:val="23"/>
                <w:szCs w:val="23"/>
              </w:rPr>
              <w:t>julio</w:t>
            </w:r>
            <w:proofErr w:type="spellEnd"/>
            <w:r>
              <w:rPr>
                <w:sz w:val="23"/>
                <w:szCs w:val="23"/>
              </w:rPr>
              <w:t xml:space="preserve"> de 2021</w:t>
            </w:r>
          </w:p>
        </w:tc>
      </w:tr>
      <w:tr w:rsidR="009B725D" w:rsidRPr="00682E7B" w14:paraId="4FD26F21" w14:textId="77777777" w:rsidTr="0003273B">
        <w:trPr>
          <w:trHeight w:val="324"/>
        </w:trPr>
        <w:tc>
          <w:tcPr>
            <w:tcW w:w="1188" w:type="dxa"/>
          </w:tcPr>
          <w:p w14:paraId="19BBB2C4" w14:textId="77777777" w:rsidR="009B725D" w:rsidRPr="000934B1" w:rsidRDefault="009B725D" w:rsidP="0003273B">
            <w:pPr>
              <w:rPr>
                <w:b/>
                <w:sz w:val="23"/>
                <w:szCs w:val="23"/>
              </w:rPr>
            </w:pPr>
            <w:proofErr w:type="spellStart"/>
            <w:r>
              <w:rPr>
                <w:b/>
                <w:sz w:val="23"/>
                <w:szCs w:val="23"/>
              </w:rPr>
              <w:t>Asunto</w:t>
            </w:r>
            <w:proofErr w:type="spellEnd"/>
            <w:r w:rsidRPr="000934B1">
              <w:rPr>
                <w:b/>
                <w:sz w:val="23"/>
                <w:szCs w:val="23"/>
              </w:rPr>
              <w:t>:</w:t>
            </w:r>
          </w:p>
        </w:tc>
        <w:tc>
          <w:tcPr>
            <w:tcW w:w="8388" w:type="dxa"/>
          </w:tcPr>
          <w:p w14:paraId="50C5D03C" w14:textId="77777777" w:rsidR="009B725D" w:rsidRPr="00F621E4" w:rsidRDefault="009B725D" w:rsidP="0003273B">
            <w:pPr>
              <w:pStyle w:val="Footer"/>
              <w:rPr>
                <w:bCs/>
                <w:sz w:val="23"/>
                <w:szCs w:val="23"/>
                <w:lang w:val="es-419"/>
              </w:rPr>
            </w:pPr>
            <w:r w:rsidRPr="00F621E4">
              <w:rPr>
                <w:bCs/>
                <w:sz w:val="23"/>
                <w:szCs w:val="23"/>
                <w:lang w:val="es-419"/>
              </w:rPr>
              <w:t xml:space="preserve">Eliminación de término en los planes de reestructuración </w:t>
            </w:r>
          </w:p>
        </w:tc>
      </w:tr>
    </w:tbl>
    <w:p w14:paraId="56FE1CF4" w14:textId="77777777" w:rsidR="009B725D" w:rsidRPr="00F621E4" w:rsidRDefault="009B725D" w:rsidP="009B725D">
      <w:pPr>
        <w:pStyle w:val="paragraph"/>
        <w:spacing w:before="0" w:beforeAutospacing="0" w:after="0" w:afterAutospacing="0"/>
        <w:textAlignment w:val="baseline"/>
        <w:rPr>
          <w:rStyle w:val="normaltextrun"/>
          <w:rFonts w:ascii="Calibri" w:hAnsi="Calibri" w:cs="Calibri"/>
          <w:sz w:val="22"/>
          <w:szCs w:val="22"/>
          <w:lang w:val="es-419"/>
        </w:rPr>
      </w:pPr>
    </w:p>
    <w:p w14:paraId="6DA99FEB" w14:textId="77777777" w:rsidR="009B725D" w:rsidRPr="006F0C51" w:rsidRDefault="009B725D" w:rsidP="009B725D">
      <w:pPr>
        <w:pStyle w:val="NormalWeb"/>
        <w:spacing w:before="0" w:beforeAutospacing="0" w:after="0" w:afterAutospacing="0"/>
        <w:rPr>
          <w:lang w:val="es-419"/>
        </w:rPr>
      </w:pPr>
      <w:r w:rsidRPr="006F0C51">
        <w:rPr>
          <w:color w:val="000000"/>
          <w:lang w:val="es-419"/>
        </w:rPr>
        <w:t>Con vigencia inmediata, el calificativo y la referencia de "</w:t>
      </w:r>
      <w:proofErr w:type="gramStart"/>
      <w:r w:rsidRPr="006F0C51">
        <w:rPr>
          <w:color w:val="000000"/>
          <w:lang w:val="es-419"/>
        </w:rPr>
        <w:t>Master</w:t>
      </w:r>
      <w:proofErr w:type="gramEnd"/>
      <w:r w:rsidRPr="006F0C51">
        <w:rPr>
          <w:color w:val="000000"/>
          <w:lang w:val="es-419"/>
        </w:rPr>
        <w:t xml:space="preserve"> </w:t>
      </w:r>
      <w:proofErr w:type="spellStart"/>
      <w:r w:rsidRPr="006F0C51">
        <w:rPr>
          <w:color w:val="000000"/>
          <w:lang w:val="es-419"/>
        </w:rPr>
        <w:t>Teacher</w:t>
      </w:r>
      <w:proofErr w:type="spellEnd"/>
      <w:r w:rsidRPr="006F0C51">
        <w:rPr>
          <w:color w:val="000000"/>
          <w:lang w:val="es-419"/>
        </w:rPr>
        <w:t xml:space="preserve">" (Maestro principal) en los planes de reestructuración de escuelas y distritos será sustituido por el de "Expert </w:t>
      </w:r>
      <w:proofErr w:type="spellStart"/>
      <w:r w:rsidRPr="006F0C51">
        <w:rPr>
          <w:color w:val="000000"/>
          <w:lang w:val="es-419"/>
        </w:rPr>
        <w:t>Teacher</w:t>
      </w:r>
      <w:proofErr w:type="spellEnd"/>
      <w:r w:rsidRPr="006F0C51">
        <w:rPr>
          <w:color w:val="000000"/>
          <w:lang w:val="es-419"/>
        </w:rPr>
        <w:t>" (Maestro experto).  Este cambio representa un reconocimiento y una toma de conciencia de que la terminología utilizada en nuestras escuelas y estudiantes y en torno a ellos es importante, y debe ser solidaria y sensible con los educadores, los niños y las familias a las que servimos. La palabra "</w:t>
      </w:r>
      <w:proofErr w:type="gramStart"/>
      <w:r w:rsidRPr="006F0C51">
        <w:rPr>
          <w:color w:val="000000"/>
          <w:lang w:val="es-419"/>
        </w:rPr>
        <w:t>Master</w:t>
      </w:r>
      <w:proofErr w:type="gramEnd"/>
      <w:r w:rsidRPr="006F0C51">
        <w:rPr>
          <w:color w:val="000000"/>
          <w:lang w:val="es-419"/>
        </w:rPr>
        <w:t xml:space="preserve">" (amo) en relación con un individuo recuerda a la esclavitud y a los sistemas de violencia racial que han existido durante mucho tiempo para la gente de color, y va en contra de la dinámica de afirmación e inclusión que nos esforzamos por cultivar. </w:t>
      </w:r>
    </w:p>
    <w:p w14:paraId="1F68EE10" w14:textId="77777777" w:rsidR="009B725D" w:rsidRPr="006F0C51" w:rsidRDefault="009B725D" w:rsidP="009B725D">
      <w:pPr>
        <w:pStyle w:val="NormalWeb"/>
        <w:spacing w:before="0" w:beforeAutospacing="0" w:after="0" w:afterAutospacing="0"/>
        <w:rPr>
          <w:lang w:val="es-419"/>
        </w:rPr>
      </w:pPr>
      <w:r w:rsidRPr="006F0C51">
        <w:rPr>
          <w:color w:val="000000"/>
          <w:lang w:val="es-419"/>
        </w:rPr>
        <w:t> </w:t>
      </w:r>
    </w:p>
    <w:p w14:paraId="254AC755" w14:textId="77777777" w:rsidR="00432064" w:rsidRPr="000D186D" w:rsidRDefault="00432064" w:rsidP="00432064">
      <w:pPr>
        <w:pStyle w:val="NormalWeb"/>
        <w:spacing w:before="0" w:beforeAutospacing="0" w:after="0" w:afterAutospacing="0"/>
        <w:rPr>
          <w:lang w:val="es-ES"/>
        </w:rPr>
      </w:pPr>
    </w:p>
    <w:p w14:paraId="6165A48E" w14:textId="0715DE2C" w:rsidR="00432064" w:rsidRPr="000D186D" w:rsidRDefault="00432064" w:rsidP="004E44BB">
      <w:pPr>
        <w:pStyle w:val="NormalWeb"/>
        <w:spacing w:before="0" w:beforeAutospacing="0" w:after="0" w:afterAutospacing="0"/>
        <w:rPr>
          <w:color w:val="000000"/>
          <w:lang w:val="es-ES"/>
        </w:rPr>
      </w:pPr>
    </w:p>
    <w:p w14:paraId="66AF83BE" w14:textId="77777777" w:rsidR="00432064" w:rsidRPr="000D186D" w:rsidRDefault="00432064" w:rsidP="004E44BB">
      <w:pPr>
        <w:pStyle w:val="NormalWeb"/>
        <w:spacing w:before="0" w:beforeAutospacing="0" w:after="0" w:afterAutospacing="0"/>
        <w:rPr>
          <w:color w:val="000000"/>
          <w:lang w:val="es-ES"/>
        </w:rPr>
      </w:pPr>
    </w:p>
    <w:p w14:paraId="0D31E5D4" w14:textId="77777777" w:rsidR="00432064" w:rsidRPr="000D186D" w:rsidRDefault="00432064" w:rsidP="004E44BB">
      <w:pPr>
        <w:pStyle w:val="NormalWeb"/>
        <w:spacing w:before="0" w:beforeAutospacing="0" w:after="0" w:afterAutospacing="0"/>
        <w:rPr>
          <w:color w:val="000000"/>
          <w:lang w:val="es-ES"/>
        </w:rPr>
      </w:pPr>
    </w:p>
    <w:p w14:paraId="0093EA21" w14:textId="4589AEF5" w:rsidR="002F2E99" w:rsidRPr="000D186D" w:rsidRDefault="002F2E99" w:rsidP="003A17B2">
      <w:pPr>
        <w:spacing w:before="240" w:after="240"/>
        <w:rPr>
          <w:lang w:val="es-ES"/>
        </w:rPr>
      </w:pPr>
    </w:p>
    <w:p w14:paraId="4E09C4F8" w14:textId="67D64CD6" w:rsidR="002F2E99" w:rsidRPr="000D186D" w:rsidRDefault="002F2E99" w:rsidP="003A17B2">
      <w:pPr>
        <w:spacing w:before="240" w:after="240"/>
        <w:rPr>
          <w:lang w:val="es-ES"/>
        </w:rPr>
      </w:pPr>
    </w:p>
    <w:p w14:paraId="234E996B" w14:textId="19605206" w:rsidR="002F2E99" w:rsidRPr="000D186D" w:rsidRDefault="002F2E99" w:rsidP="003A17B2">
      <w:pPr>
        <w:spacing w:before="240" w:after="240"/>
        <w:rPr>
          <w:lang w:val="es-ES"/>
        </w:rPr>
      </w:pPr>
    </w:p>
    <w:p w14:paraId="1F3773D8" w14:textId="2D63D9C5" w:rsidR="002F2E99" w:rsidRPr="000D186D" w:rsidRDefault="002F2E99" w:rsidP="003A17B2">
      <w:pPr>
        <w:spacing w:before="240" w:after="240"/>
        <w:rPr>
          <w:lang w:val="es-ES"/>
        </w:rPr>
      </w:pPr>
    </w:p>
    <w:p w14:paraId="6C321E1E" w14:textId="77777777" w:rsidR="002F2E99" w:rsidRPr="000D186D" w:rsidRDefault="002F2E99" w:rsidP="003A17B2">
      <w:pPr>
        <w:spacing w:before="240" w:after="240"/>
        <w:rPr>
          <w:lang w:val="es-ES"/>
        </w:rPr>
      </w:pPr>
    </w:p>
    <w:sectPr w:rsidR="002F2E99" w:rsidRPr="000D186D"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93309" w14:textId="77777777" w:rsidR="00EF27E7" w:rsidRDefault="00EF27E7" w:rsidP="000D1E5A">
      <w:r>
        <w:separator/>
      </w:r>
    </w:p>
  </w:endnote>
  <w:endnote w:type="continuationSeparator" w:id="0">
    <w:p w14:paraId="019D21B0" w14:textId="77777777" w:rsidR="00EF27E7" w:rsidRDefault="00EF27E7" w:rsidP="000D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7452074"/>
      <w:docPartObj>
        <w:docPartGallery w:val="Page Numbers (Bottom of Page)"/>
        <w:docPartUnique/>
      </w:docPartObj>
    </w:sdtPr>
    <w:sdtEndPr>
      <w:rPr>
        <w:noProof/>
      </w:rPr>
    </w:sdtEndPr>
    <w:sdtContent>
      <w:p w14:paraId="7CF8FDEA" w14:textId="548F2D65" w:rsidR="00341D4C" w:rsidRDefault="00341D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466C59" w14:textId="77777777" w:rsidR="00341D4C" w:rsidRDefault="00341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7422360"/>
      <w:docPartObj>
        <w:docPartGallery w:val="Page Numbers (Bottom of Page)"/>
        <w:docPartUnique/>
      </w:docPartObj>
    </w:sdtPr>
    <w:sdtEndPr>
      <w:rPr>
        <w:noProof/>
      </w:rPr>
    </w:sdtEndPr>
    <w:sdtContent>
      <w:p w14:paraId="68D348D0" w14:textId="77777777" w:rsidR="009B725D" w:rsidRDefault="009B72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9D4AED" w14:textId="77777777" w:rsidR="009B725D" w:rsidRDefault="009B7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F092B" w14:textId="77777777" w:rsidR="00EF27E7" w:rsidRDefault="00EF27E7" w:rsidP="000D1E5A">
      <w:r>
        <w:separator/>
      </w:r>
    </w:p>
  </w:footnote>
  <w:footnote w:type="continuationSeparator" w:id="0">
    <w:p w14:paraId="436CA865" w14:textId="77777777" w:rsidR="00EF27E7" w:rsidRDefault="00EF27E7" w:rsidP="000D1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B3"/>
    <w:rsid w:val="0000000F"/>
    <w:rsid w:val="000132CF"/>
    <w:rsid w:val="00025507"/>
    <w:rsid w:val="00041CA1"/>
    <w:rsid w:val="000A5D82"/>
    <w:rsid w:val="000D186D"/>
    <w:rsid w:val="000D1E5A"/>
    <w:rsid w:val="000E0994"/>
    <w:rsid w:val="00112231"/>
    <w:rsid w:val="001F6E8A"/>
    <w:rsid w:val="00201172"/>
    <w:rsid w:val="002A3E22"/>
    <w:rsid w:val="002B109D"/>
    <w:rsid w:val="002B4B10"/>
    <w:rsid w:val="002C0CF9"/>
    <w:rsid w:val="002D366D"/>
    <w:rsid w:val="002F2E99"/>
    <w:rsid w:val="002F5424"/>
    <w:rsid w:val="00341D4C"/>
    <w:rsid w:val="003953C8"/>
    <w:rsid w:val="003A17B2"/>
    <w:rsid w:val="003B1E0D"/>
    <w:rsid w:val="003C79C3"/>
    <w:rsid w:val="0041210C"/>
    <w:rsid w:val="00432064"/>
    <w:rsid w:val="004E44BB"/>
    <w:rsid w:val="004E5697"/>
    <w:rsid w:val="005002F0"/>
    <w:rsid w:val="005430E2"/>
    <w:rsid w:val="00571666"/>
    <w:rsid w:val="005758CF"/>
    <w:rsid w:val="005960DC"/>
    <w:rsid w:val="005C1013"/>
    <w:rsid w:val="005E3535"/>
    <w:rsid w:val="005F6826"/>
    <w:rsid w:val="00630584"/>
    <w:rsid w:val="00635070"/>
    <w:rsid w:val="00682E7B"/>
    <w:rsid w:val="00720450"/>
    <w:rsid w:val="00724DF4"/>
    <w:rsid w:val="007518D2"/>
    <w:rsid w:val="00761FD8"/>
    <w:rsid w:val="00766D54"/>
    <w:rsid w:val="007732FB"/>
    <w:rsid w:val="00847D21"/>
    <w:rsid w:val="008762D4"/>
    <w:rsid w:val="008867AF"/>
    <w:rsid w:val="00895876"/>
    <w:rsid w:val="00896285"/>
    <w:rsid w:val="008C238A"/>
    <w:rsid w:val="008C2761"/>
    <w:rsid w:val="009B725D"/>
    <w:rsid w:val="00A20194"/>
    <w:rsid w:val="00A47163"/>
    <w:rsid w:val="00A70FE3"/>
    <w:rsid w:val="00A7681B"/>
    <w:rsid w:val="00AC243F"/>
    <w:rsid w:val="00AD1382"/>
    <w:rsid w:val="00AF53A1"/>
    <w:rsid w:val="00B15E7C"/>
    <w:rsid w:val="00B34968"/>
    <w:rsid w:val="00B538E4"/>
    <w:rsid w:val="00B53CDE"/>
    <w:rsid w:val="00B74FCB"/>
    <w:rsid w:val="00C016B3"/>
    <w:rsid w:val="00C70355"/>
    <w:rsid w:val="00C974A6"/>
    <w:rsid w:val="00D147FE"/>
    <w:rsid w:val="00D1782C"/>
    <w:rsid w:val="00D456B8"/>
    <w:rsid w:val="00D73B50"/>
    <w:rsid w:val="00DB554D"/>
    <w:rsid w:val="00E77FAD"/>
    <w:rsid w:val="00EE0A55"/>
    <w:rsid w:val="00EF0788"/>
    <w:rsid w:val="00EF27E7"/>
    <w:rsid w:val="00F1534C"/>
    <w:rsid w:val="00F25840"/>
    <w:rsid w:val="00F57565"/>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59DD5"/>
  <w15:docId w15:val="{A8112941-981A-41D7-9025-26346B8D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Header">
    <w:name w:val="header"/>
    <w:basedOn w:val="Normal"/>
    <w:link w:val="HeaderChar"/>
    <w:unhideWhenUsed/>
    <w:rsid w:val="000D1E5A"/>
    <w:pPr>
      <w:tabs>
        <w:tab w:val="center" w:pos="4680"/>
        <w:tab w:val="right" w:pos="9360"/>
      </w:tabs>
    </w:pPr>
  </w:style>
  <w:style w:type="character" w:customStyle="1" w:styleId="HeaderChar">
    <w:name w:val="Header Char"/>
    <w:basedOn w:val="DefaultParagraphFont"/>
    <w:link w:val="Header"/>
    <w:rsid w:val="000D1E5A"/>
    <w:rPr>
      <w:snapToGrid w:val="0"/>
      <w:sz w:val="24"/>
    </w:rPr>
  </w:style>
  <w:style w:type="paragraph" w:styleId="Footer">
    <w:name w:val="footer"/>
    <w:basedOn w:val="Normal"/>
    <w:link w:val="FooterChar"/>
    <w:uiPriority w:val="99"/>
    <w:unhideWhenUsed/>
    <w:rsid w:val="000D1E5A"/>
    <w:pPr>
      <w:tabs>
        <w:tab w:val="center" w:pos="4680"/>
        <w:tab w:val="right" w:pos="9360"/>
      </w:tabs>
    </w:pPr>
  </w:style>
  <w:style w:type="character" w:customStyle="1" w:styleId="FooterChar">
    <w:name w:val="Footer Char"/>
    <w:basedOn w:val="DefaultParagraphFont"/>
    <w:link w:val="Footer"/>
    <w:uiPriority w:val="99"/>
    <w:rsid w:val="000D1E5A"/>
    <w:rPr>
      <w:snapToGrid w:val="0"/>
      <w:sz w:val="24"/>
    </w:rPr>
  </w:style>
  <w:style w:type="paragraph" w:customStyle="1" w:styleId="paragraph">
    <w:name w:val="paragraph"/>
    <w:basedOn w:val="Normal"/>
    <w:rsid w:val="001F6E8A"/>
    <w:pPr>
      <w:widowControl/>
      <w:spacing w:before="100" w:beforeAutospacing="1" w:after="100" w:afterAutospacing="1"/>
    </w:pPr>
    <w:rPr>
      <w:snapToGrid/>
      <w:szCs w:val="24"/>
    </w:rPr>
  </w:style>
  <w:style w:type="character" w:customStyle="1" w:styleId="normaltextrun">
    <w:name w:val="normaltextrun"/>
    <w:basedOn w:val="DefaultParagraphFont"/>
    <w:rsid w:val="001F6E8A"/>
  </w:style>
  <w:style w:type="character" w:customStyle="1" w:styleId="eop">
    <w:name w:val="eop"/>
    <w:basedOn w:val="DefaultParagraphFont"/>
    <w:rsid w:val="001F6E8A"/>
  </w:style>
  <w:style w:type="paragraph" w:styleId="NormalWeb">
    <w:name w:val="Normal (Web)"/>
    <w:basedOn w:val="Normal"/>
    <w:uiPriority w:val="99"/>
    <w:semiHidden/>
    <w:unhideWhenUsed/>
    <w:rsid w:val="004E44BB"/>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915271">
      <w:bodyDiv w:val="1"/>
      <w:marLeft w:val="0"/>
      <w:marRight w:val="0"/>
      <w:marTop w:val="0"/>
      <w:marBottom w:val="0"/>
      <w:divBdr>
        <w:top w:val="none" w:sz="0" w:space="0" w:color="auto"/>
        <w:left w:val="none" w:sz="0" w:space="0" w:color="auto"/>
        <w:bottom w:val="none" w:sz="0" w:space="0" w:color="auto"/>
        <w:right w:val="none" w:sz="0" w:space="0" w:color="auto"/>
      </w:divBdr>
      <w:divsChild>
        <w:div w:id="1996489253">
          <w:marLeft w:val="0"/>
          <w:marRight w:val="0"/>
          <w:marTop w:val="0"/>
          <w:marBottom w:val="0"/>
          <w:divBdr>
            <w:top w:val="none" w:sz="0" w:space="0" w:color="auto"/>
            <w:left w:val="none" w:sz="0" w:space="0" w:color="auto"/>
            <w:bottom w:val="none" w:sz="0" w:space="0" w:color="auto"/>
            <w:right w:val="none" w:sz="0" w:space="0" w:color="auto"/>
          </w:divBdr>
        </w:div>
        <w:div w:id="1004895191">
          <w:marLeft w:val="0"/>
          <w:marRight w:val="0"/>
          <w:marTop w:val="0"/>
          <w:marBottom w:val="0"/>
          <w:divBdr>
            <w:top w:val="none" w:sz="0" w:space="0" w:color="auto"/>
            <w:left w:val="none" w:sz="0" w:space="0" w:color="auto"/>
            <w:bottom w:val="none" w:sz="0" w:space="0" w:color="auto"/>
            <w:right w:val="none" w:sz="0" w:space="0" w:color="auto"/>
          </w:divBdr>
        </w:div>
        <w:div w:id="355618544">
          <w:marLeft w:val="0"/>
          <w:marRight w:val="0"/>
          <w:marTop w:val="0"/>
          <w:marBottom w:val="0"/>
          <w:divBdr>
            <w:top w:val="none" w:sz="0" w:space="0" w:color="auto"/>
            <w:left w:val="none" w:sz="0" w:space="0" w:color="auto"/>
            <w:bottom w:val="none" w:sz="0" w:space="0" w:color="auto"/>
            <w:right w:val="none" w:sz="0" w:space="0" w:color="auto"/>
          </w:divBdr>
        </w:div>
        <w:div w:id="1783763347">
          <w:marLeft w:val="0"/>
          <w:marRight w:val="0"/>
          <w:marTop w:val="0"/>
          <w:marBottom w:val="0"/>
          <w:divBdr>
            <w:top w:val="none" w:sz="0" w:space="0" w:color="auto"/>
            <w:left w:val="none" w:sz="0" w:space="0" w:color="auto"/>
            <w:bottom w:val="none" w:sz="0" w:space="0" w:color="auto"/>
            <w:right w:val="none" w:sz="0" w:space="0" w:color="auto"/>
          </w:divBdr>
        </w:div>
      </w:divsChild>
    </w:div>
    <w:div w:id="105056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DESE-231-72700</_dlc_DocId>
    <_dlc_DocIdUrl xmlns="733efe1c-5bbe-4968-87dc-d400e65c879f">
      <Url>https://sharepoint.doemass.org/ese/webteam/cps/_layouts/DocIdRedir.aspx?ID=DESE-231-72700</Url>
      <Description>DESE-231-72700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C2CDF0AE-DD65-43C5-B26A-DC76A21638E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75178A5-8C61-46A2-A8B7-A518F02B7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E1E845-DC0E-43B2-ABD5-0C1349D605CD}">
  <ds:schemaRefs>
    <ds:schemaRef ds:uri="http://schemas.microsoft.com/sharepoint/events"/>
  </ds:schemaRefs>
</ds:datastoreItem>
</file>

<file path=customXml/itemProps4.xml><?xml version="1.0" encoding="utf-8"?>
<ds:datastoreItem xmlns:ds="http://schemas.openxmlformats.org/officeDocument/2006/customXml" ds:itemID="{00FDB2E6-15E3-46F9-8E1B-8A2B86E1EF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Removal of terminology from Turnaround Plans,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Removal of terminology from Turnaround Plans, July 13, 2021</dc:title>
  <dc:creator>DESE</dc:creator>
  <cp:lastModifiedBy>Zou, Dong (EOE)</cp:lastModifiedBy>
  <cp:revision>3</cp:revision>
  <cp:lastPrinted>2008-03-05T18:17:00Z</cp:lastPrinted>
  <dcterms:created xsi:type="dcterms:W3CDTF">2021-08-03T17:19:00Z</dcterms:created>
  <dcterms:modified xsi:type="dcterms:W3CDTF">2021-08-03T18:22:00Z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 2021</vt:lpwstr>
  </property>
</Properties>
</file>