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27C61" w14:textId="77777777" w:rsidR="00DE5BE8" w:rsidRPr="00B96497" w:rsidRDefault="00DE5BE8" w:rsidP="00DE5BE8">
      <w:pPr>
        <w:pStyle w:val="Heading1"/>
        <w:ind w:left="990" w:right="720"/>
        <w:jc w:val="center"/>
        <w:rPr>
          <w:rFonts w:ascii="Arial" w:hAnsi="Arial" w:cs="Arial"/>
          <w:b/>
          <w:bCs/>
          <w:color w:val="000000" w:themeColor="text1"/>
          <w:sz w:val="24"/>
          <w:szCs w:val="24"/>
        </w:rPr>
      </w:pPr>
      <w:r w:rsidRPr="00B96497">
        <w:rPr>
          <w:rFonts w:ascii="Arial" w:hAnsi="Arial" w:cs="Arial"/>
          <w:b/>
          <w:bCs/>
          <w:color w:val="000000" w:themeColor="text1"/>
          <w:sz w:val="24"/>
          <w:szCs w:val="24"/>
        </w:rPr>
        <w:t>16 de diciembre de 2025: Anuncio del comisionado sobre la salida de UP Academy Holland de la categoría de escuela crónicamente con bajo rendimiento</w:t>
      </w:r>
    </w:p>
    <w:p w14:paraId="2A0AB374" w14:textId="77777777" w:rsidR="00E316DF" w:rsidRDefault="00E316DF" w:rsidP="00DE5BE8">
      <w:pPr>
        <w:pStyle w:val="BodyText"/>
        <w:rPr>
          <w:rFonts w:ascii="Times New Roman"/>
        </w:rPr>
      </w:pPr>
    </w:p>
    <w:p w14:paraId="77934154" w14:textId="77777777" w:rsidR="00E316DF" w:rsidRDefault="00054DCC">
      <w:pPr>
        <w:pStyle w:val="BodyText"/>
        <w:spacing w:before="1" w:line="417" w:lineRule="auto"/>
        <w:ind w:left="720" w:right="7805"/>
      </w:pPr>
      <w:r>
        <w:t>Por correo electrónico</w:t>
      </w:r>
      <w:r>
        <w:rPr>
          <w:spacing w:val="40"/>
        </w:rPr>
        <w:t xml:space="preserve"> </w:t>
      </w:r>
      <w:r>
        <w:t>16</w:t>
      </w:r>
      <w:r>
        <w:rPr>
          <w:spacing w:val="-10"/>
        </w:rPr>
        <w:t xml:space="preserve"> </w:t>
      </w:r>
      <w:r>
        <w:t>de</w:t>
      </w:r>
      <w:r>
        <w:rPr>
          <w:spacing w:val="-10"/>
        </w:rPr>
        <w:t xml:space="preserve"> </w:t>
      </w:r>
      <w:r>
        <w:t>diciembre</w:t>
      </w:r>
      <w:r>
        <w:rPr>
          <w:spacing w:val="-10"/>
        </w:rPr>
        <w:t xml:space="preserve"> </w:t>
      </w:r>
      <w:r>
        <w:t>de</w:t>
      </w:r>
      <w:r>
        <w:rPr>
          <w:spacing w:val="-10"/>
        </w:rPr>
        <w:t xml:space="preserve"> </w:t>
      </w:r>
      <w:r>
        <w:t>2025</w:t>
      </w:r>
    </w:p>
    <w:p w14:paraId="673E2BB3" w14:textId="77777777" w:rsidR="00E316DF" w:rsidRPr="00F177C5" w:rsidRDefault="00054DCC">
      <w:pPr>
        <w:pStyle w:val="BodyText"/>
        <w:ind w:left="720" w:right="6830"/>
        <w:rPr>
          <w:lang w:val="en-US"/>
        </w:rPr>
      </w:pPr>
      <w:r w:rsidRPr="00F177C5">
        <w:rPr>
          <w:lang w:val="en-US"/>
        </w:rPr>
        <w:t>Mary</w:t>
      </w:r>
      <w:r w:rsidRPr="00F177C5">
        <w:rPr>
          <w:spacing w:val="-17"/>
          <w:lang w:val="en-US"/>
        </w:rPr>
        <w:t xml:space="preserve"> </w:t>
      </w:r>
      <w:r w:rsidRPr="00F177C5">
        <w:rPr>
          <w:lang w:val="en-US"/>
        </w:rPr>
        <w:t>Skipper,</w:t>
      </w:r>
      <w:r w:rsidRPr="00F177C5">
        <w:rPr>
          <w:spacing w:val="-17"/>
          <w:lang w:val="en-US"/>
        </w:rPr>
        <w:t xml:space="preserve"> </w:t>
      </w:r>
      <w:r w:rsidRPr="00F177C5">
        <w:rPr>
          <w:lang w:val="en-US"/>
        </w:rPr>
        <w:t>Superintendente Escuelas Públicas de Boston 2300 Washington Street</w:t>
      </w:r>
    </w:p>
    <w:p w14:paraId="571F595A" w14:textId="77777777" w:rsidR="00E316DF" w:rsidRPr="00F177C5" w:rsidRDefault="00054DCC">
      <w:pPr>
        <w:pStyle w:val="BodyText"/>
        <w:spacing w:line="274" w:lineRule="exact"/>
        <w:ind w:left="720"/>
        <w:rPr>
          <w:lang w:val="en-US"/>
        </w:rPr>
      </w:pPr>
      <w:r w:rsidRPr="00F177C5">
        <w:rPr>
          <w:lang w:val="en-US"/>
        </w:rPr>
        <w:t>Roxbury,</w:t>
      </w:r>
      <w:r w:rsidRPr="00F177C5">
        <w:rPr>
          <w:spacing w:val="-3"/>
          <w:lang w:val="en-US"/>
        </w:rPr>
        <w:t xml:space="preserve"> </w:t>
      </w:r>
      <w:r w:rsidRPr="00F177C5">
        <w:rPr>
          <w:lang w:val="en-US"/>
        </w:rPr>
        <w:t xml:space="preserve">MA </w:t>
      </w:r>
      <w:r w:rsidRPr="00F177C5">
        <w:rPr>
          <w:spacing w:val="-4"/>
          <w:lang w:val="en-US"/>
        </w:rPr>
        <w:t>02119</w:t>
      </w:r>
    </w:p>
    <w:p w14:paraId="68B3BE0A" w14:textId="77777777" w:rsidR="00E316DF" w:rsidRPr="00F177C5" w:rsidRDefault="00E316DF">
      <w:pPr>
        <w:pStyle w:val="BodyText"/>
        <w:spacing w:before="2"/>
        <w:rPr>
          <w:lang w:val="en-US"/>
        </w:rPr>
      </w:pPr>
    </w:p>
    <w:p w14:paraId="528E787F" w14:textId="77777777" w:rsidR="00E316DF" w:rsidRPr="00F177C5" w:rsidRDefault="00054DCC">
      <w:pPr>
        <w:pStyle w:val="BodyText"/>
        <w:ind w:left="720" w:right="6519"/>
        <w:rPr>
          <w:lang w:val="en-US"/>
        </w:rPr>
      </w:pPr>
      <w:r w:rsidRPr="00F177C5">
        <w:rPr>
          <w:lang w:val="en-US"/>
        </w:rPr>
        <w:t>Amelia</w:t>
      </w:r>
      <w:r w:rsidRPr="00F177C5">
        <w:rPr>
          <w:spacing w:val="-17"/>
          <w:lang w:val="en-US"/>
        </w:rPr>
        <w:t xml:space="preserve"> </w:t>
      </w:r>
      <w:r w:rsidRPr="00F177C5">
        <w:rPr>
          <w:lang w:val="en-US"/>
        </w:rPr>
        <w:t>Massoud-Tastor,</w:t>
      </w:r>
      <w:r w:rsidRPr="00F177C5">
        <w:rPr>
          <w:spacing w:val="-17"/>
          <w:lang w:val="en-US"/>
        </w:rPr>
        <w:t xml:space="preserve"> </w:t>
      </w:r>
      <w:r w:rsidRPr="00F177C5">
        <w:rPr>
          <w:lang w:val="en-US"/>
        </w:rPr>
        <w:t>Directora UP Academy Holland</w:t>
      </w:r>
    </w:p>
    <w:p w14:paraId="3EB18B6F" w14:textId="77777777" w:rsidR="00E316DF" w:rsidRPr="00F177C5" w:rsidRDefault="00054DCC">
      <w:pPr>
        <w:pStyle w:val="BodyText"/>
        <w:spacing w:line="274" w:lineRule="exact"/>
        <w:ind w:left="720"/>
        <w:rPr>
          <w:lang w:val="en-US"/>
        </w:rPr>
      </w:pPr>
      <w:r w:rsidRPr="00F177C5">
        <w:rPr>
          <w:lang w:val="en-US"/>
        </w:rPr>
        <w:t>85 Olney</w:t>
      </w:r>
      <w:r w:rsidRPr="00F177C5">
        <w:rPr>
          <w:spacing w:val="-1"/>
          <w:lang w:val="en-US"/>
        </w:rPr>
        <w:t xml:space="preserve"> </w:t>
      </w:r>
      <w:r w:rsidRPr="00F177C5">
        <w:rPr>
          <w:spacing w:val="-2"/>
          <w:lang w:val="en-US"/>
        </w:rPr>
        <w:t>Street</w:t>
      </w:r>
    </w:p>
    <w:p w14:paraId="3C3EFF5C" w14:textId="77777777" w:rsidR="00E316DF" w:rsidRDefault="00054DCC">
      <w:pPr>
        <w:pStyle w:val="BodyText"/>
        <w:spacing w:line="275" w:lineRule="exact"/>
        <w:ind w:left="720"/>
      </w:pPr>
      <w:r>
        <w:t>Dorchester,</w:t>
      </w:r>
      <w:r>
        <w:rPr>
          <w:spacing w:val="-4"/>
        </w:rPr>
        <w:t xml:space="preserve"> </w:t>
      </w:r>
      <w:r>
        <w:t>MA</w:t>
      </w:r>
      <w:r>
        <w:rPr>
          <w:spacing w:val="-1"/>
        </w:rPr>
        <w:t xml:space="preserve"> </w:t>
      </w:r>
      <w:r>
        <w:rPr>
          <w:spacing w:val="-4"/>
        </w:rPr>
        <w:t>02121</w:t>
      </w:r>
    </w:p>
    <w:p w14:paraId="57D744B0" w14:textId="77777777" w:rsidR="00E316DF" w:rsidRDefault="00E316DF">
      <w:pPr>
        <w:pStyle w:val="BodyText"/>
        <w:spacing w:before="203"/>
      </w:pPr>
    </w:p>
    <w:p w14:paraId="7872ECB9" w14:textId="77777777" w:rsidR="00E316DF" w:rsidRDefault="00054DCC">
      <w:pPr>
        <w:pStyle w:val="BodyText"/>
        <w:ind w:left="720"/>
      </w:pPr>
      <w:r>
        <w:t>Estimadas</w:t>
      </w:r>
      <w:r>
        <w:rPr>
          <w:spacing w:val="-6"/>
        </w:rPr>
        <w:t xml:space="preserve"> </w:t>
      </w:r>
      <w:r>
        <w:t>Superintendente</w:t>
      </w:r>
      <w:r>
        <w:rPr>
          <w:spacing w:val="-2"/>
        </w:rPr>
        <w:t xml:space="preserve"> </w:t>
      </w:r>
      <w:r>
        <w:t>Skipper</w:t>
      </w:r>
      <w:r>
        <w:rPr>
          <w:spacing w:val="-3"/>
        </w:rPr>
        <w:t xml:space="preserve"> </w:t>
      </w:r>
      <w:r>
        <w:t>y</w:t>
      </w:r>
      <w:r>
        <w:rPr>
          <w:spacing w:val="-3"/>
        </w:rPr>
        <w:t xml:space="preserve"> </w:t>
      </w:r>
      <w:r>
        <w:t>Directora</w:t>
      </w:r>
      <w:r>
        <w:rPr>
          <w:spacing w:val="-7"/>
        </w:rPr>
        <w:t xml:space="preserve"> </w:t>
      </w:r>
      <w:r>
        <w:t>Massoud-</w:t>
      </w:r>
      <w:r>
        <w:rPr>
          <w:spacing w:val="-2"/>
        </w:rPr>
        <w:t>Tastor:</w:t>
      </w:r>
    </w:p>
    <w:p w14:paraId="6BF07EC6" w14:textId="77777777" w:rsidR="00E316DF" w:rsidRDefault="00054DCC" w:rsidP="00DE5BE8">
      <w:pPr>
        <w:pStyle w:val="BodyText"/>
        <w:spacing w:before="204" w:line="278" w:lineRule="auto"/>
        <w:ind w:left="720" w:right="270"/>
      </w:pPr>
      <w:r>
        <w:t>Le</w:t>
      </w:r>
      <w:r>
        <w:rPr>
          <w:spacing w:val="-3"/>
        </w:rPr>
        <w:t xml:space="preserve"> </w:t>
      </w:r>
      <w:r>
        <w:t>escribo</w:t>
      </w:r>
      <w:r>
        <w:rPr>
          <w:spacing w:val="-3"/>
        </w:rPr>
        <w:t xml:space="preserve"> </w:t>
      </w:r>
      <w:r>
        <w:t>para</w:t>
      </w:r>
      <w:r>
        <w:rPr>
          <w:spacing w:val="-3"/>
        </w:rPr>
        <w:t xml:space="preserve"> </w:t>
      </w:r>
      <w:r>
        <w:t>informarle</w:t>
      </w:r>
      <w:r>
        <w:rPr>
          <w:spacing w:val="-3"/>
        </w:rPr>
        <w:t xml:space="preserve"> </w:t>
      </w:r>
      <w:r>
        <w:t>que</w:t>
      </w:r>
      <w:r>
        <w:rPr>
          <w:spacing w:val="-3"/>
        </w:rPr>
        <w:t xml:space="preserve"> </w:t>
      </w:r>
      <w:r>
        <w:t>UP</w:t>
      </w:r>
      <w:r>
        <w:rPr>
          <w:spacing w:val="-4"/>
        </w:rPr>
        <w:t xml:space="preserve"> </w:t>
      </w:r>
      <w:r>
        <w:t>Academy</w:t>
      </w:r>
      <w:r>
        <w:rPr>
          <w:spacing w:val="-4"/>
        </w:rPr>
        <w:t xml:space="preserve"> </w:t>
      </w:r>
      <w:r>
        <w:t>Holland</w:t>
      </w:r>
      <w:r>
        <w:rPr>
          <w:spacing w:val="-3"/>
        </w:rPr>
        <w:t xml:space="preserve"> </w:t>
      </w:r>
      <w:r>
        <w:t>(UAH)</w:t>
      </w:r>
      <w:r>
        <w:rPr>
          <w:spacing w:val="-4"/>
        </w:rPr>
        <w:t xml:space="preserve"> </w:t>
      </w:r>
      <w:r>
        <w:t>dejará</w:t>
      </w:r>
      <w:r>
        <w:rPr>
          <w:spacing w:val="-3"/>
        </w:rPr>
        <w:t xml:space="preserve"> </w:t>
      </w:r>
      <w:r>
        <w:t>de</w:t>
      </w:r>
      <w:r>
        <w:rPr>
          <w:spacing w:val="-3"/>
        </w:rPr>
        <w:t xml:space="preserve"> </w:t>
      </w:r>
      <w:r>
        <w:t>tener</w:t>
      </w:r>
      <w:r>
        <w:rPr>
          <w:spacing w:val="-4"/>
        </w:rPr>
        <w:t xml:space="preserve"> </w:t>
      </w:r>
      <w:r>
        <w:t>la</w:t>
      </w:r>
      <w:r>
        <w:rPr>
          <w:spacing w:val="-3"/>
        </w:rPr>
        <w:t xml:space="preserve"> </w:t>
      </w:r>
      <w:r>
        <w:t>categoría de escuela crónicamente con bajo rendimiento el 1 de julio de 2026. De conformidad con el 603 Código de Reglamentos de Massachusetts 2.06 (11)(a,b), al retirar a UAH de</w:t>
      </w:r>
      <w:r>
        <w:rPr>
          <w:spacing w:val="-1"/>
        </w:rPr>
        <w:t xml:space="preserve"> </w:t>
      </w:r>
      <w:r>
        <w:t>la categoría</w:t>
      </w:r>
      <w:r>
        <w:rPr>
          <w:spacing w:val="-1"/>
        </w:rPr>
        <w:t xml:space="preserve"> </w:t>
      </w:r>
      <w:r>
        <w:t>de</w:t>
      </w:r>
      <w:r>
        <w:rPr>
          <w:spacing w:val="-1"/>
        </w:rPr>
        <w:t xml:space="preserve"> </w:t>
      </w:r>
      <w:r>
        <w:t>crónicamente</w:t>
      </w:r>
      <w:r>
        <w:rPr>
          <w:spacing w:val="-1"/>
        </w:rPr>
        <w:t xml:space="preserve"> </w:t>
      </w:r>
      <w:r>
        <w:t>con</w:t>
      </w:r>
      <w:r>
        <w:rPr>
          <w:spacing w:val="-1"/>
        </w:rPr>
        <w:t xml:space="preserve"> </w:t>
      </w:r>
      <w:r>
        <w:t>bajo</w:t>
      </w:r>
      <w:r>
        <w:rPr>
          <w:spacing w:val="-1"/>
        </w:rPr>
        <w:t xml:space="preserve"> </w:t>
      </w:r>
      <w:r>
        <w:t>rendimiento</w:t>
      </w:r>
      <w:r>
        <w:rPr>
          <w:spacing w:val="-1"/>
        </w:rPr>
        <w:t xml:space="preserve"> </w:t>
      </w:r>
      <w:r>
        <w:t>el</w:t>
      </w:r>
      <w:r>
        <w:rPr>
          <w:spacing w:val="-1"/>
        </w:rPr>
        <w:t xml:space="preserve"> </w:t>
      </w:r>
      <w:r>
        <w:t>1</w:t>
      </w:r>
      <w:r>
        <w:rPr>
          <w:spacing w:val="-1"/>
        </w:rPr>
        <w:t xml:space="preserve"> </w:t>
      </w:r>
      <w:r>
        <w:t>de</w:t>
      </w:r>
      <w:r>
        <w:rPr>
          <w:spacing w:val="-1"/>
        </w:rPr>
        <w:t xml:space="preserve"> </w:t>
      </w:r>
      <w:r>
        <w:t>julio,</w:t>
      </w:r>
      <w:r>
        <w:rPr>
          <w:spacing w:val="-4"/>
        </w:rPr>
        <w:t xml:space="preserve"> </w:t>
      </w:r>
      <w:r>
        <w:t>dejarán</w:t>
      </w:r>
      <w:r>
        <w:rPr>
          <w:spacing w:val="-1"/>
        </w:rPr>
        <w:t xml:space="preserve"> </w:t>
      </w:r>
      <w:r>
        <w:t>de</w:t>
      </w:r>
      <w:r>
        <w:rPr>
          <w:spacing w:val="-1"/>
        </w:rPr>
        <w:t xml:space="preserve"> </w:t>
      </w:r>
      <w:r>
        <w:t>aplicarse a UAH las disposiciones del Capítulo 69, Sección 1J de las Leyes Generales de Massachusetts referentes a escuelas designadas como crónicamente con bajo rendimiento, excepto aquellas que se mantengan mediante las garantías de salida</w:t>
      </w:r>
      <w:hyperlink w:anchor="_bookmark0" w:history="1">
        <w:r>
          <w:t>.</w:t>
        </w:r>
        <w:r>
          <w:rPr>
            <w:vertAlign w:val="superscript"/>
          </w:rPr>
          <w:t>1</w:t>
        </w:r>
      </w:hyperlink>
    </w:p>
    <w:p w14:paraId="043C5EA8" w14:textId="77777777" w:rsidR="00E316DF" w:rsidRDefault="00054DCC" w:rsidP="00DE5BE8">
      <w:pPr>
        <w:pStyle w:val="BodyText"/>
        <w:spacing w:before="160" w:line="278" w:lineRule="auto"/>
        <w:ind w:left="720" w:right="270"/>
      </w:pPr>
      <w:r>
        <w:t>Felicito a los estudiantes, familias, educadores, personal y líderes de UAH, tanto pasados como presentes, por su incesante esfuerzo hacia la excelencia que ha mejorado los resultados de aprendizaje estudiantil, incluido el cumplimiento del 90 por ciento de las metas anuales de mejora de la escuela en los resultados de responsabilidad estatal de 2025. Agradezco el compromiso de UP Education Network de</w:t>
      </w:r>
      <w:r>
        <w:rPr>
          <w:spacing w:val="-4"/>
        </w:rPr>
        <w:t xml:space="preserve"> </w:t>
      </w:r>
      <w:r>
        <w:t>mantener</w:t>
      </w:r>
      <w:r>
        <w:rPr>
          <w:spacing w:val="-5"/>
        </w:rPr>
        <w:t xml:space="preserve"> </w:t>
      </w:r>
      <w:r>
        <w:t>la</w:t>
      </w:r>
      <w:r>
        <w:rPr>
          <w:spacing w:val="-4"/>
        </w:rPr>
        <w:t xml:space="preserve"> </w:t>
      </w:r>
      <w:r>
        <w:t>cultura</w:t>
      </w:r>
      <w:r>
        <w:rPr>
          <w:spacing w:val="-4"/>
        </w:rPr>
        <w:t xml:space="preserve"> </w:t>
      </w:r>
      <w:r>
        <w:t>transformadora</w:t>
      </w:r>
      <w:r>
        <w:rPr>
          <w:spacing w:val="-4"/>
        </w:rPr>
        <w:t xml:space="preserve"> </w:t>
      </w:r>
      <w:r>
        <w:t>de</w:t>
      </w:r>
      <w:r>
        <w:rPr>
          <w:spacing w:val="-4"/>
        </w:rPr>
        <w:t xml:space="preserve"> </w:t>
      </w:r>
      <w:r>
        <w:t>la</w:t>
      </w:r>
      <w:r>
        <w:rPr>
          <w:spacing w:val="-4"/>
        </w:rPr>
        <w:t xml:space="preserve"> </w:t>
      </w:r>
      <w:r>
        <w:t>escuela</w:t>
      </w:r>
      <w:r>
        <w:rPr>
          <w:spacing w:val="-4"/>
        </w:rPr>
        <w:t xml:space="preserve"> </w:t>
      </w:r>
      <w:r>
        <w:t>durante</w:t>
      </w:r>
      <w:r>
        <w:rPr>
          <w:spacing w:val="-4"/>
        </w:rPr>
        <w:t xml:space="preserve"> </w:t>
      </w:r>
      <w:r>
        <w:t>su</w:t>
      </w:r>
      <w:r>
        <w:rPr>
          <w:spacing w:val="-4"/>
        </w:rPr>
        <w:t xml:space="preserve"> </w:t>
      </w:r>
      <w:r>
        <w:t>período</w:t>
      </w:r>
      <w:r>
        <w:rPr>
          <w:spacing w:val="-4"/>
        </w:rPr>
        <w:t xml:space="preserve"> </w:t>
      </w:r>
      <w:r>
        <w:t>de</w:t>
      </w:r>
      <w:r>
        <w:rPr>
          <w:spacing w:val="-4"/>
        </w:rPr>
        <w:t xml:space="preserve"> </w:t>
      </w:r>
      <w:r>
        <w:t>intervención estatal, mediante la mejora continua de los sistemas de aprendizaje profesional y la inversión en experiencias educativas innovadoras para todos los estudiantes de UAH.</w:t>
      </w:r>
    </w:p>
    <w:p w14:paraId="1B07F5BA" w14:textId="77777777" w:rsidR="00E316DF" w:rsidRDefault="00054DCC" w:rsidP="00DE5BE8">
      <w:pPr>
        <w:pStyle w:val="BodyText"/>
        <w:spacing w:before="155" w:line="278" w:lineRule="auto"/>
        <w:ind w:left="720" w:right="270"/>
      </w:pPr>
      <w:r>
        <w:t>Entre ahora y la fecha de salida del 1 de julio,</w:t>
      </w:r>
      <w:r>
        <w:rPr>
          <w:spacing w:val="-1"/>
        </w:rPr>
        <w:t xml:space="preserve"> </w:t>
      </w:r>
      <w:r>
        <w:t>el</w:t>
      </w:r>
      <w:r>
        <w:rPr>
          <w:spacing w:val="-3"/>
        </w:rPr>
        <w:t xml:space="preserve"> </w:t>
      </w:r>
      <w:r>
        <w:t>personal del Departamento consultará con usted y sus equipos sobre el desarrollo de las garantías de salida para ayudar a sostener</w:t>
      </w:r>
      <w:r>
        <w:rPr>
          <w:spacing w:val="-1"/>
        </w:rPr>
        <w:t xml:space="preserve"> </w:t>
      </w:r>
      <w:r>
        <w:t>la trayectoria de mejora de UAH en los</w:t>
      </w:r>
      <w:r>
        <w:rPr>
          <w:spacing w:val="-6"/>
        </w:rPr>
        <w:t xml:space="preserve"> </w:t>
      </w:r>
      <w:r>
        <w:t>próximos</w:t>
      </w:r>
      <w:r>
        <w:rPr>
          <w:spacing w:val="-1"/>
        </w:rPr>
        <w:t xml:space="preserve"> </w:t>
      </w:r>
      <w:r>
        <w:t>años.</w:t>
      </w:r>
      <w:r>
        <w:rPr>
          <w:spacing w:val="-3"/>
        </w:rPr>
        <w:t xml:space="preserve"> </w:t>
      </w:r>
      <w:r>
        <w:t>De conformidad con el 603</w:t>
      </w:r>
      <w:r>
        <w:rPr>
          <w:spacing w:val="-3"/>
        </w:rPr>
        <w:t xml:space="preserve"> </w:t>
      </w:r>
      <w:r>
        <w:t>Código</w:t>
      </w:r>
      <w:r>
        <w:rPr>
          <w:spacing w:val="-3"/>
        </w:rPr>
        <w:t xml:space="preserve"> </w:t>
      </w:r>
      <w:r>
        <w:t>de</w:t>
      </w:r>
      <w:r>
        <w:rPr>
          <w:spacing w:val="-3"/>
        </w:rPr>
        <w:t xml:space="preserve"> </w:t>
      </w:r>
      <w:r>
        <w:t>Reglamentos</w:t>
      </w:r>
      <w:r>
        <w:rPr>
          <w:spacing w:val="-4"/>
        </w:rPr>
        <w:t xml:space="preserve"> </w:t>
      </w:r>
      <w:r>
        <w:t>de</w:t>
      </w:r>
      <w:r>
        <w:rPr>
          <w:spacing w:val="-3"/>
        </w:rPr>
        <w:t xml:space="preserve"> </w:t>
      </w:r>
      <w:r>
        <w:t>Massachusetts</w:t>
      </w:r>
      <w:r>
        <w:rPr>
          <w:spacing w:val="-3"/>
        </w:rPr>
        <w:t xml:space="preserve"> </w:t>
      </w:r>
      <w:r>
        <w:t>2.06</w:t>
      </w:r>
      <w:r>
        <w:rPr>
          <w:spacing w:val="-3"/>
        </w:rPr>
        <w:t xml:space="preserve"> </w:t>
      </w:r>
      <w:r>
        <w:t>(11)(b),</w:t>
      </w:r>
      <w:r>
        <w:rPr>
          <w:spacing w:val="-6"/>
        </w:rPr>
        <w:t xml:space="preserve"> </w:t>
      </w:r>
      <w:r>
        <w:t>puedo</w:t>
      </w:r>
      <w:r>
        <w:rPr>
          <w:spacing w:val="-3"/>
        </w:rPr>
        <w:t xml:space="preserve"> </w:t>
      </w:r>
      <w:r>
        <w:t>determinar</w:t>
      </w:r>
      <w:r>
        <w:rPr>
          <w:spacing w:val="-4"/>
        </w:rPr>
        <w:t xml:space="preserve"> </w:t>
      </w:r>
      <w:r>
        <w:t>que</w:t>
      </w:r>
      <w:r>
        <w:rPr>
          <w:spacing w:val="-2"/>
        </w:rPr>
        <w:t xml:space="preserve"> </w:t>
      </w:r>
      <w:r>
        <w:rPr>
          <w:spacing w:val="-5"/>
        </w:rPr>
        <w:t>una</w:t>
      </w:r>
    </w:p>
    <w:p w14:paraId="1B6A97DF" w14:textId="77777777" w:rsidR="00E316DF" w:rsidRDefault="00054DCC">
      <w:pPr>
        <w:pStyle w:val="BodyText"/>
        <w:spacing w:before="91"/>
        <w:rPr>
          <w:sz w:val="20"/>
        </w:rPr>
      </w:pPr>
      <w:r>
        <w:rPr>
          <w:noProof/>
          <w:sz w:val="20"/>
        </w:rPr>
        <mc:AlternateContent>
          <mc:Choice Requires="wps">
            <w:drawing>
              <wp:anchor distT="0" distB="0" distL="0" distR="0" simplePos="0" relativeHeight="487587840" behindDoc="1" locked="0" layoutInCell="1" allowOverlap="1" wp14:anchorId="7DD29B52" wp14:editId="139D819E">
                <wp:simplePos x="0" y="0"/>
                <wp:positionH relativeFrom="page">
                  <wp:posOffset>914717</wp:posOffset>
                </wp:positionH>
                <wp:positionV relativeFrom="paragraph">
                  <wp:posOffset>219594</wp:posOffset>
                </wp:positionV>
                <wp:extent cx="183007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47C982" id="Graphic 2" o:spid="_x0000_s1026" style="position:absolute;margin-left:1in;margin-top:17.3pt;width:144.1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30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" path="m1829816,l,,,6349r1829816,l1829816,xe" fillcolor="black" stroked="f">
                <v:path arrowok="t"/>
                <w10:wrap type="topAndBottom" anchorx="page"/>
              </v:shape>
            </w:pict>
          </mc:Fallback>
        </mc:AlternateContent>
      </w:r>
    </w:p>
    <w:p w14:paraId="6350FB6F" w14:textId="77777777" w:rsidR="00E316DF" w:rsidRPr="00DE5BE8" w:rsidRDefault="00054DCC" w:rsidP="00DE5BE8">
      <w:pPr>
        <w:spacing w:before="147" w:line="247" w:lineRule="auto"/>
        <w:ind w:left="720" w:right="270"/>
        <w:jc w:val="both"/>
        <w:rPr>
          <w:sz w:val="18"/>
          <w:szCs w:val="18"/>
        </w:rPr>
      </w:pPr>
      <w:bookmarkStart w:id="0" w:name="_bookmark0"/>
      <w:bookmarkEnd w:id="0"/>
      <w:r w:rsidRPr="00DE5BE8">
        <w:rPr>
          <w:rFonts w:ascii="Trebuchet MS" w:hAnsi="Trebuchet MS"/>
          <w:sz w:val="18"/>
          <w:szCs w:val="18"/>
          <w:vertAlign w:val="superscript"/>
        </w:rPr>
        <w:t>1</w:t>
      </w:r>
      <w:r w:rsidRPr="00DE5BE8">
        <w:rPr>
          <w:rFonts w:ascii="Trebuchet MS" w:hAnsi="Trebuchet MS"/>
          <w:spacing w:val="-16"/>
          <w:sz w:val="18"/>
          <w:szCs w:val="18"/>
        </w:rPr>
        <w:t xml:space="preserve"> </w:t>
      </w:r>
      <w:r w:rsidRPr="00DE5BE8">
        <w:rPr>
          <w:sz w:val="18"/>
          <w:szCs w:val="18"/>
        </w:rPr>
        <w:t>De</w:t>
      </w:r>
      <w:r w:rsidRPr="00DE5BE8">
        <w:rPr>
          <w:spacing w:val="-8"/>
          <w:sz w:val="18"/>
          <w:szCs w:val="18"/>
        </w:rPr>
        <w:t xml:space="preserve"> </w:t>
      </w:r>
      <w:r w:rsidRPr="00DE5BE8">
        <w:rPr>
          <w:sz w:val="18"/>
          <w:szCs w:val="18"/>
        </w:rPr>
        <w:t>conformidad con</w:t>
      </w:r>
      <w:r w:rsidRPr="00DE5BE8">
        <w:rPr>
          <w:spacing w:val="-4"/>
          <w:sz w:val="18"/>
          <w:szCs w:val="18"/>
        </w:rPr>
        <w:t xml:space="preserve"> </w:t>
      </w:r>
      <w:r w:rsidRPr="00DE5BE8">
        <w:rPr>
          <w:sz w:val="18"/>
          <w:szCs w:val="18"/>
        </w:rPr>
        <w:t>el 603</w:t>
      </w:r>
      <w:r w:rsidRPr="00DE5BE8">
        <w:rPr>
          <w:spacing w:val="-4"/>
          <w:sz w:val="18"/>
          <w:szCs w:val="18"/>
        </w:rPr>
        <w:t xml:space="preserve"> </w:t>
      </w:r>
      <w:r w:rsidRPr="00DE5BE8">
        <w:rPr>
          <w:sz w:val="18"/>
          <w:szCs w:val="18"/>
        </w:rPr>
        <w:t>Código</w:t>
      </w:r>
      <w:r w:rsidRPr="00DE5BE8">
        <w:rPr>
          <w:spacing w:val="-4"/>
          <w:sz w:val="18"/>
          <w:szCs w:val="18"/>
        </w:rPr>
        <w:t xml:space="preserve"> </w:t>
      </w:r>
      <w:r w:rsidRPr="00DE5BE8">
        <w:rPr>
          <w:sz w:val="18"/>
          <w:szCs w:val="18"/>
        </w:rPr>
        <w:t>de</w:t>
      </w:r>
      <w:r w:rsidRPr="00DE5BE8">
        <w:rPr>
          <w:spacing w:val="-4"/>
          <w:sz w:val="18"/>
          <w:szCs w:val="18"/>
        </w:rPr>
        <w:t xml:space="preserve"> </w:t>
      </w:r>
      <w:r w:rsidRPr="00DE5BE8">
        <w:rPr>
          <w:sz w:val="18"/>
          <w:szCs w:val="18"/>
        </w:rPr>
        <w:t>Reglamentos de Massachusetts</w:t>
      </w:r>
      <w:r w:rsidRPr="00DE5BE8">
        <w:rPr>
          <w:spacing w:val="-3"/>
          <w:sz w:val="18"/>
          <w:szCs w:val="18"/>
        </w:rPr>
        <w:t xml:space="preserve"> </w:t>
      </w:r>
      <w:r w:rsidRPr="00DE5BE8">
        <w:rPr>
          <w:sz w:val="18"/>
          <w:szCs w:val="18"/>
        </w:rPr>
        <w:t>2.06</w:t>
      </w:r>
      <w:r w:rsidRPr="00DE5BE8">
        <w:rPr>
          <w:spacing w:val="-4"/>
          <w:sz w:val="18"/>
          <w:szCs w:val="18"/>
        </w:rPr>
        <w:t xml:space="preserve"> </w:t>
      </w:r>
      <w:r w:rsidRPr="00DE5BE8">
        <w:rPr>
          <w:sz w:val="18"/>
          <w:szCs w:val="18"/>
        </w:rPr>
        <w:t>(11)(a,b), al</w:t>
      </w:r>
      <w:r w:rsidRPr="00DE5BE8">
        <w:rPr>
          <w:spacing w:val="-2"/>
          <w:sz w:val="18"/>
          <w:szCs w:val="18"/>
        </w:rPr>
        <w:t xml:space="preserve"> </w:t>
      </w:r>
      <w:r w:rsidRPr="00DE5BE8">
        <w:rPr>
          <w:sz w:val="18"/>
          <w:szCs w:val="18"/>
        </w:rPr>
        <w:t>retirar a</w:t>
      </w:r>
      <w:r w:rsidRPr="00DE5BE8">
        <w:rPr>
          <w:spacing w:val="-4"/>
          <w:sz w:val="18"/>
          <w:szCs w:val="18"/>
        </w:rPr>
        <w:t xml:space="preserve"> </w:t>
      </w:r>
      <w:r w:rsidRPr="00DE5BE8">
        <w:rPr>
          <w:sz w:val="18"/>
          <w:szCs w:val="18"/>
        </w:rPr>
        <w:t>UAH de</w:t>
      </w:r>
      <w:r w:rsidRPr="00DE5BE8">
        <w:rPr>
          <w:spacing w:val="-5"/>
          <w:sz w:val="18"/>
          <w:szCs w:val="18"/>
        </w:rPr>
        <w:t xml:space="preserve"> </w:t>
      </w:r>
      <w:r w:rsidRPr="00DE5BE8">
        <w:rPr>
          <w:sz w:val="18"/>
          <w:szCs w:val="18"/>
        </w:rPr>
        <w:t>la</w:t>
      </w:r>
      <w:r w:rsidRPr="00DE5BE8">
        <w:rPr>
          <w:spacing w:val="-5"/>
          <w:sz w:val="18"/>
          <w:szCs w:val="18"/>
        </w:rPr>
        <w:t xml:space="preserve"> </w:t>
      </w:r>
      <w:r w:rsidRPr="00DE5BE8">
        <w:rPr>
          <w:sz w:val="18"/>
          <w:szCs w:val="18"/>
        </w:rPr>
        <w:t>categoría</w:t>
      </w:r>
      <w:r w:rsidRPr="00DE5BE8">
        <w:rPr>
          <w:spacing w:val="-5"/>
          <w:sz w:val="18"/>
          <w:szCs w:val="18"/>
        </w:rPr>
        <w:t xml:space="preserve"> </w:t>
      </w:r>
      <w:r w:rsidRPr="00DE5BE8">
        <w:rPr>
          <w:sz w:val="18"/>
          <w:szCs w:val="18"/>
        </w:rPr>
        <w:t>de</w:t>
      </w:r>
      <w:r w:rsidRPr="00DE5BE8">
        <w:rPr>
          <w:spacing w:val="-5"/>
          <w:sz w:val="18"/>
          <w:szCs w:val="18"/>
        </w:rPr>
        <w:t xml:space="preserve"> </w:t>
      </w:r>
      <w:r w:rsidRPr="00DE5BE8">
        <w:rPr>
          <w:sz w:val="18"/>
          <w:szCs w:val="18"/>
        </w:rPr>
        <w:t>crónicamente con</w:t>
      </w:r>
      <w:r w:rsidRPr="00DE5BE8">
        <w:rPr>
          <w:spacing w:val="-5"/>
          <w:sz w:val="18"/>
          <w:szCs w:val="18"/>
        </w:rPr>
        <w:t xml:space="preserve"> </w:t>
      </w:r>
      <w:r w:rsidRPr="00DE5BE8">
        <w:rPr>
          <w:sz w:val="18"/>
          <w:szCs w:val="18"/>
        </w:rPr>
        <w:t>bajo</w:t>
      </w:r>
      <w:r w:rsidRPr="00DE5BE8">
        <w:rPr>
          <w:spacing w:val="-4"/>
          <w:sz w:val="18"/>
          <w:szCs w:val="18"/>
        </w:rPr>
        <w:t xml:space="preserve"> </w:t>
      </w:r>
      <w:r w:rsidRPr="00DE5BE8">
        <w:rPr>
          <w:sz w:val="18"/>
          <w:szCs w:val="18"/>
        </w:rPr>
        <w:t>rendimiento</w:t>
      </w:r>
      <w:r w:rsidRPr="00DE5BE8">
        <w:rPr>
          <w:spacing w:val="-5"/>
          <w:sz w:val="18"/>
          <w:szCs w:val="18"/>
        </w:rPr>
        <w:t xml:space="preserve"> </w:t>
      </w:r>
      <w:r w:rsidRPr="00DE5BE8">
        <w:rPr>
          <w:sz w:val="18"/>
          <w:szCs w:val="18"/>
        </w:rPr>
        <w:t>el 1</w:t>
      </w:r>
      <w:r w:rsidRPr="00DE5BE8">
        <w:rPr>
          <w:spacing w:val="-5"/>
          <w:sz w:val="18"/>
          <w:szCs w:val="18"/>
        </w:rPr>
        <w:t xml:space="preserve"> </w:t>
      </w:r>
      <w:r w:rsidRPr="00DE5BE8">
        <w:rPr>
          <w:sz w:val="18"/>
          <w:szCs w:val="18"/>
        </w:rPr>
        <w:t>de</w:t>
      </w:r>
      <w:r w:rsidRPr="00DE5BE8">
        <w:rPr>
          <w:spacing w:val="-5"/>
          <w:sz w:val="18"/>
          <w:szCs w:val="18"/>
        </w:rPr>
        <w:t xml:space="preserve"> </w:t>
      </w:r>
      <w:r w:rsidRPr="00DE5BE8">
        <w:rPr>
          <w:sz w:val="18"/>
          <w:szCs w:val="18"/>
        </w:rPr>
        <w:t>julio, el</w:t>
      </w:r>
      <w:r w:rsidRPr="00DE5BE8">
        <w:rPr>
          <w:spacing w:val="-3"/>
          <w:sz w:val="18"/>
          <w:szCs w:val="18"/>
        </w:rPr>
        <w:t xml:space="preserve"> </w:t>
      </w:r>
      <w:r w:rsidRPr="00DE5BE8">
        <w:rPr>
          <w:sz w:val="18"/>
          <w:szCs w:val="18"/>
        </w:rPr>
        <w:t>empleo</w:t>
      </w:r>
      <w:r w:rsidRPr="00DE5BE8">
        <w:rPr>
          <w:spacing w:val="-5"/>
          <w:sz w:val="18"/>
          <w:szCs w:val="18"/>
        </w:rPr>
        <w:t xml:space="preserve"> </w:t>
      </w:r>
      <w:r w:rsidRPr="00DE5BE8">
        <w:rPr>
          <w:sz w:val="18"/>
          <w:szCs w:val="18"/>
        </w:rPr>
        <w:t>de UP</w:t>
      </w:r>
      <w:r w:rsidRPr="00DE5BE8">
        <w:rPr>
          <w:spacing w:val="-2"/>
          <w:sz w:val="18"/>
          <w:szCs w:val="18"/>
        </w:rPr>
        <w:t xml:space="preserve"> </w:t>
      </w:r>
      <w:r w:rsidRPr="00DE5BE8">
        <w:rPr>
          <w:sz w:val="18"/>
          <w:szCs w:val="18"/>
        </w:rPr>
        <w:t>Education</w:t>
      </w:r>
      <w:r w:rsidRPr="00DE5BE8">
        <w:rPr>
          <w:spacing w:val="-5"/>
          <w:sz w:val="18"/>
          <w:szCs w:val="18"/>
        </w:rPr>
        <w:t xml:space="preserve"> </w:t>
      </w:r>
      <w:r w:rsidRPr="00DE5BE8">
        <w:rPr>
          <w:sz w:val="18"/>
          <w:szCs w:val="18"/>
        </w:rPr>
        <w:t>Network como interventor de UAH llegará a su fin.</w:t>
      </w:r>
    </w:p>
    <w:p w14:paraId="5D72E850" w14:textId="38B4A6A4" w:rsidR="00E316DF" w:rsidRDefault="00E316DF" w:rsidP="00DE5BE8">
      <w:pPr>
        <w:pStyle w:val="BodyText"/>
        <w:spacing w:before="208"/>
        <w:rPr>
          <w:sz w:val="20"/>
        </w:rPr>
        <w:sectPr w:rsidR="00E316DF" w:rsidSect="00DE5BE8">
          <w:headerReference w:type="default" r:id="rId6"/>
          <w:footerReference w:type="default" r:id="rId7"/>
          <w:headerReference w:type="first" r:id="rId8"/>
          <w:footerReference w:type="first" r:id="rId9"/>
          <w:type w:val="continuous"/>
          <w:pgSz w:w="12240" w:h="15840"/>
          <w:pgMar w:top="640" w:right="360" w:bottom="280" w:left="720" w:header="720" w:footer="720" w:gutter="0"/>
          <w:cols w:space="720"/>
          <w:titlePg/>
          <w:docGrid w:linePitch="299"/>
        </w:sectPr>
      </w:pPr>
    </w:p>
    <w:p w14:paraId="1C472858" w14:textId="77777777" w:rsidR="00E316DF" w:rsidRDefault="00054DCC">
      <w:pPr>
        <w:pStyle w:val="BodyText"/>
        <w:spacing w:before="80" w:line="278" w:lineRule="auto"/>
        <w:ind w:left="720" w:right="1115"/>
      </w:pPr>
      <w:r>
        <w:lastRenderedPageBreak/>
        <w:t>o más características del plan de recuperación escolar actual deben permanecer vigentes durante un período de transición después de la salida de la escuela de la intervención, si tales características contribuyen a la mejora continua de la escuela. Posteriormente, el Departamento supervisará la implementación de cualquier garantía de</w:t>
      </w:r>
      <w:r>
        <w:rPr>
          <w:spacing w:val="-3"/>
        </w:rPr>
        <w:t xml:space="preserve"> </w:t>
      </w:r>
      <w:r>
        <w:t>salida</w:t>
      </w:r>
      <w:r>
        <w:rPr>
          <w:spacing w:val="-3"/>
        </w:rPr>
        <w:t xml:space="preserve"> </w:t>
      </w:r>
      <w:r>
        <w:t>por</w:t>
      </w:r>
      <w:r>
        <w:rPr>
          <w:spacing w:val="-4"/>
        </w:rPr>
        <w:t xml:space="preserve"> </w:t>
      </w:r>
      <w:r>
        <w:t>un</w:t>
      </w:r>
      <w:r>
        <w:rPr>
          <w:spacing w:val="-3"/>
        </w:rPr>
        <w:t xml:space="preserve"> </w:t>
      </w:r>
      <w:r>
        <w:t>período</w:t>
      </w:r>
      <w:r>
        <w:rPr>
          <w:spacing w:val="-3"/>
        </w:rPr>
        <w:t xml:space="preserve"> </w:t>
      </w:r>
      <w:r>
        <w:t>de</w:t>
      </w:r>
      <w:r>
        <w:rPr>
          <w:spacing w:val="-3"/>
        </w:rPr>
        <w:t xml:space="preserve"> </w:t>
      </w:r>
      <w:r>
        <w:t>hasta</w:t>
      </w:r>
      <w:r>
        <w:rPr>
          <w:spacing w:val="-3"/>
        </w:rPr>
        <w:t xml:space="preserve"> </w:t>
      </w:r>
      <w:r>
        <w:t>dos</w:t>
      </w:r>
      <w:r>
        <w:rPr>
          <w:spacing w:val="-4"/>
        </w:rPr>
        <w:t xml:space="preserve"> </w:t>
      </w:r>
      <w:r>
        <w:t>años,</w:t>
      </w:r>
      <w:r>
        <w:rPr>
          <w:spacing w:val="-6"/>
        </w:rPr>
        <w:t xml:space="preserve"> </w:t>
      </w:r>
      <w:r>
        <w:t>después</w:t>
      </w:r>
      <w:r>
        <w:rPr>
          <w:spacing w:val="-4"/>
        </w:rPr>
        <w:t xml:space="preserve"> </w:t>
      </w:r>
      <w:r>
        <w:t>del</w:t>
      </w:r>
      <w:r>
        <w:rPr>
          <w:spacing w:val="-3"/>
        </w:rPr>
        <w:t xml:space="preserve"> </w:t>
      </w:r>
      <w:r>
        <w:t>cual</w:t>
      </w:r>
      <w:r>
        <w:rPr>
          <w:spacing w:val="-3"/>
        </w:rPr>
        <w:t xml:space="preserve"> </w:t>
      </w:r>
      <w:r>
        <w:t>revisaré</w:t>
      </w:r>
      <w:r>
        <w:rPr>
          <w:spacing w:val="-3"/>
        </w:rPr>
        <w:t xml:space="preserve"> </w:t>
      </w:r>
      <w:r>
        <w:t>el</w:t>
      </w:r>
      <w:r>
        <w:rPr>
          <w:spacing w:val="-3"/>
        </w:rPr>
        <w:t xml:space="preserve"> </w:t>
      </w:r>
      <w:r>
        <w:t>progreso</w:t>
      </w:r>
      <w:r>
        <w:rPr>
          <w:spacing w:val="-3"/>
        </w:rPr>
        <w:t xml:space="preserve"> </w:t>
      </w:r>
      <w:r>
        <w:t>de</w:t>
      </w:r>
      <w:r>
        <w:rPr>
          <w:spacing w:val="-3"/>
        </w:rPr>
        <w:t xml:space="preserve"> </w:t>
      </w:r>
      <w:r>
        <w:t>la escuela para determinar si alguna garantía de salida restante debe mantenerse o suspenderse. Cada garantía de salida puede, a mi discreción, suspenderse en cualquier momento en función de la evidencia del progreso de la escuela.</w:t>
      </w:r>
    </w:p>
    <w:p w14:paraId="70E3854B" w14:textId="77777777" w:rsidR="00E316DF" w:rsidRDefault="00054DCC">
      <w:pPr>
        <w:pStyle w:val="BodyText"/>
        <w:spacing w:before="155" w:line="278" w:lineRule="auto"/>
        <w:ind w:left="720" w:right="1081"/>
      </w:pPr>
      <w:r>
        <w:t>Felicitaciones a toda la comunidad de UAH y a UP Education Network por construir y mantener</w:t>
      </w:r>
      <w:r>
        <w:rPr>
          <w:spacing w:val="-1"/>
        </w:rPr>
        <w:t xml:space="preserve"> </w:t>
      </w:r>
      <w:r>
        <w:t>una escuela próspera que ahora está</w:t>
      </w:r>
      <w:r>
        <w:rPr>
          <w:spacing w:val="-5"/>
        </w:rPr>
        <w:t xml:space="preserve"> </w:t>
      </w:r>
      <w:r>
        <w:t>lista para reunirse con sus</w:t>
      </w:r>
      <w:r>
        <w:rPr>
          <w:spacing w:val="-1"/>
        </w:rPr>
        <w:t xml:space="preserve"> </w:t>
      </w:r>
      <w:r>
        <w:t>pares</w:t>
      </w:r>
      <w:r>
        <w:rPr>
          <w:spacing w:val="-1"/>
        </w:rPr>
        <w:t xml:space="preserve"> </w:t>
      </w:r>
      <w:r>
        <w:t>en las Escuelas Públicas de Boston. El Departamento espera continuar aprendiendo de sus prácticas</w:t>
      </w:r>
      <w:r>
        <w:rPr>
          <w:spacing w:val="-4"/>
        </w:rPr>
        <w:t xml:space="preserve"> </w:t>
      </w:r>
      <w:r>
        <w:t>exitosas</w:t>
      </w:r>
      <w:r>
        <w:rPr>
          <w:spacing w:val="-4"/>
        </w:rPr>
        <w:t xml:space="preserve"> </w:t>
      </w:r>
      <w:r>
        <w:t>mientras</w:t>
      </w:r>
      <w:r>
        <w:rPr>
          <w:spacing w:val="-4"/>
        </w:rPr>
        <w:t xml:space="preserve"> </w:t>
      </w:r>
      <w:r>
        <w:t>trabajamos</w:t>
      </w:r>
      <w:r>
        <w:rPr>
          <w:spacing w:val="-4"/>
        </w:rPr>
        <w:t xml:space="preserve"> </w:t>
      </w:r>
      <w:r>
        <w:t>para</w:t>
      </w:r>
      <w:r>
        <w:rPr>
          <w:spacing w:val="-3"/>
        </w:rPr>
        <w:t xml:space="preserve"> </w:t>
      </w:r>
      <w:r>
        <w:t>apoyar</w:t>
      </w:r>
      <w:r>
        <w:rPr>
          <w:spacing w:val="-4"/>
        </w:rPr>
        <w:t xml:space="preserve"> </w:t>
      </w:r>
      <w:r>
        <w:t>a</w:t>
      </w:r>
      <w:r>
        <w:rPr>
          <w:spacing w:val="-3"/>
        </w:rPr>
        <w:t xml:space="preserve"> </w:t>
      </w:r>
      <w:r>
        <w:t>muchas</w:t>
      </w:r>
      <w:r>
        <w:rPr>
          <w:spacing w:val="-4"/>
        </w:rPr>
        <w:t xml:space="preserve"> </w:t>
      </w:r>
      <w:r>
        <w:t>otras</w:t>
      </w:r>
      <w:r>
        <w:rPr>
          <w:spacing w:val="-4"/>
        </w:rPr>
        <w:t xml:space="preserve"> </w:t>
      </w:r>
      <w:r>
        <w:t>escuelas</w:t>
      </w:r>
      <w:r>
        <w:rPr>
          <w:spacing w:val="-4"/>
        </w:rPr>
        <w:t xml:space="preserve"> </w:t>
      </w:r>
      <w:r>
        <w:t>en</w:t>
      </w:r>
      <w:r>
        <w:rPr>
          <w:spacing w:val="-3"/>
        </w:rPr>
        <w:t xml:space="preserve"> </w:t>
      </w:r>
      <w:r>
        <w:t>todo</w:t>
      </w:r>
      <w:r>
        <w:rPr>
          <w:spacing w:val="-3"/>
        </w:rPr>
        <w:t xml:space="preserve"> </w:t>
      </w:r>
      <w:r>
        <w:t>el Estado a lograr mejoras en el aprendizaje estudiantil.</w:t>
      </w:r>
    </w:p>
    <w:p w14:paraId="5FA9C7BC" w14:textId="77777777" w:rsidR="00E316DF" w:rsidRDefault="00E316DF" w:rsidP="00DE5BE8">
      <w:pPr>
        <w:pStyle w:val="BodyText"/>
        <w:spacing w:before="88" w:after="240"/>
      </w:pPr>
    </w:p>
    <w:p w14:paraId="0F605AA8" w14:textId="77777777" w:rsidR="00E316DF" w:rsidRDefault="00054DCC">
      <w:pPr>
        <w:pStyle w:val="BodyText"/>
        <w:ind w:left="785"/>
      </w:pPr>
      <w:r>
        <w:rPr>
          <w:spacing w:val="-2"/>
        </w:rPr>
        <w:t>Atentamente,</w:t>
      </w:r>
    </w:p>
    <w:p w14:paraId="7E828CF5" w14:textId="77777777" w:rsidR="00E316DF" w:rsidRDefault="00054DCC">
      <w:pPr>
        <w:pStyle w:val="BodyText"/>
        <w:spacing w:before="8"/>
        <w:rPr>
          <w:sz w:val="20"/>
        </w:rPr>
      </w:pPr>
      <w:r>
        <w:rPr>
          <w:noProof/>
          <w:sz w:val="20"/>
        </w:rPr>
        <w:drawing>
          <wp:anchor distT="0" distB="0" distL="0" distR="0" simplePos="0" relativeHeight="487588864" behindDoc="1" locked="0" layoutInCell="1" allowOverlap="1" wp14:anchorId="42665330" wp14:editId="00E8BFDA">
            <wp:simplePos x="0" y="0"/>
            <wp:positionH relativeFrom="page">
              <wp:posOffset>988491</wp:posOffset>
            </wp:positionH>
            <wp:positionV relativeFrom="paragraph">
              <wp:posOffset>166812</wp:posOffset>
            </wp:positionV>
            <wp:extent cx="1960428" cy="504158"/>
            <wp:effectExtent l="0" t="0" r="0" b="0"/>
            <wp:wrapTopAndBottom/>
            <wp:docPr id="4" name="Image 4" descr="Signature of Commisioner Martinez"/>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Signature of Commisioner Martinez"/>
                    <pic:cNvPicPr/>
                  </pic:nvPicPr>
                  <pic:blipFill>
                    <a:blip r:embed="rId10" cstate="print"/>
                    <a:stretch>
                      <a:fillRect/>
                    </a:stretch>
                  </pic:blipFill>
                  <pic:spPr>
                    <a:xfrm>
                      <a:off x="0" y="0"/>
                      <a:ext cx="1960428" cy="504158"/>
                    </a:xfrm>
                    <a:prstGeom prst="rect">
                      <a:avLst/>
                    </a:prstGeom>
                  </pic:spPr>
                </pic:pic>
              </a:graphicData>
            </a:graphic>
          </wp:anchor>
        </w:drawing>
      </w:r>
    </w:p>
    <w:p w14:paraId="7166A077" w14:textId="77777777" w:rsidR="00E316DF" w:rsidRDefault="00054DCC">
      <w:pPr>
        <w:pStyle w:val="BodyText"/>
        <w:spacing w:before="258"/>
        <w:ind w:left="720"/>
      </w:pPr>
      <w:r>
        <w:t>Pedro</w:t>
      </w:r>
      <w:r>
        <w:rPr>
          <w:spacing w:val="-1"/>
        </w:rPr>
        <w:t xml:space="preserve"> </w:t>
      </w:r>
      <w:r>
        <w:rPr>
          <w:spacing w:val="-2"/>
        </w:rPr>
        <w:t>Martinez</w:t>
      </w:r>
    </w:p>
    <w:p w14:paraId="0926F30A" w14:textId="77777777" w:rsidR="00E316DF" w:rsidRDefault="00054DCC">
      <w:pPr>
        <w:pStyle w:val="BodyText"/>
        <w:spacing w:before="204"/>
        <w:ind w:left="720"/>
      </w:pPr>
      <w:r>
        <w:t>Comisionado</w:t>
      </w:r>
      <w:r>
        <w:rPr>
          <w:spacing w:val="-5"/>
        </w:rPr>
        <w:t xml:space="preserve"> </w:t>
      </w:r>
      <w:r>
        <w:t>de</w:t>
      </w:r>
      <w:r>
        <w:rPr>
          <w:spacing w:val="-4"/>
        </w:rPr>
        <w:t xml:space="preserve"> </w:t>
      </w:r>
      <w:r>
        <w:t>Educación</w:t>
      </w:r>
      <w:r>
        <w:rPr>
          <w:spacing w:val="-5"/>
        </w:rPr>
        <w:t xml:space="preserve"> </w:t>
      </w:r>
      <w:r>
        <w:t>Primaria</w:t>
      </w:r>
      <w:r>
        <w:rPr>
          <w:spacing w:val="-4"/>
        </w:rPr>
        <w:t xml:space="preserve"> </w:t>
      </w:r>
      <w:r>
        <w:t>y</w:t>
      </w:r>
      <w:r>
        <w:rPr>
          <w:spacing w:val="-5"/>
        </w:rPr>
        <w:t xml:space="preserve"> </w:t>
      </w:r>
      <w:r>
        <w:rPr>
          <w:spacing w:val="-2"/>
        </w:rPr>
        <w:t>Secundaria</w:t>
      </w:r>
    </w:p>
    <w:p w14:paraId="48A4D765" w14:textId="77777777" w:rsidR="00E316DF" w:rsidRDefault="00E316DF" w:rsidP="00DE5BE8">
      <w:pPr>
        <w:pStyle w:val="BodyText"/>
        <w:spacing w:before="132" w:after="240"/>
      </w:pPr>
    </w:p>
    <w:p w14:paraId="76E8222B" w14:textId="77777777" w:rsidR="00E316DF" w:rsidRPr="00F177C5" w:rsidRDefault="00054DCC">
      <w:pPr>
        <w:pStyle w:val="BodyText"/>
        <w:tabs>
          <w:tab w:val="left" w:pos="1440"/>
        </w:tabs>
        <w:spacing w:line="417" w:lineRule="auto"/>
        <w:ind w:left="720" w:right="5620"/>
        <w:rPr>
          <w:lang w:val="en-US"/>
        </w:rPr>
      </w:pPr>
      <w:r w:rsidRPr="00F177C5">
        <w:rPr>
          <w:spacing w:val="-4"/>
          <w:lang w:val="en-US"/>
        </w:rPr>
        <w:t>Cc:</w:t>
      </w:r>
      <w:r w:rsidRPr="00F177C5">
        <w:rPr>
          <w:lang w:val="en-US"/>
        </w:rPr>
        <w:tab/>
        <w:t>Hillary</w:t>
      </w:r>
      <w:r w:rsidRPr="00F177C5">
        <w:rPr>
          <w:spacing w:val="-9"/>
          <w:lang w:val="en-US"/>
        </w:rPr>
        <w:t xml:space="preserve"> </w:t>
      </w:r>
      <w:r w:rsidRPr="00F177C5">
        <w:rPr>
          <w:lang w:val="en-US"/>
        </w:rPr>
        <w:t>Casson,</w:t>
      </w:r>
      <w:r w:rsidRPr="00F177C5">
        <w:rPr>
          <w:spacing w:val="-11"/>
          <w:lang w:val="en-US"/>
        </w:rPr>
        <w:t xml:space="preserve"> </w:t>
      </w:r>
      <w:r w:rsidRPr="00F177C5">
        <w:rPr>
          <w:lang w:val="en-US"/>
        </w:rPr>
        <w:t>UP</w:t>
      </w:r>
      <w:r w:rsidRPr="00F177C5">
        <w:rPr>
          <w:spacing w:val="-9"/>
          <w:lang w:val="en-US"/>
        </w:rPr>
        <w:t xml:space="preserve"> </w:t>
      </w:r>
      <w:r w:rsidRPr="00F177C5">
        <w:rPr>
          <w:lang w:val="en-US"/>
        </w:rPr>
        <w:t>Education</w:t>
      </w:r>
      <w:r w:rsidRPr="00F177C5">
        <w:rPr>
          <w:spacing w:val="-8"/>
          <w:lang w:val="en-US"/>
        </w:rPr>
        <w:t xml:space="preserve"> </w:t>
      </w:r>
      <w:r w:rsidRPr="00F177C5">
        <w:rPr>
          <w:lang w:val="en-US"/>
        </w:rPr>
        <w:t>Network Alcadesa Michelle Wu, Ciudad of Boston</w:t>
      </w:r>
    </w:p>
    <w:p w14:paraId="4273BBB7" w14:textId="77777777" w:rsidR="00E316DF" w:rsidRDefault="00054DCC">
      <w:pPr>
        <w:pStyle w:val="BodyText"/>
        <w:ind w:left="720"/>
      </w:pPr>
      <w:r>
        <w:t>Lauren</w:t>
      </w:r>
      <w:r>
        <w:rPr>
          <w:spacing w:val="-6"/>
        </w:rPr>
        <w:t xml:space="preserve"> </w:t>
      </w:r>
      <w:r>
        <w:t>Woo,</w:t>
      </w:r>
      <w:r>
        <w:rPr>
          <w:spacing w:val="-6"/>
        </w:rPr>
        <w:t xml:space="preserve"> </w:t>
      </w:r>
      <w:r>
        <w:t>Departamento</w:t>
      </w:r>
      <w:r>
        <w:rPr>
          <w:spacing w:val="-3"/>
        </w:rPr>
        <w:t xml:space="preserve"> </w:t>
      </w:r>
      <w:r>
        <w:t>de</w:t>
      </w:r>
      <w:r>
        <w:rPr>
          <w:spacing w:val="-3"/>
        </w:rPr>
        <w:t xml:space="preserve"> </w:t>
      </w:r>
      <w:r>
        <w:t>Educación</w:t>
      </w:r>
      <w:r>
        <w:rPr>
          <w:spacing w:val="-3"/>
        </w:rPr>
        <w:t xml:space="preserve"> </w:t>
      </w:r>
      <w:r>
        <w:t>Primaria</w:t>
      </w:r>
      <w:r>
        <w:rPr>
          <w:spacing w:val="-3"/>
        </w:rPr>
        <w:t xml:space="preserve"> </w:t>
      </w:r>
      <w:r>
        <w:t>y</w:t>
      </w:r>
      <w:r>
        <w:rPr>
          <w:spacing w:val="-4"/>
        </w:rPr>
        <w:t xml:space="preserve"> </w:t>
      </w:r>
      <w:r>
        <w:t>Secundaria</w:t>
      </w:r>
      <w:r>
        <w:rPr>
          <w:spacing w:val="-3"/>
        </w:rPr>
        <w:t xml:space="preserve"> </w:t>
      </w:r>
      <w:r>
        <w:t>de</w:t>
      </w:r>
      <w:r>
        <w:rPr>
          <w:spacing w:val="-3"/>
        </w:rPr>
        <w:t xml:space="preserve"> </w:t>
      </w:r>
      <w:r>
        <w:rPr>
          <w:spacing w:val="-2"/>
        </w:rPr>
        <w:t>Massachusetts</w:t>
      </w:r>
    </w:p>
    <w:sectPr w:rsidR="00E316DF">
      <w:pgSz w:w="12240" w:h="15840"/>
      <w:pgMar w:top="1360" w:right="36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E1AC4" w14:textId="77777777" w:rsidR="008A0380" w:rsidRDefault="008A0380" w:rsidP="00DE5BE8">
      <w:r>
        <w:separator/>
      </w:r>
    </w:p>
  </w:endnote>
  <w:endnote w:type="continuationSeparator" w:id="0">
    <w:p w14:paraId="4DF5C863" w14:textId="77777777" w:rsidR="008A0380" w:rsidRDefault="008A0380" w:rsidP="00DE5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154542"/>
      <w:docPartObj>
        <w:docPartGallery w:val="Page Numbers (Bottom of Page)"/>
        <w:docPartUnique/>
      </w:docPartObj>
    </w:sdtPr>
    <w:sdtEndPr>
      <w:rPr>
        <w:noProof/>
      </w:rPr>
    </w:sdtEndPr>
    <w:sdtContent>
      <w:p w14:paraId="744B803E" w14:textId="4C10E9D2" w:rsidR="00DE5BE8" w:rsidRDefault="00DE5B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F925" w14:textId="09DB14C9" w:rsidR="00DE5BE8" w:rsidRDefault="00DE5BE8">
    <w:pPr>
      <w:pStyle w:val="Footer"/>
    </w:pPr>
    <w:r>
      <w:rPr>
        <w:noProof/>
        <w:sz w:val="20"/>
      </w:rPr>
      <w:drawing>
        <wp:anchor distT="0" distB="0" distL="0" distR="0" simplePos="0" relativeHeight="251659264" behindDoc="1" locked="0" layoutInCell="1" allowOverlap="1" wp14:anchorId="34B91320" wp14:editId="4F3887CD">
          <wp:simplePos x="0" y="0"/>
          <wp:positionH relativeFrom="page">
            <wp:posOffset>1038225</wp:posOffset>
          </wp:positionH>
          <wp:positionV relativeFrom="paragraph">
            <wp:posOffset>161925</wp:posOffset>
          </wp:positionV>
          <wp:extent cx="5794529" cy="148590"/>
          <wp:effectExtent l="0" t="0" r="0" b="0"/>
          <wp:wrapTopAndBottom/>
          <wp:docPr id="1054157922" name="Image 2" descr="DESE address, phone numbers and website addre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E address, phone numbers and website address."/>
                  <pic:cNvPicPr/>
                </pic:nvPicPr>
                <pic:blipFill>
                  <a:blip r:embed="rId1" cstate="print"/>
                  <a:stretch>
                    <a:fillRect/>
                  </a:stretch>
                </pic:blipFill>
                <pic:spPr>
                  <a:xfrm>
                    <a:off x="0" y="0"/>
                    <a:ext cx="5794529" cy="1485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B188F" w14:textId="77777777" w:rsidR="008A0380" w:rsidRDefault="008A0380" w:rsidP="00DE5BE8">
      <w:r>
        <w:separator/>
      </w:r>
    </w:p>
  </w:footnote>
  <w:footnote w:type="continuationSeparator" w:id="0">
    <w:p w14:paraId="55793440" w14:textId="77777777" w:rsidR="008A0380" w:rsidRDefault="008A0380" w:rsidP="00DE5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7B065" w14:textId="7F36D78D" w:rsidR="00DE5BE8" w:rsidRDefault="00DE5BE8" w:rsidP="00DE5BE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7100" w14:textId="4E949DA8" w:rsidR="00DE5BE8" w:rsidRDefault="00DE5BE8" w:rsidP="00DE5BE8">
    <w:pPr>
      <w:pStyle w:val="Header"/>
      <w:jc w:val="center"/>
    </w:pPr>
    <w:r>
      <w:rPr>
        <w:rFonts w:ascii="Times New Roman"/>
        <w:noProof/>
        <w:sz w:val="20"/>
      </w:rPr>
      <w:drawing>
        <wp:inline distT="0" distB="0" distL="0" distR="0" wp14:anchorId="36712873" wp14:editId="2E298544">
          <wp:extent cx="6455380" cy="777240"/>
          <wp:effectExtent l="0" t="0" r="0" b="0"/>
          <wp:docPr id="1668762592" name="Image 1" descr="DESE Logo and MA State Seal letter 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ESE Logo and MA State Seal letter header"/>
                  <pic:cNvPicPr/>
                </pic:nvPicPr>
                <pic:blipFill>
                  <a:blip r:embed="rId1" cstate="print"/>
                  <a:stretch>
                    <a:fillRect/>
                  </a:stretch>
                </pic:blipFill>
                <pic:spPr>
                  <a:xfrm>
                    <a:off x="0" y="0"/>
                    <a:ext cx="6455380" cy="7772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6DF"/>
    <w:rsid w:val="00054DCC"/>
    <w:rsid w:val="00406D98"/>
    <w:rsid w:val="00531907"/>
    <w:rsid w:val="006F3FA4"/>
    <w:rsid w:val="008A0380"/>
    <w:rsid w:val="00D02C10"/>
    <w:rsid w:val="00DE5BE8"/>
    <w:rsid w:val="00E316DF"/>
    <w:rsid w:val="00F177C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3E82B"/>
  <w15:docId w15:val="{07ACA3EC-B330-47D6-B622-DBF64B46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Heading1">
    <w:name w:val="heading 1"/>
    <w:basedOn w:val="Normal"/>
    <w:next w:val="Normal"/>
    <w:link w:val="Heading1Char"/>
    <w:uiPriority w:val="9"/>
    <w:qFormat/>
    <w:rsid w:val="00DE5BE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DE5BE8"/>
    <w:rPr>
      <w:rFonts w:asciiTheme="majorHAnsi" w:eastAsiaTheme="majorEastAsia" w:hAnsiTheme="majorHAnsi" w:cstheme="majorBidi"/>
      <w:color w:val="365F91" w:themeColor="accent1" w:themeShade="BF"/>
      <w:sz w:val="32"/>
      <w:szCs w:val="32"/>
      <w:lang w:val="es-ES"/>
    </w:rPr>
  </w:style>
  <w:style w:type="paragraph" w:styleId="Header">
    <w:name w:val="header"/>
    <w:basedOn w:val="Normal"/>
    <w:link w:val="HeaderChar"/>
    <w:uiPriority w:val="99"/>
    <w:unhideWhenUsed/>
    <w:rsid w:val="00DE5BE8"/>
    <w:pPr>
      <w:tabs>
        <w:tab w:val="center" w:pos="4680"/>
        <w:tab w:val="right" w:pos="9360"/>
      </w:tabs>
    </w:pPr>
  </w:style>
  <w:style w:type="character" w:customStyle="1" w:styleId="HeaderChar">
    <w:name w:val="Header Char"/>
    <w:basedOn w:val="DefaultParagraphFont"/>
    <w:link w:val="Header"/>
    <w:uiPriority w:val="99"/>
    <w:rsid w:val="00DE5BE8"/>
    <w:rPr>
      <w:rFonts w:ascii="Arial" w:eastAsia="Arial" w:hAnsi="Arial" w:cs="Arial"/>
      <w:lang w:val="es-ES"/>
    </w:rPr>
  </w:style>
  <w:style w:type="paragraph" w:styleId="Footer">
    <w:name w:val="footer"/>
    <w:basedOn w:val="Normal"/>
    <w:link w:val="FooterChar"/>
    <w:uiPriority w:val="99"/>
    <w:unhideWhenUsed/>
    <w:rsid w:val="00DE5BE8"/>
    <w:pPr>
      <w:tabs>
        <w:tab w:val="center" w:pos="4680"/>
        <w:tab w:val="right" w:pos="9360"/>
      </w:tabs>
    </w:pPr>
  </w:style>
  <w:style w:type="character" w:customStyle="1" w:styleId="FooterChar">
    <w:name w:val="Footer Char"/>
    <w:basedOn w:val="DefaultParagraphFont"/>
    <w:link w:val="Footer"/>
    <w:uiPriority w:val="99"/>
    <w:rsid w:val="00DE5BE8"/>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16, 2025 Commissioner announcement of exit of UP Academy Holland from chronically underperforming status — Spanlish</dc:title>
  <dc:creator>DESE</dc:creator>
  <cp:lastModifiedBy>Zou, Dong (EOE)</cp:lastModifiedBy>
  <cp:revision>4</cp:revision>
  <dcterms:created xsi:type="dcterms:W3CDTF">2025-12-15T17:34:00Z</dcterms:created>
  <dcterms:modified xsi:type="dcterms:W3CDTF">2025-12-16T22:38:00Z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16 2025 12:00AM</vt:lpwstr>
  </property>
</Properties>
</file>