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3245E" w14:textId="77777777" w:rsidR="001C5112" w:rsidRPr="002766D5" w:rsidRDefault="001C5112">
      <w:pPr>
        <w:rPr>
          <w:sz w:val="18"/>
          <w:szCs w:val="18"/>
        </w:rPr>
      </w:pPr>
    </w:p>
    <w:p w14:paraId="011D16F1" w14:textId="77777777" w:rsidR="00EB1F7E" w:rsidRPr="002766D5" w:rsidRDefault="00EB1F7E" w:rsidP="00672FD2">
      <w:pPr>
        <w:pStyle w:val="Heading1"/>
        <w:pBdr>
          <w:top w:val="single" w:sz="4" w:space="1" w:color="auto"/>
          <w:left w:val="single" w:sz="4" w:space="4" w:color="auto"/>
          <w:bottom w:val="single" w:sz="4" w:space="1" w:color="auto"/>
          <w:right w:val="single" w:sz="4" w:space="4" w:color="auto"/>
        </w:pBdr>
        <w:rPr>
          <w:rFonts w:eastAsia="Aptos" w:cs="Aptos"/>
        </w:rPr>
      </w:pPr>
      <w:r w:rsidRPr="002766D5">
        <w:t>GARANTÍAS DE SALIDA Y ESTRATEGIAS PARA LA SOSTENIBILIDAD DE LAS ESCUELAS CON BAJO RENDIMIENTO CRÓNICO</w:t>
      </w:r>
    </w:p>
    <w:p w14:paraId="54438EEF" w14:textId="77777777" w:rsidR="001C5112" w:rsidRPr="002766D5" w:rsidRDefault="001C5112">
      <w:pPr>
        <w:pStyle w:val="Title"/>
        <w:jc w:val="left"/>
        <w:rPr>
          <w:rFonts w:ascii="Aptos" w:eastAsia="Aptos" w:hAnsi="Aptos" w:cs="Aptos"/>
          <w:b w:val="0"/>
          <w:bCs w:val="0"/>
          <w:sz w:val="10"/>
          <w:szCs w:val="10"/>
        </w:rPr>
      </w:pPr>
    </w:p>
    <w:p w14:paraId="021EC5FA" w14:textId="77777777" w:rsidR="00672FD2" w:rsidRPr="002766D5" w:rsidRDefault="00672FD2">
      <w:pPr>
        <w:pStyle w:val="Title"/>
        <w:tabs>
          <w:tab w:val="left" w:pos="2667"/>
          <w:tab w:val="left" w:pos="5927"/>
          <w:tab w:val="left" w:pos="8355"/>
        </w:tabs>
        <w:spacing w:before="120"/>
        <w:ind w:left="120"/>
        <w:jc w:val="left"/>
        <w:rPr>
          <w:rFonts w:ascii="Aptos" w:eastAsia="Aptos" w:hAnsi="Aptos" w:cs="Aptos"/>
          <w:b w:val="0"/>
          <w:bCs w:val="0"/>
          <w:sz w:val="20"/>
          <w:szCs w:val="20"/>
        </w:rPr>
      </w:pPr>
      <w:r w:rsidRPr="002766D5">
        <w:rPr>
          <w:rFonts w:ascii="Aptos" w:hAnsi="Aptos"/>
          <w:sz w:val="20"/>
          <w:szCs w:val="24"/>
        </w:rPr>
        <w:t>Nombre del distrito:</w:t>
      </w:r>
      <w:r w:rsidRPr="002766D5">
        <w:rPr>
          <w:rFonts w:ascii="Aptos" w:eastAsia="Aptos" w:hAnsi="Aptos" w:cs="Aptos"/>
          <w:sz w:val="20"/>
          <w:szCs w:val="20"/>
        </w:rPr>
        <w:tab/>
      </w:r>
      <w:r w:rsidRPr="002766D5">
        <w:rPr>
          <w:rFonts w:ascii="Aptos" w:hAnsi="Aptos"/>
          <w:b w:val="0"/>
          <w:sz w:val="20"/>
          <w:szCs w:val="24"/>
        </w:rPr>
        <w:t>Escuelas Públicas de Boston</w:t>
      </w:r>
      <w:r w:rsidRPr="002766D5">
        <w:rPr>
          <w:rFonts w:ascii="Aptos" w:eastAsia="Aptos" w:hAnsi="Aptos" w:cs="Aptos"/>
          <w:b w:val="0"/>
          <w:bCs w:val="0"/>
          <w:sz w:val="20"/>
          <w:szCs w:val="20"/>
        </w:rPr>
        <w:tab/>
      </w:r>
      <w:r w:rsidRPr="002766D5">
        <w:rPr>
          <w:rFonts w:ascii="Aptos" w:hAnsi="Aptos"/>
          <w:sz w:val="20"/>
          <w:szCs w:val="24"/>
        </w:rPr>
        <w:t>Código LEA:</w:t>
      </w:r>
      <w:r w:rsidRPr="002766D5">
        <w:rPr>
          <w:rFonts w:ascii="Aptos" w:eastAsia="Aptos" w:hAnsi="Aptos" w:cs="Aptos"/>
          <w:sz w:val="20"/>
          <w:szCs w:val="20"/>
        </w:rPr>
        <w:tab/>
      </w:r>
      <w:r w:rsidRPr="002766D5">
        <w:rPr>
          <w:rFonts w:ascii="Aptos" w:hAnsi="Aptos"/>
          <w:b w:val="0"/>
          <w:sz w:val="20"/>
          <w:szCs w:val="24"/>
        </w:rPr>
        <w:t>00350000</w:t>
      </w:r>
    </w:p>
    <w:p w14:paraId="719DC63C" w14:textId="77777777" w:rsidR="00672FD2" w:rsidRPr="002766D5" w:rsidRDefault="00672FD2">
      <w:pPr>
        <w:pStyle w:val="Title"/>
        <w:tabs>
          <w:tab w:val="left" w:pos="2667"/>
          <w:tab w:val="left" w:pos="5927"/>
          <w:tab w:val="left" w:pos="8355"/>
        </w:tabs>
        <w:spacing w:before="120"/>
        <w:ind w:left="120"/>
        <w:jc w:val="left"/>
        <w:rPr>
          <w:rFonts w:ascii="Aptos" w:eastAsia="Aptos" w:hAnsi="Aptos" w:cs="Aptos"/>
          <w:b w:val="0"/>
          <w:bCs w:val="0"/>
          <w:sz w:val="20"/>
          <w:szCs w:val="20"/>
        </w:rPr>
      </w:pPr>
      <w:r w:rsidRPr="002766D5">
        <w:rPr>
          <w:rFonts w:ascii="Aptos" w:hAnsi="Aptos"/>
          <w:sz w:val="20"/>
          <w:szCs w:val="24"/>
        </w:rPr>
        <w:t>Nombre de la escuela:</w:t>
      </w:r>
      <w:r w:rsidRPr="002766D5">
        <w:rPr>
          <w:rFonts w:ascii="Aptos" w:eastAsia="Aptos" w:hAnsi="Aptos" w:cs="Aptos"/>
          <w:sz w:val="20"/>
          <w:szCs w:val="20"/>
        </w:rPr>
        <w:tab/>
      </w:r>
      <w:r w:rsidRPr="002766D5">
        <w:rPr>
          <w:rFonts w:ascii="Aptos" w:hAnsi="Aptos"/>
          <w:b w:val="0"/>
          <w:sz w:val="20"/>
          <w:szCs w:val="24"/>
        </w:rPr>
        <w:t xml:space="preserve">UP </w:t>
      </w:r>
      <w:proofErr w:type="spellStart"/>
      <w:r w:rsidRPr="002766D5">
        <w:rPr>
          <w:rFonts w:ascii="Aptos" w:hAnsi="Aptos"/>
          <w:b w:val="0"/>
          <w:sz w:val="20"/>
          <w:szCs w:val="24"/>
        </w:rPr>
        <w:t>Academy</w:t>
      </w:r>
      <w:proofErr w:type="spellEnd"/>
      <w:r w:rsidRPr="002766D5">
        <w:rPr>
          <w:rFonts w:ascii="Aptos" w:hAnsi="Aptos"/>
          <w:b w:val="0"/>
          <w:sz w:val="20"/>
          <w:szCs w:val="24"/>
        </w:rPr>
        <w:t xml:space="preserve"> Holland</w:t>
      </w:r>
      <w:r w:rsidRPr="002766D5">
        <w:rPr>
          <w:rFonts w:ascii="Aptos" w:eastAsia="Aptos" w:hAnsi="Aptos" w:cs="Aptos"/>
          <w:b w:val="0"/>
          <w:bCs w:val="0"/>
          <w:sz w:val="20"/>
          <w:szCs w:val="20"/>
        </w:rPr>
        <w:tab/>
      </w:r>
      <w:r w:rsidRPr="002766D5">
        <w:rPr>
          <w:rFonts w:ascii="Aptos" w:hAnsi="Aptos"/>
          <w:sz w:val="20"/>
          <w:szCs w:val="24"/>
        </w:rPr>
        <w:t>Código de la escuela:</w:t>
      </w:r>
      <w:r w:rsidRPr="002766D5">
        <w:rPr>
          <w:rFonts w:ascii="Aptos" w:eastAsia="Aptos" w:hAnsi="Aptos" w:cs="Aptos"/>
          <w:sz w:val="20"/>
          <w:szCs w:val="20"/>
        </w:rPr>
        <w:tab/>
      </w:r>
      <w:r w:rsidRPr="002766D5">
        <w:rPr>
          <w:rFonts w:ascii="Aptos" w:hAnsi="Aptos"/>
          <w:b w:val="0"/>
          <w:sz w:val="20"/>
          <w:szCs w:val="24"/>
        </w:rPr>
        <w:t>00350167</w:t>
      </w:r>
    </w:p>
    <w:p w14:paraId="4DA58D19" w14:textId="77777777" w:rsidR="001C5112" w:rsidRPr="002766D5" w:rsidRDefault="001C5112">
      <w:pPr>
        <w:rPr>
          <w:rFonts w:ascii="Aptos" w:eastAsia="Aptos" w:hAnsi="Aptos" w:cs="Aptos"/>
          <w:sz w:val="10"/>
          <w:szCs w:val="10"/>
        </w:rPr>
      </w:pPr>
    </w:p>
    <w:p w14:paraId="6322CC99" w14:textId="77777777" w:rsidR="001C5112" w:rsidRPr="002766D5" w:rsidRDefault="00637BA0">
      <w:pPr>
        <w:rPr>
          <w:rFonts w:ascii="Aptos" w:eastAsia="Aptos" w:hAnsi="Aptos" w:cs="Aptos"/>
        </w:rPr>
      </w:pPr>
      <w:r w:rsidRPr="002766D5">
        <w:rPr>
          <w:rFonts w:ascii="Aptos" w:hAnsi="Aptos"/>
          <w:szCs w:val="18"/>
        </w:rPr>
        <w:t xml:space="preserve">El siguiente contenido se desarrolló de conformidad con el Capítulo 69, Sección 1J de las Leyes Generales de Massachusetts (M.G.L.) y la Sección </w:t>
      </w:r>
      <w:proofErr w:type="gramStart"/>
      <w:r w:rsidRPr="002766D5">
        <w:rPr>
          <w:rFonts w:ascii="Aptos" w:hAnsi="Aptos"/>
          <w:szCs w:val="18"/>
        </w:rPr>
        <w:t>2.06,Título</w:t>
      </w:r>
      <w:proofErr w:type="gramEnd"/>
      <w:r w:rsidRPr="002766D5">
        <w:rPr>
          <w:rFonts w:ascii="Aptos" w:hAnsi="Aptos"/>
          <w:szCs w:val="18"/>
        </w:rPr>
        <w:t xml:space="preserve"> 603 del Código de Regulaciones de Massachusetts (CMR) para definir las características del plan de reestructuración que se mantendrán durante un período de transición después de que el Comisionado elimine la condición de bajo rendimiento crónico de una escuela. </w:t>
      </w:r>
    </w:p>
    <w:p w14:paraId="49100597" w14:textId="77777777" w:rsidR="001C5112" w:rsidRPr="002766D5" w:rsidRDefault="00637BA0">
      <w:pPr>
        <w:pStyle w:val="Heading2"/>
        <w:shd w:val="clear" w:color="auto" w:fill="BFBFBF"/>
        <w:tabs>
          <w:tab w:val="right" w:pos="14490"/>
        </w:tabs>
        <w:ind w:left="-90" w:right="-90"/>
        <w:rPr>
          <w:rFonts w:ascii="Aptos" w:eastAsia="Aptos" w:hAnsi="Aptos" w:cs="Aptos"/>
          <w:i w:val="0"/>
          <w:iCs w:val="0"/>
          <w:sz w:val="24"/>
          <w:szCs w:val="24"/>
        </w:rPr>
      </w:pPr>
      <w:r w:rsidRPr="002766D5">
        <w:rPr>
          <w:rFonts w:ascii="Aptos" w:hAnsi="Aptos"/>
          <w:i w:val="0"/>
          <w:sz w:val="24"/>
          <w:szCs w:val="24"/>
        </w:rPr>
        <w:t>CARACTERÍSTICAS CONTINUAS DEL PLAN DE REESTRUCTURACIÓN</w:t>
      </w:r>
    </w:p>
    <w:p w14:paraId="06B33CF0" w14:textId="77777777" w:rsidR="001C5112" w:rsidRPr="002766D5" w:rsidRDefault="001C5112">
      <w:pPr>
        <w:ind w:left="180"/>
        <w:rPr>
          <w:rFonts w:ascii="Aptos" w:eastAsia="Aptos" w:hAnsi="Aptos" w:cs="Aptos"/>
          <w:sz w:val="8"/>
          <w:szCs w:val="8"/>
        </w:rPr>
      </w:pPr>
    </w:p>
    <w:p w14:paraId="253576D1" w14:textId="77777777" w:rsidR="001C5112" w:rsidRPr="002766D5" w:rsidRDefault="00637BA0">
      <w:pPr>
        <w:rPr>
          <w:rFonts w:ascii="Aptos" w:eastAsia="Aptos" w:hAnsi="Aptos" w:cs="Aptos"/>
          <w:b/>
          <w:bCs/>
        </w:rPr>
      </w:pPr>
      <w:r w:rsidRPr="002766D5">
        <w:rPr>
          <w:rFonts w:ascii="Aptos" w:hAnsi="Aptos"/>
          <w:b/>
          <w:szCs w:val="18"/>
        </w:rPr>
        <w:t xml:space="preserve">En la siguiente tabla, se enumeran las características del plan de reestructuración que se mantendrán durante un período de transición después de que la escuela salga de la quiebra. </w:t>
      </w:r>
    </w:p>
    <w:tbl>
      <w:tblPr>
        <w:tblStyle w:val="a1"/>
        <w:tblW w:w="10612" w:type="dxa"/>
        <w:tblInd w:w="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620" w:firstRow="1" w:lastRow="0" w:firstColumn="0" w:lastColumn="0" w:noHBand="1" w:noVBand="1"/>
        <w:tblCaption w:val="Características del Plan de reestructuración"/>
      </w:tblPr>
      <w:tblGrid>
        <w:gridCol w:w="10612"/>
      </w:tblGrid>
      <w:tr w:rsidR="001C5112" w:rsidRPr="002766D5" w14:paraId="3CCD0E22" w14:textId="77777777" w:rsidTr="00672FD2">
        <w:trPr>
          <w:trHeight w:val="300"/>
        </w:trPr>
        <w:tc>
          <w:tcPr>
            <w:tcW w:w="10612" w:type="dxa"/>
            <w:tcBorders>
              <w:top w:val="single" w:sz="6" w:space="0" w:color="000000"/>
              <w:left w:val="single" w:sz="6" w:space="0" w:color="000000"/>
              <w:bottom w:val="single" w:sz="6" w:space="0" w:color="000000"/>
              <w:right w:val="single" w:sz="6" w:space="0" w:color="000000"/>
            </w:tcBorders>
            <w:shd w:val="clear" w:color="auto" w:fill="F2F2F2"/>
          </w:tcPr>
          <w:p w14:paraId="0F1BE92D" w14:textId="77777777" w:rsidR="001C5112" w:rsidRPr="002766D5" w:rsidRDefault="00637BA0">
            <w:pPr>
              <w:ind w:left="180"/>
              <w:jc w:val="center"/>
              <w:rPr>
                <w:rFonts w:ascii="Aptos" w:eastAsia="Aptos" w:hAnsi="Aptos" w:cs="Aptos"/>
                <w:sz w:val="22"/>
                <w:szCs w:val="22"/>
              </w:rPr>
            </w:pPr>
            <w:r w:rsidRPr="002766D5">
              <w:rPr>
                <w:rFonts w:ascii="Aptos" w:hAnsi="Aptos"/>
                <w:b/>
                <w:sz w:val="22"/>
                <w:szCs w:val="18"/>
              </w:rPr>
              <w:t>Características del Plan de reestructuración</w:t>
            </w:r>
          </w:p>
        </w:tc>
      </w:tr>
      <w:tr w:rsidR="001C5112" w:rsidRPr="002766D5" w14:paraId="0B14D07B" w14:textId="77777777" w:rsidTr="00672FD2">
        <w:trPr>
          <w:trHeight w:val="300"/>
        </w:trPr>
        <w:tc>
          <w:tcPr>
            <w:tcW w:w="10612" w:type="dxa"/>
            <w:tcBorders>
              <w:top w:val="single" w:sz="6" w:space="0" w:color="000000"/>
              <w:left w:val="single" w:sz="6" w:space="0" w:color="000000"/>
              <w:bottom w:val="single" w:sz="6" w:space="0" w:color="000000"/>
              <w:right w:val="single" w:sz="6" w:space="0" w:color="000000"/>
            </w:tcBorders>
          </w:tcPr>
          <w:p w14:paraId="21A3FD54" w14:textId="6FED5767" w:rsidR="001C5112" w:rsidRPr="002766D5" w:rsidRDefault="00637BA0">
            <w:pPr>
              <w:ind w:left="-30"/>
              <w:rPr>
                <w:rFonts w:ascii="Aptos" w:eastAsia="Aptos" w:hAnsi="Aptos" w:cs="Aptos"/>
                <w:i/>
                <w:iCs/>
              </w:rPr>
            </w:pPr>
            <w:r w:rsidRPr="002766D5">
              <w:rPr>
                <w:rFonts w:ascii="Aptos" w:hAnsi="Aptos"/>
                <w:i/>
                <w:szCs w:val="18"/>
              </w:rPr>
              <w:t>Área prioritaria 1: transformar la cultura de la escuela en una cultura de urgencia, altas expectativas, rendición de cuentas, excelencia y logros.</w:t>
            </w:r>
          </w:p>
          <w:p w14:paraId="2B3A443A" w14:textId="77777777" w:rsidR="001C5112" w:rsidRPr="002766D5" w:rsidRDefault="001C5112">
            <w:pPr>
              <w:pBdr>
                <w:top w:val="nil"/>
                <w:left w:val="nil"/>
                <w:bottom w:val="nil"/>
                <w:right w:val="nil"/>
                <w:between w:val="nil"/>
              </w:pBdr>
              <w:rPr>
                <w:rFonts w:ascii="Aptos" w:eastAsia="Aptos" w:hAnsi="Aptos" w:cs="Aptos"/>
                <w:color w:val="000000"/>
              </w:rPr>
            </w:pPr>
          </w:p>
          <w:p w14:paraId="75582E33" w14:textId="77777777" w:rsidR="001C5112" w:rsidRPr="002766D5" w:rsidRDefault="00637BA0">
            <w:pPr>
              <w:pBdr>
                <w:top w:val="nil"/>
                <w:left w:val="nil"/>
                <w:bottom w:val="nil"/>
                <w:right w:val="nil"/>
                <w:between w:val="nil"/>
              </w:pBdr>
              <w:rPr>
                <w:sz w:val="18"/>
                <w:szCs w:val="18"/>
              </w:rPr>
            </w:pPr>
            <w:r w:rsidRPr="002766D5">
              <w:rPr>
                <w:rFonts w:ascii="Aptos" w:hAnsi="Aptos"/>
                <w:color w:val="000000"/>
                <w:szCs w:val="18"/>
              </w:rPr>
              <w:t xml:space="preserve">UP </w:t>
            </w:r>
            <w:proofErr w:type="spellStart"/>
            <w:r w:rsidRPr="002766D5">
              <w:rPr>
                <w:rFonts w:ascii="Aptos" w:hAnsi="Aptos"/>
                <w:color w:val="000000"/>
                <w:szCs w:val="18"/>
              </w:rPr>
              <w:t>Academy</w:t>
            </w:r>
            <w:proofErr w:type="spellEnd"/>
            <w:r w:rsidRPr="002766D5">
              <w:rPr>
                <w:rFonts w:ascii="Aptos" w:hAnsi="Aptos"/>
                <w:color w:val="000000"/>
                <w:szCs w:val="18"/>
              </w:rPr>
              <w:t xml:space="preserve"> Holland (UAH) continuará profundizando y manteniendo la implementación de estrategias de desarrollo de la cultura escolar que orientaron a la escuela hacia prácticas más fortalecedoras y reconstituyentes durante el período de quiebra. Estas estrategias incluyen las siguientes </w:t>
            </w:r>
            <w:r w:rsidRPr="005438D1">
              <w:rPr>
                <w:rFonts w:ascii="Aptos" w:hAnsi="Aptos"/>
                <w:color w:val="000000"/>
                <w:sz w:val="19"/>
                <w:szCs w:val="19"/>
              </w:rPr>
              <w:t>disposiciones identificadas en el plan de reestructuración</w:t>
            </w:r>
            <w:r w:rsidRPr="002766D5">
              <w:rPr>
                <w:rFonts w:ascii="Aptos" w:hAnsi="Aptos"/>
                <w:color w:val="000000"/>
                <w:szCs w:val="18"/>
              </w:rPr>
              <w:t xml:space="preserve"> (</w:t>
            </w:r>
            <w:r w:rsidRPr="005438D1">
              <w:rPr>
                <w:rFonts w:ascii="Aptos" w:hAnsi="Aptos"/>
                <w:color w:val="000000"/>
                <w:sz w:val="19"/>
                <w:szCs w:val="19"/>
              </w:rPr>
              <w:t>págs. 5 a 6):</w:t>
            </w:r>
            <w:r w:rsidRPr="005438D1">
              <w:rPr>
                <w:sz w:val="19"/>
                <w:szCs w:val="19"/>
              </w:rPr>
              <w:t xml:space="preserve"> </w:t>
            </w:r>
          </w:p>
          <w:p w14:paraId="52F13F28" w14:textId="77777777" w:rsidR="001C5112" w:rsidRPr="002766D5" w:rsidRDefault="00637BA0">
            <w:pPr>
              <w:numPr>
                <w:ilvl w:val="0"/>
                <w:numId w:val="10"/>
              </w:numPr>
              <w:pBdr>
                <w:top w:val="nil"/>
                <w:left w:val="nil"/>
                <w:bottom w:val="nil"/>
                <w:right w:val="nil"/>
                <w:between w:val="nil"/>
              </w:pBdr>
              <w:rPr>
                <w:rFonts w:ascii="Aptos" w:eastAsia="Aptos" w:hAnsi="Aptos" w:cs="Aptos"/>
                <w:color w:val="000000"/>
              </w:rPr>
            </w:pPr>
            <w:r w:rsidRPr="002766D5">
              <w:rPr>
                <w:rFonts w:ascii="Aptos" w:hAnsi="Aptos"/>
                <w:color w:val="000000"/>
                <w:szCs w:val="18"/>
              </w:rPr>
              <w:t>Se proporciona instrucción socioemocional en todos los niveles de grado al menos dos veces por semana.</w:t>
            </w:r>
          </w:p>
          <w:p w14:paraId="0C10B947" w14:textId="77777777" w:rsidR="001C5112" w:rsidRPr="002766D5" w:rsidRDefault="00637BA0">
            <w:pPr>
              <w:numPr>
                <w:ilvl w:val="0"/>
                <w:numId w:val="10"/>
              </w:numPr>
              <w:pBdr>
                <w:top w:val="nil"/>
                <w:left w:val="nil"/>
                <w:bottom w:val="nil"/>
                <w:right w:val="nil"/>
                <w:between w:val="nil"/>
              </w:pBdr>
              <w:rPr>
                <w:rFonts w:ascii="Aptos" w:eastAsia="Aptos" w:hAnsi="Aptos" w:cs="Aptos"/>
                <w:color w:val="000000"/>
              </w:rPr>
            </w:pPr>
            <w:r w:rsidRPr="002766D5">
              <w:rPr>
                <w:rFonts w:ascii="Aptos" w:hAnsi="Aptos"/>
                <w:color w:val="000000"/>
                <w:szCs w:val="18"/>
              </w:rPr>
              <w:t>Todas las aulas tienen espacios dedicados a apoyar la regulación del comportamiento.</w:t>
            </w:r>
          </w:p>
          <w:p w14:paraId="78A080CD" w14:textId="77777777" w:rsidR="001C5112" w:rsidRPr="002766D5" w:rsidRDefault="00637BA0">
            <w:pPr>
              <w:numPr>
                <w:ilvl w:val="0"/>
                <w:numId w:val="10"/>
              </w:numPr>
              <w:pBdr>
                <w:top w:val="nil"/>
                <w:left w:val="nil"/>
                <w:bottom w:val="nil"/>
                <w:right w:val="nil"/>
                <w:between w:val="nil"/>
              </w:pBdr>
              <w:rPr>
                <w:rFonts w:ascii="Aptos" w:eastAsia="Aptos" w:hAnsi="Aptos" w:cs="Aptos"/>
                <w:color w:val="000000"/>
              </w:rPr>
            </w:pPr>
            <w:r w:rsidRPr="002766D5">
              <w:rPr>
                <w:rFonts w:ascii="Aptos" w:hAnsi="Aptos"/>
                <w:color w:val="000000"/>
                <w:szCs w:val="18"/>
              </w:rPr>
              <w:t>Los docentes reciben capacitación sobre cómo identificar las necesidades de los alumnos a través de la observación del comportamiento y cómo responder de manera productiva mientras se mantienen expectativas claras.</w:t>
            </w:r>
          </w:p>
          <w:p w14:paraId="407A3887" w14:textId="77777777" w:rsidR="001C5112" w:rsidRPr="002766D5" w:rsidRDefault="00637BA0">
            <w:pPr>
              <w:numPr>
                <w:ilvl w:val="0"/>
                <w:numId w:val="10"/>
              </w:numPr>
              <w:pBdr>
                <w:top w:val="nil"/>
                <w:left w:val="nil"/>
                <w:bottom w:val="nil"/>
                <w:right w:val="nil"/>
                <w:between w:val="nil"/>
              </w:pBdr>
              <w:rPr>
                <w:rFonts w:ascii="Aptos" w:eastAsia="Aptos" w:hAnsi="Aptos" w:cs="Aptos"/>
                <w:color w:val="000000"/>
              </w:rPr>
            </w:pPr>
            <w:r w:rsidRPr="002766D5">
              <w:rPr>
                <w:rFonts w:ascii="Aptos" w:hAnsi="Aptos"/>
                <w:color w:val="000000"/>
                <w:szCs w:val="18"/>
              </w:rPr>
              <w:t>La escuela desarrolló un sólido sistema de apoyo conductual de varios niveles, a través del cual los alumnos pueden acceder a apoyos como asesoramiento, desarrollo de habilidades y mentoría.</w:t>
            </w:r>
          </w:p>
          <w:p w14:paraId="2BD756DB" w14:textId="77777777" w:rsidR="001C5112" w:rsidRPr="002766D5" w:rsidRDefault="00637BA0">
            <w:pPr>
              <w:numPr>
                <w:ilvl w:val="0"/>
                <w:numId w:val="10"/>
              </w:numPr>
              <w:pBdr>
                <w:top w:val="nil"/>
                <w:left w:val="nil"/>
                <w:bottom w:val="nil"/>
                <w:right w:val="nil"/>
                <w:between w:val="nil"/>
              </w:pBdr>
              <w:rPr>
                <w:rFonts w:ascii="Aptos" w:eastAsia="Aptos" w:hAnsi="Aptos" w:cs="Aptos"/>
                <w:color w:val="000000"/>
              </w:rPr>
            </w:pPr>
            <w:r w:rsidRPr="002766D5">
              <w:rPr>
                <w:rFonts w:ascii="Aptos" w:hAnsi="Aptos"/>
                <w:color w:val="000000"/>
                <w:szCs w:val="18"/>
              </w:rPr>
              <w:t>La escuela elaboró un plan de estudios y rutinas de aprendizaje socioemocional (SEL) para toda la escuela.</w:t>
            </w:r>
          </w:p>
          <w:p w14:paraId="7F2BD1CB" w14:textId="77777777" w:rsidR="001C5112" w:rsidRPr="002766D5" w:rsidRDefault="00637BA0">
            <w:pPr>
              <w:numPr>
                <w:ilvl w:val="0"/>
                <w:numId w:val="10"/>
              </w:numPr>
              <w:pBdr>
                <w:top w:val="nil"/>
                <w:left w:val="nil"/>
                <w:bottom w:val="nil"/>
                <w:right w:val="nil"/>
                <w:between w:val="nil"/>
              </w:pBdr>
              <w:rPr>
                <w:rFonts w:ascii="Aptos" w:eastAsia="Aptos" w:hAnsi="Aptos" w:cs="Aptos"/>
                <w:color w:val="000000"/>
              </w:rPr>
            </w:pPr>
            <w:r w:rsidRPr="002766D5">
              <w:rPr>
                <w:rFonts w:ascii="Aptos" w:hAnsi="Aptos"/>
                <w:color w:val="000000"/>
                <w:szCs w:val="18"/>
              </w:rPr>
              <w:t>La escuela incorporó sus expectativas de enseñanza del SEL a su sistema de observaciones pedagógicas.</w:t>
            </w:r>
          </w:p>
          <w:p w14:paraId="4F1C4877" w14:textId="77777777" w:rsidR="001C5112" w:rsidRPr="002766D5" w:rsidRDefault="001C5112">
            <w:pPr>
              <w:pBdr>
                <w:top w:val="nil"/>
                <w:left w:val="nil"/>
                <w:bottom w:val="nil"/>
                <w:right w:val="nil"/>
                <w:between w:val="nil"/>
              </w:pBdr>
              <w:ind w:left="540"/>
              <w:rPr>
                <w:rFonts w:ascii="Aptos" w:eastAsia="Aptos" w:hAnsi="Aptos" w:cs="Aptos"/>
              </w:rPr>
            </w:pPr>
          </w:p>
        </w:tc>
      </w:tr>
      <w:tr w:rsidR="001C5112" w:rsidRPr="002766D5" w14:paraId="0EF0388A" w14:textId="77777777" w:rsidTr="00672FD2">
        <w:trPr>
          <w:trHeight w:val="300"/>
        </w:trPr>
        <w:tc>
          <w:tcPr>
            <w:tcW w:w="10612" w:type="dxa"/>
            <w:tcBorders>
              <w:top w:val="single" w:sz="6" w:space="0" w:color="000000"/>
              <w:left w:val="single" w:sz="6" w:space="0" w:color="000000"/>
              <w:bottom w:val="single" w:sz="6" w:space="0" w:color="000000"/>
              <w:right w:val="single" w:sz="6" w:space="0" w:color="000000"/>
            </w:tcBorders>
          </w:tcPr>
          <w:p w14:paraId="388EAA98" w14:textId="77777777" w:rsidR="001C5112" w:rsidRPr="002766D5" w:rsidRDefault="00637BA0">
            <w:pPr>
              <w:rPr>
                <w:rFonts w:ascii="Aptos" w:eastAsia="Aptos" w:hAnsi="Aptos" w:cs="Aptos"/>
              </w:rPr>
            </w:pPr>
            <w:r w:rsidRPr="002766D5">
              <w:rPr>
                <w:rFonts w:ascii="Aptos" w:hAnsi="Aptos"/>
                <w:i/>
                <w:szCs w:val="18"/>
              </w:rPr>
              <w:t>Área prioritaria 2: mejorar el rigor de los planes de estudios, optimizar la eficacia de la instrucción y fortalecer la utilización de los datos de evaluación.</w:t>
            </w:r>
          </w:p>
          <w:p w14:paraId="54334DA1" w14:textId="77777777" w:rsidR="001C5112" w:rsidRPr="002766D5" w:rsidRDefault="001C5112">
            <w:pPr>
              <w:rPr>
                <w:rFonts w:ascii="Aptos" w:eastAsia="Aptos" w:hAnsi="Aptos" w:cs="Aptos"/>
              </w:rPr>
            </w:pPr>
          </w:p>
          <w:p w14:paraId="4F35ED1C" w14:textId="77777777" w:rsidR="001C5112" w:rsidRPr="002766D5" w:rsidRDefault="00637BA0">
            <w:pPr>
              <w:rPr>
                <w:rFonts w:ascii="Aptos" w:eastAsia="Aptos" w:hAnsi="Aptos" w:cs="Aptos"/>
              </w:rPr>
            </w:pPr>
            <w:r w:rsidRPr="002766D5">
              <w:rPr>
                <w:rFonts w:ascii="Aptos" w:hAnsi="Aptos"/>
                <w:szCs w:val="18"/>
              </w:rPr>
              <w:t xml:space="preserve">UP </w:t>
            </w:r>
            <w:proofErr w:type="spellStart"/>
            <w:r w:rsidRPr="002766D5">
              <w:rPr>
                <w:rFonts w:ascii="Aptos" w:hAnsi="Aptos"/>
                <w:szCs w:val="18"/>
              </w:rPr>
              <w:t>Academy</w:t>
            </w:r>
            <w:proofErr w:type="spellEnd"/>
            <w:r w:rsidRPr="002766D5">
              <w:rPr>
                <w:rFonts w:ascii="Aptos" w:hAnsi="Aptos"/>
                <w:szCs w:val="18"/>
              </w:rPr>
              <w:t xml:space="preserve"> Holland mantendrá sus estructuras clave de colaboración docente y entrenamiento pedagógico descritas en el plan de reestructuración (págs. 7 a 8 y pág. 11):</w:t>
            </w:r>
          </w:p>
          <w:p w14:paraId="62D619EB" w14:textId="77777777" w:rsidR="001C5112" w:rsidRPr="002766D5" w:rsidRDefault="00637BA0">
            <w:pPr>
              <w:numPr>
                <w:ilvl w:val="0"/>
                <w:numId w:val="1"/>
              </w:numPr>
              <w:pBdr>
                <w:top w:val="nil"/>
                <w:left w:val="nil"/>
                <w:bottom w:val="nil"/>
                <w:right w:val="nil"/>
                <w:between w:val="nil"/>
              </w:pBdr>
              <w:rPr>
                <w:rFonts w:ascii="Aptos" w:eastAsia="Aptos" w:hAnsi="Aptos" w:cs="Aptos"/>
                <w:color w:val="000000"/>
              </w:rPr>
            </w:pPr>
            <w:r w:rsidRPr="002766D5">
              <w:rPr>
                <w:rFonts w:ascii="Aptos" w:hAnsi="Aptos"/>
                <w:color w:val="000000"/>
                <w:szCs w:val="18"/>
              </w:rPr>
              <w:t>Los equipos de enseñanza tienen un tiempo de planificación común diario para participar en la preparación intelectual necesaria para impartir lecciones efectivas.</w:t>
            </w:r>
          </w:p>
          <w:p w14:paraId="4AAD48E7" w14:textId="77777777" w:rsidR="001C5112" w:rsidRPr="002766D5" w:rsidRDefault="00637BA0">
            <w:pPr>
              <w:numPr>
                <w:ilvl w:val="0"/>
                <w:numId w:val="1"/>
              </w:numPr>
              <w:pBdr>
                <w:top w:val="nil"/>
                <w:left w:val="nil"/>
                <w:bottom w:val="nil"/>
                <w:right w:val="nil"/>
                <w:between w:val="nil"/>
              </w:pBdr>
              <w:rPr>
                <w:rFonts w:ascii="Aptos" w:eastAsia="Aptos" w:hAnsi="Aptos" w:cs="Aptos"/>
                <w:color w:val="000000"/>
              </w:rPr>
            </w:pPr>
            <w:r w:rsidRPr="002766D5">
              <w:rPr>
                <w:rFonts w:ascii="Aptos" w:hAnsi="Aptos"/>
                <w:color w:val="000000"/>
                <w:szCs w:val="18"/>
              </w:rPr>
              <w:t>Los equipos también realizan reuniones de intercambio de datos semanales los miércoles durante el tiempo de salida temprana de clases.</w:t>
            </w:r>
          </w:p>
          <w:p w14:paraId="74D29B69" w14:textId="77777777" w:rsidR="001C5112" w:rsidRPr="002766D5" w:rsidRDefault="00637BA0">
            <w:pPr>
              <w:numPr>
                <w:ilvl w:val="0"/>
                <w:numId w:val="1"/>
              </w:numPr>
              <w:pBdr>
                <w:top w:val="nil"/>
                <w:left w:val="nil"/>
                <w:bottom w:val="nil"/>
                <w:right w:val="nil"/>
                <w:between w:val="nil"/>
              </w:pBdr>
              <w:rPr>
                <w:rFonts w:ascii="Aptos" w:eastAsia="Aptos" w:hAnsi="Aptos" w:cs="Aptos"/>
                <w:color w:val="000000"/>
              </w:rPr>
            </w:pPr>
            <w:r w:rsidRPr="002766D5">
              <w:rPr>
                <w:rFonts w:ascii="Aptos" w:hAnsi="Aptos"/>
                <w:color w:val="000000"/>
                <w:szCs w:val="18"/>
              </w:rPr>
              <w:t>Los líderes escolares codifican estrategias de enseñanza específicas que permiten a los docentes implementar la visión educativa de la escuela y brindan desarrollo profesional integrado durante las reuniones semanales del equipo.</w:t>
            </w:r>
          </w:p>
          <w:p w14:paraId="4EA0EEA6" w14:textId="77777777" w:rsidR="001C5112" w:rsidRPr="002766D5" w:rsidRDefault="00637BA0">
            <w:pPr>
              <w:numPr>
                <w:ilvl w:val="0"/>
                <w:numId w:val="1"/>
              </w:numPr>
              <w:pBdr>
                <w:top w:val="nil"/>
                <w:left w:val="nil"/>
                <w:bottom w:val="nil"/>
                <w:right w:val="nil"/>
                <w:between w:val="nil"/>
              </w:pBdr>
              <w:rPr>
                <w:rFonts w:ascii="Aptos" w:eastAsia="Aptos" w:hAnsi="Aptos" w:cs="Aptos"/>
                <w:color w:val="000000"/>
              </w:rPr>
            </w:pPr>
            <w:r w:rsidRPr="002766D5">
              <w:rPr>
                <w:rFonts w:ascii="Aptos" w:hAnsi="Aptos"/>
                <w:color w:val="000000"/>
                <w:szCs w:val="18"/>
              </w:rPr>
              <w:t xml:space="preserve">Entrenamiento regular de todos los docentes y miembros del personal. </w:t>
            </w:r>
          </w:p>
        </w:tc>
      </w:tr>
      <w:tr w:rsidR="001C5112" w:rsidRPr="002766D5" w14:paraId="6B48B93B" w14:textId="77777777" w:rsidTr="00672FD2">
        <w:trPr>
          <w:trHeight w:val="300"/>
        </w:trPr>
        <w:tc>
          <w:tcPr>
            <w:tcW w:w="10612" w:type="dxa"/>
            <w:tcBorders>
              <w:top w:val="single" w:sz="6" w:space="0" w:color="000000"/>
              <w:left w:val="single" w:sz="6" w:space="0" w:color="000000"/>
              <w:bottom w:val="single" w:sz="6" w:space="0" w:color="000000"/>
              <w:right w:val="single" w:sz="6" w:space="0" w:color="000000"/>
            </w:tcBorders>
          </w:tcPr>
          <w:p w14:paraId="30B5BEA1" w14:textId="77777777" w:rsidR="001C5112" w:rsidRPr="002766D5" w:rsidRDefault="00637BA0">
            <w:pPr>
              <w:ind w:left="-30"/>
              <w:rPr>
                <w:rFonts w:ascii="Aptos" w:eastAsia="Aptos" w:hAnsi="Aptos" w:cs="Aptos"/>
              </w:rPr>
            </w:pPr>
            <w:r w:rsidRPr="002766D5">
              <w:rPr>
                <w:rFonts w:ascii="Aptos" w:hAnsi="Aptos"/>
                <w:i/>
                <w:szCs w:val="18"/>
              </w:rPr>
              <w:t xml:space="preserve">Área prioritaria 3: Holland ampliará la </w:t>
            </w:r>
            <w:proofErr w:type="gramStart"/>
            <w:r w:rsidRPr="002766D5">
              <w:rPr>
                <w:rFonts w:ascii="Aptos" w:hAnsi="Aptos"/>
                <w:i/>
                <w:szCs w:val="18"/>
              </w:rPr>
              <w:t>jornada escolar y el año escolar</w:t>
            </w:r>
            <w:proofErr w:type="gramEnd"/>
            <w:r w:rsidRPr="002766D5">
              <w:rPr>
                <w:rFonts w:ascii="Aptos" w:hAnsi="Aptos"/>
                <w:i/>
                <w:szCs w:val="18"/>
              </w:rPr>
              <w:t>, incorporará tiempo, implementará recursos, desarrollará programas y creará sistemas de identificación y seguimiento para garantizar que todos los alumnos, especialmente quienes tengan discapacidades y los aprendices de inglés, reciban el apoyo académico y de otro tipo que necesitan para aprender y tener éxito.</w:t>
            </w:r>
          </w:p>
          <w:p w14:paraId="475EFEAE" w14:textId="77777777" w:rsidR="001C5112" w:rsidRPr="002766D5" w:rsidRDefault="001C5112">
            <w:pPr>
              <w:ind w:left="-30"/>
              <w:rPr>
                <w:rFonts w:ascii="Aptos" w:eastAsia="Aptos" w:hAnsi="Aptos" w:cs="Aptos"/>
              </w:rPr>
            </w:pPr>
          </w:p>
          <w:p w14:paraId="225D2B09" w14:textId="77777777" w:rsidR="001C5112" w:rsidRPr="002766D5" w:rsidRDefault="00637BA0">
            <w:pPr>
              <w:ind w:left="-30"/>
              <w:rPr>
                <w:rFonts w:ascii="Aptos" w:eastAsia="Aptos" w:hAnsi="Aptos" w:cs="Aptos"/>
              </w:rPr>
            </w:pPr>
            <w:r w:rsidRPr="002766D5">
              <w:rPr>
                <w:rFonts w:ascii="Aptos" w:hAnsi="Aptos"/>
                <w:szCs w:val="18"/>
              </w:rPr>
              <w:t xml:space="preserve">UP </w:t>
            </w:r>
            <w:proofErr w:type="spellStart"/>
            <w:r w:rsidRPr="002766D5">
              <w:rPr>
                <w:rFonts w:ascii="Aptos" w:hAnsi="Aptos"/>
                <w:szCs w:val="18"/>
              </w:rPr>
              <w:t>Academy</w:t>
            </w:r>
            <w:proofErr w:type="spellEnd"/>
            <w:r w:rsidRPr="002766D5">
              <w:rPr>
                <w:rFonts w:ascii="Aptos" w:hAnsi="Aptos"/>
                <w:szCs w:val="18"/>
              </w:rPr>
              <w:t xml:space="preserve"> Holland continuará ofreciendo a su personal desarrollo profesional orientado a mejorar los resultados de rendimiento de los alumnos con discapacidades y de los aprendices multilingües. Según se describe en el plan de reestructuración (págs. 9 a 10), los líderes escolares seguirán utilizando una combinación de apoyos de desarrollo profesional creados internamente y gestionados por entidades externas para promover el aprendizaje del personal sobre la enseñanza eficaz para aprendices multilingües y alumnos con discapacidades.</w:t>
            </w:r>
          </w:p>
        </w:tc>
      </w:tr>
      <w:tr w:rsidR="001C5112" w:rsidRPr="002766D5" w14:paraId="38C6A0D5" w14:textId="77777777" w:rsidTr="00672FD2">
        <w:trPr>
          <w:trHeight w:val="300"/>
        </w:trPr>
        <w:tc>
          <w:tcPr>
            <w:tcW w:w="10612" w:type="dxa"/>
            <w:tcBorders>
              <w:top w:val="single" w:sz="6" w:space="0" w:color="000000"/>
              <w:left w:val="single" w:sz="6" w:space="0" w:color="000000"/>
              <w:bottom w:val="single" w:sz="6" w:space="0" w:color="000000"/>
              <w:right w:val="single" w:sz="6" w:space="0" w:color="000000"/>
            </w:tcBorders>
          </w:tcPr>
          <w:p w14:paraId="5FF6F8C7" w14:textId="77777777" w:rsidR="001C5112" w:rsidRPr="002766D5" w:rsidRDefault="00637BA0">
            <w:pPr>
              <w:ind w:left="-30"/>
              <w:rPr>
                <w:rFonts w:ascii="Aptos" w:eastAsia="Aptos" w:hAnsi="Aptos" w:cs="Aptos"/>
              </w:rPr>
            </w:pPr>
            <w:r w:rsidRPr="002766D5">
              <w:rPr>
                <w:rFonts w:ascii="Aptos" w:hAnsi="Aptos"/>
                <w:i/>
                <w:szCs w:val="18"/>
              </w:rPr>
              <w:lastRenderedPageBreak/>
              <w:t>Área prioritaria 4: reclutar y contratar líderes, docentes y personal de apoyo extraordinarios, y construir y utilizar sistemas para evaluar, desarrollar, promover, recompensar y retener a largo plazo este personal.</w:t>
            </w:r>
          </w:p>
          <w:p w14:paraId="20B2DD4F" w14:textId="77777777" w:rsidR="001C5112" w:rsidRPr="002766D5" w:rsidRDefault="001C5112">
            <w:pPr>
              <w:rPr>
                <w:rFonts w:ascii="Aptos" w:eastAsia="Aptos" w:hAnsi="Aptos" w:cs="Aptos"/>
              </w:rPr>
            </w:pPr>
          </w:p>
          <w:p w14:paraId="08E0F293" w14:textId="77777777" w:rsidR="001C5112" w:rsidRPr="002766D5" w:rsidRDefault="00637BA0">
            <w:pPr>
              <w:rPr>
                <w:rFonts w:ascii="Aptos" w:eastAsia="Aptos" w:hAnsi="Aptos" w:cs="Aptos"/>
              </w:rPr>
            </w:pPr>
            <w:r w:rsidRPr="002766D5">
              <w:rPr>
                <w:rFonts w:ascii="Aptos" w:hAnsi="Aptos"/>
                <w:szCs w:val="18"/>
              </w:rPr>
              <w:t xml:space="preserve">UP </w:t>
            </w:r>
            <w:proofErr w:type="spellStart"/>
            <w:r w:rsidRPr="002766D5">
              <w:rPr>
                <w:rFonts w:ascii="Aptos" w:hAnsi="Aptos"/>
                <w:szCs w:val="18"/>
              </w:rPr>
              <w:t>Academy</w:t>
            </w:r>
            <w:proofErr w:type="spellEnd"/>
            <w:r w:rsidRPr="002766D5">
              <w:rPr>
                <w:rFonts w:ascii="Aptos" w:hAnsi="Aptos"/>
                <w:szCs w:val="18"/>
              </w:rPr>
              <w:t xml:space="preserve"> Holland mantendrá su sólida trayectoria de mejora en la retención del personal mediante la conservación de la cultura y los sistemas de la escuela descritos en todas las Áreas prioritarias del plan de reestructuración, así como también mediante el mantenimiento de las autonomías relacionadas con el personal que se enumeran a continuación en el Apéndice A.</w:t>
            </w:r>
          </w:p>
        </w:tc>
      </w:tr>
      <w:tr w:rsidR="001C5112" w:rsidRPr="002766D5" w14:paraId="734EA903" w14:textId="77777777" w:rsidTr="00672FD2">
        <w:trPr>
          <w:trHeight w:val="300"/>
        </w:trPr>
        <w:tc>
          <w:tcPr>
            <w:tcW w:w="10612" w:type="dxa"/>
            <w:tcBorders>
              <w:top w:val="single" w:sz="6" w:space="0" w:color="000000"/>
              <w:left w:val="single" w:sz="6" w:space="0" w:color="000000"/>
              <w:bottom w:val="single" w:sz="6" w:space="0" w:color="000000"/>
              <w:right w:val="single" w:sz="6" w:space="0" w:color="000000"/>
            </w:tcBorders>
          </w:tcPr>
          <w:p w14:paraId="3714E465" w14:textId="77777777" w:rsidR="001C5112" w:rsidRPr="002766D5" w:rsidRDefault="00637BA0">
            <w:pPr>
              <w:ind w:left="-30"/>
              <w:rPr>
                <w:rFonts w:ascii="Aptos" w:eastAsia="Aptos" w:hAnsi="Aptos" w:cs="Aptos"/>
              </w:rPr>
            </w:pPr>
            <w:r w:rsidRPr="002766D5">
              <w:rPr>
                <w:rFonts w:ascii="Aptos" w:hAnsi="Aptos"/>
                <w:i/>
                <w:szCs w:val="18"/>
              </w:rPr>
              <w:t>Área prioritaria 5: involucrar plenamente a todas las familias de la escuela en el aprendizaje de sus hijos.</w:t>
            </w:r>
          </w:p>
          <w:p w14:paraId="378AC870" w14:textId="77777777" w:rsidR="001C5112" w:rsidRPr="002766D5" w:rsidRDefault="001C5112">
            <w:pPr>
              <w:ind w:left="-30"/>
              <w:rPr>
                <w:rFonts w:ascii="Aptos" w:eastAsia="Aptos" w:hAnsi="Aptos" w:cs="Aptos"/>
              </w:rPr>
            </w:pPr>
          </w:p>
          <w:p w14:paraId="6238510B" w14:textId="77777777" w:rsidR="001C5112" w:rsidRPr="002766D5" w:rsidRDefault="00637BA0">
            <w:pPr>
              <w:ind w:left="-30"/>
              <w:rPr>
                <w:rFonts w:ascii="Aptos" w:eastAsia="Aptos" w:hAnsi="Aptos" w:cs="Aptos"/>
              </w:rPr>
            </w:pPr>
            <w:r w:rsidRPr="002766D5">
              <w:rPr>
                <w:rFonts w:ascii="Aptos" w:hAnsi="Aptos"/>
                <w:szCs w:val="18"/>
              </w:rPr>
              <w:t xml:space="preserve">UP </w:t>
            </w:r>
            <w:proofErr w:type="spellStart"/>
            <w:r w:rsidRPr="002766D5">
              <w:rPr>
                <w:rFonts w:ascii="Aptos" w:hAnsi="Aptos"/>
                <w:szCs w:val="18"/>
              </w:rPr>
              <w:t>Academy</w:t>
            </w:r>
            <w:proofErr w:type="spellEnd"/>
            <w:r w:rsidRPr="002766D5">
              <w:rPr>
                <w:rFonts w:ascii="Aptos" w:hAnsi="Aptos"/>
                <w:szCs w:val="18"/>
              </w:rPr>
              <w:t xml:space="preserve"> Holland mantendrá las estrategias y estructuras descritas en el plan de reestructuración (págs. 13 a 15), en las que participaron las familias en el desarrollo de la cultura y los sistemas de la escuela, incluido lo siguiente:</w:t>
            </w:r>
          </w:p>
          <w:p w14:paraId="258A0377" w14:textId="77777777" w:rsidR="001C5112" w:rsidRPr="002766D5" w:rsidRDefault="00637BA0">
            <w:pPr>
              <w:numPr>
                <w:ilvl w:val="0"/>
                <w:numId w:val="2"/>
              </w:numPr>
              <w:pBdr>
                <w:top w:val="nil"/>
                <w:left w:val="nil"/>
                <w:bottom w:val="nil"/>
                <w:right w:val="nil"/>
                <w:between w:val="nil"/>
              </w:pBdr>
              <w:rPr>
                <w:rFonts w:ascii="Aptos" w:eastAsia="Aptos" w:hAnsi="Aptos" w:cs="Aptos"/>
                <w:color w:val="000000"/>
              </w:rPr>
            </w:pPr>
            <w:r w:rsidRPr="002766D5">
              <w:rPr>
                <w:rFonts w:ascii="Aptos" w:hAnsi="Aptos"/>
                <w:color w:val="000000"/>
                <w:szCs w:val="18"/>
              </w:rPr>
              <w:t>Iniciativas de asistencia con las familias.</w:t>
            </w:r>
          </w:p>
          <w:p w14:paraId="1BB469E1" w14:textId="73391685" w:rsidR="001C5112" w:rsidRPr="002766D5" w:rsidRDefault="00637BA0" w:rsidP="005D02B6">
            <w:pPr>
              <w:numPr>
                <w:ilvl w:val="0"/>
                <w:numId w:val="2"/>
              </w:numPr>
              <w:pBdr>
                <w:top w:val="nil"/>
                <w:left w:val="nil"/>
                <w:bottom w:val="nil"/>
                <w:right w:val="nil"/>
                <w:between w:val="nil"/>
              </w:pBdr>
              <w:rPr>
                <w:rFonts w:ascii="Aptos" w:eastAsia="Aptos" w:hAnsi="Aptos" w:cs="Aptos"/>
                <w:color w:val="000000"/>
              </w:rPr>
            </w:pPr>
            <w:r w:rsidRPr="002766D5">
              <w:rPr>
                <w:rFonts w:ascii="Aptos" w:hAnsi="Aptos"/>
                <w:color w:val="000000"/>
                <w:szCs w:val="18"/>
              </w:rPr>
              <w:t xml:space="preserve">Diversas plataformas electrónicas para enviar actualizaciones sobre el trabajo de los alumnos, el desempeño basado en sus calificaciones y los próximos eventos o evaluaciones académicas. </w:t>
            </w:r>
          </w:p>
        </w:tc>
      </w:tr>
      <w:tr w:rsidR="001C5112" w:rsidRPr="002766D5" w14:paraId="573F1050" w14:textId="77777777" w:rsidTr="00672FD2">
        <w:trPr>
          <w:trHeight w:val="300"/>
        </w:trPr>
        <w:tc>
          <w:tcPr>
            <w:tcW w:w="10612" w:type="dxa"/>
            <w:tcBorders>
              <w:top w:val="single" w:sz="6" w:space="0" w:color="000000"/>
              <w:left w:val="single" w:sz="6" w:space="0" w:color="000000"/>
              <w:bottom w:val="single" w:sz="6" w:space="0" w:color="000000"/>
              <w:right w:val="single" w:sz="6" w:space="0" w:color="000000"/>
            </w:tcBorders>
          </w:tcPr>
          <w:p w14:paraId="2BB6D4D9" w14:textId="77777777" w:rsidR="001C5112" w:rsidRPr="002766D5" w:rsidRDefault="00637BA0">
            <w:pPr>
              <w:rPr>
                <w:rFonts w:ascii="Aptos" w:eastAsia="Aptos" w:hAnsi="Aptos" w:cs="Aptos"/>
                <w:i/>
                <w:iCs/>
              </w:rPr>
            </w:pPr>
            <w:r w:rsidRPr="002766D5">
              <w:rPr>
                <w:rFonts w:ascii="Aptos" w:hAnsi="Aptos"/>
                <w:i/>
                <w:szCs w:val="18"/>
              </w:rPr>
              <w:t>Apéndice A: Condiciones de trabajo requeridas</w:t>
            </w:r>
          </w:p>
          <w:p w14:paraId="20104CF2" w14:textId="77777777" w:rsidR="001C5112" w:rsidRPr="002766D5" w:rsidRDefault="00637BA0">
            <w:pPr>
              <w:numPr>
                <w:ilvl w:val="0"/>
                <w:numId w:val="9"/>
              </w:numPr>
              <w:pBdr>
                <w:top w:val="nil"/>
                <w:left w:val="nil"/>
                <w:bottom w:val="nil"/>
                <w:right w:val="nil"/>
                <w:between w:val="nil"/>
              </w:pBdr>
              <w:rPr>
                <w:rFonts w:ascii="Aptos" w:eastAsia="Aptos" w:hAnsi="Aptos" w:cs="Aptos"/>
                <w:color w:val="000000"/>
              </w:rPr>
            </w:pPr>
            <w:r w:rsidRPr="002766D5">
              <w:rPr>
                <w:rFonts w:ascii="Aptos" w:hAnsi="Aptos"/>
                <w:color w:val="000000"/>
                <w:szCs w:val="18"/>
              </w:rPr>
              <w:t>Términos y condiciones para empleados de Holland Elementary School (págs. 18 a 19)</w:t>
            </w:r>
          </w:p>
          <w:p w14:paraId="2C6497AA" w14:textId="77777777" w:rsidR="001C5112" w:rsidRPr="002766D5" w:rsidRDefault="00637BA0">
            <w:pPr>
              <w:numPr>
                <w:ilvl w:val="0"/>
                <w:numId w:val="4"/>
              </w:numPr>
              <w:pBdr>
                <w:top w:val="nil"/>
                <w:left w:val="nil"/>
                <w:bottom w:val="nil"/>
                <w:right w:val="nil"/>
                <w:between w:val="nil"/>
              </w:pBdr>
              <w:ind w:left="1230"/>
              <w:rPr>
                <w:rFonts w:ascii="Aptos" w:eastAsia="Aptos" w:hAnsi="Aptos" w:cs="Aptos"/>
                <w:color w:val="000000"/>
              </w:rPr>
            </w:pPr>
            <w:r w:rsidRPr="002766D5">
              <w:rPr>
                <w:rFonts w:ascii="Aptos" w:hAnsi="Aptos"/>
                <w:color w:val="000000"/>
                <w:szCs w:val="18"/>
              </w:rPr>
              <w:t>Las Escuelas Públicas de Boston (BPS) pueden ampliar, modificar o reemplazar el plan de estudios y la oferta de programas de la escuela.</w:t>
            </w:r>
          </w:p>
          <w:p w14:paraId="2A1B0DA1" w14:textId="77777777" w:rsidR="001C5112" w:rsidRPr="002766D5" w:rsidRDefault="00637BA0">
            <w:pPr>
              <w:numPr>
                <w:ilvl w:val="0"/>
                <w:numId w:val="4"/>
              </w:numPr>
              <w:pBdr>
                <w:top w:val="nil"/>
                <w:left w:val="nil"/>
                <w:bottom w:val="nil"/>
                <w:right w:val="nil"/>
                <w:between w:val="nil"/>
              </w:pBdr>
              <w:ind w:left="1230"/>
              <w:rPr>
                <w:rFonts w:ascii="Aptos" w:eastAsia="Aptos" w:hAnsi="Aptos" w:cs="Aptos"/>
                <w:color w:val="000000"/>
              </w:rPr>
            </w:pPr>
            <w:r w:rsidRPr="002766D5">
              <w:rPr>
                <w:rFonts w:ascii="Aptos" w:hAnsi="Aptos"/>
                <w:color w:val="000000"/>
                <w:szCs w:val="18"/>
              </w:rPr>
              <w:t>BPS puede reasignar los usos del presupuesto escolar existente</w:t>
            </w:r>
          </w:p>
          <w:p w14:paraId="6AE6AE28" w14:textId="77777777" w:rsidR="001C5112" w:rsidRPr="002766D5" w:rsidRDefault="00637BA0">
            <w:pPr>
              <w:numPr>
                <w:ilvl w:val="0"/>
                <w:numId w:val="4"/>
              </w:numPr>
              <w:pBdr>
                <w:top w:val="nil"/>
                <w:left w:val="nil"/>
                <w:bottom w:val="nil"/>
                <w:right w:val="nil"/>
                <w:between w:val="nil"/>
              </w:pBdr>
              <w:ind w:left="1230"/>
              <w:rPr>
                <w:rFonts w:ascii="Aptos" w:eastAsia="Aptos" w:hAnsi="Aptos" w:cs="Aptos"/>
                <w:color w:val="000000"/>
              </w:rPr>
            </w:pPr>
            <w:r w:rsidRPr="002766D5">
              <w:rPr>
                <w:rFonts w:ascii="Aptos" w:hAnsi="Aptos"/>
                <w:color w:val="000000"/>
                <w:szCs w:val="18"/>
              </w:rPr>
              <w:t>y establecer un plan de desarrollo profesional para los administradores de la escuela, con énfasis en estrategias que optimicen habilidades de liderazgo y utilicen los principios del liderazgo distributivo.</w:t>
            </w:r>
          </w:p>
          <w:p w14:paraId="2EB4181D" w14:textId="77777777" w:rsidR="001C5112" w:rsidRPr="002766D5" w:rsidRDefault="00637BA0">
            <w:pPr>
              <w:numPr>
                <w:ilvl w:val="0"/>
                <w:numId w:val="9"/>
              </w:numPr>
              <w:pBdr>
                <w:top w:val="nil"/>
                <w:left w:val="nil"/>
                <w:bottom w:val="nil"/>
                <w:right w:val="nil"/>
                <w:between w:val="nil"/>
              </w:pBdr>
              <w:rPr>
                <w:rFonts w:ascii="Aptos" w:eastAsia="Aptos" w:hAnsi="Aptos" w:cs="Aptos"/>
                <w:color w:val="000000"/>
              </w:rPr>
            </w:pPr>
            <w:r w:rsidRPr="002766D5">
              <w:rPr>
                <w:rFonts w:ascii="Aptos" w:hAnsi="Aptos"/>
                <w:color w:val="000000"/>
                <w:szCs w:val="18"/>
              </w:rPr>
              <w:t>Personal (página 21)</w:t>
            </w:r>
          </w:p>
          <w:p w14:paraId="4E0DD372" w14:textId="0262EC2A"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BPS tiene el criterio exclusivo de seleccionar el personal para todos los puestos de la escuela, incluidos administradores, docentes, personal de mantenimiento, personal de enfermería, guardias de seguridad, etc. No existirá ningún requisito para que BPS emplee a personas específicas en la escuela que opera. Además, tiene el criterio exclusivo de decidir qué miembros del personal retener o renovar anualmente. </w:t>
            </w:r>
          </w:p>
          <w:p w14:paraId="03759E20"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Puede seleccionar personal para puestos sindicales sin tener en cuenta la antigüedad dentro del sindicato o las prácticas anteriores entre el comité escolar local y el sindicato. </w:t>
            </w:r>
          </w:p>
          <w:p w14:paraId="523FDFB5"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BPS puede formular descripciones de puestos de trabajo, y deberes y responsabilidades para todos y cada uno de los puestos de la escuela. </w:t>
            </w:r>
          </w:p>
          <w:p w14:paraId="7775F16D"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Asimismo, podrá establecer un código de conducta para todo el personal. </w:t>
            </w:r>
          </w:p>
          <w:p w14:paraId="02BBD82A"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El personal de la escuela existente (y su distrito) no tendrá derechos de vinculación o permanencia a ningún puesto, y el director podrá trasladar unilateralmente a cualquier miembro del personal escolar a otro puesto, siempre que dicho miembro del personal tenga la licencia y la certificación adecuadas. </w:t>
            </w:r>
          </w:p>
          <w:p w14:paraId="7B607695"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BPS puede reducir involuntariamente los miembros del sindicato local. Las disposiciones del convenio del sindicato local con respecto a la reducción de miembros, la antigüedad y los traslados no se aplicarán a la escuela gestionada por BPS, excepto que los miembros del sindicato continúen acumulando antigüedad. </w:t>
            </w:r>
          </w:p>
          <w:p w14:paraId="3EB21C3B"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La escuela y sus empleados están exentos del lenguaje de despido y retiro en el contrato sindical local, y cualquier práctica asociada. </w:t>
            </w:r>
          </w:p>
          <w:p w14:paraId="51F1D5C7"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BPS será responsable de contratar, administrar y evaluar el personal necesario para atender a los alumnos con discapacidades de acuerdo con sus necesidades, servicios y apoyos identificados en sus IEP. </w:t>
            </w:r>
          </w:p>
          <w:p w14:paraId="45A32509"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BPS se encargará de contratar, administrar y evaluar al personal necesario para satisfacer las necesidades de los alumnos que son aprendices de inglés. </w:t>
            </w:r>
          </w:p>
          <w:p w14:paraId="1ED099C5" w14:textId="77777777" w:rsidR="001C5112" w:rsidRPr="002766D5" w:rsidRDefault="001C5112">
            <w:pPr>
              <w:pBdr>
                <w:top w:val="nil"/>
                <w:left w:val="nil"/>
                <w:bottom w:val="nil"/>
                <w:right w:val="nil"/>
                <w:between w:val="nil"/>
              </w:pBdr>
              <w:rPr>
                <w:rFonts w:ascii="Aptos" w:eastAsia="Aptos" w:hAnsi="Aptos" w:cs="Aptos"/>
                <w:color w:val="000000"/>
              </w:rPr>
            </w:pPr>
          </w:p>
          <w:p w14:paraId="43A7E9B1" w14:textId="77777777" w:rsidR="001C5112" w:rsidRPr="002766D5" w:rsidRDefault="00637BA0">
            <w:pPr>
              <w:numPr>
                <w:ilvl w:val="0"/>
                <w:numId w:val="3"/>
              </w:numPr>
              <w:pBdr>
                <w:top w:val="nil"/>
                <w:left w:val="nil"/>
                <w:bottom w:val="nil"/>
                <w:right w:val="nil"/>
                <w:between w:val="nil"/>
              </w:pBdr>
              <w:ind w:left="420" w:hanging="270"/>
              <w:rPr>
                <w:rFonts w:ascii="Aptos" w:eastAsia="Aptos" w:hAnsi="Aptos" w:cs="Aptos"/>
                <w:color w:val="000000"/>
              </w:rPr>
            </w:pPr>
            <w:r w:rsidRPr="002766D5">
              <w:rPr>
                <w:rFonts w:ascii="Aptos" w:hAnsi="Aptos"/>
                <w:color w:val="000000"/>
                <w:szCs w:val="18"/>
              </w:rPr>
              <w:t>Obligaciones profesionales: docentes (pág. 22)</w:t>
            </w:r>
          </w:p>
          <w:p w14:paraId="1BBCFDF3"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Los docentes y otros empleados profesionales deberán dedicar el tiempo que sea necesario para lograr y mantener una educación de alta calidad en UAH. Por ejemplo, a menos que estén formalmente eximidos, los docentes y otros empleados profesionales deberán participar en todas las funciones escolares regulares durante o fuera de la jornada escolar normal, incluidas las reuniones de docentes, conferencias de padres, reuniones del departamento, reuniones de planificación, graduaciones y otras actividades similares. Los docentes también tendrán tiempo de preparación regular durante su semana laboral. Dicho tiempo de preparación puede incluir períodos comunes de planificación y de desarrollo profesional.</w:t>
            </w:r>
          </w:p>
          <w:p w14:paraId="3C67142A"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lastRenderedPageBreak/>
              <w:t>El término de empleo para los docentes será del 1 de julio al 30 de junio e incluirá lo siguiente: hasta 20 días de desarrollo profesional y tiempo de planificación antes de que comience el año escolar, y cada día incluirá hasta ocho horas de desarrollo profesional o tiempo de planificación del personal.</w:t>
            </w:r>
          </w:p>
          <w:p w14:paraId="597D74A2"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BPS desarrollará el cronograma para la utilización de todos los días de planificación y desarrollo profesional, antes y durante el año académico.</w:t>
            </w:r>
          </w:p>
          <w:p w14:paraId="3CF061D7" w14:textId="77777777" w:rsidR="001C5112" w:rsidRPr="002766D5" w:rsidRDefault="00637BA0">
            <w:pPr>
              <w:numPr>
                <w:ilvl w:val="0"/>
                <w:numId w:val="3"/>
              </w:numPr>
              <w:pBdr>
                <w:top w:val="nil"/>
                <w:left w:val="nil"/>
                <w:bottom w:val="nil"/>
                <w:right w:val="nil"/>
                <w:between w:val="nil"/>
              </w:pBdr>
              <w:rPr>
                <w:rFonts w:ascii="Aptos" w:eastAsia="Aptos" w:hAnsi="Aptos" w:cs="Aptos"/>
                <w:color w:val="000000"/>
              </w:rPr>
            </w:pPr>
            <w:r w:rsidRPr="002766D5">
              <w:rPr>
                <w:rFonts w:ascii="Aptos" w:hAnsi="Aptos"/>
                <w:color w:val="000000"/>
                <w:szCs w:val="18"/>
              </w:rPr>
              <w:t>Se espera que todos los miembros del personal participen en actividades de desarrollo profesional y colaboración, así como en reuniones de personal fuera del horario de los alumnos, hasta 3 días por semana por un total de 2 horas, salvo que el director disponga lo contrario.</w:t>
            </w:r>
          </w:p>
          <w:p w14:paraId="6CE639AA" w14:textId="77777777" w:rsidR="001C5112" w:rsidRPr="002766D5" w:rsidRDefault="001C5112">
            <w:pPr>
              <w:pBdr>
                <w:top w:val="nil"/>
                <w:left w:val="nil"/>
                <w:bottom w:val="nil"/>
                <w:right w:val="nil"/>
                <w:between w:val="nil"/>
              </w:pBdr>
              <w:rPr>
                <w:rFonts w:ascii="Aptos" w:eastAsia="Aptos" w:hAnsi="Aptos" w:cs="Aptos"/>
                <w:color w:val="000000"/>
              </w:rPr>
            </w:pPr>
          </w:p>
        </w:tc>
      </w:tr>
    </w:tbl>
    <w:p w14:paraId="2961BA16" w14:textId="77777777" w:rsidR="001C5112" w:rsidRPr="002766D5" w:rsidRDefault="00637BA0">
      <w:pPr>
        <w:rPr>
          <w:rFonts w:ascii="Aptos" w:eastAsia="Aptos" w:hAnsi="Aptos" w:cs="Aptos"/>
          <w:b/>
          <w:bCs/>
        </w:rPr>
      </w:pPr>
      <w:r w:rsidRPr="002766D5">
        <w:rPr>
          <w:rFonts w:ascii="Aptos" w:hAnsi="Aptos"/>
          <w:b/>
          <w:szCs w:val="18"/>
        </w:rPr>
        <w:lastRenderedPageBreak/>
        <w:t xml:space="preserve">Durante un período de transición, el Departamento supervisará periódicamente el progreso de la escuela mediante el uso de las siguientes métricas. </w:t>
      </w:r>
    </w:p>
    <w:tbl>
      <w:tblPr>
        <w:tblStyle w:val="a2"/>
        <w:tblW w:w="10612" w:type="dxa"/>
        <w:tblInd w:w="0" w:type="dxa"/>
        <w:tblBorders>
          <w:top w:val="single" w:sz="6" w:space="0" w:color="000000"/>
          <w:left w:val="single" w:sz="6" w:space="0" w:color="000000"/>
          <w:bottom w:val="single" w:sz="6" w:space="0" w:color="000000"/>
          <w:right w:val="single" w:sz="6" w:space="0" w:color="000000"/>
          <w:insideH w:val="single" w:sz="4" w:space="0" w:color="000000"/>
          <w:insideV w:val="single" w:sz="4" w:space="0" w:color="000000"/>
        </w:tblBorders>
        <w:tblLayout w:type="fixed"/>
        <w:tblLook w:val="0620" w:firstRow="1" w:lastRow="0" w:firstColumn="0" w:lastColumn="0" w:noHBand="1" w:noVBand="1"/>
        <w:tblCaption w:val="Métrica de progreso Estrategia alineada con el plan de reestructuración"/>
      </w:tblPr>
      <w:tblGrid>
        <w:gridCol w:w="6765"/>
        <w:gridCol w:w="3847"/>
      </w:tblGrid>
      <w:tr w:rsidR="001C5112" w:rsidRPr="002766D5" w14:paraId="202F2A06" w14:textId="77777777" w:rsidTr="00E26C23">
        <w:trPr>
          <w:trHeight w:val="300"/>
        </w:trPr>
        <w:tc>
          <w:tcPr>
            <w:tcW w:w="6765" w:type="dxa"/>
            <w:tcBorders>
              <w:top w:val="single" w:sz="6" w:space="0" w:color="000000"/>
              <w:left w:val="single" w:sz="6" w:space="0" w:color="000000"/>
              <w:bottom w:val="single" w:sz="6" w:space="0" w:color="000000"/>
              <w:right w:val="single" w:sz="6" w:space="0" w:color="000000"/>
            </w:tcBorders>
            <w:shd w:val="clear" w:color="auto" w:fill="F2F2F2"/>
          </w:tcPr>
          <w:p w14:paraId="252C9C7C" w14:textId="77777777" w:rsidR="001C5112" w:rsidRPr="002766D5" w:rsidRDefault="00637BA0">
            <w:pPr>
              <w:jc w:val="center"/>
              <w:rPr>
                <w:rFonts w:ascii="Aptos" w:eastAsia="Aptos" w:hAnsi="Aptos" w:cs="Aptos"/>
                <w:b/>
                <w:bCs/>
                <w:sz w:val="22"/>
                <w:szCs w:val="22"/>
              </w:rPr>
            </w:pPr>
            <w:r w:rsidRPr="002766D5">
              <w:rPr>
                <w:rFonts w:ascii="Aptos" w:hAnsi="Aptos"/>
                <w:b/>
                <w:sz w:val="22"/>
                <w:szCs w:val="18"/>
              </w:rPr>
              <w:t>Métrica de progreso</w:t>
            </w:r>
          </w:p>
        </w:tc>
        <w:tc>
          <w:tcPr>
            <w:tcW w:w="3847" w:type="dxa"/>
            <w:tcBorders>
              <w:top w:val="single" w:sz="6" w:space="0" w:color="000000"/>
              <w:left w:val="single" w:sz="6" w:space="0" w:color="000000"/>
              <w:bottom w:val="single" w:sz="6" w:space="0" w:color="000000"/>
              <w:right w:val="single" w:sz="6" w:space="0" w:color="000000"/>
            </w:tcBorders>
            <w:shd w:val="clear" w:color="auto" w:fill="F2F2F2"/>
          </w:tcPr>
          <w:p w14:paraId="3B7C0741" w14:textId="77777777" w:rsidR="001C5112" w:rsidRPr="002766D5" w:rsidRDefault="00637BA0">
            <w:pPr>
              <w:jc w:val="center"/>
              <w:rPr>
                <w:rFonts w:ascii="Aptos" w:eastAsia="Aptos" w:hAnsi="Aptos" w:cs="Aptos"/>
                <w:b/>
                <w:bCs/>
                <w:sz w:val="22"/>
                <w:szCs w:val="22"/>
              </w:rPr>
            </w:pPr>
            <w:r w:rsidRPr="002766D5">
              <w:rPr>
                <w:rFonts w:ascii="Aptos" w:hAnsi="Aptos"/>
                <w:b/>
                <w:sz w:val="22"/>
                <w:szCs w:val="18"/>
              </w:rPr>
              <w:t>Estrategia alineada con el plan de reestructuración</w:t>
            </w:r>
          </w:p>
        </w:tc>
      </w:tr>
      <w:tr w:rsidR="001C5112" w:rsidRPr="002766D5" w14:paraId="6CBB2C58" w14:textId="77777777" w:rsidTr="00E26C23">
        <w:trPr>
          <w:trHeight w:val="300"/>
        </w:trPr>
        <w:tc>
          <w:tcPr>
            <w:tcW w:w="6765" w:type="dxa"/>
            <w:tcBorders>
              <w:top w:val="single" w:sz="6" w:space="0" w:color="000000"/>
              <w:left w:val="single" w:sz="6" w:space="0" w:color="000000"/>
              <w:bottom w:val="single" w:sz="6" w:space="0" w:color="000000"/>
              <w:right w:val="single" w:sz="6" w:space="0" w:color="000000"/>
            </w:tcBorders>
          </w:tcPr>
          <w:p w14:paraId="4C6BE0C0" w14:textId="77777777" w:rsidR="001C5112" w:rsidRPr="002766D5" w:rsidRDefault="00637BA0">
            <w:pPr>
              <w:rPr>
                <w:rFonts w:ascii="Aptos" w:eastAsia="Aptos" w:hAnsi="Aptos" w:cs="Aptos"/>
              </w:rPr>
            </w:pPr>
            <w:r w:rsidRPr="002766D5">
              <w:rPr>
                <w:rFonts w:ascii="Aptos" w:hAnsi="Aptos"/>
                <w:szCs w:val="18"/>
              </w:rPr>
              <w:t>Porcentaje de alumnos que cumplen o superan las expectativas en las evaluaciones de fin de unidad en Matemáticas, Lengua y Literatura Inglesa, y Ciencias.</w:t>
            </w:r>
          </w:p>
        </w:tc>
        <w:tc>
          <w:tcPr>
            <w:tcW w:w="3847" w:type="dxa"/>
            <w:tcBorders>
              <w:top w:val="single" w:sz="6" w:space="0" w:color="000000"/>
              <w:left w:val="single" w:sz="6" w:space="0" w:color="000000"/>
              <w:bottom w:val="single" w:sz="6" w:space="0" w:color="000000"/>
              <w:right w:val="single" w:sz="6" w:space="0" w:color="000000"/>
            </w:tcBorders>
          </w:tcPr>
          <w:p w14:paraId="619A04E8" w14:textId="77777777" w:rsidR="001C5112" w:rsidRPr="002766D5" w:rsidRDefault="00637BA0">
            <w:pPr>
              <w:jc w:val="center"/>
              <w:rPr>
                <w:rFonts w:ascii="Aptos" w:eastAsia="Aptos" w:hAnsi="Aptos" w:cs="Aptos"/>
              </w:rPr>
            </w:pPr>
            <w:r w:rsidRPr="002766D5">
              <w:rPr>
                <w:rFonts w:ascii="Aptos" w:hAnsi="Aptos"/>
                <w:szCs w:val="18"/>
              </w:rPr>
              <w:t>Área prioritaria 2</w:t>
            </w:r>
          </w:p>
        </w:tc>
      </w:tr>
      <w:tr w:rsidR="001C5112" w:rsidRPr="002766D5" w14:paraId="01DF752E" w14:textId="77777777" w:rsidTr="00E26C23">
        <w:trPr>
          <w:trHeight w:val="300"/>
        </w:trPr>
        <w:tc>
          <w:tcPr>
            <w:tcW w:w="6765" w:type="dxa"/>
            <w:tcBorders>
              <w:top w:val="single" w:sz="6" w:space="0" w:color="000000"/>
              <w:left w:val="single" w:sz="6" w:space="0" w:color="000000"/>
              <w:bottom w:val="single" w:sz="6" w:space="0" w:color="000000"/>
              <w:right w:val="single" w:sz="6" w:space="0" w:color="000000"/>
            </w:tcBorders>
          </w:tcPr>
          <w:p w14:paraId="63A113AB" w14:textId="77777777" w:rsidR="001C5112" w:rsidRPr="002766D5" w:rsidRDefault="00637BA0">
            <w:pPr>
              <w:rPr>
                <w:rFonts w:ascii="Aptos" w:eastAsia="Aptos" w:hAnsi="Aptos" w:cs="Aptos"/>
              </w:rPr>
            </w:pPr>
            <w:r w:rsidRPr="002766D5">
              <w:rPr>
                <w:rFonts w:ascii="Aptos" w:hAnsi="Aptos"/>
                <w:szCs w:val="18"/>
              </w:rPr>
              <w:t>Porcentaje de alumnos que cumplen o superan las expectativas en las evaluaciones de punto de referencia en Alfabetización temprana, Lectura y Matemáticas.</w:t>
            </w:r>
          </w:p>
        </w:tc>
        <w:tc>
          <w:tcPr>
            <w:tcW w:w="3847" w:type="dxa"/>
            <w:tcBorders>
              <w:top w:val="single" w:sz="6" w:space="0" w:color="000000"/>
              <w:left w:val="single" w:sz="6" w:space="0" w:color="000000"/>
              <w:bottom w:val="single" w:sz="6" w:space="0" w:color="000000"/>
              <w:right w:val="single" w:sz="6" w:space="0" w:color="000000"/>
            </w:tcBorders>
          </w:tcPr>
          <w:p w14:paraId="357C6FF2" w14:textId="77777777" w:rsidR="001C5112" w:rsidRPr="002766D5" w:rsidRDefault="00637BA0">
            <w:pPr>
              <w:jc w:val="center"/>
              <w:rPr>
                <w:rFonts w:ascii="Aptos" w:eastAsia="Aptos" w:hAnsi="Aptos" w:cs="Aptos"/>
              </w:rPr>
            </w:pPr>
            <w:r w:rsidRPr="002766D5">
              <w:rPr>
                <w:rFonts w:ascii="Aptos" w:hAnsi="Aptos"/>
                <w:szCs w:val="18"/>
              </w:rPr>
              <w:t>Área prioritaria 3</w:t>
            </w:r>
          </w:p>
        </w:tc>
      </w:tr>
      <w:tr w:rsidR="001C5112" w:rsidRPr="002766D5" w14:paraId="2D4ACA6A" w14:textId="77777777" w:rsidTr="00E26C23">
        <w:trPr>
          <w:trHeight w:val="300"/>
        </w:trPr>
        <w:tc>
          <w:tcPr>
            <w:tcW w:w="6765" w:type="dxa"/>
            <w:tcBorders>
              <w:top w:val="single" w:sz="6" w:space="0" w:color="000000"/>
              <w:left w:val="single" w:sz="6" w:space="0" w:color="000000"/>
              <w:bottom w:val="single" w:sz="6" w:space="0" w:color="000000"/>
              <w:right w:val="single" w:sz="6" w:space="0" w:color="000000"/>
            </w:tcBorders>
          </w:tcPr>
          <w:p w14:paraId="749F0627" w14:textId="77777777" w:rsidR="001C5112" w:rsidRPr="002766D5" w:rsidRDefault="00637BA0">
            <w:pPr>
              <w:rPr>
                <w:rFonts w:ascii="Aptos" w:eastAsia="Aptos" w:hAnsi="Aptos" w:cs="Aptos"/>
              </w:rPr>
            </w:pPr>
            <w:r w:rsidRPr="002766D5">
              <w:rPr>
                <w:rFonts w:ascii="Aptos" w:hAnsi="Aptos"/>
                <w:szCs w:val="18"/>
              </w:rPr>
              <w:t>Datos de la encuesta sobre el ambiente escolar</w:t>
            </w:r>
          </w:p>
        </w:tc>
        <w:tc>
          <w:tcPr>
            <w:tcW w:w="3847" w:type="dxa"/>
            <w:tcBorders>
              <w:top w:val="single" w:sz="6" w:space="0" w:color="000000"/>
              <w:left w:val="single" w:sz="6" w:space="0" w:color="000000"/>
              <w:bottom w:val="single" w:sz="6" w:space="0" w:color="000000"/>
              <w:right w:val="single" w:sz="6" w:space="0" w:color="000000"/>
            </w:tcBorders>
          </w:tcPr>
          <w:p w14:paraId="13BBF8F7" w14:textId="77777777" w:rsidR="001C5112" w:rsidRPr="002766D5" w:rsidRDefault="00637BA0">
            <w:pPr>
              <w:jc w:val="center"/>
              <w:rPr>
                <w:rFonts w:ascii="Aptos" w:eastAsia="Aptos" w:hAnsi="Aptos" w:cs="Aptos"/>
              </w:rPr>
            </w:pPr>
            <w:r w:rsidRPr="002766D5">
              <w:rPr>
                <w:rFonts w:ascii="Aptos" w:hAnsi="Aptos"/>
                <w:szCs w:val="18"/>
              </w:rPr>
              <w:t>Todas las áreas prioritarias</w:t>
            </w:r>
          </w:p>
        </w:tc>
      </w:tr>
      <w:tr w:rsidR="001C5112" w:rsidRPr="002766D5" w14:paraId="1C1FA2A9" w14:textId="77777777" w:rsidTr="00E26C23">
        <w:trPr>
          <w:trHeight w:val="300"/>
        </w:trPr>
        <w:tc>
          <w:tcPr>
            <w:tcW w:w="6765" w:type="dxa"/>
            <w:tcBorders>
              <w:top w:val="single" w:sz="6" w:space="0" w:color="000000"/>
              <w:left w:val="single" w:sz="6" w:space="0" w:color="000000"/>
              <w:bottom w:val="single" w:sz="6" w:space="0" w:color="000000"/>
              <w:right w:val="single" w:sz="6" w:space="0" w:color="000000"/>
            </w:tcBorders>
          </w:tcPr>
          <w:p w14:paraId="2943FE34" w14:textId="77777777" w:rsidR="001C5112" w:rsidRPr="002766D5" w:rsidRDefault="00637BA0">
            <w:pPr>
              <w:rPr>
                <w:rFonts w:ascii="Aptos" w:eastAsia="Aptos" w:hAnsi="Aptos" w:cs="Aptos"/>
              </w:rPr>
            </w:pPr>
            <w:r w:rsidRPr="002766D5">
              <w:rPr>
                <w:rFonts w:ascii="Aptos" w:hAnsi="Aptos"/>
                <w:szCs w:val="18"/>
              </w:rPr>
              <w:t>Tasas de retención de docentes, personal de apoyo y administradores</w:t>
            </w:r>
          </w:p>
        </w:tc>
        <w:tc>
          <w:tcPr>
            <w:tcW w:w="3847" w:type="dxa"/>
            <w:tcBorders>
              <w:top w:val="single" w:sz="6" w:space="0" w:color="000000"/>
              <w:left w:val="single" w:sz="6" w:space="0" w:color="000000"/>
              <w:bottom w:val="single" w:sz="6" w:space="0" w:color="000000"/>
              <w:right w:val="single" w:sz="6" w:space="0" w:color="000000"/>
            </w:tcBorders>
          </w:tcPr>
          <w:p w14:paraId="307BE57C" w14:textId="77777777" w:rsidR="001C5112" w:rsidRPr="002766D5" w:rsidRDefault="00637BA0">
            <w:pPr>
              <w:jc w:val="center"/>
              <w:rPr>
                <w:rFonts w:ascii="Aptos" w:eastAsia="Aptos" w:hAnsi="Aptos" w:cs="Aptos"/>
              </w:rPr>
            </w:pPr>
            <w:r w:rsidRPr="002766D5">
              <w:rPr>
                <w:rFonts w:ascii="Aptos" w:hAnsi="Aptos"/>
                <w:szCs w:val="18"/>
              </w:rPr>
              <w:t>Área prioritaria 4</w:t>
            </w:r>
          </w:p>
        </w:tc>
      </w:tr>
      <w:tr w:rsidR="001C5112" w:rsidRPr="002766D5" w14:paraId="7DD54A88" w14:textId="77777777" w:rsidTr="00E26C23">
        <w:trPr>
          <w:trHeight w:val="300"/>
        </w:trPr>
        <w:tc>
          <w:tcPr>
            <w:tcW w:w="6765" w:type="dxa"/>
            <w:tcBorders>
              <w:top w:val="single" w:sz="6" w:space="0" w:color="000000"/>
              <w:left w:val="single" w:sz="6" w:space="0" w:color="000000"/>
              <w:bottom w:val="single" w:sz="6" w:space="0" w:color="000000"/>
              <w:right w:val="single" w:sz="6" w:space="0" w:color="000000"/>
            </w:tcBorders>
          </w:tcPr>
          <w:p w14:paraId="04AFF45B" w14:textId="77777777" w:rsidR="001C5112" w:rsidRPr="002766D5" w:rsidRDefault="00637BA0">
            <w:pPr>
              <w:rPr>
                <w:rFonts w:ascii="Aptos" w:eastAsia="Aptos" w:hAnsi="Aptos" w:cs="Aptos"/>
              </w:rPr>
            </w:pPr>
            <w:r w:rsidRPr="002766D5">
              <w:rPr>
                <w:rFonts w:ascii="Aptos" w:hAnsi="Aptos"/>
                <w:szCs w:val="18"/>
              </w:rPr>
              <w:t>Porcentaje de alumnos con ausentismo crónico</w:t>
            </w:r>
          </w:p>
        </w:tc>
        <w:tc>
          <w:tcPr>
            <w:tcW w:w="3847" w:type="dxa"/>
            <w:tcBorders>
              <w:top w:val="single" w:sz="6" w:space="0" w:color="000000"/>
              <w:left w:val="single" w:sz="6" w:space="0" w:color="000000"/>
              <w:bottom w:val="single" w:sz="6" w:space="0" w:color="000000"/>
              <w:right w:val="single" w:sz="6" w:space="0" w:color="000000"/>
            </w:tcBorders>
          </w:tcPr>
          <w:p w14:paraId="6D3DFB0E" w14:textId="77777777" w:rsidR="001C5112" w:rsidRPr="002766D5" w:rsidRDefault="00637BA0">
            <w:pPr>
              <w:jc w:val="center"/>
              <w:rPr>
                <w:rFonts w:ascii="Aptos" w:eastAsia="Aptos" w:hAnsi="Aptos" w:cs="Aptos"/>
              </w:rPr>
            </w:pPr>
            <w:r w:rsidRPr="002766D5">
              <w:rPr>
                <w:rFonts w:ascii="Aptos" w:hAnsi="Aptos"/>
                <w:szCs w:val="18"/>
              </w:rPr>
              <w:t>Área prioritaria 5</w:t>
            </w:r>
          </w:p>
        </w:tc>
      </w:tr>
    </w:tbl>
    <w:p w14:paraId="7A994CBF" w14:textId="77777777" w:rsidR="001C5112" w:rsidRPr="002766D5" w:rsidRDefault="001C5112">
      <w:pPr>
        <w:rPr>
          <w:rFonts w:ascii="Aptos" w:eastAsia="Aptos" w:hAnsi="Aptos" w:cs="Aptos"/>
          <w:sz w:val="22"/>
          <w:szCs w:val="22"/>
        </w:rPr>
      </w:pPr>
    </w:p>
    <w:p w14:paraId="662239A4" w14:textId="77777777" w:rsidR="001C5112" w:rsidRPr="002766D5" w:rsidRDefault="00637BA0">
      <w:pPr>
        <w:rPr>
          <w:rFonts w:ascii="Aptos" w:eastAsia="Aptos" w:hAnsi="Aptos" w:cs="Aptos"/>
        </w:rPr>
      </w:pPr>
      <w:r w:rsidRPr="002766D5">
        <w:rPr>
          <w:rFonts w:ascii="Aptos" w:hAnsi="Aptos"/>
          <w:b/>
          <w:szCs w:val="18"/>
        </w:rPr>
        <w:t xml:space="preserve">Para las flexibilidades que requieren financiamiento para su implementación, describa los costos pertinentes y cómo se financiarán. </w:t>
      </w:r>
    </w:p>
    <w:p w14:paraId="151D902E" w14:textId="77777777" w:rsidR="00DD1699" w:rsidRPr="002766D5" w:rsidRDefault="00DD1699" w:rsidP="00DD1699">
      <w:pPr>
        <w:pBdr>
          <w:top w:val="single" w:sz="4" w:space="1" w:color="auto"/>
          <w:left w:val="single" w:sz="4" w:space="4" w:color="auto"/>
          <w:bottom w:val="single" w:sz="4" w:space="1" w:color="auto"/>
          <w:right w:val="single" w:sz="4" w:space="4" w:color="auto"/>
        </w:pBdr>
        <w:spacing w:line="259" w:lineRule="auto"/>
        <w:ind w:left="120"/>
        <w:rPr>
          <w:rFonts w:ascii="Aptos" w:eastAsia="Aptos" w:hAnsi="Aptos" w:cs="Aptos"/>
        </w:rPr>
      </w:pPr>
      <w:r w:rsidRPr="002766D5">
        <w:rPr>
          <w:rFonts w:ascii="Aptos" w:hAnsi="Aptos"/>
          <w:szCs w:val="18"/>
        </w:rPr>
        <w:t>En el año fiscal 2027, el Departamento proporcionará a las Escuelas Públicas de Boston financiamiento mediante una subvención específica por un monto aproximado de $490,000 para financiar la continuidad de las flexibilidades relacionadas con la dotación de personal escolar y el desarrollo profesional.</w:t>
      </w:r>
    </w:p>
    <w:p w14:paraId="5D61A22B" w14:textId="77777777" w:rsidR="001C5112" w:rsidRPr="002766D5" w:rsidRDefault="00637BA0">
      <w:pPr>
        <w:pStyle w:val="Heading2"/>
        <w:shd w:val="clear" w:color="auto" w:fill="BFBFBF"/>
        <w:tabs>
          <w:tab w:val="right" w:pos="14490"/>
        </w:tabs>
        <w:ind w:right="-90"/>
        <w:rPr>
          <w:rFonts w:ascii="Aptos" w:eastAsia="Aptos" w:hAnsi="Aptos" w:cs="Aptos"/>
          <w:i w:val="0"/>
          <w:iCs w:val="0"/>
          <w:sz w:val="24"/>
          <w:szCs w:val="24"/>
        </w:rPr>
      </w:pPr>
      <w:r w:rsidRPr="002766D5">
        <w:rPr>
          <w:rFonts w:ascii="Aptos" w:hAnsi="Aptos"/>
          <w:i w:val="0"/>
          <w:sz w:val="24"/>
          <w:szCs w:val="24"/>
        </w:rPr>
        <w:t>APOYOS DEL DISTRITO PARA LA MEJORA CONTINUA</w:t>
      </w:r>
    </w:p>
    <w:p w14:paraId="05972697" w14:textId="77777777" w:rsidR="001C5112" w:rsidRPr="002766D5" w:rsidRDefault="00637BA0">
      <w:pPr>
        <w:spacing w:line="276" w:lineRule="auto"/>
        <w:rPr>
          <w:rFonts w:ascii="Aptos" w:eastAsia="Aptos" w:hAnsi="Aptos" w:cs="Aptos"/>
          <w:sz w:val="18"/>
          <w:szCs w:val="18"/>
        </w:rPr>
      </w:pPr>
      <w:r w:rsidRPr="002766D5">
        <w:rPr>
          <w:rFonts w:ascii="Aptos" w:hAnsi="Aptos"/>
          <w:szCs w:val="18"/>
        </w:rPr>
        <w:t>En la siguiente descripción, se detallan los apoyos que el distrito proporcionará para garantizar que la escuela saliente mantenga el proceso de mejora. Esta tabla debe incluir apoyos para todo el sistema para la mejora escolar, así como también apoyos de transición adaptados a las necesidades de la escuela saliente.</w:t>
      </w:r>
    </w:p>
    <w:p w14:paraId="410EA0F5" w14:textId="77777777" w:rsidR="00DD1699" w:rsidRPr="002766D5" w:rsidRDefault="00DD1699" w:rsidP="00DD1699">
      <w:pPr>
        <w:pBdr>
          <w:top w:val="single" w:sz="4" w:space="1" w:color="auto"/>
          <w:left w:val="single" w:sz="4" w:space="1" w:color="auto"/>
          <w:bottom w:val="single" w:sz="4" w:space="1" w:color="auto"/>
          <w:right w:val="single" w:sz="4" w:space="1" w:color="auto"/>
          <w:between w:val="nil"/>
        </w:pBdr>
        <w:rPr>
          <w:rFonts w:ascii="Aptos" w:eastAsia="Aptos" w:hAnsi="Aptos" w:cs="Aptos"/>
        </w:rPr>
      </w:pPr>
    </w:p>
    <w:p w14:paraId="6941B363" w14:textId="77777777" w:rsidR="00DD1699" w:rsidRPr="002766D5" w:rsidRDefault="00DD1699" w:rsidP="00DD1699">
      <w:pPr>
        <w:pBdr>
          <w:top w:val="single" w:sz="4" w:space="1" w:color="auto"/>
          <w:left w:val="single" w:sz="4" w:space="1" w:color="auto"/>
          <w:bottom w:val="single" w:sz="4" w:space="1" w:color="auto"/>
          <w:right w:val="single" w:sz="4" w:space="1" w:color="auto"/>
          <w:between w:val="nil"/>
        </w:pBdr>
        <w:rPr>
          <w:rFonts w:ascii="Aptos" w:eastAsia="Aptos" w:hAnsi="Aptos" w:cs="Aptos"/>
        </w:rPr>
      </w:pPr>
      <w:r w:rsidRPr="002766D5">
        <w:rPr>
          <w:rFonts w:ascii="Aptos" w:hAnsi="Aptos"/>
          <w:szCs w:val="18"/>
        </w:rPr>
        <w:t>UAH recibirá apoyo del distrito a través del modelo regional del distrito y un superintendente escolar regional supervisará al líder escolar. El distrito tiene la intención de contratar a UP Education Network para proporcionar apoyo de transición a UAH durante el año escolar 2026-2027.</w:t>
      </w:r>
    </w:p>
    <w:p w14:paraId="188BDBBF" w14:textId="77777777" w:rsidR="00DD1699" w:rsidRPr="002766D5" w:rsidRDefault="00DD1699" w:rsidP="00DD1699">
      <w:pPr>
        <w:pBdr>
          <w:top w:val="single" w:sz="4" w:space="1" w:color="auto"/>
          <w:left w:val="single" w:sz="4" w:space="1" w:color="auto"/>
          <w:bottom w:val="single" w:sz="4" w:space="1" w:color="auto"/>
          <w:right w:val="single" w:sz="4" w:space="1" w:color="auto"/>
          <w:between w:val="nil"/>
        </w:pBdr>
        <w:rPr>
          <w:rFonts w:ascii="Aptos" w:eastAsia="Aptos" w:hAnsi="Aptos" w:cs="Aptos"/>
        </w:rPr>
      </w:pPr>
    </w:p>
    <w:p w14:paraId="4879EEC0" w14:textId="77777777" w:rsidR="00DD1699" w:rsidRPr="002766D5" w:rsidRDefault="00DD1699" w:rsidP="00DD1699">
      <w:pPr>
        <w:pBdr>
          <w:top w:val="single" w:sz="4" w:space="1" w:color="auto"/>
          <w:left w:val="single" w:sz="4" w:space="1" w:color="auto"/>
          <w:bottom w:val="single" w:sz="4" w:space="1" w:color="auto"/>
          <w:right w:val="single" w:sz="4" w:space="1" w:color="auto"/>
          <w:between w:val="nil"/>
        </w:pBdr>
        <w:rPr>
          <w:rFonts w:ascii="Aptos" w:eastAsia="Aptos" w:hAnsi="Aptos" w:cs="Aptos"/>
          <w:color w:val="000000"/>
        </w:rPr>
      </w:pPr>
      <w:r w:rsidRPr="002766D5">
        <w:rPr>
          <w:rFonts w:ascii="Aptos" w:hAnsi="Aptos"/>
          <w:color w:val="000000"/>
          <w:szCs w:val="18"/>
        </w:rPr>
        <w:t>El distrito proporcionará al personal de UAH las siguientes condiciones laborales durante el año escolar 2026-27:</w:t>
      </w:r>
    </w:p>
    <w:p w14:paraId="08C916B7" w14:textId="77777777" w:rsidR="00DD1699" w:rsidRPr="002766D5" w:rsidRDefault="00DD1699" w:rsidP="00DD1699">
      <w:pPr>
        <w:pBdr>
          <w:top w:val="single" w:sz="4" w:space="1" w:color="auto"/>
          <w:left w:val="single" w:sz="4" w:space="1" w:color="auto"/>
          <w:bottom w:val="single" w:sz="4" w:space="1" w:color="auto"/>
          <w:right w:val="single" w:sz="4" w:space="1" w:color="auto"/>
          <w:between w:val="nil"/>
        </w:pBdr>
        <w:rPr>
          <w:rFonts w:ascii="Aptos" w:eastAsia="Aptos" w:hAnsi="Aptos" w:cs="Aptos"/>
          <w:color w:val="000000"/>
          <w:u w:val="single"/>
        </w:rPr>
      </w:pPr>
      <w:r w:rsidRPr="002766D5">
        <w:rPr>
          <w:rFonts w:ascii="Aptos" w:hAnsi="Aptos"/>
          <w:color w:val="000000"/>
          <w:szCs w:val="18"/>
          <w:u w:val="single"/>
        </w:rPr>
        <w:t>Compensación</w:t>
      </w:r>
    </w:p>
    <w:p w14:paraId="25793197" w14:textId="77777777" w:rsidR="00DD1699" w:rsidRPr="002766D5" w:rsidRDefault="00DD1699" w:rsidP="00234094">
      <w:pPr>
        <w:numPr>
          <w:ilvl w:val="0"/>
          <w:numId w:val="5"/>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1"/>
          <w:szCs w:val="21"/>
        </w:rPr>
      </w:pPr>
      <w:r w:rsidRPr="002766D5">
        <w:rPr>
          <w:rFonts w:ascii="Aptos" w:hAnsi="Aptos"/>
          <w:color w:val="000000"/>
          <w:sz w:val="21"/>
          <w:szCs w:val="21"/>
        </w:rPr>
        <w:t xml:space="preserve">Los docentes recibirán salarios de acuerdo con su colocación en el Anexo A del contrato del Sindicato de Docentes de Boston (BTU). Los docentes recibirán la tarifa de reestructuración de $48.08 por cada hora adicional de desarrollo profesional que supere las horas de desarrollo profesional estipuladas en el contrato. </w:t>
      </w:r>
    </w:p>
    <w:p w14:paraId="35702FCB" w14:textId="77777777" w:rsidR="00DD1699" w:rsidRPr="002766D5" w:rsidRDefault="00DD1699" w:rsidP="00234094">
      <w:pPr>
        <w:numPr>
          <w:ilvl w:val="0"/>
          <w:numId w:val="5"/>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sz w:val="21"/>
          <w:szCs w:val="21"/>
        </w:rPr>
      </w:pPr>
      <w:r w:rsidRPr="002766D5">
        <w:rPr>
          <w:rFonts w:ascii="Aptos" w:hAnsi="Aptos"/>
          <w:color w:val="000000"/>
          <w:sz w:val="21"/>
          <w:szCs w:val="21"/>
        </w:rPr>
        <w:t xml:space="preserve">Cada </w:t>
      </w:r>
      <w:proofErr w:type="spellStart"/>
      <w:r w:rsidRPr="002766D5">
        <w:rPr>
          <w:rFonts w:ascii="Aptos" w:hAnsi="Aptos"/>
          <w:color w:val="000000"/>
          <w:sz w:val="21"/>
          <w:szCs w:val="21"/>
        </w:rPr>
        <w:t>paraprofesional</w:t>
      </w:r>
      <w:proofErr w:type="spellEnd"/>
      <w:r w:rsidRPr="002766D5">
        <w:rPr>
          <w:rFonts w:ascii="Aptos" w:hAnsi="Aptos"/>
          <w:color w:val="000000"/>
          <w:sz w:val="21"/>
          <w:szCs w:val="21"/>
        </w:rPr>
        <w:t xml:space="preserve"> que esté actualmente empleado en UAH y que permanezca en el mismo puesto conservará su tarifa actual por hora hasta que la tarifa que le correspondería según la escala salarial de </w:t>
      </w:r>
      <w:proofErr w:type="spellStart"/>
      <w:r w:rsidRPr="002766D5">
        <w:rPr>
          <w:rFonts w:ascii="Aptos" w:hAnsi="Aptos"/>
          <w:color w:val="000000"/>
          <w:sz w:val="21"/>
          <w:szCs w:val="21"/>
        </w:rPr>
        <w:t>paraprofesionales</w:t>
      </w:r>
      <w:proofErr w:type="spellEnd"/>
      <w:r w:rsidRPr="002766D5">
        <w:rPr>
          <w:rFonts w:ascii="Aptos" w:hAnsi="Aptos"/>
          <w:color w:val="000000"/>
          <w:sz w:val="21"/>
          <w:szCs w:val="21"/>
        </w:rPr>
        <w:t xml:space="preserve"> de BPS iguale o supere su tarifa actual. </w:t>
      </w:r>
    </w:p>
    <w:p w14:paraId="6CFFC164" w14:textId="4936EC67" w:rsidR="00DD1699" w:rsidRPr="00234094" w:rsidRDefault="00DD1699" w:rsidP="00DD1699">
      <w:pPr>
        <w:numPr>
          <w:ilvl w:val="0"/>
          <w:numId w:val="5"/>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rPr>
      </w:pPr>
      <w:r w:rsidRPr="00234094">
        <w:rPr>
          <w:rFonts w:ascii="Aptos" w:hAnsi="Aptos"/>
          <w:color w:val="000000"/>
          <w:sz w:val="21"/>
          <w:szCs w:val="21"/>
        </w:rPr>
        <w:t xml:space="preserve">Un </w:t>
      </w:r>
      <w:proofErr w:type="spellStart"/>
      <w:r w:rsidRPr="00234094">
        <w:rPr>
          <w:rFonts w:ascii="Aptos" w:hAnsi="Aptos"/>
          <w:color w:val="000000"/>
          <w:sz w:val="21"/>
          <w:szCs w:val="21"/>
        </w:rPr>
        <w:t>paraprofesional</w:t>
      </w:r>
      <w:proofErr w:type="spellEnd"/>
      <w:r w:rsidRPr="00234094">
        <w:rPr>
          <w:rFonts w:ascii="Aptos" w:hAnsi="Aptos"/>
          <w:color w:val="000000"/>
          <w:sz w:val="21"/>
          <w:szCs w:val="21"/>
        </w:rPr>
        <w:t xml:space="preserve"> que pase a desempeñar un nuevo cargo en UAH recibirá una remuneración de acuerdo con las escalas salariales de </w:t>
      </w:r>
      <w:proofErr w:type="spellStart"/>
      <w:r w:rsidRPr="00234094">
        <w:rPr>
          <w:rFonts w:ascii="Aptos" w:hAnsi="Aptos"/>
          <w:color w:val="000000"/>
          <w:sz w:val="21"/>
          <w:szCs w:val="21"/>
        </w:rPr>
        <w:t>paraprofesionales</w:t>
      </w:r>
      <w:proofErr w:type="spellEnd"/>
      <w:r w:rsidRPr="00234094">
        <w:rPr>
          <w:rFonts w:ascii="Aptos" w:hAnsi="Aptos"/>
          <w:color w:val="000000"/>
          <w:sz w:val="21"/>
          <w:szCs w:val="21"/>
        </w:rPr>
        <w:t xml:space="preserve"> de BPS. </w:t>
      </w:r>
    </w:p>
    <w:p w14:paraId="2AAB164F" w14:textId="77777777" w:rsidR="00DD1699" w:rsidRPr="002766D5" w:rsidRDefault="00DD1699" w:rsidP="00B937FD">
      <w:pPr>
        <w:numPr>
          <w:ilvl w:val="0"/>
          <w:numId w:val="5"/>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rPr>
      </w:pPr>
      <w:r w:rsidRPr="002766D5">
        <w:rPr>
          <w:rFonts w:ascii="Aptos" w:hAnsi="Aptos"/>
          <w:color w:val="000000"/>
          <w:szCs w:val="18"/>
        </w:rPr>
        <w:t xml:space="preserve">Los </w:t>
      </w:r>
      <w:proofErr w:type="spellStart"/>
      <w:r w:rsidRPr="002766D5">
        <w:rPr>
          <w:rFonts w:ascii="Aptos" w:hAnsi="Aptos"/>
          <w:color w:val="000000"/>
          <w:szCs w:val="18"/>
        </w:rPr>
        <w:t>paraprofesionales</w:t>
      </w:r>
      <w:proofErr w:type="spellEnd"/>
      <w:r w:rsidRPr="002766D5">
        <w:rPr>
          <w:rFonts w:ascii="Aptos" w:hAnsi="Aptos"/>
          <w:color w:val="000000"/>
          <w:szCs w:val="18"/>
        </w:rPr>
        <w:t xml:space="preserve"> recién contratados recibirán una remuneración de acuerdo con las escalas salariales de </w:t>
      </w:r>
      <w:proofErr w:type="spellStart"/>
      <w:r w:rsidRPr="002766D5">
        <w:rPr>
          <w:rFonts w:ascii="Aptos" w:hAnsi="Aptos"/>
          <w:color w:val="000000"/>
          <w:szCs w:val="18"/>
        </w:rPr>
        <w:t>paraprofesionales</w:t>
      </w:r>
      <w:proofErr w:type="spellEnd"/>
      <w:r w:rsidRPr="002766D5">
        <w:rPr>
          <w:rFonts w:ascii="Aptos" w:hAnsi="Aptos"/>
          <w:color w:val="000000"/>
          <w:szCs w:val="18"/>
        </w:rPr>
        <w:t xml:space="preserve"> de BPS.</w:t>
      </w:r>
    </w:p>
    <w:p w14:paraId="0083ADA5" w14:textId="77777777" w:rsidR="00DD1699" w:rsidRPr="002766D5" w:rsidRDefault="00DD1699" w:rsidP="00DD1699">
      <w:pPr>
        <w:pBdr>
          <w:top w:val="single" w:sz="4" w:space="1" w:color="auto"/>
          <w:left w:val="single" w:sz="4" w:space="1" w:color="auto"/>
          <w:bottom w:val="single" w:sz="4" w:space="1" w:color="auto"/>
          <w:right w:val="single" w:sz="4" w:space="1" w:color="auto"/>
          <w:between w:val="nil"/>
        </w:pBdr>
        <w:rPr>
          <w:rFonts w:ascii="Aptos" w:eastAsia="Aptos" w:hAnsi="Aptos" w:cs="Aptos"/>
        </w:rPr>
      </w:pPr>
    </w:p>
    <w:p w14:paraId="56A9375B" w14:textId="77777777" w:rsidR="00DD1699" w:rsidRPr="002766D5" w:rsidRDefault="00DD1699" w:rsidP="00DD1699">
      <w:pPr>
        <w:pBdr>
          <w:top w:val="single" w:sz="4" w:space="1" w:color="auto"/>
          <w:left w:val="single" w:sz="4" w:space="1" w:color="auto"/>
          <w:bottom w:val="single" w:sz="4" w:space="1" w:color="auto"/>
          <w:right w:val="single" w:sz="4" w:space="1" w:color="auto"/>
          <w:between w:val="nil"/>
        </w:pBdr>
        <w:rPr>
          <w:rFonts w:ascii="Aptos" w:eastAsia="Aptos" w:hAnsi="Aptos" w:cs="Aptos"/>
        </w:rPr>
      </w:pPr>
    </w:p>
    <w:p w14:paraId="34BD828A" w14:textId="77777777" w:rsidR="00DD1699" w:rsidRPr="002766D5" w:rsidRDefault="00DD1699" w:rsidP="00DD1699">
      <w:pPr>
        <w:pBdr>
          <w:top w:val="single" w:sz="4" w:space="1" w:color="auto"/>
          <w:left w:val="single" w:sz="4" w:space="1" w:color="auto"/>
          <w:bottom w:val="single" w:sz="4" w:space="1" w:color="auto"/>
          <w:right w:val="single" w:sz="4" w:space="1" w:color="auto"/>
        </w:pBdr>
        <w:rPr>
          <w:sz w:val="18"/>
          <w:szCs w:val="18"/>
        </w:rPr>
      </w:pPr>
    </w:p>
    <w:p w14:paraId="6545BD53" w14:textId="77777777" w:rsidR="00DD1699" w:rsidRPr="002766D5" w:rsidRDefault="00DD1699" w:rsidP="00DD1699">
      <w:pPr>
        <w:pBdr>
          <w:top w:val="single" w:sz="4" w:space="1" w:color="auto"/>
          <w:left w:val="single" w:sz="4" w:space="1" w:color="auto"/>
          <w:bottom w:val="single" w:sz="4" w:space="1" w:color="auto"/>
          <w:right w:val="single" w:sz="4" w:space="1" w:color="auto"/>
        </w:pBdr>
        <w:rPr>
          <w:rFonts w:ascii="Aptos" w:eastAsia="Aptos" w:hAnsi="Aptos" w:cs="Aptos"/>
          <w:u w:val="single"/>
        </w:rPr>
      </w:pPr>
      <w:r w:rsidRPr="002766D5">
        <w:rPr>
          <w:rFonts w:ascii="Aptos" w:hAnsi="Aptos"/>
          <w:szCs w:val="18"/>
          <w:u w:val="single"/>
        </w:rPr>
        <w:t>Jornada laboral</w:t>
      </w:r>
    </w:p>
    <w:p w14:paraId="3F7D0726" w14:textId="77777777" w:rsidR="00DD1699" w:rsidRPr="002766D5" w:rsidRDefault="00DD1699" w:rsidP="00B937FD">
      <w:pPr>
        <w:numPr>
          <w:ilvl w:val="0"/>
          <w:numId w:val="6"/>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rPr>
      </w:pPr>
      <w:r w:rsidRPr="002766D5">
        <w:rPr>
          <w:rFonts w:ascii="Aptos" w:hAnsi="Aptos"/>
          <w:color w:val="000000"/>
          <w:szCs w:val="18"/>
        </w:rPr>
        <w:lastRenderedPageBreak/>
        <w:t>Los docentes trabajarán de 07:15 a. m. a 02:25 p. m. los lunes, martes, jueves y viernes, y de 07:15 a. m. a 03:25 p. m. los miércoles.</w:t>
      </w:r>
    </w:p>
    <w:p w14:paraId="3A880928" w14:textId="77777777" w:rsidR="00DD1699" w:rsidRPr="002766D5" w:rsidRDefault="00DD1699" w:rsidP="00B937FD">
      <w:pPr>
        <w:numPr>
          <w:ilvl w:val="0"/>
          <w:numId w:val="6"/>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rPr>
      </w:pPr>
      <w:r w:rsidRPr="002766D5">
        <w:rPr>
          <w:rFonts w:ascii="Aptos" w:hAnsi="Aptos"/>
          <w:color w:val="000000"/>
          <w:szCs w:val="18"/>
        </w:rPr>
        <w:t xml:space="preserve">Los </w:t>
      </w:r>
      <w:proofErr w:type="spellStart"/>
      <w:r w:rsidRPr="002766D5">
        <w:rPr>
          <w:rFonts w:ascii="Aptos" w:hAnsi="Aptos"/>
          <w:color w:val="000000"/>
          <w:szCs w:val="18"/>
        </w:rPr>
        <w:t>paraprofesionales</w:t>
      </w:r>
      <w:proofErr w:type="spellEnd"/>
      <w:r w:rsidRPr="002766D5">
        <w:rPr>
          <w:rFonts w:ascii="Aptos" w:hAnsi="Aptos"/>
          <w:color w:val="000000"/>
          <w:szCs w:val="18"/>
        </w:rPr>
        <w:t xml:space="preserve"> trabajarán 7 horas y 15 minutos los lunes, martes, jueves y viernes, y 8 horas y 15 minutos los miércoles.</w:t>
      </w:r>
      <w:r w:rsidRPr="002766D5">
        <w:rPr>
          <w:rFonts w:ascii="Aptos" w:hAnsi="Aptos"/>
          <w:color w:val="000000"/>
          <w:szCs w:val="18"/>
        </w:rPr>
        <w:br/>
      </w:r>
    </w:p>
    <w:p w14:paraId="0FD420E5" w14:textId="77777777" w:rsidR="00DD1699" w:rsidRPr="002766D5" w:rsidRDefault="00DD1699" w:rsidP="00DD1699">
      <w:pPr>
        <w:pBdr>
          <w:top w:val="single" w:sz="4" w:space="1" w:color="auto"/>
          <w:left w:val="single" w:sz="4" w:space="1" w:color="auto"/>
          <w:bottom w:val="single" w:sz="4" w:space="1" w:color="auto"/>
          <w:right w:val="single" w:sz="4" w:space="1" w:color="auto"/>
          <w:between w:val="nil"/>
        </w:pBdr>
        <w:rPr>
          <w:rFonts w:ascii="Aptos" w:eastAsia="Aptos" w:hAnsi="Aptos" w:cs="Aptos"/>
          <w:color w:val="000000"/>
        </w:rPr>
      </w:pPr>
      <w:r w:rsidRPr="002766D5">
        <w:rPr>
          <w:rFonts w:ascii="Aptos" w:hAnsi="Aptos"/>
          <w:color w:val="000000"/>
          <w:szCs w:val="18"/>
          <w:u w:val="single"/>
        </w:rPr>
        <w:t>Año laboral (días de desarrollo profesional antes del primer día de clases)</w:t>
      </w:r>
    </w:p>
    <w:p w14:paraId="57FEB11B" w14:textId="77777777" w:rsidR="00DD1699" w:rsidRPr="002766D5" w:rsidRDefault="00DD1699" w:rsidP="00B937FD">
      <w:pPr>
        <w:numPr>
          <w:ilvl w:val="0"/>
          <w:numId w:val="7"/>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rPr>
      </w:pPr>
      <w:r w:rsidRPr="002766D5">
        <w:rPr>
          <w:rFonts w:ascii="Aptos" w:hAnsi="Aptos"/>
          <w:color w:val="000000"/>
          <w:szCs w:val="18"/>
        </w:rPr>
        <w:t>Todo el personal participará en 5 días de desarrollo profesional antes del primer día de clases.</w:t>
      </w:r>
    </w:p>
    <w:p w14:paraId="60DD3053" w14:textId="77777777" w:rsidR="00DD1699" w:rsidRPr="002766D5" w:rsidRDefault="00DD1699" w:rsidP="00B937FD">
      <w:pPr>
        <w:numPr>
          <w:ilvl w:val="0"/>
          <w:numId w:val="7"/>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rPr>
      </w:pPr>
      <w:r w:rsidRPr="002766D5">
        <w:rPr>
          <w:rFonts w:ascii="Aptos" w:hAnsi="Aptos"/>
          <w:color w:val="000000"/>
          <w:szCs w:val="18"/>
        </w:rPr>
        <w:t>Los docentes recibirán la tarifa de reestructuración por hora de $48.08 durante 3 de esos días; los otros 2 días están incluidos en el contrato del BTU.</w:t>
      </w:r>
    </w:p>
    <w:p w14:paraId="2093BFFD" w14:textId="77777777" w:rsidR="00DD1699" w:rsidRPr="002766D5" w:rsidRDefault="00DD1699" w:rsidP="00B937FD">
      <w:pPr>
        <w:numPr>
          <w:ilvl w:val="0"/>
          <w:numId w:val="7"/>
        </w:numPr>
        <w:pBdr>
          <w:top w:val="single" w:sz="4" w:space="1" w:color="auto"/>
          <w:left w:val="single" w:sz="4" w:space="1" w:color="auto"/>
          <w:bottom w:val="single" w:sz="4" w:space="1" w:color="auto"/>
          <w:right w:val="single" w:sz="4" w:space="1" w:color="auto"/>
          <w:between w:val="nil"/>
        </w:pBdr>
        <w:ind w:left="360"/>
        <w:rPr>
          <w:rFonts w:ascii="Aptos" w:eastAsia="Aptos" w:hAnsi="Aptos" w:cs="Aptos"/>
          <w:color w:val="000000"/>
        </w:rPr>
      </w:pPr>
      <w:r w:rsidRPr="002766D5">
        <w:rPr>
          <w:rFonts w:ascii="Aptos" w:hAnsi="Aptos"/>
          <w:color w:val="000000"/>
          <w:szCs w:val="18"/>
        </w:rPr>
        <w:t xml:space="preserve">Los </w:t>
      </w:r>
      <w:proofErr w:type="spellStart"/>
      <w:r w:rsidRPr="002766D5">
        <w:rPr>
          <w:rFonts w:ascii="Aptos" w:hAnsi="Aptos"/>
          <w:color w:val="000000"/>
          <w:szCs w:val="18"/>
        </w:rPr>
        <w:t>paraprofesionales</w:t>
      </w:r>
      <w:proofErr w:type="spellEnd"/>
      <w:r w:rsidRPr="002766D5">
        <w:rPr>
          <w:rFonts w:ascii="Aptos" w:hAnsi="Aptos"/>
          <w:color w:val="000000"/>
          <w:szCs w:val="18"/>
        </w:rPr>
        <w:t xml:space="preserve"> recibirán su tarifa por hora correspondiente por las horas trabajadas durante esos 5 días de desarrollo profesional.</w:t>
      </w:r>
    </w:p>
    <w:p w14:paraId="5F390C99" w14:textId="77777777" w:rsidR="00DD1699" w:rsidRPr="002766D5" w:rsidRDefault="00DD1699" w:rsidP="00DD1699">
      <w:pPr>
        <w:pBdr>
          <w:top w:val="single" w:sz="4" w:space="1" w:color="auto"/>
          <w:left w:val="single" w:sz="4" w:space="1" w:color="auto"/>
          <w:bottom w:val="single" w:sz="4" w:space="1" w:color="auto"/>
          <w:right w:val="single" w:sz="4" w:space="1" w:color="auto"/>
          <w:between w:val="nil"/>
        </w:pBdr>
        <w:rPr>
          <w:rFonts w:ascii="Aptos" w:eastAsia="Aptos" w:hAnsi="Aptos" w:cs="Aptos"/>
        </w:rPr>
      </w:pPr>
    </w:p>
    <w:p w14:paraId="2AA5328F" w14:textId="77777777" w:rsidR="00DD1699" w:rsidRPr="002766D5" w:rsidRDefault="00DD1699" w:rsidP="00DD1699">
      <w:pPr>
        <w:pBdr>
          <w:top w:val="single" w:sz="4" w:space="1" w:color="auto"/>
          <w:left w:val="single" w:sz="4" w:space="1" w:color="auto"/>
          <w:bottom w:val="single" w:sz="4" w:space="1" w:color="auto"/>
          <w:right w:val="single" w:sz="4" w:space="1" w:color="auto"/>
        </w:pBdr>
        <w:rPr>
          <w:rFonts w:ascii="Aptos" w:hAnsi="Aptos"/>
          <w:u w:val="single"/>
        </w:rPr>
      </w:pPr>
      <w:r w:rsidRPr="002766D5">
        <w:rPr>
          <w:rFonts w:ascii="Aptos" w:hAnsi="Aptos"/>
          <w:szCs w:val="18"/>
          <w:u w:val="single"/>
        </w:rPr>
        <w:t xml:space="preserve">Obligaciones profesionales: </w:t>
      </w:r>
    </w:p>
    <w:p w14:paraId="1E915DC9" w14:textId="77777777" w:rsidR="00DD1699" w:rsidRPr="002766D5" w:rsidRDefault="00DD1699" w:rsidP="00B937FD">
      <w:pPr>
        <w:pBdr>
          <w:top w:val="single" w:sz="4" w:space="1" w:color="auto"/>
          <w:left w:val="single" w:sz="4" w:space="1" w:color="auto"/>
          <w:bottom w:val="single" w:sz="4" w:space="1" w:color="auto"/>
          <w:right w:val="single" w:sz="4" w:space="1" w:color="auto"/>
        </w:pBdr>
        <w:ind w:left="120" w:hanging="120"/>
        <w:rPr>
          <w:rFonts w:ascii="Aptos" w:eastAsia="Aptos" w:hAnsi="Aptos" w:cs="Aptos"/>
        </w:rPr>
      </w:pPr>
      <w:r w:rsidRPr="002766D5">
        <w:rPr>
          <w:rFonts w:ascii="Aptos" w:hAnsi="Aptos"/>
          <w:szCs w:val="18"/>
        </w:rPr>
        <w:t>No todos los docentes requerirán entrenamiento individualizado; para quienes lo requieran, las sesiones de entrenamiento se programarán primero durante el Tiempo común de planificación. Si eso no es posible, los líderes escolares podrán utilizar un máximo de 30 minutos de un período semanal de planificación y desarrollo para el entrenamiento.</w:t>
      </w:r>
      <w:r w:rsidRPr="002766D5">
        <w:rPr>
          <w:szCs w:val="18"/>
        </w:rPr>
        <w:t xml:space="preserve"> </w:t>
      </w:r>
    </w:p>
    <w:p w14:paraId="167D7E21" w14:textId="77777777" w:rsidR="001C5112" w:rsidRPr="002766D5" w:rsidRDefault="001C5112">
      <w:pPr>
        <w:ind w:left="720"/>
        <w:rPr>
          <w:rFonts w:ascii="Aptos" w:eastAsia="Aptos" w:hAnsi="Aptos" w:cs="Aptos"/>
          <w:sz w:val="22"/>
          <w:szCs w:val="22"/>
        </w:rPr>
      </w:pPr>
    </w:p>
    <w:p w14:paraId="675C88C2" w14:textId="77777777" w:rsidR="001C5112" w:rsidRPr="002766D5" w:rsidRDefault="00637BA0">
      <w:pPr>
        <w:pStyle w:val="Heading2"/>
        <w:shd w:val="clear" w:color="auto" w:fill="BFBFBF"/>
        <w:tabs>
          <w:tab w:val="right" w:pos="14490"/>
        </w:tabs>
        <w:ind w:right="-90"/>
        <w:rPr>
          <w:rFonts w:ascii="Aptos" w:eastAsia="Aptos" w:hAnsi="Aptos" w:cs="Aptos"/>
          <w:i w:val="0"/>
          <w:iCs w:val="0"/>
          <w:sz w:val="24"/>
          <w:szCs w:val="24"/>
        </w:rPr>
      </w:pPr>
      <w:r w:rsidRPr="002766D5">
        <w:rPr>
          <w:rFonts w:ascii="Aptos" w:hAnsi="Aptos"/>
          <w:i w:val="0"/>
          <w:sz w:val="24"/>
          <w:szCs w:val="24"/>
        </w:rPr>
        <w:t>GARANTÍAS</w:t>
      </w:r>
    </w:p>
    <w:p w14:paraId="63F77356" w14:textId="77777777" w:rsidR="001C5112" w:rsidRPr="002766D5" w:rsidRDefault="00637BA0">
      <w:pPr>
        <w:spacing w:line="276" w:lineRule="auto"/>
        <w:rPr>
          <w:rFonts w:ascii="Aptos" w:eastAsia="Aptos" w:hAnsi="Aptos" w:cs="Aptos"/>
        </w:rPr>
      </w:pPr>
      <w:r w:rsidRPr="002766D5">
        <w:rPr>
          <w:rFonts w:ascii="Aptos" w:hAnsi="Aptos"/>
          <w:szCs w:val="18"/>
        </w:rPr>
        <w:t>El Distrito debe garantizar lo siguiente:</w:t>
      </w:r>
    </w:p>
    <w:p w14:paraId="2710838F" w14:textId="77777777" w:rsidR="001C5112" w:rsidRPr="002766D5" w:rsidRDefault="00637BA0">
      <w:pPr>
        <w:numPr>
          <w:ilvl w:val="0"/>
          <w:numId w:val="8"/>
        </w:numPr>
        <w:pBdr>
          <w:top w:val="nil"/>
          <w:left w:val="nil"/>
          <w:bottom w:val="nil"/>
          <w:right w:val="nil"/>
          <w:between w:val="nil"/>
        </w:pBdr>
        <w:spacing w:line="276" w:lineRule="auto"/>
        <w:rPr>
          <w:rFonts w:ascii="Aptos" w:eastAsia="Aptos" w:hAnsi="Aptos" w:cs="Aptos"/>
          <w:color w:val="000000"/>
        </w:rPr>
      </w:pPr>
      <w:r w:rsidRPr="002766D5">
        <w:rPr>
          <w:rFonts w:ascii="Aptos" w:hAnsi="Aptos"/>
          <w:color w:val="000000"/>
          <w:szCs w:val="18"/>
        </w:rPr>
        <w:t>Implementará flexibilidades continuas que sean consistentes con la sección “Características continuas del Plan de reestructuración” mencionada anteriormente.</w:t>
      </w:r>
    </w:p>
    <w:p w14:paraId="3F93CC35" w14:textId="77777777" w:rsidR="001C5112" w:rsidRPr="002766D5" w:rsidRDefault="00637BA0">
      <w:pPr>
        <w:numPr>
          <w:ilvl w:val="0"/>
          <w:numId w:val="8"/>
        </w:numPr>
        <w:pBdr>
          <w:top w:val="nil"/>
          <w:left w:val="nil"/>
          <w:bottom w:val="nil"/>
          <w:right w:val="nil"/>
          <w:between w:val="nil"/>
        </w:pBdr>
        <w:spacing w:line="276" w:lineRule="auto"/>
        <w:rPr>
          <w:rFonts w:ascii="Aptos" w:eastAsia="Aptos" w:hAnsi="Aptos" w:cs="Aptos"/>
          <w:color w:val="000000"/>
        </w:rPr>
      </w:pPr>
      <w:r w:rsidRPr="002766D5">
        <w:rPr>
          <w:rFonts w:ascii="Aptos" w:hAnsi="Aptos"/>
          <w:color w:val="000000"/>
          <w:szCs w:val="18"/>
        </w:rPr>
        <w:t>Continuará brindando apoyo específico a la escuela saliente para garantizar que el progreso se mantenga y se consoliden prácticas eficaces.</w:t>
      </w:r>
    </w:p>
    <w:p w14:paraId="240DDD21" w14:textId="77777777" w:rsidR="001C5112" w:rsidRPr="002766D5" w:rsidRDefault="00637BA0">
      <w:pPr>
        <w:numPr>
          <w:ilvl w:val="0"/>
          <w:numId w:val="8"/>
        </w:numPr>
        <w:pBdr>
          <w:top w:val="nil"/>
          <w:left w:val="nil"/>
          <w:bottom w:val="nil"/>
          <w:right w:val="nil"/>
          <w:between w:val="nil"/>
        </w:pBdr>
        <w:spacing w:after="200" w:line="276" w:lineRule="auto"/>
        <w:rPr>
          <w:rFonts w:ascii="Aptos" w:eastAsia="Aptos" w:hAnsi="Aptos" w:cs="Aptos"/>
          <w:color w:val="000000"/>
        </w:rPr>
      </w:pPr>
      <w:r w:rsidRPr="002766D5">
        <w:rPr>
          <w:rFonts w:ascii="Aptos" w:hAnsi="Aptos"/>
          <w:color w:val="000000"/>
          <w:szCs w:val="18"/>
        </w:rPr>
        <w:t>Cooperará con el Departamento de Educación Primaria y Secundaria (DESE) en sus iniciativas constantes para evaluar el progreso de la escuela saliente.</w:t>
      </w:r>
    </w:p>
    <w:p w14:paraId="221BC4A4" w14:textId="77777777" w:rsidR="00B937FD" w:rsidRPr="002766D5" w:rsidRDefault="00B937FD" w:rsidP="00B937FD">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935"/>
        </w:tabs>
        <w:spacing w:before="120" w:after="120"/>
        <w:ind w:left="120"/>
        <w:rPr>
          <w:rFonts w:ascii="Aptos" w:eastAsia="Aptos" w:hAnsi="Aptos" w:cs="Aptos"/>
          <w:color w:val="000000"/>
          <w:sz w:val="18"/>
          <w:szCs w:val="18"/>
        </w:rPr>
      </w:pPr>
      <w:r w:rsidRPr="002766D5">
        <w:rPr>
          <w:rFonts w:ascii="Aptos" w:hAnsi="Aptos"/>
          <w:b/>
          <w:color w:val="000000"/>
          <w:sz w:val="18"/>
          <w:szCs w:val="18"/>
        </w:rPr>
        <w:t>Nombre del superintendente escrito en computadora:</w:t>
      </w:r>
      <w:r w:rsidRPr="002766D5">
        <w:rPr>
          <w:rFonts w:ascii="Aptos" w:eastAsia="Aptos" w:hAnsi="Aptos" w:cs="Aptos"/>
          <w:b/>
          <w:bCs/>
          <w:color w:val="000000"/>
          <w:sz w:val="18"/>
          <w:szCs w:val="18"/>
        </w:rPr>
        <w:tab/>
      </w:r>
    </w:p>
    <w:p w14:paraId="1E5389E4" w14:textId="77777777" w:rsidR="00B937FD" w:rsidRPr="002766D5" w:rsidRDefault="00B937FD" w:rsidP="00B937FD">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935"/>
        </w:tabs>
        <w:spacing w:before="120" w:after="120"/>
        <w:ind w:left="120"/>
        <w:rPr>
          <w:rFonts w:ascii="Aptos" w:eastAsia="Aptos" w:hAnsi="Aptos" w:cs="Aptos"/>
          <w:color w:val="000000"/>
          <w:sz w:val="18"/>
          <w:szCs w:val="18"/>
        </w:rPr>
      </w:pPr>
      <w:r w:rsidRPr="002766D5">
        <w:rPr>
          <w:rFonts w:ascii="Aptos" w:hAnsi="Aptos"/>
          <w:b/>
          <w:color w:val="000000"/>
          <w:sz w:val="18"/>
          <w:szCs w:val="18"/>
        </w:rPr>
        <w:t>Firma del superintendente:</w:t>
      </w:r>
      <w:r w:rsidRPr="002766D5">
        <w:rPr>
          <w:rFonts w:ascii="Aptos" w:eastAsia="Aptos" w:hAnsi="Aptos" w:cs="Aptos"/>
          <w:b/>
          <w:bCs/>
          <w:color w:val="000000"/>
          <w:sz w:val="18"/>
          <w:szCs w:val="18"/>
        </w:rPr>
        <w:tab/>
      </w:r>
    </w:p>
    <w:p w14:paraId="05DDC028" w14:textId="77777777" w:rsidR="00B937FD" w:rsidRPr="002766D5" w:rsidRDefault="00B937FD" w:rsidP="00B937FD">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935"/>
        </w:tabs>
        <w:spacing w:before="120" w:after="120"/>
        <w:ind w:left="120"/>
        <w:rPr>
          <w:rFonts w:ascii="Aptos" w:eastAsia="Aptos" w:hAnsi="Aptos" w:cs="Aptos"/>
          <w:color w:val="000000"/>
          <w:sz w:val="18"/>
          <w:szCs w:val="18"/>
        </w:rPr>
      </w:pPr>
      <w:r w:rsidRPr="002766D5">
        <w:rPr>
          <w:rFonts w:ascii="Aptos" w:hAnsi="Aptos"/>
          <w:b/>
          <w:color w:val="000000"/>
          <w:sz w:val="18"/>
          <w:szCs w:val="18"/>
        </w:rPr>
        <w:t>Fecha:</w:t>
      </w:r>
      <w:r w:rsidRPr="002766D5">
        <w:rPr>
          <w:rFonts w:ascii="Aptos" w:eastAsia="Aptos" w:hAnsi="Aptos" w:cs="Aptos"/>
          <w:b/>
          <w:bCs/>
          <w:color w:val="000000"/>
          <w:sz w:val="18"/>
          <w:szCs w:val="18"/>
        </w:rPr>
        <w:tab/>
      </w:r>
    </w:p>
    <w:p w14:paraId="0678E3D3" w14:textId="77777777" w:rsidR="001C5112" w:rsidRPr="002766D5" w:rsidRDefault="001C5112">
      <w:pPr>
        <w:pBdr>
          <w:top w:val="nil"/>
          <w:left w:val="nil"/>
          <w:bottom w:val="nil"/>
          <w:right w:val="nil"/>
          <w:between w:val="nil"/>
        </w:pBdr>
        <w:spacing w:after="200" w:line="276" w:lineRule="auto"/>
        <w:ind w:left="432"/>
        <w:rPr>
          <w:rFonts w:ascii="Aptos" w:eastAsia="Aptos" w:hAnsi="Aptos" w:cs="Aptos"/>
          <w:color w:val="000000"/>
        </w:rPr>
      </w:pPr>
    </w:p>
    <w:p w14:paraId="211F2A08" w14:textId="77777777" w:rsidR="00B937FD" w:rsidRPr="002766D5" w:rsidRDefault="00B937FD" w:rsidP="00B937FD">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935"/>
        </w:tabs>
        <w:spacing w:before="120" w:after="120"/>
        <w:ind w:left="120"/>
        <w:rPr>
          <w:rFonts w:ascii="Aptos" w:eastAsia="Aptos" w:hAnsi="Aptos" w:cs="Aptos"/>
          <w:color w:val="000000"/>
          <w:sz w:val="18"/>
          <w:szCs w:val="18"/>
        </w:rPr>
      </w:pPr>
      <w:r w:rsidRPr="002766D5">
        <w:rPr>
          <w:rFonts w:ascii="Aptos" w:hAnsi="Aptos"/>
          <w:b/>
          <w:color w:val="000000"/>
          <w:sz w:val="18"/>
          <w:szCs w:val="18"/>
        </w:rPr>
        <w:t>Nombre del comisionado de Educación Primaria y Secundaria escrito en computadora:</w:t>
      </w:r>
      <w:r w:rsidRPr="002766D5">
        <w:rPr>
          <w:rFonts w:ascii="Aptos" w:eastAsia="Aptos" w:hAnsi="Aptos" w:cs="Aptos"/>
          <w:b/>
          <w:bCs/>
          <w:color w:val="000000"/>
          <w:sz w:val="18"/>
          <w:szCs w:val="18"/>
        </w:rPr>
        <w:tab/>
      </w:r>
    </w:p>
    <w:p w14:paraId="439C3E43" w14:textId="77777777" w:rsidR="00B937FD" w:rsidRPr="002766D5" w:rsidRDefault="00B937FD" w:rsidP="00B937FD">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935"/>
        </w:tabs>
        <w:spacing w:before="120" w:after="120"/>
        <w:ind w:left="120"/>
        <w:rPr>
          <w:rFonts w:ascii="Aptos" w:eastAsia="Aptos" w:hAnsi="Aptos" w:cs="Aptos"/>
          <w:color w:val="000000"/>
          <w:sz w:val="18"/>
          <w:szCs w:val="18"/>
        </w:rPr>
      </w:pPr>
      <w:r w:rsidRPr="002766D5">
        <w:rPr>
          <w:rFonts w:ascii="Aptos" w:hAnsi="Aptos"/>
          <w:b/>
          <w:color w:val="000000"/>
          <w:sz w:val="18"/>
          <w:szCs w:val="18"/>
        </w:rPr>
        <w:t>Firma del comisionado de Educación Primaria y Secundaria:</w:t>
      </w:r>
      <w:r w:rsidRPr="002766D5">
        <w:rPr>
          <w:rFonts w:ascii="Aptos" w:eastAsia="Aptos" w:hAnsi="Aptos" w:cs="Aptos"/>
          <w:b/>
          <w:bCs/>
          <w:color w:val="000000"/>
          <w:sz w:val="18"/>
          <w:szCs w:val="18"/>
        </w:rPr>
        <w:tab/>
      </w:r>
    </w:p>
    <w:p w14:paraId="5C0D6382" w14:textId="77777777" w:rsidR="00B937FD" w:rsidRPr="002766D5" w:rsidRDefault="00B937FD" w:rsidP="00B937FD">
      <w:pPr>
        <w:pBdr>
          <w:top w:val="single" w:sz="4" w:space="1" w:color="auto"/>
          <w:left w:val="single" w:sz="4" w:space="1" w:color="auto"/>
          <w:bottom w:val="single" w:sz="4" w:space="1" w:color="auto"/>
          <w:right w:val="single" w:sz="4" w:space="1" w:color="auto"/>
          <w:between w:val="single" w:sz="4" w:space="1" w:color="auto"/>
          <w:bar w:val="single" w:sz="4" w:color="auto"/>
        </w:pBdr>
        <w:tabs>
          <w:tab w:val="center" w:pos="4935"/>
        </w:tabs>
        <w:spacing w:before="120" w:after="120"/>
        <w:ind w:left="120"/>
        <w:rPr>
          <w:rFonts w:ascii="Aptos" w:eastAsia="Aptos" w:hAnsi="Aptos" w:cs="Aptos"/>
          <w:color w:val="000000"/>
          <w:sz w:val="18"/>
          <w:szCs w:val="18"/>
        </w:rPr>
      </w:pPr>
      <w:r w:rsidRPr="002766D5">
        <w:rPr>
          <w:rFonts w:ascii="Aptos" w:hAnsi="Aptos"/>
          <w:b/>
          <w:color w:val="000000"/>
          <w:sz w:val="18"/>
          <w:szCs w:val="18"/>
        </w:rPr>
        <w:t>Fecha:</w:t>
      </w:r>
      <w:r w:rsidRPr="002766D5">
        <w:rPr>
          <w:rFonts w:ascii="Aptos" w:eastAsia="Aptos" w:hAnsi="Aptos" w:cs="Aptos"/>
          <w:b/>
          <w:bCs/>
          <w:color w:val="000000"/>
          <w:sz w:val="18"/>
          <w:szCs w:val="18"/>
        </w:rPr>
        <w:tab/>
      </w:r>
    </w:p>
    <w:p w14:paraId="7B2E53B0" w14:textId="77777777" w:rsidR="001C5112" w:rsidRPr="002766D5" w:rsidRDefault="001C5112">
      <w:pPr>
        <w:pBdr>
          <w:top w:val="nil"/>
          <w:left w:val="nil"/>
          <w:bottom w:val="nil"/>
          <w:right w:val="nil"/>
          <w:between w:val="nil"/>
        </w:pBdr>
        <w:spacing w:line="276" w:lineRule="auto"/>
        <w:rPr>
          <w:rFonts w:ascii="Aptos" w:eastAsia="Aptos" w:hAnsi="Aptos" w:cs="Aptos"/>
          <w:color w:val="000000"/>
        </w:rPr>
      </w:pPr>
    </w:p>
    <w:p w14:paraId="3B4D8066" w14:textId="77777777" w:rsidR="001C5112" w:rsidRPr="002766D5" w:rsidRDefault="001C5112">
      <w:pPr>
        <w:pBdr>
          <w:top w:val="nil"/>
          <w:left w:val="nil"/>
          <w:bottom w:val="nil"/>
          <w:right w:val="nil"/>
          <w:between w:val="nil"/>
        </w:pBdr>
        <w:spacing w:line="276" w:lineRule="auto"/>
        <w:rPr>
          <w:rFonts w:ascii="Aptos" w:eastAsia="Aptos" w:hAnsi="Aptos" w:cs="Aptos"/>
          <w:color w:val="000000"/>
        </w:rPr>
      </w:pPr>
    </w:p>
    <w:p w14:paraId="413FB815" w14:textId="77777777" w:rsidR="001C5112" w:rsidRPr="002766D5" w:rsidRDefault="001C5112">
      <w:pPr>
        <w:pBdr>
          <w:top w:val="nil"/>
          <w:left w:val="nil"/>
          <w:bottom w:val="nil"/>
          <w:right w:val="nil"/>
          <w:between w:val="nil"/>
        </w:pBdr>
        <w:spacing w:line="276" w:lineRule="auto"/>
        <w:rPr>
          <w:rFonts w:ascii="Aptos" w:eastAsia="Aptos" w:hAnsi="Aptos" w:cs="Aptos"/>
        </w:rPr>
      </w:pPr>
    </w:p>
    <w:sectPr w:rsidR="001C5112" w:rsidRPr="002766D5">
      <w:footerReference w:type="default" r:id="rId8"/>
      <w:headerReference w:type="first" r:id="rId9"/>
      <w:pgSz w:w="12240" w:h="15840"/>
      <w:pgMar w:top="720" w:right="864" w:bottom="720" w:left="86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83AE1" w14:textId="77777777" w:rsidR="000304C8" w:rsidRDefault="000304C8">
      <w:r>
        <w:separator/>
      </w:r>
    </w:p>
  </w:endnote>
  <w:endnote w:type="continuationSeparator" w:id="0">
    <w:p w14:paraId="1CCDB4E3" w14:textId="77777777" w:rsidR="000304C8" w:rsidRDefault="00030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1D0B7D4-1CD7-4BAF-8327-1FA08B576BE7}"/>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E6AB446B-2ABE-43BD-A128-6D51B4477466}"/>
    <w:embedBold r:id="rId3" w:fontKey="{3E017B77-A8BC-4580-AE0E-7241603602F9}"/>
    <w:embedItalic r:id="rId4" w:fontKey="{2DB1C809-04F0-4EF9-9B4E-18F33D28CF5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403D7F20-DD8C-4464-AFD5-15A71B554874}"/>
    <w:embedBold r:id="rId6" w:fontKey="{45E40406-2BED-40F9-9F3A-B472651E77E1}"/>
    <w:embedBoldItalic r:id="rId7" w:fontKey="{F730468F-AEEB-4749-9B3E-D35558EA8664}"/>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8" w:fontKey="{E79C370C-AF19-4E46-9CED-C4603091BA10}"/>
  </w:font>
  <w:font w:name="Calibri">
    <w:panose1 w:val="020F0502020204030204"/>
    <w:charset w:val="00"/>
    <w:family w:val="swiss"/>
    <w:pitch w:val="variable"/>
    <w:sig w:usb0="E4002EFF" w:usb1="C200247B" w:usb2="00000009" w:usb3="00000000" w:csb0="000001FF" w:csb1="00000000"/>
    <w:embedRegular r:id="rId9" w:fontKey="{888FC669-5561-4A5D-AC4F-0142CB9A6A13}"/>
    <w:embedItalic r:id="rId10" w:fontKey="{9E97B752-A13F-41DF-A55F-A889B9D37086}"/>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376B3" w14:textId="77777777" w:rsidR="001C5112" w:rsidRDefault="00637BA0">
    <w:pPr>
      <w:pBdr>
        <w:top w:val="single" w:sz="24" w:space="1" w:color="622423"/>
        <w:left w:val="nil"/>
        <w:bottom w:val="nil"/>
        <w:right w:val="nil"/>
        <w:between w:val="nil"/>
      </w:pBdr>
      <w:tabs>
        <w:tab w:val="center" w:pos="4680"/>
        <w:tab w:val="right" w:pos="9360"/>
        <w:tab w:val="right" w:pos="10440"/>
      </w:tabs>
      <w:rPr>
        <w:rFonts w:ascii="Cambria" w:eastAsia="Cambria" w:hAnsi="Cambria" w:cs="Cambria"/>
        <w:color w:val="000000"/>
      </w:rPr>
    </w:pPr>
    <w:r>
      <w:rPr>
        <w:rFonts w:ascii="Calibri" w:hAnsi="Calibri"/>
        <w:i/>
        <w:color w:val="000000"/>
      </w:rPr>
      <w:t>Garantías de salida y estrategias para la sostenibilidad de las escuelas con bajo rendimiento crónico</w:t>
    </w:r>
    <w:r>
      <w:rPr>
        <w:rFonts w:ascii="Calibri" w:hAnsi="Calibri"/>
        <w:i/>
        <w:color w:val="000000"/>
      </w:rPr>
      <w:tab/>
      <w:t xml:space="preserve">     Página</w:t>
    </w:r>
    <w:r>
      <w:rPr>
        <w:rFonts w:ascii="Cambria" w:hAnsi="Cambria"/>
        <w:color w:val="000000"/>
      </w:rPr>
      <w:t xml:space="preserve"> </w:t>
    </w:r>
    <w:r>
      <w:rPr>
        <w:color w:val="2B579A"/>
        <w:shd w:val="clear" w:color="auto" w:fill="E6E6E6"/>
      </w:rPr>
      <w:fldChar w:fldCharType="begin"/>
    </w:r>
    <w:r>
      <w:rPr>
        <w:color w:val="2B579A"/>
        <w:shd w:val="clear" w:color="auto" w:fill="E6E6E6"/>
      </w:rPr>
      <w:instrText>PAGE</w:instrText>
    </w:r>
    <w:r>
      <w:rPr>
        <w:color w:val="2B579A"/>
        <w:shd w:val="clear" w:color="auto" w:fill="E6E6E6"/>
      </w:rPr>
      <w:fldChar w:fldCharType="separate"/>
    </w:r>
    <w:r w:rsidR="00A33E38">
      <w:rPr>
        <w:color w:val="2B579A"/>
        <w:shd w:val="clear" w:color="auto" w:fill="E6E6E6"/>
      </w:rPr>
      <w:t>2</w:t>
    </w:r>
    <w:r>
      <w:rPr>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8898C" w14:textId="77777777" w:rsidR="000304C8" w:rsidRDefault="000304C8">
      <w:r>
        <w:separator/>
      </w:r>
    </w:p>
  </w:footnote>
  <w:footnote w:type="continuationSeparator" w:id="0">
    <w:p w14:paraId="42B1729A" w14:textId="77777777" w:rsidR="000304C8" w:rsidRDefault="00030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734C" w14:textId="77777777" w:rsidR="001C5112" w:rsidRDefault="00637BA0">
    <w:pPr>
      <w:pBdr>
        <w:top w:val="nil"/>
        <w:left w:val="nil"/>
        <w:bottom w:val="nil"/>
        <w:right w:val="nil"/>
        <w:between w:val="nil"/>
      </w:pBdr>
      <w:tabs>
        <w:tab w:val="center" w:pos="4680"/>
        <w:tab w:val="right" w:pos="9360"/>
      </w:tabs>
      <w:rPr>
        <w:color w:val="000000"/>
      </w:rPr>
    </w:pPr>
    <w:r>
      <w:rPr>
        <w:noProof/>
        <w:color w:val="2B579A"/>
        <w:shd w:val="clear" w:color="auto" w:fill="E6E6E6"/>
      </w:rPr>
      <w:drawing>
        <wp:inline distT="0" distB="0" distL="0" distR="0" wp14:anchorId="25225FAE" wp14:editId="34525990">
          <wp:extent cx="1630297" cy="345306"/>
          <wp:effectExtent l="0" t="0" r="0" b="0"/>
          <wp:docPr id="1" name="image1.png" descr="DESE logo"/>
          <wp:cNvGraphicFramePr/>
          <a:graphic xmlns:a="http://schemas.openxmlformats.org/drawingml/2006/main">
            <a:graphicData uri="http://schemas.openxmlformats.org/drawingml/2006/picture">
              <pic:pic xmlns:pic="http://schemas.openxmlformats.org/drawingml/2006/picture">
                <pic:nvPicPr>
                  <pic:cNvPr id="1" name="image1.png" descr="DESE logo"/>
                  <pic:cNvPicPr preferRelativeResize="0"/>
                </pic:nvPicPr>
                <pic:blipFill>
                  <a:blip r:embed="rId1"/>
                  <a:srcRect/>
                  <a:stretch>
                    <a:fillRect/>
                  </a:stretch>
                </pic:blipFill>
                <pic:spPr>
                  <a:xfrm>
                    <a:off x="0" y="0"/>
                    <a:ext cx="1630297" cy="345306"/>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A729E"/>
    <w:multiLevelType w:val="multilevel"/>
    <w:tmpl w:val="D92873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3B4640"/>
    <w:multiLevelType w:val="multilevel"/>
    <w:tmpl w:val="7E529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BE2268"/>
    <w:multiLevelType w:val="multilevel"/>
    <w:tmpl w:val="53987640"/>
    <w:lvl w:ilvl="0">
      <w:start w:val="27"/>
      <w:numFmt w:val="bullet"/>
      <w:lvlText w:val="■"/>
      <w:lvlJc w:val="left"/>
      <w:pPr>
        <w:ind w:left="1260" w:hanging="360"/>
      </w:pPr>
      <w:rPr>
        <w:rFonts w:ascii="Noto Sans Symbols" w:eastAsia="Noto Sans Symbols" w:hAnsi="Noto Sans Symbols" w:cs="Noto Sans Symbols"/>
        <w:color w:val="000000"/>
        <w:sz w:val="20"/>
        <w:szCs w:val="20"/>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3" w15:restartNumberingAfterBreak="0">
    <w:nsid w:val="473F00CF"/>
    <w:multiLevelType w:val="multilevel"/>
    <w:tmpl w:val="66D2DD86"/>
    <w:lvl w:ilvl="0">
      <w:start w:val="27"/>
      <w:numFmt w:val="bullet"/>
      <w:lvlText w:val="■"/>
      <w:lvlJc w:val="left"/>
      <w:pPr>
        <w:ind w:left="1590" w:hanging="360"/>
      </w:pPr>
      <w:rPr>
        <w:rFonts w:ascii="Noto Sans Symbols" w:eastAsia="Noto Sans Symbols" w:hAnsi="Noto Sans Symbols" w:cs="Noto Sans Symbols"/>
        <w:color w:val="000000"/>
        <w:sz w:val="20"/>
        <w:szCs w:val="20"/>
      </w:rPr>
    </w:lvl>
    <w:lvl w:ilvl="1">
      <w:start w:val="1"/>
      <w:numFmt w:val="bullet"/>
      <w:lvlText w:val="o"/>
      <w:lvlJc w:val="left"/>
      <w:pPr>
        <w:ind w:left="2310" w:hanging="360"/>
      </w:pPr>
      <w:rPr>
        <w:rFonts w:ascii="Courier New" w:eastAsia="Courier New" w:hAnsi="Courier New" w:cs="Courier New"/>
      </w:rPr>
    </w:lvl>
    <w:lvl w:ilvl="2">
      <w:start w:val="1"/>
      <w:numFmt w:val="bullet"/>
      <w:lvlText w:val="▪"/>
      <w:lvlJc w:val="left"/>
      <w:pPr>
        <w:ind w:left="3030" w:hanging="360"/>
      </w:pPr>
      <w:rPr>
        <w:rFonts w:ascii="Noto Sans Symbols" w:eastAsia="Noto Sans Symbols" w:hAnsi="Noto Sans Symbols" w:cs="Noto Sans Symbols"/>
      </w:rPr>
    </w:lvl>
    <w:lvl w:ilvl="3">
      <w:start w:val="1"/>
      <w:numFmt w:val="bullet"/>
      <w:lvlText w:val="●"/>
      <w:lvlJc w:val="left"/>
      <w:pPr>
        <w:ind w:left="3750" w:hanging="360"/>
      </w:pPr>
      <w:rPr>
        <w:rFonts w:ascii="Noto Sans Symbols" w:eastAsia="Noto Sans Symbols" w:hAnsi="Noto Sans Symbols" w:cs="Noto Sans Symbols"/>
      </w:rPr>
    </w:lvl>
    <w:lvl w:ilvl="4">
      <w:start w:val="1"/>
      <w:numFmt w:val="bullet"/>
      <w:lvlText w:val="o"/>
      <w:lvlJc w:val="left"/>
      <w:pPr>
        <w:ind w:left="4470" w:hanging="360"/>
      </w:pPr>
      <w:rPr>
        <w:rFonts w:ascii="Courier New" w:eastAsia="Courier New" w:hAnsi="Courier New" w:cs="Courier New"/>
      </w:rPr>
    </w:lvl>
    <w:lvl w:ilvl="5">
      <w:start w:val="1"/>
      <w:numFmt w:val="bullet"/>
      <w:lvlText w:val="▪"/>
      <w:lvlJc w:val="left"/>
      <w:pPr>
        <w:ind w:left="5190" w:hanging="360"/>
      </w:pPr>
      <w:rPr>
        <w:rFonts w:ascii="Noto Sans Symbols" w:eastAsia="Noto Sans Symbols" w:hAnsi="Noto Sans Symbols" w:cs="Noto Sans Symbols"/>
      </w:rPr>
    </w:lvl>
    <w:lvl w:ilvl="6">
      <w:start w:val="1"/>
      <w:numFmt w:val="bullet"/>
      <w:lvlText w:val="●"/>
      <w:lvlJc w:val="left"/>
      <w:pPr>
        <w:ind w:left="5910" w:hanging="360"/>
      </w:pPr>
      <w:rPr>
        <w:rFonts w:ascii="Noto Sans Symbols" w:eastAsia="Noto Sans Symbols" w:hAnsi="Noto Sans Symbols" w:cs="Noto Sans Symbols"/>
      </w:rPr>
    </w:lvl>
    <w:lvl w:ilvl="7">
      <w:start w:val="1"/>
      <w:numFmt w:val="bullet"/>
      <w:lvlText w:val="o"/>
      <w:lvlJc w:val="left"/>
      <w:pPr>
        <w:ind w:left="6630" w:hanging="360"/>
      </w:pPr>
      <w:rPr>
        <w:rFonts w:ascii="Courier New" w:eastAsia="Courier New" w:hAnsi="Courier New" w:cs="Courier New"/>
      </w:rPr>
    </w:lvl>
    <w:lvl w:ilvl="8">
      <w:start w:val="1"/>
      <w:numFmt w:val="bullet"/>
      <w:lvlText w:val="▪"/>
      <w:lvlJc w:val="left"/>
      <w:pPr>
        <w:ind w:left="7350" w:hanging="360"/>
      </w:pPr>
      <w:rPr>
        <w:rFonts w:ascii="Noto Sans Symbols" w:eastAsia="Noto Sans Symbols" w:hAnsi="Noto Sans Symbols" w:cs="Noto Sans Symbols"/>
      </w:rPr>
    </w:lvl>
  </w:abstractNum>
  <w:abstractNum w:abstractNumId="4" w15:restartNumberingAfterBreak="0">
    <w:nsid w:val="4E322200"/>
    <w:multiLevelType w:val="multilevel"/>
    <w:tmpl w:val="0AE08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2F806C0"/>
    <w:multiLevelType w:val="multilevel"/>
    <w:tmpl w:val="44E443EA"/>
    <w:lvl w:ilvl="0">
      <w:start w:val="27"/>
      <w:numFmt w:val="bullet"/>
      <w:lvlText w:val="■"/>
      <w:lvlJc w:val="left"/>
      <w:pPr>
        <w:ind w:left="540" w:hanging="360"/>
      </w:pPr>
      <w:rPr>
        <w:rFonts w:ascii="Noto Sans Symbols" w:eastAsia="Noto Sans Symbols" w:hAnsi="Noto Sans Symbols" w:cs="Noto Sans Symbols"/>
        <w:color w:val="000000"/>
        <w:sz w:val="20"/>
        <w:szCs w:val="20"/>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6" w15:restartNumberingAfterBreak="0">
    <w:nsid w:val="633A0718"/>
    <w:multiLevelType w:val="multilevel"/>
    <w:tmpl w:val="91284B44"/>
    <w:lvl w:ilvl="0">
      <w:start w:val="27"/>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422F5B"/>
    <w:multiLevelType w:val="multilevel"/>
    <w:tmpl w:val="DF405116"/>
    <w:lvl w:ilvl="0">
      <w:start w:val="27"/>
      <w:numFmt w:val="bullet"/>
      <w:lvlText w:val="■"/>
      <w:lvlJc w:val="left"/>
      <w:pPr>
        <w:ind w:left="720" w:hanging="360"/>
      </w:pPr>
      <w:rPr>
        <w:rFonts w:ascii="Noto Sans Symbols" w:eastAsia="Noto Sans Symbols" w:hAnsi="Noto Sans Symbols" w:cs="Noto Sans Symbols"/>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0C75CCC"/>
    <w:multiLevelType w:val="multilevel"/>
    <w:tmpl w:val="B016BC32"/>
    <w:lvl w:ilvl="0">
      <w:start w:val="27"/>
      <w:numFmt w:val="bullet"/>
      <w:lvlText w:val="■"/>
      <w:lvlJc w:val="left"/>
      <w:pPr>
        <w:ind w:left="690" w:hanging="360"/>
      </w:pPr>
      <w:rPr>
        <w:rFonts w:ascii="Noto Sans Symbols" w:eastAsia="Noto Sans Symbols" w:hAnsi="Noto Sans Symbols" w:cs="Noto Sans Symbols"/>
        <w:color w:val="000000"/>
        <w:sz w:val="20"/>
        <w:szCs w:val="20"/>
      </w:rPr>
    </w:lvl>
    <w:lvl w:ilvl="1">
      <w:start w:val="1"/>
      <w:numFmt w:val="bullet"/>
      <w:lvlText w:val="o"/>
      <w:lvlJc w:val="left"/>
      <w:pPr>
        <w:ind w:left="1410" w:hanging="360"/>
      </w:pPr>
      <w:rPr>
        <w:rFonts w:ascii="Courier New" w:eastAsia="Courier New" w:hAnsi="Courier New" w:cs="Courier New"/>
      </w:rPr>
    </w:lvl>
    <w:lvl w:ilvl="2">
      <w:start w:val="1"/>
      <w:numFmt w:val="bullet"/>
      <w:lvlText w:val="▪"/>
      <w:lvlJc w:val="left"/>
      <w:pPr>
        <w:ind w:left="2130" w:hanging="360"/>
      </w:pPr>
      <w:rPr>
        <w:rFonts w:ascii="Noto Sans Symbols" w:eastAsia="Noto Sans Symbols" w:hAnsi="Noto Sans Symbols" w:cs="Noto Sans Symbols"/>
      </w:rPr>
    </w:lvl>
    <w:lvl w:ilvl="3">
      <w:start w:val="1"/>
      <w:numFmt w:val="bullet"/>
      <w:lvlText w:val="●"/>
      <w:lvlJc w:val="left"/>
      <w:pPr>
        <w:ind w:left="2850" w:hanging="360"/>
      </w:pPr>
      <w:rPr>
        <w:rFonts w:ascii="Noto Sans Symbols" w:eastAsia="Noto Sans Symbols" w:hAnsi="Noto Sans Symbols" w:cs="Noto Sans Symbols"/>
      </w:rPr>
    </w:lvl>
    <w:lvl w:ilvl="4">
      <w:start w:val="1"/>
      <w:numFmt w:val="bullet"/>
      <w:lvlText w:val="o"/>
      <w:lvlJc w:val="left"/>
      <w:pPr>
        <w:ind w:left="3570" w:hanging="360"/>
      </w:pPr>
      <w:rPr>
        <w:rFonts w:ascii="Courier New" w:eastAsia="Courier New" w:hAnsi="Courier New" w:cs="Courier New"/>
      </w:rPr>
    </w:lvl>
    <w:lvl w:ilvl="5">
      <w:start w:val="1"/>
      <w:numFmt w:val="bullet"/>
      <w:lvlText w:val="▪"/>
      <w:lvlJc w:val="left"/>
      <w:pPr>
        <w:ind w:left="4290" w:hanging="360"/>
      </w:pPr>
      <w:rPr>
        <w:rFonts w:ascii="Noto Sans Symbols" w:eastAsia="Noto Sans Symbols" w:hAnsi="Noto Sans Symbols" w:cs="Noto Sans Symbols"/>
      </w:rPr>
    </w:lvl>
    <w:lvl w:ilvl="6">
      <w:start w:val="1"/>
      <w:numFmt w:val="bullet"/>
      <w:lvlText w:val="●"/>
      <w:lvlJc w:val="left"/>
      <w:pPr>
        <w:ind w:left="5010" w:hanging="360"/>
      </w:pPr>
      <w:rPr>
        <w:rFonts w:ascii="Noto Sans Symbols" w:eastAsia="Noto Sans Symbols" w:hAnsi="Noto Sans Symbols" w:cs="Noto Sans Symbols"/>
      </w:rPr>
    </w:lvl>
    <w:lvl w:ilvl="7">
      <w:start w:val="1"/>
      <w:numFmt w:val="bullet"/>
      <w:lvlText w:val="o"/>
      <w:lvlJc w:val="left"/>
      <w:pPr>
        <w:ind w:left="5730" w:hanging="360"/>
      </w:pPr>
      <w:rPr>
        <w:rFonts w:ascii="Courier New" w:eastAsia="Courier New" w:hAnsi="Courier New" w:cs="Courier New"/>
      </w:rPr>
    </w:lvl>
    <w:lvl w:ilvl="8">
      <w:start w:val="1"/>
      <w:numFmt w:val="bullet"/>
      <w:lvlText w:val="▪"/>
      <w:lvlJc w:val="left"/>
      <w:pPr>
        <w:ind w:left="6450" w:hanging="360"/>
      </w:pPr>
      <w:rPr>
        <w:rFonts w:ascii="Noto Sans Symbols" w:eastAsia="Noto Sans Symbols" w:hAnsi="Noto Sans Symbols" w:cs="Noto Sans Symbols"/>
      </w:rPr>
    </w:lvl>
  </w:abstractNum>
  <w:abstractNum w:abstractNumId="9" w15:restartNumberingAfterBreak="0">
    <w:nsid w:val="77886A9B"/>
    <w:multiLevelType w:val="multilevel"/>
    <w:tmpl w:val="F754EB1E"/>
    <w:lvl w:ilvl="0">
      <w:start w:val="1"/>
      <w:numFmt w:val="decimal"/>
      <w:lvlText w:val="(%1)"/>
      <w:lvlJc w:val="left"/>
      <w:pPr>
        <w:ind w:left="432" w:hanging="360"/>
      </w:pPr>
      <w:rPr>
        <w:rFonts w:ascii="Aptos" w:eastAsia="Aptos" w:hAnsi="Aptos" w:cs="Aptos"/>
        <w:i w:val="0"/>
        <w:iCs w:val="0"/>
        <w:sz w:val="22"/>
        <w:szCs w:val="22"/>
      </w:rPr>
    </w:lvl>
    <w:lvl w:ilvl="1">
      <w:start w:val="1"/>
      <w:numFmt w:val="lowerLetter"/>
      <w:lvlText w:val="%2."/>
      <w:lvlJc w:val="left"/>
      <w:pPr>
        <w:ind w:left="1152" w:hanging="360"/>
      </w:pPr>
    </w:lvl>
    <w:lvl w:ilvl="2">
      <w:start w:val="1"/>
      <w:numFmt w:val="lowerRoman"/>
      <w:lvlText w:val="%3."/>
      <w:lvlJc w:val="right"/>
      <w:pPr>
        <w:ind w:left="1872" w:hanging="180"/>
      </w:pPr>
    </w:lvl>
    <w:lvl w:ilvl="3">
      <w:start w:val="1"/>
      <w:numFmt w:val="decimal"/>
      <w:lvlText w:val="%4."/>
      <w:lvlJc w:val="left"/>
      <w:pPr>
        <w:ind w:left="2592" w:hanging="360"/>
      </w:pPr>
    </w:lvl>
    <w:lvl w:ilvl="4">
      <w:start w:val="1"/>
      <w:numFmt w:val="lowerLetter"/>
      <w:lvlText w:val="%5."/>
      <w:lvlJc w:val="left"/>
      <w:pPr>
        <w:ind w:left="3312" w:hanging="360"/>
      </w:pPr>
    </w:lvl>
    <w:lvl w:ilvl="5">
      <w:start w:val="1"/>
      <w:numFmt w:val="lowerRoman"/>
      <w:lvlText w:val="%6."/>
      <w:lvlJc w:val="right"/>
      <w:pPr>
        <w:ind w:left="4032" w:hanging="180"/>
      </w:pPr>
    </w:lvl>
    <w:lvl w:ilvl="6">
      <w:start w:val="1"/>
      <w:numFmt w:val="decimal"/>
      <w:lvlText w:val="%7."/>
      <w:lvlJc w:val="left"/>
      <w:pPr>
        <w:ind w:left="4752" w:hanging="360"/>
      </w:pPr>
    </w:lvl>
    <w:lvl w:ilvl="7">
      <w:start w:val="1"/>
      <w:numFmt w:val="lowerLetter"/>
      <w:lvlText w:val="%8."/>
      <w:lvlJc w:val="left"/>
      <w:pPr>
        <w:ind w:left="5472" w:hanging="360"/>
      </w:pPr>
    </w:lvl>
    <w:lvl w:ilvl="8">
      <w:start w:val="1"/>
      <w:numFmt w:val="lowerRoman"/>
      <w:lvlText w:val="%9."/>
      <w:lvlJc w:val="right"/>
      <w:pPr>
        <w:ind w:left="6192" w:hanging="180"/>
      </w:pPr>
    </w:lvl>
  </w:abstractNum>
  <w:num w:numId="1" w16cid:durableId="1258292828">
    <w:abstractNumId w:val="7"/>
  </w:num>
  <w:num w:numId="2" w16cid:durableId="1829438131">
    <w:abstractNumId w:val="8"/>
  </w:num>
  <w:num w:numId="3" w16cid:durableId="1690331481">
    <w:abstractNumId w:val="2"/>
  </w:num>
  <w:num w:numId="4" w16cid:durableId="1110854601">
    <w:abstractNumId w:val="3"/>
  </w:num>
  <w:num w:numId="5" w16cid:durableId="1525437482">
    <w:abstractNumId w:val="4"/>
  </w:num>
  <w:num w:numId="6" w16cid:durableId="690424428">
    <w:abstractNumId w:val="1"/>
  </w:num>
  <w:num w:numId="7" w16cid:durableId="1876384714">
    <w:abstractNumId w:val="0"/>
  </w:num>
  <w:num w:numId="8" w16cid:durableId="202789008">
    <w:abstractNumId w:val="9"/>
  </w:num>
  <w:num w:numId="9" w16cid:durableId="45178795">
    <w:abstractNumId w:val="5"/>
  </w:num>
  <w:num w:numId="10" w16cid:durableId="13048502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112"/>
    <w:rsid w:val="000304C8"/>
    <w:rsid w:val="001C5112"/>
    <w:rsid w:val="00210C50"/>
    <w:rsid w:val="00234094"/>
    <w:rsid w:val="002524CA"/>
    <w:rsid w:val="002604D7"/>
    <w:rsid w:val="002766D5"/>
    <w:rsid w:val="00361373"/>
    <w:rsid w:val="003A2DD4"/>
    <w:rsid w:val="003D2213"/>
    <w:rsid w:val="00496E0E"/>
    <w:rsid w:val="005438D1"/>
    <w:rsid w:val="00591240"/>
    <w:rsid w:val="005D02B6"/>
    <w:rsid w:val="005D6C9D"/>
    <w:rsid w:val="00634F05"/>
    <w:rsid w:val="00637BA0"/>
    <w:rsid w:val="00642DF0"/>
    <w:rsid w:val="00672FD2"/>
    <w:rsid w:val="006E4435"/>
    <w:rsid w:val="007D4E0C"/>
    <w:rsid w:val="00912FB8"/>
    <w:rsid w:val="0092681F"/>
    <w:rsid w:val="00A33E38"/>
    <w:rsid w:val="00B937FD"/>
    <w:rsid w:val="00C13C09"/>
    <w:rsid w:val="00C14D0C"/>
    <w:rsid w:val="00C174CA"/>
    <w:rsid w:val="00C916E1"/>
    <w:rsid w:val="00DD1699"/>
    <w:rsid w:val="00E26C23"/>
    <w:rsid w:val="00E3113E"/>
    <w:rsid w:val="00EB1F7E"/>
    <w:rsid w:val="00F46ED2"/>
    <w:rsid w:val="00FA6B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B0EAE"/>
  <w15:docId w15:val="{460CB245-08BD-40C5-80F2-F2CA82DE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2604D7"/>
    <w:pPr>
      <w:keepNext/>
      <w:jc w:val="center"/>
      <w:outlineLvl w:val="0"/>
    </w:pPr>
    <w:rPr>
      <w:b/>
      <w:bCs/>
      <w:sz w:val="24"/>
    </w:rPr>
  </w:style>
  <w:style w:type="paragraph" w:styleId="Heading2">
    <w:name w:val="heading 2"/>
    <w:basedOn w:val="Normal"/>
    <w:next w:val="Normal"/>
    <w:uiPriority w:val="9"/>
    <w:unhideWhenUsed/>
    <w:qFormat/>
    <w:pPr>
      <w:keepNext/>
      <w:spacing w:before="240" w:after="60"/>
      <w:outlineLvl w:val="1"/>
    </w:pPr>
    <w:rPr>
      <w:rFonts w:ascii="Cambria" w:eastAsia="Cambria" w:hAnsi="Cambria" w:cs="Cambria"/>
      <w:b/>
      <w:bCs/>
      <w:i/>
      <w:iCs/>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rFonts w:ascii="Times New Roman" w:eastAsia="Times New Roman" w:hAnsi="Times New Roman" w:cs="Times New Roman"/>
      <w:b/>
      <w:bCs/>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2766D5"/>
    <w:pPr>
      <w:tabs>
        <w:tab w:val="center" w:pos="4252"/>
        <w:tab w:val="right" w:pos="8504"/>
      </w:tabs>
    </w:pPr>
  </w:style>
  <w:style w:type="character" w:customStyle="1" w:styleId="HeaderChar">
    <w:name w:val="Header Char"/>
    <w:basedOn w:val="DefaultParagraphFont"/>
    <w:link w:val="Header"/>
    <w:uiPriority w:val="99"/>
    <w:rsid w:val="002766D5"/>
  </w:style>
  <w:style w:type="paragraph" w:styleId="Footer">
    <w:name w:val="footer"/>
    <w:basedOn w:val="Normal"/>
    <w:link w:val="FooterChar"/>
    <w:uiPriority w:val="99"/>
    <w:unhideWhenUsed/>
    <w:rsid w:val="002766D5"/>
    <w:pPr>
      <w:tabs>
        <w:tab w:val="center" w:pos="4252"/>
        <w:tab w:val="right" w:pos="8504"/>
      </w:tabs>
    </w:pPr>
  </w:style>
  <w:style w:type="character" w:customStyle="1" w:styleId="FooterChar">
    <w:name w:val="Footer Char"/>
    <w:basedOn w:val="DefaultParagraphFont"/>
    <w:link w:val="Footer"/>
    <w:uiPriority w:val="99"/>
    <w:rsid w:val="002766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FLOllDoMd5CecMzv9Suaa4+wcg==">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4</Pages>
  <Words>2091</Words>
  <Characters>11925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June 2026, UAH Boston Public School Exit Assurances - Spanish</vt:lpstr>
    </vt:vector>
  </TitlesOfParts>
  <Company/>
  <LinksUpToDate>false</LinksUpToDate>
  <CharactersWithSpaces>13989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2026, UAH Boston Public School Exit Assurances - Spanish</dc:title>
  <dc:creator>DESE</dc:creator>
  <cp:lastModifiedBy>Zou, Dong (EOE)</cp:lastModifiedBy>
  <cp:revision>14</cp:revision>
  <dcterms:created xsi:type="dcterms:W3CDTF">2026-06-09T16:12:00Z</dcterms:created>
  <dcterms:modified xsi:type="dcterms:W3CDTF">2026-07-16T21:15:00Z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16 2026 12:00AM</vt:lpwstr>
  </property>
</Properties>
</file>