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31" w:rsidRPr="00F03890" w:rsidRDefault="00090531" w:rsidP="00090531">
      <w:pPr>
        <w:pStyle w:val="Heading1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Parker</w:t>
      </w:r>
      <w:r w:rsidRPr="00F03890">
        <w:rPr>
          <w:color w:val="auto"/>
        </w:rPr>
        <w:t xml:space="preserve"> </w:t>
      </w:r>
      <w:r>
        <w:rPr>
          <w:color w:val="auto"/>
        </w:rPr>
        <w:t>School—</w:t>
      </w:r>
      <w:r w:rsidRPr="00F03890">
        <w:rPr>
          <w:color w:val="auto"/>
        </w:rPr>
        <w:t>2014-2015 School Budget Overview</w:t>
      </w:r>
    </w:p>
    <w:p w:rsidR="00B90D7A" w:rsidRDefault="00B90D7A" w:rsidP="00B90D7A">
      <w:pPr>
        <w:jc w:val="center"/>
      </w:pPr>
      <w:r w:rsidRPr="00D45258">
        <w:rPr>
          <w:rFonts w:asciiTheme="majorHAnsi" w:hAnsiTheme="majorHAnsi"/>
          <w:b/>
          <w:sz w:val="28"/>
          <w:szCs w:val="28"/>
        </w:rPr>
        <w:t>June 2014</w:t>
      </w:r>
    </w:p>
    <w:p w:rsidR="00090531" w:rsidRPr="00397BAC" w:rsidRDefault="00B90D7A" w:rsidP="00090531">
      <w:r>
        <w:t>As part of the Turnaround Plan, t</w:t>
      </w:r>
      <w:r w:rsidR="00090531" w:rsidRPr="00397BAC">
        <w:t xml:space="preserve">he Commissioner developed a financial plan for the </w:t>
      </w:r>
      <w:r w:rsidR="00090531">
        <w:t>Parker</w:t>
      </w:r>
      <w:r w:rsidR="00090531" w:rsidRPr="00397BAC">
        <w:t xml:space="preserve"> School that specified the sources and amounts of funding from municipal, state and federal sources available to the </w:t>
      </w:r>
      <w:r w:rsidR="00090531">
        <w:t xml:space="preserve">Parker School, </w:t>
      </w:r>
      <w:r w:rsidR="00767DD3">
        <w:t xml:space="preserve">to be </w:t>
      </w:r>
      <w:r w:rsidR="00090531">
        <w:t>administered by the Superintendent</w:t>
      </w:r>
      <w:r w:rsidR="00767DD3">
        <w:t xml:space="preserve"> of the New Bedford Public Schools (NBPS</w:t>
      </w:r>
      <w:r w:rsidR="00090531">
        <w:t>.</w:t>
      </w:r>
      <w:r w:rsidR="00767DD3">
        <w:t>)</w:t>
      </w:r>
      <w:r w:rsidR="00090531">
        <w:t xml:space="preserve"> </w:t>
      </w:r>
      <w:r w:rsidR="00090531" w:rsidRPr="00397BAC">
        <w:t xml:space="preserve">This was done in consultation with </w:t>
      </w:r>
      <w:r w:rsidR="00767DD3">
        <w:t>district</w:t>
      </w:r>
      <w:r w:rsidR="00090531" w:rsidRPr="00397BAC">
        <w:t xml:space="preserve"> leadership </w:t>
      </w:r>
      <w:r w:rsidR="00090531">
        <w:t xml:space="preserve">and the City of New Bedford. The district’s budget commitment for next year </w:t>
      </w:r>
      <w:r w:rsidR="00767DD3">
        <w:t>is</w:t>
      </w:r>
      <w:r w:rsidR="00090531">
        <w:t xml:space="preserve"> a 34.3% increase from the current year, supported by $362,265 in additional municipal funding, and $150,000 of state funds. The district’s budget includes </w:t>
      </w:r>
      <w:r w:rsidR="00090531" w:rsidRPr="00397BAC">
        <w:t xml:space="preserve">a budget for the </w:t>
      </w:r>
      <w:r w:rsidR="00090531">
        <w:t xml:space="preserve">Parker’s </w:t>
      </w:r>
      <w:r w:rsidR="00090531" w:rsidRPr="00397BAC">
        <w:t xml:space="preserve">2014-2015 school year that incorporates the program of instruction called for in the Turnaround Plan and references additional resources provided by the district in-kind, including employee benefits, transportation, food service, </w:t>
      </w:r>
      <w:r w:rsidR="00767DD3" w:rsidRPr="00397BAC">
        <w:t xml:space="preserve">health services, </w:t>
      </w:r>
      <w:r w:rsidR="00090531" w:rsidRPr="00397BAC">
        <w:t xml:space="preserve">and facilities maintenance.  Table 1 summarizes </w:t>
      </w:r>
      <w:r w:rsidR="00767DD3">
        <w:t>the budget</w:t>
      </w:r>
      <w:r w:rsidR="00090531" w:rsidRPr="00397BAC">
        <w:t>.</w:t>
      </w:r>
    </w:p>
    <w:p w:rsidR="00090531" w:rsidRPr="00397BAC" w:rsidRDefault="00767DD3" w:rsidP="00090531">
      <w:r>
        <w:t xml:space="preserve">The Superintendent as the Commissioner’s designee in lieu of a receiver will receive funds from </w:t>
      </w:r>
      <w:r w:rsidR="00090531" w:rsidRPr="00397BAC">
        <w:t xml:space="preserve">the Department for delivery of the educational program </w:t>
      </w:r>
      <w:r>
        <w:t>support</w:t>
      </w:r>
      <w:r w:rsidR="00090531" w:rsidRPr="00397BAC">
        <w:t xml:space="preserve"> needed to effect the necessary change that a chronically underperforming school requires.  Traditionally, these types of costs are included within a school district’s central cost structure. In declaring the </w:t>
      </w:r>
      <w:r w:rsidR="00090531">
        <w:t>Parker</w:t>
      </w:r>
      <w:r w:rsidR="00090531" w:rsidRPr="00397BAC">
        <w:t xml:space="preserve"> a Level 5 school, the Commissioner has an obligation to ensure the necessary </w:t>
      </w:r>
      <w:r>
        <w:t xml:space="preserve">resources are </w:t>
      </w:r>
      <w:r w:rsidR="00090531" w:rsidRPr="00397BAC">
        <w:t xml:space="preserve">in place to deliver educational improvement in the school.  Table 2 describes </w:t>
      </w:r>
      <w:r w:rsidR="00090531">
        <w:t xml:space="preserve">the district’s uses for the $150,000 </w:t>
      </w:r>
      <w:r>
        <w:t xml:space="preserve">in special funding. </w:t>
      </w:r>
    </w:p>
    <w:p w:rsidR="00090531" w:rsidRDefault="00090531" w:rsidP="00090531">
      <w:r w:rsidRPr="00397BAC">
        <w:t xml:space="preserve">The </w:t>
      </w:r>
      <w:r>
        <w:t>Parker’s</w:t>
      </w:r>
      <w:r w:rsidRPr="00397BAC">
        <w:t xml:space="preserve"> projected 2014-15 enrollment is </w:t>
      </w:r>
      <w:r>
        <w:t>297 students</w:t>
      </w:r>
      <w:r w:rsidRPr="00397BAC">
        <w:t>; its enr</w:t>
      </w:r>
      <w:r>
        <w:t>ollment in the current year is 292</w:t>
      </w:r>
      <w:r w:rsidRPr="00397BAC">
        <w:t>.</w:t>
      </w:r>
    </w:p>
    <w:p w:rsidR="00090531" w:rsidRPr="00F03890" w:rsidRDefault="00090531" w:rsidP="00090531">
      <w:pPr>
        <w:pStyle w:val="Heading3"/>
        <w:jc w:val="center"/>
        <w:rPr>
          <w:color w:val="auto"/>
        </w:rPr>
      </w:pPr>
      <w:r w:rsidRPr="00F03890">
        <w:rPr>
          <w:color w:val="auto"/>
        </w:rPr>
        <w:t xml:space="preserve">Table 1: </w:t>
      </w:r>
      <w:r>
        <w:rPr>
          <w:color w:val="auto"/>
        </w:rPr>
        <w:t>Parker</w:t>
      </w:r>
      <w:r w:rsidRPr="00F03890">
        <w:rPr>
          <w:color w:val="auto"/>
        </w:rPr>
        <w:t xml:space="preserve"> School </w:t>
      </w:r>
      <w:r>
        <w:rPr>
          <w:color w:val="auto"/>
        </w:rPr>
        <w:t xml:space="preserve">- </w:t>
      </w:r>
      <w:r w:rsidRPr="00F03890">
        <w:rPr>
          <w:color w:val="auto"/>
        </w:rPr>
        <w:t>2014-15 Budget</w:t>
      </w:r>
    </w:p>
    <w:p w:rsidR="00090531" w:rsidRDefault="00090531" w:rsidP="00090531"/>
    <w:tbl>
      <w:tblPr>
        <w:tblW w:w="8558" w:type="dxa"/>
        <w:tblInd w:w="100" w:type="dxa"/>
        <w:tblLook w:val="04A0" w:firstRow="1" w:lastRow="0" w:firstColumn="1" w:lastColumn="0" w:noHBand="0" w:noVBand="1"/>
      </w:tblPr>
      <w:tblGrid>
        <w:gridCol w:w="5460"/>
        <w:gridCol w:w="2140"/>
        <w:gridCol w:w="958"/>
      </w:tblGrid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Salaries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# of FTEs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Teachers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767DD3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090531" w:rsidP="0009053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090531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Instructional </w:t>
            </w:r>
            <w:r w:rsidR="00090531">
              <w:rPr>
                <w:rFonts w:eastAsia="Times New Roman" w:cs="Times New Roman"/>
                <w:color w:val="000000"/>
                <w:sz w:val="18"/>
                <w:szCs w:val="18"/>
              </w:rPr>
              <w:t>c</w:t>
            </w: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oach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767DD3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767DD3" w:rsidP="00767DD3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Instructional Support and Health</w:t>
            </w:r>
            <w:r w:rsidR="0009053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DF4541"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Staff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767DD3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09053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  <w:r w:rsidR="00DF4541"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.4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Administrat</w:t>
            </w:r>
            <w:r w:rsidR="00767DD3">
              <w:rPr>
                <w:rFonts w:eastAsia="Times New Roman" w:cs="Times New Roman"/>
                <w:color w:val="000000"/>
                <w:sz w:val="18"/>
                <w:szCs w:val="18"/>
              </w:rPr>
              <w:t>ors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767DD3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salaries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$1,851,422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33.4 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7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09053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Other expenditures for </w:t>
            </w:r>
            <w:r w:rsidR="0009053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educational program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Contracted Services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$5,058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Supplies/Materials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$44,751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$5,616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supplies and other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$55,425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Other Expenses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$101,250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Sub-total - estimated facilities improvements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$101,250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767DD3" w:rsidP="00767D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Additional Turnaround Programming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Turnaround Plan Manager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$50,000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0.5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Professional Development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$70,000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Curriculum Materials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$30,000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767D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Sub-total </w:t>
            </w:r>
            <w:r w:rsidR="00767D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–</w:t>
            </w: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67D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additional turnaround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$150,000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0.5</w:t>
            </w:r>
          </w:p>
        </w:tc>
      </w:tr>
      <w:tr w:rsidR="00DF4541" w:rsidRPr="00BD138C" w:rsidTr="00767DD3">
        <w:trPr>
          <w:trHeight w:val="315"/>
        </w:trPr>
        <w:tc>
          <w:tcPr>
            <w:tcW w:w="54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15"/>
        </w:trPr>
        <w:tc>
          <w:tcPr>
            <w:tcW w:w="54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</w:t>
            </w:r>
            <w:r w:rsidR="00A472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8,097</w:t>
            </w: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33.9 </w:t>
            </w: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In-kind District Support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767DD3">
        <w:trPr>
          <w:trHeight w:val="300"/>
        </w:trPr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Benefits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Transportation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Food services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Health Services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F4541" w:rsidRPr="00BD138C" w:rsidTr="00090531">
        <w:trPr>
          <w:trHeight w:val="3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BD138C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Facilities Maintenance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541" w:rsidRPr="00BD138C" w:rsidRDefault="00DF4541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83AD0" w:rsidRPr="00BD138C" w:rsidRDefault="00B83AD0">
      <w:pPr>
        <w:rPr>
          <w:sz w:val="18"/>
          <w:szCs w:val="18"/>
        </w:rPr>
      </w:pPr>
    </w:p>
    <w:p w:rsidR="001247F0" w:rsidRPr="00F03890" w:rsidRDefault="001247F0" w:rsidP="001247F0">
      <w:pPr>
        <w:pStyle w:val="Heading3"/>
        <w:jc w:val="center"/>
        <w:rPr>
          <w:color w:val="auto"/>
        </w:rPr>
      </w:pPr>
      <w:r w:rsidRPr="00F03890">
        <w:rPr>
          <w:color w:val="auto"/>
        </w:rPr>
        <w:t xml:space="preserve">Table 2: </w:t>
      </w:r>
      <w:r>
        <w:rPr>
          <w:color w:val="auto"/>
        </w:rPr>
        <w:t>Turnaround</w:t>
      </w:r>
      <w:r w:rsidRPr="00F03890">
        <w:rPr>
          <w:color w:val="auto"/>
        </w:rPr>
        <w:t xml:space="preserve"> Educational </w:t>
      </w:r>
      <w:r w:rsidR="00767DD3">
        <w:rPr>
          <w:color w:val="auto"/>
        </w:rPr>
        <w:t>Program Support</w:t>
      </w:r>
      <w:r w:rsidRPr="00F03890">
        <w:rPr>
          <w:color w:val="auto"/>
        </w:rPr>
        <w:t xml:space="preserve"> for </w:t>
      </w:r>
      <w:r>
        <w:rPr>
          <w:color w:val="auto"/>
        </w:rPr>
        <w:t>Parker</w:t>
      </w:r>
      <w:r w:rsidRPr="00F03890">
        <w:rPr>
          <w:color w:val="auto"/>
        </w:rPr>
        <w:t xml:space="preserve"> School</w:t>
      </w:r>
    </w:p>
    <w:tbl>
      <w:tblPr>
        <w:tblW w:w="9506" w:type="dxa"/>
        <w:tblInd w:w="100" w:type="dxa"/>
        <w:tblLook w:val="04A0" w:firstRow="1" w:lastRow="0" w:firstColumn="1" w:lastColumn="0" w:noHBand="0" w:noVBand="1"/>
      </w:tblPr>
      <w:tblGrid>
        <w:gridCol w:w="8378"/>
        <w:gridCol w:w="1128"/>
      </w:tblGrid>
      <w:tr w:rsidR="00752CA7" w:rsidRPr="00BD138C" w:rsidTr="001247F0">
        <w:trPr>
          <w:trHeight w:val="315"/>
        </w:trPr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CA7" w:rsidRPr="00BD138C" w:rsidRDefault="0051634E" w:rsidP="00D059E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Turnaround Plan</w:t>
            </w:r>
            <w:r w:rsidR="00D059EE"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Manager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7" w:rsidRPr="00BD138C" w:rsidRDefault="00752CA7" w:rsidP="00D059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 w:rsidR="00D059EE"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52CA7" w:rsidRPr="00BD138C" w:rsidTr="00AD7F5E">
        <w:trPr>
          <w:trHeight w:val="315"/>
        </w:trPr>
        <w:tc>
          <w:tcPr>
            <w:tcW w:w="8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F46" w:rsidRPr="00BD138C" w:rsidRDefault="00D059EE" w:rsidP="00594F46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Provides guidance to school and district leadership on turnaround plan activities</w:t>
            </w:r>
          </w:p>
          <w:p w:rsidR="00594F46" w:rsidRPr="00BD138C" w:rsidRDefault="00594F46" w:rsidP="00594F46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 xml:space="preserve">Collaboration with school </w:t>
            </w:r>
            <w:r w:rsidR="00AD7F5E" w:rsidRPr="00BD138C">
              <w:rPr>
                <w:rFonts w:asciiTheme="minorHAnsi" w:hAnsiTheme="minorHAnsi"/>
                <w:sz w:val="18"/>
                <w:szCs w:val="18"/>
              </w:rPr>
              <w:t xml:space="preserve">education </w:t>
            </w:r>
            <w:r w:rsidRPr="00BD138C">
              <w:rPr>
                <w:rFonts w:asciiTheme="minorHAnsi" w:hAnsiTheme="minorHAnsi"/>
                <w:sz w:val="18"/>
                <w:szCs w:val="18"/>
              </w:rPr>
              <w:t>team and coache</w:t>
            </w:r>
            <w:r w:rsidRPr="00BD138C">
              <w:rPr>
                <w:rFonts w:asciiTheme="minorHAnsi" w:hAnsiTheme="minorHAnsi"/>
                <w:b/>
                <w:sz w:val="18"/>
                <w:szCs w:val="18"/>
              </w:rPr>
              <w:t>s</w:t>
            </w:r>
          </w:p>
          <w:p w:rsidR="00D40443" w:rsidRPr="00BD138C" w:rsidRDefault="00D40443" w:rsidP="00752CA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752CA7" w:rsidRPr="00BD138C" w:rsidRDefault="00D059EE" w:rsidP="00D059E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Professional Development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7" w:rsidRPr="00BD138C" w:rsidRDefault="00752CA7" w:rsidP="00D059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 w:rsidR="00D059EE"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752CA7" w:rsidRPr="00BD138C" w:rsidTr="00AD7F5E">
        <w:trPr>
          <w:trHeight w:val="315"/>
        </w:trPr>
        <w:tc>
          <w:tcPr>
            <w:tcW w:w="8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5D9C" w:rsidRPr="00BD138C" w:rsidRDefault="00D059EE" w:rsidP="00594F46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Reading  Street, Empowering Writers, Lively Letters</w:t>
            </w:r>
            <w:r w:rsidR="004B5D9C" w:rsidRPr="00BD138C">
              <w:rPr>
                <w:rFonts w:asciiTheme="minorHAnsi" w:hAnsiTheme="minorHAnsi"/>
                <w:sz w:val="18"/>
                <w:szCs w:val="18"/>
              </w:rPr>
              <w:t>, OWL</w:t>
            </w:r>
          </w:p>
          <w:p w:rsidR="00594F46" w:rsidRPr="00BD138C" w:rsidRDefault="004B5D9C" w:rsidP="00594F46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Math &amp; Science Curriculum PD Support</w:t>
            </w:r>
          </w:p>
          <w:p w:rsidR="004B5D9C" w:rsidRPr="00BD138C" w:rsidRDefault="004B5D9C" w:rsidP="00594F46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b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Galileo Assessment &amp; Data Training</w:t>
            </w:r>
          </w:p>
          <w:p w:rsidR="00594F46" w:rsidRPr="00BD138C" w:rsidRDefault="004B5D9C" w:rsidP="00752CA7">
            <w:pPr>
              <w:pStyle w:val="ListParagraph"/>
              <w:numPr>
                <w:ilvl w:val="0"/>
                <w:numId w:val="1"/>
              </w:numPr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Technology Training &amp; Other Summer Academy PD/Coaching</w:t>
            </w:r>
          </w:p>
          <w:p w:rsidR="004B5D9C" w:rsidRPr="00BD138C" w:rsidRDefault="004B5D9C" w:rsidP="004B5D9C">
            <w:pPr>
              <w:pStyle w:val="ListParagraph"/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752CA7" w:rsidRPr="00BD138C" w:rsidRDefault="00D059EE" w:rsidP="00D059E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Curriculum Mat</w:t>
            </w:r>
            <w:r w:rsidR="00752CA7"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e</w:t>
            </w: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rials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CA7" w:rsidRPr="00BD138C" w:rsidRDefault="00752CA7" w:rsidP="00D059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 w:rsidR="00D059EE"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30,</w:t>
            </w:r>
            <w:r w:rsidRPr="00BD138C">
              <w:rPr>
                <w:rFonts w:eastAsia="Times New Roman" w:cs="Times New Roman"/>
                <w:color w:val="000000"/>
                <w:sz w:val="18"/>
                <w:szCs w:val="18"/>
              </w:rPr>
              <w:t>000</w:t>
            </w:r>
          </w:p>
        </w:tc>
      </w:tr>
      <w:tr w:rsidR="00D059EE" w:rsidRPr="00BD138C" w:rsidTr="001247F0">
        <w:trPr>
          <w:trHeight w:val="315"/>
        </w:trPr>
        <w:tc>
          <w:tcPr>
            <w:tcW w:w="83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5D9C" w:rsidRPr="00BD138C" w:rsidRDefault="004B5D9C" w:rsidP="00D059EE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Science Kits/Curriculum Materials</w:t>
            </w:r>
          </w:p>
          <w:p w:rsidR="004B5D9C" w:rsidRPr="00BD138C" w:rsidRDefault="004B5D9C" w:rsidP="00D059EE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Family Resource Center Startup Materials</w:t>
            </w:r>
          </w:p>
          <w:p w:rsidR="00D059EE" w:rsidRPr="00BD138C" w:rsidRDefault="004B5D9C" w:rsidP="004B5D9C">
            <w:pPr>
              <w:pStyle w:val="ListParagraph"/>
              <w:numPr>
                <w:ilvl w:val="0"/>
                <w:numId w:val="2"/>
              </w:numPr>
              <w:ind w:left="44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BD138C">
              <w:rPr>
                <w:rFonts w:asciiTheme="minorHAnsi" w:hAnsiTheme="minorHAnsi"/>
                <w:sz w:val="18"/>
                <w:szCs w:val="18"/>
              </w:rPr>
              <w:t>Summer Academy Classroom Materials</w:t>
            </w:r>
          </w:p>
          <w:p w:rsidR="00D059EE" w:rsidRPr="00BD138C" w:rsidRDefault="00D059EE" w:rsidP="00DF454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D059EE" w:rsidRPr="001247F0" w:rsidRDefault="00D059EE" w:rsidP="00DF454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247F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9EE" w:rsidRPr="001247F0" w:rsidRDefault="00D059EE" w:rsidP="00D059EE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1247F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$150,000</w:t>
            </w:r>
          </w:p>
        </w:tc>
      </w:tr>
    </w:tbl>
    <w:p w:rsidR="00752CA7" w:rsidRPr="00023031" w:rsidRDefault="00752CA7" w:rsidP="001247F0">
      <w:pPr>
        <w:rPr>
          <w:sz w:val="18"/>
          <w:szCs w:val="18"/>
        </w:rPr>
      </w:pPr>
    </w:p>
    <w:sectPr w:rsidR="00752CA7" w:rsidRPr="00023031" w:rsidSect="00767DD3">
      <w:footerReference w:type="default" r:id="rId12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65" w:rsidRDefault="00CF1865" w:rsidP="00023031">
      <w:pPr>
        <w:spacing w:after="0" w:line="240" w:lineRule="auto"/>
      </w:pPr>
      <w:r>
        <w:separator/>
      </w:r>
    </w:p>
  </w:endnote>
  <w:endnote w:type="continuationSeparator" w:id="0">
    <w:p w:rsidR="00CF1865" w:rsidRDefault="00CF1865" w:rsidP="00023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657641"/>
      <w:docPartObj>
        <w:docPartGallery w:val="Page Numbers (Bottom of Page)"/>
        <w:docPartUnique/>
      </w:docPartObj>
    </w:sdtPr>
    <w:sdtEndPr/>
    <w:sdtContent>
      <w:p w:rsidR="00090531" w:rsidRDefault="009A5BD2">
        <w:pPr>
          <w:pStyle w:val="Footer"/>
          <w:jc w:val="center"/>
        </w:pPr>
        <w:r>
          <w:fldChar w:fldCharType="begin"/>
        </w:r>
        <w:r w:rsidR="00531629">
          <w:instrText xml:space="preserve"> PAGE   \* MERGEFORMAT </w:instrText>
        </w:r>
        <w:r>
          <w:fldChar w:fldCharType="separate"/>
        </w:r>
        <w:r w:rsidR="00F36F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531" w:rsidRDefault="00090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65" w:rsidRDefault="00CF1865" w:rsidP="00023031">
      <w:pPr>
        <w:spacing w:after="0" w:line="240" w:lineRule="auto"/>
      </w:pPr>
      <w:r>
        <w:separator/>
      </w:r>
    </w:p>
  </w:footnote>
  <w:footnote w:type="continuationSeparator" w:id="0">
    <w:p w:rsidR="00CF1865" w:rsidRDefault="00CF1865" w:rsidP="00023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F67"/>
    <w:multiLevelType w:val="hybridMultilevel"/>
    <w:tmpl w:val="50A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C05BA"/>
    <w:multiLevelType w:val="hybridMultilevel"/>
    <w:tmpl w:val="D186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6F05"/>
    <w:multiLevelType w:val="hybridMultilevel"/>
    <w:tmpl w:val="A48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803F8"/>
    <w:multiLevelType w:val="hybridMultilevel"/>
    <w:tmpl w:val="E2B8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C6"/>
    <w:rsid w:val="00023031"/>
    <w:rsid w:val="00090531"/>
    <w:rsid w:val="000B068B"/>
    <w:rsid w:val="001247F0"/>
    <w:rsid w:val="002D58C3"/>
    <w:rsid w:val="003372EE"/>
    <w:rsid w:val="003A2764"/>
    <w:rsid w:val="004B5D9C"/>
    <w:rsid w:val="0051634E"/>
    <w:rsid w:val="00531629"/>
    <w:rsid w:val="00567BFB"/>
    <w:rsid w:val="00594F46"/>
    <w:rsid w:val="005F2B8D"/>
    <w:rsid w:val="00624E51"/>
    <w:rsid w:val="00676C48"/>
    <w:rsid w:val="00730918"/>
    <w:rsid w:val="00752CA7"/>
    <w:rsid w:val="00767DD3"/>
    <w:rsid w:val="00834DE3"/>
    <w:rsid w:val="008868EB"/>
    <w:rsid w:val="008A162E"/>
    <w:rsid w:val="008D23BF"/>
    <w:rsid w:val="0093331C"/>
    <w:rsid w:val="00934C8C"/>
    <w:rsid w:val="009A5BD2"/>
    <w:rsid w:val="009B2B04"/>
    <w:rsid w:val="00A472F0"/>
    <w:rsid w:val="00AD7F5E"/>
    <w:rsid w:val="00AE51EC"/>
    <w:rsid w:val="00B117BA"/>
    <w:rsid w:val="00B253C6"/>
    <w:rsid w:val="00B83AD0"/>
    <w:rsid w:val="00B90D7A"/>
    <w:rsid w:val="00BA1D05"/>
    <w:rsid w:val="00BB3AA7"/>
    <w:rsid w:val="00BD138C"/>
    <w:rsid w:val="00C26B68"/>
    <w:rsid w:val="00C93886"/>
    <w:rsid w:val="00CF1865"/>
    <w:rsid w:val="00D059EE"/>
    <w:rsid w:val="00D40443"/>
    <w:rsid w:val="00DE13BE"/>
    <w:rsid w:val="00DF4541"/>
    <w:rsid w:val="00EF2918"/>
    <w:rsid w:val="00F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E"/>
  </w:style>
  <w:style w:type="paragraph" w:styleId="Heading1">
    <w:name w:val="heading 1"/>
    <w:basedOn w:val="Normal"/>
    <w:next w:val="Normal"/>
    <w:link w:val="Heading1Char"/>
    <w:uiPriority w:val="9"/>
    <w:qFormat/>
    <w:rsid w:val="00090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5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031"/>
  </w:style>
  <w:style w:type="paragraph" w:styleId="Footer">
    <w:name w:val="footer"/>
    <w:basedOn w:val="Normal"/>
    <w:link w:val="FooterChar"/>
    <w:uiPriority w:val="99"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1"/>
  </w:style>
  <w:style w:type="character" w:customStyle="1" w:styleId="Heading1Char">
    <w:name w:val="Heading 1 Char"/>
    <w:basedOn w:val="DefaultParagraphFont"/>
    <w:link w:val="Heading1"/>
    <w:uiPriority w:val="9"/>
    <w:rsid w:val="00090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05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3BE"/>
  </w:style>
  <w:style w:type="paragraph" w:styleId="Heading1">
    <w:name w:val="heading 1"/>
    <w:basedOn w:val="Normal"/>
    <w:next w:val="Normal"/>
    <w:link w:val="Heading1Char"/>
    <w:uiPriority w:val="9"/>
    <w:qFormat/>
    <w:rsid w:val="00090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5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F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031"/>
  </w:style>
  <w:style w:type="paragraph" w:styleId="Footer">
    <w:name w:val="footer"/>
    <w:basedOn w:val="Normal"/>
    <w:link w:val="FooterChar"/>
    <w:uiPriority w:val="99"/>
    <w:unhideWhenUsed/>
    <w:rsid w:val="00023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31"/>
  </w:style>
  <w:style w:type="character" w:customStyle="1" w:styleId="Heading1Char">
    <w:name w:val="Heading 1 Char"/>
    <w:basedOn w:val="DefaultParagraphFont"/>
    <w:link w:val="Heading1"/>
    <w:uiPriority w:val="9"/>
    <w:rsid w:val="00090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05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notes" Target="footnotes.xml"/>
  <Relationship Id="rId11" Type="http://schemas.openxmlformats.org/officeDocument/2006/relationships/endnotes" Target="endnotes.xml"/>
  <Relationship Id="rId12" Type="http://schemas.openxmlformats.org/officeDocument/2006/relationships/footer" Target="footer1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customXml" Target="..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microsoft.com/office/2007/relationships/stylesWithEffects" Target="stylesWithEffects.xml"/>
  <Relationship Id="rId8" Type="http://schemas.openxmlformats.org/officeDocument/2006/relationships/settings" Target="settings.xml"/>
  <Relationship Id="rId9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6" ma:contentTypeDescription="Create a new document." ma:contentTypeScope="" ma:versionID="525deee3f830b960abde3fb331955999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DESE-231-8501</_dlc_DocId>
    <_dlc_DocIdUrl xmlns="733efe1c-5bbe-4968-87dc-d400e65c879f">
      <Url>https://sharepoint.doemass.org/ese/webteam/cps/_layouts/DocIdRedir.aspx?ID=DESE-231-8501</Url>
      <Description>DESE-231-8501</Description>
    </_dlc_DocIdUrl>
  </documentManagement>
</p:properties>
</file>

<file path=customXml/itemProps1.xml><?xml version="1.0" encoding="utf-8"?>
<ds:datastoreItem xmlns:ds="http://schemas.openxmlformats.org/officeDocument/2006/customXml" ds:itemID="{A8A5F1DE-27E6-430F-879F-BA9E0CB7F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F859D-5F15-45A3-A6AF-C13B10A737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0467F2-2348-4FF0-95E4-97FF2A020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87B3C7-10D7-4D75-B211-48D55C3C51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2648</Characters>
  <Application>Microsoft Office Word</Application>
  <DocSecurity>0</DocSecurity>
  <Lines>94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5 Updated Parker Financial Information</vt:lpstr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2014-07-14T16:57:00Z</dcterms:created>
  <dc:creator>ESE</dc:creator>
  <lastModifiedBy>ESE</lastModifiedBy>
  <lastPrinted>2014-06-02T15:59:00Z</lastPrinted>
  <dcterms:modified xsi:type="dcterms:W3CDTF">2014-07-14T17:10:00Z</dcterms:modified>
  <revision>3</revision>
  <dc:title>Parker Level 5 Updated Financial Information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5022440e-c9af-4a6a-b299-06e5450c044a</vt:lpwstr>
  </property>
  <property fmtid="{D5CDD505-2E9C-101B-9397-08002B2CF9AE}" pid="4" name="metadate">
    <vt:lpwstr>Jul 14 2014</vt:lpwstr>
  </property>
</Properties>
</file>