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one."/>
      </w:tblPr>
      <w:tblGrid>
        <w:gridCol w:w="3213"/>
        <w:gridCol w:w="3295"/>
        <w:gridCol w:w="3295"/>
        <w:gridCol w:w="3297"/>
      </w:tblGrid>
      <w:tr w:rsidR="00547C19" w14:paraId="0FA73CD5" w14:textId="77777777" w:rsidTr="00C64EF2">
        <w:trPr>
          <w:trHeight w:val="552"/>
          <w:tblHeader/>
        </w:trPr>
        <w:tc>
          <w:tcPr>
            <w:tcW w:w="1310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5" w:type="dxa"/>
              <w:bottom w:w="0" w:type="dxa"/>
              <w:right w:w="45" w:type="dxa"/>
            </w:tcMar>
            <w:vAlign w:val="center"/>
            <w:hideMark/>
          </w:tcPr>
          <w:p w14:paraId="25C19CC0" w14:textId="77777777" w:rsidR="00547C19" w:rsidRDefault="00547C19" w:rsidP="00C64EF2">
            <w:pPr>
              <w:spacing w:before="0" w:after="0" w:line="256" w:lineRule="auto"/>
              <w:jc w:val="center"/>
              <w:rPr>
                <w:rFonts w:eastAsia="Times New Roman" w:cs="Times New Roman"/>
                <w:b/>
                <w:color w:val="000000"/>
              </w:rPr>
            </w:pPr>
            <w:bookmarkStart w:id="0" w:name="_Hlk34303676"/>
            <w:bookmarkStart w:id="1" w:name="_Hlk34303757"/>
            <w:r>
              <w:rPr>
                <w:rFonts w:ascii="Times New Roman" w:eastAsia="Times New Roman" w:hAnsi="Times New Roman" w:cs="Times New Roman"/>
                <w:b/>
                <w:bCs/>
                <w:sz w:val="24"/>
                <w:szCs w:val="24"/>
              </w:rPr>
              <w:t xml:space="preserve">Rubric for Deaf and Hard-of-Hearing License: </w:t>
            </w:r>
            <w:r>
              <w:rPr>
                <w:rFonts w:ascii="Times New Roman" w:eastAsia="Times New Roman" w:hAnsi="Times New Roman" w:cs="Times New Roman"/>
                <w:b/>
                <w:bCs/>
                <w:i/>
                <w:sz w:val="24"/>
                <w:szCs w:val="24"/>
              </w:rPr>
              <w:t>American Sign Language/Total Communication (ASL/TC)</w:t>
            </w:r>
          </w:p>
        </w:tc>
      </w:tr>
      <w:tr w:rsidR="00547C19" w14:paraId="1F76E4F9" w14:textId="77777777" w:rsidTr="00C64EF2">
        <w:trPr>
          <w:trHeight w:val="552"/>
          <w:tblHeader/>
        </w:trPr>
        <w:tc>
          <w:tcPr>
            <w:tcW w:w="131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DD56B02"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t xml:space="preserve">1. </w:t>
            </w:r>
            <w:r w:rsidRPr="00231975">
              <w:rPr>
                <w:rFonts w:eastAsia="Times New Roman" w:cs="Times New Roman"/>
                <w:b/>
              </w:rPr>
              <w:t>Knowledge of the perception, acquisition, and processing of language, both spoken and sign, and strategies for supporting language acquisition in sign language</w:t>
            </w:r>
            <w:r w:rsidRPr="00231975">
              <w:rPr>
                <w:rFonts w:eastAsia="Times New Roman" w:cs="Times New Roman"/>
                <w:sz w:val="18"/>
                <w:szCs w:val="18"/>
              </w:rPr>
              <w:t>.</w:t>
            </w:r>
          </w:p>
        </w:tc>
      </w:tr>
      <w:tr w:rsidR="00547C19" w14:paraId="7A6CE7F0" w14:textId="77777777" w:rsidTr="00C64EF2">
        <w:trPr>
          <w:trHeight w:val="252"/>
          <w:tblHeader/>
        </w:trPr>
        <w:tc>
          <w:tcPr>
            <w:tcW w:w="321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F3AF59B"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ED0A49"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B0573B"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0F3B91"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04470CF0" w14:textId="77777777" w:rsidTr="00C64EF2">
        <w:trPr>
          <w:trHeight w:val="49"/>
          <w:tblHeader/>
        </w:trPr>
        <w:tc>
          <w:tcPr>
            <w:tcW w:w="321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F0AE038"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knowledge of the perception, acquisition and processing of language including both spoken and sign language with varying levels of emphasis. Does not implement strategies for supporting language acquisition in sign language.</w:t>
            </w:r>
          </w:p>
          <w:p w14:paraId="1F48A2D5" w14:textId="77777777" w:rsidR="00547C19" w:rsidRDefault="00547C19" w:rsidP="00C64EF2">
            <w:pPr>
              <w:spacing w:before="0" w:after="0" w:line="256" w:lineRule="auto"/>
              <w:jc w:val="left"/>
              <w:rPr>
                <w:rFonts w:eastAsia="Times New Roman" w:cs="Times New Roman"/>
              </w:rPr>
            </w:pPr>
          </w:p>
          <w:p w14:paraId="409B7ABA" w14:textId="77777777" w:rsidR="00547C19" w:rsidRDefault="00547C19" w:rsidP="00C64EF2">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7C01800"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knowledge of the perception, acquisition and processing of language including both spoken and sign language with varying levels of emphasis</w:t>
            </w:r>
          </w:p>
          <w:p w14:paraId="0F657718" w14:textId="77777777" w:rsidR="00547C19" w:rsidRDefault="00547C19" w:rsidP="00C64EF2">
            <w:pPr>
              <w:spacing w:before="0" w:after="0" w:line="256" w:lineRule="auto"/>
              <w:jc w:val="left"/>
              <w:rPr>
                <w:rFonts w:eastAsia="Times New Roman" w:cs="Times New Roman"/>
              </w:rPr>
            </w:pPr>
            <w:r>
              <w:rPr>
                <w:rFonts w:eastAsia="Times New Roman" w:cs="Times New Roman"/>
              </w:rPr>
              <w:t>and implements strategies for supporting language acquisition in sign language.</w:t>
            </w:r>
          </w:p>
          <w:p w14:paraId="429684F2" w14:textId="77777777" w:rsidR="00547C19" w:rsidRDefault="00547C19" w:rsidP="00C64EF2">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3771EB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knowledge of the perception, acquisition and processing of language including both spoken and sign language with varying levels of emphasis and </w:t>
            </w:r>
          </w:p>
          <w:p w14:paraId="2BE2346A" w14:textId="77777777" w:rsidR="00547C19" w:rsidRDefault="00547C19" w:rsidP="00C64EF2">
            <w:pPr>
              <w:spacing w:before="0" w:after="0" w:line="256" w:lineRule="auto"/>
              <w:jc w:val="left"/>
              <w:rPr>
                <w:rFonts w:eastAsia="Times New Roman" w:cs="Times New Roman"/>
              </w:rPr>
            </w:pPr>
            <w:r>
              <w:rPr>
                <w:rFonts w:eastAsia="Times New Roman" w:cs="Times New Roman"/>
              </w:rPr>
              <w:t>implements strategies for supporting language acquisition in sign language.</w:t>
            </w:r>
          </w:p>
          <w:p w14:paraId="2001897F" w14:textId="77777777" w:rsidR="00547C19" w:rsidRDefault="00547C19" w:rsidP="00C64EF2">
            <w:pPr>
              <w:spacing w:before="0" w:after="0" w:line="256" w:lineRule="auto"/>
              <w:jc w:val="left"/>
              <w:rPr>
                <w:rFonts w:eastAsia="Times New Roman" w:cs="Times New Roman"/>
              </w:rPr>
            </w:pP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6048F72"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Consistently demonstrates comprehensive knowledge of the perception, acquisition and processing of language including both spoken and sign language with varying levels of emphasis </w:t>
            </w:r>
          </w:p>
          <w:p w14:paraId="27FFFF1A" w14:textId="77777777" w:rsidR="00547C19" w:rsidRDefault="00547C19" w:rsidP="00C64EF2">
            <w:pPr>
              <w:spacing w:before="0" w:after="0" w:line="256" w:lineRule="auto"/>
              <w:jc w:val="left"/>
              <w:rPr>
                <w:rFonts w:eastAsia="Times New Roman" w:cs="Times New Roman"/>
              </w:rPr>
            </w:pPr>
            <w:r>
              <w:rPr>
                <w:rFonts w:eastAsia="Times New Roman" w:cs="Times New Roman"/>
              </w:rPr>
              <w:t>emphasis and implements strategies for supporting language acquisition in sign language.</w:t>
            </w:r>
          </w:p>
          <w:p w14:paraId="22EA577F" w14:textId="77777777" w:rsidR="00547C19" w:rsidRDefault="00547C19" w:rsidP="00C64EF2">
            <w:pPr>
              <w:spacing w:before="0" w:after="0" w:line="256" w:lineRule="auto"/>
              <w:jc w:val="left"/>
              <w:rPr>
                <w:rFonts w:eastAsia="Times New Roman" w:cs="Times New Roman"/>
              </w:rPr>
            </w:pPr>
          </w:p>
          <w:p w14:paraId="132B6ED1" w14:textId="77777777" w:rsidR="00547C19" w:rsidRDefault="00547C19" w:rsidP="00C64EF2">
            <w:pPr>
              <w:spacing w:before="0" w:after="0" w:line="256" w:lineRule="auto"/>
              <w:jc w:val="left"/>
              <w:rPr>
                <w:rFonts w:eastAsia="Times New Roman" w:cs="Times New Roman"/>
              </w:rPr>
            </w:pPr>
          </w:p>
        </w:tc>
      </w:tr>
    </w:tbl>
    <w:p w14:paraId="34C811D4" w14:textId="77777777" w:rsidR="00547C19" w:rsidRDefault="00547C19" w:rsidP="00547C19">
      <w:pPr>
        <w:keepNext/>
        <w:keepLines/>
        <w:widowControl w:val="0"/>
        <w:spacing w:before="0" w:after="0"/>
        <w:jc w:val="left"/>
        <w:outlineLvl w:val="2"/>
        <w:rPr>
          <w:rFonts w:eastAsia="Calibri" w:cs="Calibri"/>
          <w:b/>
          <w:color w:val="4472C4" w:themeColor="accent1"/>
        </w:rPr>
      </w:pPr>
    </w:p>
    <w:p w14:paraId="7A60C628" w14:textId="77777777" w:rsidR="00547C19" w:rsidRDefault="00547C19" w:rsidP="00547C19">
      <w:pPr>
        <w:keepNext/>
        <w:keepLines/>
        <w:widowControl w:val="0"/>
        <w:spacing w:before="0" w:after="0"/>
        <w:jc w:val="left"/>
        <w:outlineLvl w:val="2"/>
        <w:rPr>
          <w:rFonts w:eastAsia="Calibri" w:cs="Calibri"/>
          <w:b/>
          <w:color w:val="4472C4" w:themeColor="accent1"/>
        </w:rPr>
      </w:pPr>
    </w:p>
    <w:p w14:paraId="6D9EEC0F" w14:textId="77777777" w:rsidR="00547C19" w:rsidRDefault="00547C19" w:rsidP="00547C19">
      <w:pPr>
        <w:keepNext/>
        <w:keepLines/>
        <w:widowControl w:val="0"/>
        <w:spacing w:before="0" w:after="0"/>
        <w:jc w:val="left"/>
        <w:outlineLvl w:val="2"/>
        <w:rPr>
          <w:rFonts w:eastAsia="Calibri" w:cs="Calibri"/>
          <w:b/>
          <w:color w:val="4472C4" w:themeColor="accent1"/>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two."/>
      </w:tblPr>
      <w:tblGrid>
        <w:gridCol w:w="3298"/>
        <w:gridCol w:w="3295"/>
        <w:gridCol w:w="3295"/>
        <w:gridCol w:w="3297"/>
      </w:tblGrid>
      <w:tr w:rsidR="00547C19" w14:paraId="28333F49"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4D2DB49" w14:textId="77777777" w:rsidR="00547C19" w:rsidRDefault="00547C19" w:rsidP="00C64EF2">
            <w:pPr>
              <w:widowControl w:val="0"/>
              <w:spacing w:before="0" w:after="0" w:line="256" w:lineRule="auto"/>
              <w:jc w:val="left"/>
              <w:rPr>
                <w:rFonts w:eastAsia="Times New Roman" w:cs="Times New Roman"/>
                <w:b/>
              </w:rPr>
            </w:pPr>
            <w:r w:rsidRPr="00231975">
              <w:rPr>
                <w:rFonts w:eastAsia="Times New Roman" w:cs="Times New Roman"/>
                <w:b/>
                <w:bCs/>
              </w:rPr>
              <w:t xml:space="preserve">2. </w:t>
            </w:r>
            <w:r w:rsidRPr="00231975">
              <w:rPr>
                <w:rFonts w:eastAsia="Times New Roman" w:cs="Times New Roman"/>
                <w:b/>
              </w:rPr>
              <w:t>Knowledge of the relationship between ASL and English language and strategies for translating between ASL and English</w:t>
            </w:r>
          </w:p>
        </w:tc>
      </w:tr>
      <w:tr w:rsidR="00547C19" w14:paraId="780A4BBB"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0F9D19"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0AB028"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14D3D6"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20F8266"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26063818"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E084C7B"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the knowledge and application of strategies necessary for the teaching of English and ASL when working with students who are deaf or hard of hearing. </w:t>
            </w:r>
          </w:p>
          <w:p w14:paraId="5F6AD4C9" w14:textId="77777777" w:rsidR="00547C19" w:rsidRDefault="00547C19" w:rsidP="00C64EF2">
            <w:pPr>
              <w:spacing w:before="0" w:after="0" w:line="256" w:lineRule="auto"/>
              <w:jc w:val="left"/>
              <w:rPr>
                <w:rFonts w:eastAsia="Times New Roman" w:cs="Times New Roman"/>
              </w:rPr>
            </w:pPr>
          </w:p>
          <w:p w14:paraId="20721583"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3B00B0B"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Has demonstrated the knowledge and application of strategies necessary for the teaching of English and ASL when working with students who are deaf or hard of hearing. </w:t>
            </w:r>
          </w:p>
          <w:p w14:paraId="23A497A3" w14:textId="77777777" w:rsidR="00547C19" w:rsidRDefault="00547C19" w:rsidP="00C64EF2">
            <w:pPr>
              <w:spacing w:before="0" w:after="0" w:line="256" w:lineRule="auto"/>
              <w:jc w:val="left"/>
              <w:rPr>
                <w:rFonts w:eastAsia="Times New Roman" w:cs="Times New Roman"/>
              </w:rPr>
            </w:pPr>
          </w:p>
          <w:p w14:paraId="7C5A1E9B"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8550AB5"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the knowledge and application of strategies necessary for the teaching of English and ASL when working with students who are deaf or hard of hearing. </w:t>
            </w:r>
          </w:p>
          <w:p w14:paraId="618898E5" w14:textId="77777777" w:rsidR="00547C19" w:rsidRDefault="00547C19" w:rsidP="00C64EF2">
            <w:pPr>
              <w:spacing w:before="0" w:after="0" w:line="256" w:lineRule="auto"/>
              <w:jc w:val="left"/>
              <w:rPr>
                <w:rFonts w:eastAsia="Times New Roman" w:cs="Times New Roman"/>
              </w:rPr>
            </w:pPr>
          </w:p>
          <w:p w14:paraId="505E6C8C"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1770B27"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Consistently demonstrates comprehensive knowledge and application of strategies necessary for the teaching of English and ASL when working with students who are deaf or hard of hearing. </w:t>
            </w:r>
          </w:p>
          <w:p w14:paraId="5EF3BE45" w14:textId="77777777" w:rsidR="00547C19" w:rsidRDefault="00547C19" w:rsidP="00C64EF2">
            <w:pPr>
              <w:spacing w:before="0" w:after="0" w:line="256" w:lineRule="auto"/>
              <w:jc w:val="left"/>
              <w:rPr>
                <w:rFonts w:eastAsia="Times New Roman" w:cs="Times New Roman"/>
              </w:rPr>
            </w:pPr>
          </w:p>
          <w:p w14:paraId="47D73482" w14:textId="77777777" w:rsidR="00547C19" w:rsidRDefault="00547C19" w:rsidP="00C64EF2">
            <w:pPr>
              <w:spacing w:before="0" w:after="0" w:line="256" w:lineRule="auto"/>
              <w:jc w:val="left"/>
              <w:rPr>
                <w:rFonts w:eastAsia="Times New Roman" w:cs="Times New Roman"/>
              </w:rPr>
            </w:pPr>
          </w:p>
        </w:tc>
      </w:tr>
    </w:tbl>
    <w:p w14:paraId="57A2B487" w14:textId="77777777" w:rsidR="00547C19" w:rsidRDefault="00547C19" w:rsidP="00547C19">
      <w:pPr>
        <w:keepNext/>
        <w:keepLines/>
        <w:widowControl w:val="0"/>
        <w:spacing w:before="0" w:after="0"/>
        <w:jc w:val="left"/>
        <w:outlineLvl w:val="2"/>
        <w:rPr>
          <w:rFonts w:eastAsia="Calibri" w:cs="Calibri"/>
          <w:b/>
          <w:color w:val="4472C4" w:themeColor="accent1"/>
        </w:rPr>
      </w:pPr>
    </w:p>
    <w:p w14:paraId="17F487A5" w14:textId="77777777" w:rsidR="00547C19" w:rsidRDefault="00547C19" w:rsidP="00547C19">
      <w:pPr>
        <w:widowControl w:val="0"/>
        <w:spacing w:before="0" w:after="0"/>
        <w:jc w:val="left"/>
        <w:rPr>
          <w:rFonts w:eastAsia="Calibri" w:cs="Calibri"/>
          <w:color w:val="000000"/>
        </w:rPr>
      </w:pPr>
    </w:p>
    <w:p w14:paraId="1B048E4C" w14:textId="77777777" w:rsidR="00547C19" w:rsidRDefault="00547C19" w:rsidP="00547C19">
      <w:pPr>
        <w:widowControl w:val="0"/>
        <w:spacing w:before="0" w:after="0"/>
        <w:jc w:val="left"/>
        <w:rPr>
          <w:rFonts w:eastAsia="Calibri" w:cs="Calibri"/>
          <w:color w:val="000000"/>
        </w:rPr>
      </w:pPr>
    </w:p>
    <w:p w14:paraId="18D3CCC8" w14:textId="77777777" w:rsidR="00547C19" w:rsidRDefault="00547C19" w:rsidP="00547C19">
      <w:pPr>
        <w:widowControl w:val="0"/>
        <w:spacing w:before="0" w:after="0"/>
        <w:jc w:val="left"/>
        <w:rPr>
          <w:rFonts w:eastAsia="Calibri" w:cs="Calibri"/>
          <w:color w:val="000000"/>
        </w:rPr>
      </w:pPr>
    </w:p>
    <w:tbl>
      <w:tblPr>
        <w:tblpPr w:leftFromText="180" w:rightFromText="180" w:bottomFromText="160" w:vertAnchor="text" w:horzAnchor="margin" w:tblpY="34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three."/>
      </w:tblPr>
      <w:tblGrid>
        <w:gridCol w:w="3298"/>
        <w:gridCol w:w="3295"/>
        <w:gridCol w:w="3295"/>
        <w:gridCol w:w="3297"/>
      </w:tblGrid>
      <w:tr w:rsidR="00547C19" w14:paraId="6293A8E5"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063DFF6"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lastRenderedPageBreak/>
              <w:t>3</w:t>
            </w:r>
            <w:r>
              <w:rPr>
                <w:rFonts w:eastAsia="Times New Roman" w:cs="Times New Roman"/>
                <w:b/>
                <w:bCs/>
                <w:shd w:val="clear" w:color="auto" w:fill="D9E2F3" w:themeFill="accent1" w:themeFillTint="33"/>
              </w:rPr>
              <w:t xml:space="preserve">. Theories in </w:t>
            </w:r>
            <w:r w:rsidRPr="00231975">
              <w:rPr>
                <w:rFonts w:eastAsia="Times New Roman" w:cs="Times New Roman"/>
                <w:b/>
                <w:bCs/>
                <w:shd w:val="clear" w:color="auto" w:fill="D9E2F3" w:themeFill="accent1" w:themeFillTint="33"/>
              </w:rPr>
              <w:t>typical and atypical child development</w:t>
            </w:r>
            <w:r>
              <w:rPr>
                <w:rFonts w:eastAsia="Times New Roman" w:cs="Times New Roman"/>
                <w:b/>
                <w:bCs/>
                <w:shd w:val="clear" w:color="auto" w:fill="D9E2F3" w:themeFill="accent1" w:themeFillTint="33"/>
              </w:rPr>
              <w:t xml:space="preserve"> as they relate to children who are deaf or hard of hearing</w:t>
            </w:r>
          </w:p>
        </w:tc>
      </w:tr>
      <w:tr w:rsidR="00547C19" w14:paraId="4D9DE4AF"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5C352CD"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14C54BF"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5BE7C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8D850B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4B9FB320" w14:textId="77777777" w:rsidTr="00C64EF2">
        <w:trPr>
          <w:trHeight w:val="3833"/>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D5AE3BE"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a thorough understanding of the basic theories of intellectual, emotional, and social development from childhood through adolescence. </w:t>
            </w:r>
          </w:p>
          <w:p w14:paraId="62DFC584"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Does not consistently apply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DA93C75"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a knowledge and understanding of the basic theories of intellectual, emotional, and social development from childhood through adolescence and</w:t>
            </w:r>
          </w:p>
          <w:p w14:paraId="208136BD"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p w14:paraId="181DA929" w14:textId="77777777" w:rsidR="00547C19" w:rsidRDefault="00547C19" w:rsidP="00C64EF2">
            <w:pPr>
              <w:spacing w:before="0" w:after="0" w:line="256" w:lineRule="auto"/>
              <w:jc w:val="left"/>
              <w:rPr>
                <w:rFonts w:eastAsia="Times New Roman" w:cs="Times New Roman"/>
              </w:rPr>
            </w:pPr>
          </w:p>
          <w:p w14:paraId="44EF3BB9"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8D2FA0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a thorough understanding of the basic theories of intellectual, emotional, and social development from childhood through adolescence and 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p w14:paraId="40CEC5DF" w14:textId="77777777" w:rsidR="00547C19" w:rsidRDefault="00547C19" w:rsidP="00C64EF2">
            <w:pPr>
              <w:spacing w:before="0" w:after="0" w:line="256" w:lineRule="auto"/>
              <w:jc w:val="left"/>
              <w:rPr>
                <w:rFonts w:eastAsia="Times New Roman" w:cs="Times New Roman"/>
              </w:rPr>
            </w:pPr>
          </w:p>
          <w:p w14:paraId="5789C1FE"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AE42023"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understanding of the theories of intellectual, emotional, and social development from childhood through adolescence and 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w:t>
            </w:r>
          </w:p>
          <w:p w14:paraId="7CB1CA02" w14:textId="77777777" w:rsidR="00547C19" w:rsidRDefault="00547C19" w:rsidP="00C64EF2">
            <w:pPr>
              <w:spacing w:before="0" w:after="0" w:line="256" w:lineRule="auto"/>
              <w:jc w:val="left"/>
              <w:rPr>
                <w:rFonts w:eastAsia="Times New Roman" w:cs="Times New Roman"/>
              </w:rPr>
            </w:pPr>
          </w:p>
        </w:tc>
      </w:tr>
    </w:tbl>
    <w:p w14:paraId="48A7AAF7" w14:textId="77777777" w:rsidR="00547C19" w:rsidRDefault="00547C19" w:rsidP="00547C19">
      <w:pPr>
        <w:widowControl w:val="0"/>
        <w:spacing w:before="0" w:after="0"/>
        <w:jc w:val="left"/>
        <w:rPr>
          <w:rFonts w:eastAsia="Calibri" w:cs="Calibri"/>
          <w:color w:val="000000"/>
        </w:rPr>
      </w:pPr>
      <w:r>
        <w:rPr>
          <w:rFonts w:eastAsia="Calibri" w:cs="Calibri"/>
          <w:color w:val="000000"/>
        </w:rPr>
        <w:br w:type="page"/>
      </w:r>
    </w:p>
    <w:p w14:paraId="6356A57D" w14:textId="77777777" w:rsidR="00547C19" w:rsidRDefault="00547C19" w:rsidP="00547C19">
      <w:pPr>
        <w:widowControl w:val="0"/>
        <w:spacing w:before="0" w:after="0"/>
        <w:jc w:val="left"/>
        <w:rPr>
          <w:rFonts w:eastAsia="Calibri" w:cs="Calibri"/>
          <w:color w:val="000000"/>
        </w:rPr>
      </w:pPr>
    </w:p>
    <w:tbl>
      <w:tblPr>
        <w:tblpPr w:leftFromText="180" w:rightFromText="180" w:bottomFromText="160" w:vertAnchor="text" w:horzAnchor="margin" w:tblpY="314"/>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four."/>
      </w:tblPr>
      <w:tblGrid>
        <w:gridCol w:w="3298"/>
        <w:gridCol w:w="3295"/>
        <w:gridCol w:w="3295"/>
        <w:gridCol w:w="3297"/>
      </w:tblGrid>
      <w:tr w:rsidR="00547C19" w14:paraId="384F4DDF"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E178B7F" w14:textId="77777777" w:rsidR="00547C19" w:rsidRDefault="00547C19" w:rsidP="00C64EF2">
            <w:pPr>
              <w:widowControl w:val="0"/>
              <w:spacing w:before="0" w:after="0" w:line="256" w:lineRule="auto"/>
              <w:jc w:val="left"/>
              <w:rPr>
                <w:rFonts w:eastAsia="Times New Roman" w:cs="Times New Roman"/>
                <w:b/>
              </w:rPr>
            </w:pPr>
            <w:r>
              <w:rPr>
                <w:rFonts w:eastAsia="Times New Roman" w:cs="Times New Roman"/>
                <w:b/>
                <w:bCs/>
              </w:rPr>
              <w:t>4.</w:t>
            </w:r>
            <w:r>
              <w:rPr>
                <w:rFonts w:eastAsia="Times New Roman" w:cs="Times New Roman"/>
                <w:b/>
              </w:rPr>
              <w:t xml:space="preserve"> Designs and makes modifications of curricular and instructional materials to ensure accessibility of the curriculum for deaf or hard of hearing students </w:t>
            </w:r>
            <w:r w:rsidRPr="000C7189">
              <w:rPr>
                <w:rFonts w:eastAsia="Times New Roman" w:cs="Times New Roman"/>
                <w:b/>
              </w:rPr>
              <w:t>with and without special needs</w:t>
            </w:r>
          </w:p>
        </w:tc>
      </w:tr>
      <w:tr w:rsidR="00547C19" w14:paraId="101FAF50"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56B2978"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B22C90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878CC7"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B3089B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132A8E2E"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A95395A"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curricular design and curricular modifications that utilize evidence-based practices making academic content and learning environments accessible for students who are deaf or hard of hearing (with or without special needs).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9C5E865"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Has demonstrated knowledge of curricular design and curricular modifications that utilize evidence-based practices making academic content and learning environments accessible for students who are deaf or hard of hearing (with or without special needs).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7871351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knowledge of curricular design and curricular modifications that utilize evidence-based practices making academic content and learning environments accessible for </w:t>
            </w:r>
            <w:r>
              <w:rPr>
                <w:rFonts w:eastAsia="Times New Roman" w:cs="Times New Roman"/>
                <w:bCs/>
              </w:rPr>
              <w:t>students</w:t>
            </w:r>
            <w:r>
              <w:rPr>
                <w:rFonts w:eastAsia="Times New Roman" w:cs="Times New Roman"/>
              </w:rPr>
              <w:t xml:space="preserve"> who are deaf or hard of hearing (with or without special needs). </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A0EC1B9"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Consistently demonstrates knowledge and comprehensive application of curricular design &amp; curricular modifications that utilize evidence-based practices making academic content and learning environments accessible for students who are deaf or hard of hearing (with or without special needs). </w:t>
            </w:r>
          </w:p>
        </w:tc>
      </w:tr>
    </w:tbl>
    <w:tbl>
      <w:tblPr>
        <w:tblpPr w:leftFromText="180" w:rightFromText="180" w:bottomFromText="160" w:vertAnchor="text" w:horzAnchor="margin" w:tblpY="5088"/>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four."/>
      </w:tblPr>
      <w:tblGrid>
        <w:gridCol w:w="3298"/>
        <w:gridCol w:w="3295"/>
        <w:gridCol w:w="3295"/>
        <w:gridCol w:w="3297"/>
      </w:tblGrid>
      <w:tr w:rsidR="00547C19" w14:paraId="46F2ABB7"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29D487C" w14:textId="77777777" w:rsidR="00547C19" w:rsidRPr="00231975" w:rsidRDefault="00547C19" w:rsidP="00C64EF2">
            <w:pPr>
              <w:widowControl w:val="0"/>
              <w:spacing w:before="0" w:after="0" w:line="256" w:lineRule="auto"/>
              <w:jc w:val="left"/>
              <w:rPr>
                <w:rFonts w:eastAsia="Times New Roman" w:cs="Times New Roman"/>
                <w:b/>
              </w:rPr>
            </w:pPr>
            <w:r w:rsidRPr="00231975">
              <w:rPr>
                <w:rFonts w:eastAsia="Times New Roman" w:cs="Times New Roman"/>
                <w:b/>
                <w:bCs/>
              </w:rPr>
              <w:t xml:space="preserve">5. </w:t>
            </w:r>
            <w:r w:rsidRPr="00231975">
              <w:rPr>
                <w:rFonts w:eastAsia="Times New Roman" w:cs="Times New Roman"/>
                <w:b/>
              </w:rPr>
              <w:t xml:space="preserve"> Knowledge of strategies for promoting literacy among students who are deaf or hard of hearing</w:t>
            </w:r>
          </w:p>
        </w:tc>
      </w:tr>
      <w:tr w:rsidR="00547C19" w14:paraId="03170127"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6B2702F"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68699B5"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4C39E67"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A0B39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08C38425"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493DF5B"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a consistent application of strategies related to the teaching of literacy skills for students who are deaf or hard of hearing.</w:t>
            </w:r>
          </w:p>
          <w:p w14:paraId="57EC63A7" w14:textId="77777777" w:rsidR="00547C19" w:rsidRDefault="00547C19" w:rsidP="00C64EF2">
            <w:pPr>
              <w:spacing w:before="0" w:after="0" w:line="256" w:lineRule="auto"/>
              <w:jc w:val="left"/>
              <w:rPr>
                <w:rFonts w:eastAsia="Times New Roman" w:cs="Times New Roman"/>
              </w:rPr>
            </w:pPr>
          </w:p>
          <w:p w14:paraId="22B7D3FD"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14C4DFB"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application of strategies related to the teaching of literacy skills for students who are deaf or hard of hearing.</w:t>
            </w:r>
          </w:p>
          <w:p w14:paraId="67584B15" w14:textId="77777777" w:rsidR="00547C19" w:rsidRDefault="00547C19" w:rsidP="00C64EF2">
            <w:pPr>
              <w:spacing w:before="0" w:after="0" w:line="256" w:lineRule="auto"/>
              <w:jc w:val="left"/>
              <w:rPr>
                <w:rFonts w:eastAsia="Times New Roman" w:cs="Times New Roman"/>
              </w:rPr>
            </w:pPr>
          </w:p>
          <w:p w14:paraId="4145479C"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9D90EF4"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a knowledge and application of strategies related to the teaching of literacy skills for students who are deaf or hard of hearing. </w:t>
            </w:r>
          </w:p>
          <w:p w14:paraId="371F73F8" w14:textId="77777777" w:rsidR="00547C19" w:rsidRDefault="00547C19" w:rsidP="00C64EF2">
            <w:pPr>
              <w:spacing w:before="0" w:after="0" w:line="256" w:lineRule="auto"/>
              <w:jc w:val="left"/>
              <w:rPr>
                <w:rFonts w:eastAsia="Times New Roman" w:cs="Times New Roman"/>
              </w:rPr>
            </w:pPr>
          </w:p>
          <w:p w14:paraId="4CB0B5F4"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24128B5"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knowledge and application of strategies related to the teaching of literacy skills for students who are deaf or hard of hearing.</w:t>
            </w:r>
          </w:p>
        </w:tc>
      </w:tr>
    </w:tbl>
    <w:p w14:paraId="4FB1317E" w14:textId="77777777" w:rsidR="00547C19" w:rsidRDefault="00547C19" w:rsidP="00547C19">
      <w:pPr>
        <w:widowControl w:val="0"/>
        <w:spacing w:before="0" w:after="0"/>
        <w:jc w:val="left"/>
        <w:rPr>
          <w:rFonts w:eastAsia="Calibri" w:cs="Calibri"/>
          <w:color w:val="000000"/>
        </w:rPr>
      </w:pPr>
      <w:r>
        <w:rPr>
          <w:rFonts w:eastAsia="Calibri" w:cs="Calibri"/>
          <w:color w:val="000000"/>
        </w:rPr>
        <w:br w:type="page"/>
      </w:r>
    </w:p>
    <w:tbl>
      <w:tblPr>
        <w:tblpPr w:leftFromText="180" w:rightFromText="180" w:bottomFromText="160" w:vertAnchor="text" w:horzAnchor="margin" w:tblpY="121"/>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six."/>
      </w:tblPr>
      <w:tblGrid>
        <w:gridCol w:w="3298"/>
        <w:gridCol w:w="3295"/>
        <w:gridCol w:w="3295"/>
        <w:gridCol w:w="3297"/>
      </w:tblGrid>
      <w:tr w:rsidR="00547C19" w14:paraId="1FA82A77"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BC49580" w14:textId="77777777" w:rsidR="00547C19" w:rsidRDefault="00547C19" w:rsidP="00C64EF2">
            <w:pPr>
              <w:widowControl w:val="0"/>
              <w:spacing w:before="0" w:after="0" w:line="256" w:lineRule="auto"/>
              <w:jc w:val="left"/>
              <w:rPr>
                <w:rFonts w:eastAsia="Times New Roman" w:cs="Times New Roman"/>
                <w:b/>
              </w:rPr>
            </w:pPr>
            <w:r>
              <w:rPr>
                <w:rFonts w:eastAsia="Times New Roman" w:cs="Times New Roman"/>
                <w:b/>
                <w:bCs/>
              </w:rPr>
              <w:lastRenderedPageBreak/>
              <w:t xml:space="preserve">6. </w:t>
            </w:r>
            <w:r>
              <w:rPr>
                <w:rFonts w:eastAsia="Times New Roman" w:cs="Times New Roman"/>
                <w:b/>
              </w:rPr>
              <w:t xml:space="preserve"> Knowledge of </w:t>
            </w:r>
            <w:r w:rsidRPr="00231975">
              <w:rPr>
                <w:rFonts w:eastAsia="Times New Roman" w:cs="Times New Roman"/>
                <w:b/>
              </w:rPr>
              <w:t>the clinical foundation of hearing</w:t>
            </w:r>
            <w:r>
              <w:rPr>
                <w:rFonts w:eastAsia="Times New Roman" w:cs="Times New Roman"/>
                <w:b/>
              </w:rPr>
              <w:t xml:space="preserve"> as measured using diagnostic instruments, testing materials and tools</w:t>
            </w:r>
          </w:p>
        </w:tc>
      </w:tr>
      <w:tr w:rsidR="00547C19" w14:paraId="18860A26"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71DE57"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86B718B"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EFB558"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0CAE4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478F13DC"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940040F"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understanding or application of knowledge of the clinical foundations of hearing including information related to medical implications and related equipment for students who are deaf or hard of hearing (i.e., diagnostic instrument, assessment tools and review of results)</w:t>
            </w:r>
            <w:r w:rsidR="00231975">
              <w:rPr>
                <w:rFonts w:eastAsia="Times New Roman" w:cs="Times New Roman"/>
              </w:rPr>
              <w:t>.</w:t>
            </w:r>
            <w:r>
              <w:rPr>
                <w:rFonts w:eastAsia="Times New Roman" w:cs="Times New Roman"/>
              </w:rPr>
              <w:t xml:space="preserve"> </w:t>
            </w:r>
          </w:p>
          <w:p w14:paraId="57E8A364"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2D11B68" w14:textId="77777777" w:rsidR="00547C19" w:rsidRPr="00C64EF2" w:rsidRDefault="00547C19" w:rsidP="00C64EF2">
            <w:pPr>
              <w:spacing w:before="0" w:after="0" w:line="256" w:lineRule="auto"/>
              <w:jc w:val="left"/>
              <w:rPr>
                <w:rFonts w:eastAsia="Times New Roman" w:cs="Times New Roman"/>
                <w:strike/>
              </w:rPr>
            </w:pPr>
            <w:r>
              <w:rPr>
                <w:rFonts w:eastAsia="Times New Roman" w:cs="Times New Roman"/>
              </w:rPr>
              <w:t xml:space="preserve">Has demonstrated an understanding and application of knowledge of the clinical foundations of hearing including information related to medical implications and related equipment for students who are deaf or hard of hearing (i.e., diagnostic instrument, assessment tools and review of </w:t>
            </w:r>
            <w:r w:rsidR="00231975">
              <w:rPr>
                <w:rFonts w:eastAsia="Times New Roman" w:cs="Times New Roman"/>
              </w:rPr>
              <w:t>results).</w:t>
            </w:r>
          </w:p>
          <w:p w14:paraId="7B1523B8"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50839DC" w14:textId="77777777" w:rsidR="00547C19" w:rsidRDefault="00547C19" w:rsidP="00231975">
            <w:pPr>
              <w:spacing w:before="0" w:after="0" w:line="256" w:lineRule="auto"/>
              <w:jc w:val="left"/>
              <w:rPr>
                <w:rFonts w:eastAsia="Times New Roman" w:cs="Times New Roman"/>
              </w:rPr>
            </w:pPr>
            <w:r>
              <w:rPr>
                <w:rFonts w:eastAsia="Times New Roman" w:cs="Times New Roman"/>
              </w:rPr>
              <w:t xml:space="preserve">Frequently demonstrates an understanding and application of knowledge of the clinical foundations of hearing including information related to medical implications and related equipment for students who are deaf or hard of hearing (i.e., diagnostic instrument, assessment tools and review of results).  </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7A09C0A"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understanding and application of the clinical foundations of hearing including information related to medical implications and related equipment for students who are deaf or hard of hearing (i.e., diagnostic instrument, assessment tools &amp; review of results, amplification equipment</w:t>
            </w:r>
            <w:r w:rsidRPr="007D2F01">
              <w:rPr>
                <w:rFonts w:eastAsia="Times New Roman" w:cs="Times New Roman"/>
              </w:rPr>
              <w:t xml:space="preserve">).  </w:t>
            </w:r>
          </w:p>
        </w:tc>
      </w:tr>
    </w:tbl>
    <w:p w14:paraId="56F9ABCC" w14:textId="77777777" w:rsidR="00547C19" w:rsidRDefault="00547C19" w:rsidP="00547C19">
      <w:pPr>
        <w:widowControl w:val="0"/>
        <w:spacing w:before="0" w:after="0"/>
        <w:jc w:val="left"/>
        <w:rPr>
          <w:rFonts w:eastAsia="Calibri" w:cs="Calibri"/>
          <w:color w:val="000000"/>
        </w:rPr>
      </w:pPr>
    </w:p>
    <w:p w14:paraId="434098E3" w14:textId="77777777" w:rsidR="00547C19" w:rsidRDefault="00547C19" w:rsidP="00547C19">
      <w:pPr>
        <w:widowControl w:val="0"/>
        <w:spacing w:before="0" w:after="0"/>
        <w:jc w:val="left"/>
        <w:rPr>
          <w:rFonts w:eastAsia="Calibri" w:cs="Calibri"/>
          <w:color w:val="000000"/>
        </w:rPr>
      </w:pPr>
    </w:p>
    <w:p w14:paraId="203605E6" w14:textId="77777777" w:rsidR="00547C19" w:rsidRDefault="00547C19" w:rsidP="00547C19">
      <w:pPr>
        <w:widowControl w:val="0"/>
        <w:spacing w:before="0" w:after="0"/>
        <w:jc w:val="left"/>
        <w:rPr>
          <w:rFonts w:eastAsia="Calibri" w:cs="Calibri"/>
          <w:color w:val="000000"/>
        </w:rPr>
      </w:pPr>
    </w:p>
    <w:p w14:paraId="538CFC54" w14:textId="77777777" w:rsidR="00547C19" w:rsidRDefault="00547C19" w:rsidP="00547C19">
      <w:pPr>
        <w:widowControl w:val="0"/>
        <w:spacing w:before="0" w:after="0"/>
        <w:jc w:val="left"/>
        <w:rPr>
          <w:rFonts w:eastAsia="Calibri" w:cs="Calibri"/>
          <w:color w:val="000000"/>
        </w:rPr>
      </w:pPr>
    </w:p>
    <w:p w14:paraId="62B9100F" w14:textId="77777777" w:rsidR="00547C19" w:rsidRDefault="00547C19" w:rsidP="00547C19">
      <w:pPr>
        <w:widowControl w:val="0"/>
        <w:spacing w:before="0" w:after="0"/>
        <w:jc w:val="left"/>
        <w:rPr>
          <w:rFonts w:eastAsia="Calibri" w:cs="Calibri"/>
          <w:color w:val="000000"/>
        </w:rPr>
      </w:pPr>
    </w:p>
    <w:tbl>
      <w:tblPr>
        <w:tblpPr w:leftFromText="180" w:rightFromText="180" w:bottomFromText="160" w:vertAnchor="text" w:horzAnchor="margin" w:tblpY="393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seven."/>
      </w:tblPr>
      <w:tblGrid>
        <w:gridCol w:w="3298"/>
        <w:gridCol w:w="3295"/>
        <w:gridCol w:w="3295"/>
        <w:gridCol w:w="3297"/>
      </w:tblGrid>
      <w:tr w:rsidR="00547C19" w14:paraId="449DA891"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70A9FEB7"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t>7. Knowledge of how deaf people live their daily lives</w:t>
            </w:r>
          </w:p>
        </w:tc>
      </w:tr>
      <w:tr w:rsidR="00547C19" w14:paraId="4324706E"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58A6B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00340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DD925C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8BC57F"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294BDE1F"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7F9F6E3"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a clear knowledge of deaf culture, deaf history, the deaf community and deaf resource supports and services and does not apply this knowledge to the work with students who are deaf or hard of hearing and their families. </w:t>
            </w:r>
          </w:p>
          <w:p w14:paraId="7B8154E1" w14:textId="77777777" w:rsidR="00547C19" w:rsidRDefault="00547C19" w:rsidP="00C64EF2">
            <w:pPr>
              <w:spacing w:before="0" w:after="0" w:line="256" w:lineRule="auto"/>
              <w:jc w:val="left"/>
              <w:rPr>
                <w:rFonts w:eastAsia="Times New Roman" w:cs="Times New Roman"/>
              </w:rPr>
            </w:pPr>
          </w:p>
          <w:p w14:paraId="2BA22397"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63C2868"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a clear knowledge of deaf culture, deaf history, the deaf community and deaf resource supports and services and applies this knowledge to the work with students who are deaf or hard of hearing and their families.</w:t>
            </w:r>
          </w:p>
          <w:p w14:paraId="4CE6DB5F" w14:textId="77777777" w:rsidR="00547C19" w:rsidRDefault="00547C19" w:rsidP="00C64EF2">
            <w:pPr>
              <w:spacing w:before="0" w:after="0" w:line="256" w:lineRule="auto"/>
              <w:jc w:val="left"/>
              <w:rPr>
                <w:rFonts w:eastAsia="Times New Roman" w:cs="Times New Roman"/>
              </w:rPr>
            </w:pPr>
          </w:p>
          <w:p w14:paraId="4F7AB130"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0EC6AEF" w14:textId="77777777" w:rsidR="00547C19" w:rsidRDefault="00547C19" w:rsidP="00C64EF2">
            <w:pPr>
              <w:spacing w:before="0" w:after="0" w:line="256" w:lineRule="auto"/>
              <w:jc w:val="left"/>
              <w:rPr>
                <w:rFonts w:eastAsia="Times New Roman" w:cs="Times New Roman"/>
              </w:rPr>
            </w:pPr>
            <w:r>
              <w:rPr>
                <w:rFonts w:eastAsia="Times New Roman" w:cs="Times New Roman"/>
              </w:rPr>
              <w:t>Frequently demonstrates a clear knowledge of deaf culture, deaf history, the deaf community and deaf resource supports and services and applies this knowledge to the work with students who are deaf or hard of hearing and their families.</w:t>
            </w:r>
          </w:p>
          <w:p w14:paraId="78CF2D42" w14:textId="77777777" w:rsidR="00547C19" w:rsidRDefault="00547C19" w:rsidP="00C64EF2">
            <w:pPr>
              <w:spacing w:before="0" w:after="0" w:line="256" w:lineRule="auto"/>
              <w:jc w:val="left"/>
              <w:rPr>
                <w:rFonts w:eastAsia="Times New Roman" w:cs="Times New Roman"/>
              </w:rPr>
            </w:pPr>
          </w:p>
          <w:p w14:paraId="3F084665"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B816FA0"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knowledge of deaf culture, deaf history, the deaf community &amp; deaf resource supports &amp; services &amp; applies this knowledge to the work with students who are deaf or hard of hearing &amp; their families.</w:t>
            </w:r>
          </w:p>
          <w:p w14:paraId="6FA42C48" w14:textId="77777777" w:rsidR="00547C19" w:rsidRDefault="00547C19" w:rsidP="00C64EF2">
            <w:pPr>
              <w:spacing w:before="0" w:after="0" w:line="256" w:lineRule="auto"/>
              <w:jc w:val="left"/>
              <w:rPr>
                <w:rFonts w:eastAsia="Times New Roman" w:cs="Times New Roman"/>
              </w:rPr>
            </w:pPr>
          </w:p>
          <w:p w14:paraId="0843BA39"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 </w:t>
            </w:r>
          </w:p>
        </w:tc>
      </w:tr>
    </w:tbl>
    <w:p w14:paraId="5E9514B1" w14:textId="77777777" w:rsidR="00547C19" w:rsidRDefault="00547C19" w:rsidP="00547C19">
      <w:pPr>
        <w:widowControl w:val="0"/>
        <w:spacing w:before="0" w:after="0"/>
        <w:jc w:val="left"/>
        <w:rPr>
          <w:rFonts w:eastAsia="Calibri" w:cs="Calibri"/>
          <w:color w:val="000000"/>
        </w:rPr>
      </w:pPr>
      <w:r>
        <w:rPr>
          <w:rFonts w:eastAsia="Calibri" w:cs="Calibri"/>
          <w:color w:val="000000"/>
        </w:rPr>
        <w:br w:type="page"/>
      </w:r>
    </w:p>
    <w:tbl>
      <w:tblPr>
        <w:tblpPr w:leftFromText="180" w:rightFromText="180" w:bottomFromText="160" w:vertAnchor="text" w:horzAnchor="margin" w:tblpY="1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eight."/>
      </w:tblPr>
      <w:tblGrid>
        <w:gridCol w:w="3298"/>
        <w:gridCol w:w="3295"/>
        <w:gridCol w:w="3295"/>
        <w:gridCol w:w="3297"/>
      </w:tblGrid>
      <w:tr w:rsidR="00547C19" w14:paraId="0F7C4A3C"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847A471"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lastRenderedPageBreak/>
              <w:t xml:space="preserve">8. Knowledge of current and historic medical, social, ethical and educational research related to educating students who are deaf or hard of hearing </w:t>
            </w:r>
          </w:p>
        </w:tc>
      </w:tr>
      <w:tr w:rsidR="00547C19" w14:paraId="23365062"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38A8B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EACD11D"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6DF2990"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A4A65F5"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18E014D8"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5B6740C"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understanding and application of medical, social and ethical issues relative to the education of students who are deaf or hard of hearing.</w:t>
            </w:r>
          </w:p>
          <w:p w14:paraId="738EF641"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critical analysis and application of relevant research connected to the education of students who are deaf or hard of hearing.</w:t>
            </w:r>
          </w:p>
          <w:p w14:paraId="4E8A0C3B" w14:textId="77777777" w:rsidR="00547C19" w:rsidRDefault="00547C19" w:rsidP="00C64EF2">
            <w:pPr>
              <w:spacing w:before="0" w:after="0" w:line="256" w:lineRule="auto"/>
              <w:jc w:val="left"/>
              <w:rPr>
                <w:rFonts w:eastAsia="Times New Roman" w:cs="Times New Roman"/>
              </w:rPr>
            </w:pPr>
          </w:p>
          <w:p w14:paraId="21040D93"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3898796" w14:textId="77777777" w:rsidR="00547C19" w:rsidRDefault="00547C19" w:rsidP="00C64EF2">
            <w:pPr>
              <w:spacing w:before="0" w:after="0"/>
              <w:jc w:val="left"/>
              <w:rPr>
                <w:rFonts w:eastAsia="Times New Roman" w:cs="Times New Roman"/>
              </w:rPr>
            </w:pPr>
            <w:r>
              <w:rPr>
                <w:rFonts w:eastAsia="Times New Roman" w:cs="Times New Roman"/>
              </w:rPr>
              <w:t>Has demonstrated understanding and application of medical, social and ethical issues relative to the education of students who are deaf or hard of hearing.  Consistently demonstrates critical analysis and application of relevant research connected to the education of students who are deaf or hard of hearing.</w:t>
            </w:r>
          </w:p>
          <w:p w14:paraId="3E234E66" w14:textId="77777777" w:rsidR="00547C19" w:rsidRDefault="00547C19" w:rsidP="00C64EF2">
            <w:pPr>
              <w:spacing w:before="0" w:after="0" w:line="256" w:lineRule="auto"/>
              <w:jc w:val="left"/>
              <w:rPr>
                <w:rFonts w:eastAsia="Times New Roman" w:cs="Times New Roman"/>
              </w:rPr>
            </w:pPr>
          </w:p>
          <w:p w14:paraId="6B836EC7"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C3DAC53" w14:textId="77777777" w:rsidR="00547C19" w:rsidRDefault="00547C19" w:rsidP="00C64EF2">
            <w:pPr>
              <w:spacing w:before="0" w:after="0"/>
              <w:jc w:val="left"/>
              <w:rPr>
                <w:rFonts w:eastAsia="Times New Roman" w:cs="Times New Roman"/>
                <w:b/>
                <w:bCs/>
              </w:rPr>
            </w:pPr>
            <w:r>
              <w:rPr>
                <w:rFonts w:eastAsia="Times New Roman" w:cs="Times New Roman"/>
              </w:rPr>
              <w:t>Frequently demonstrates understanding and application of medical, social and ethical issues relative to the education of students who are deaf or hard of hearing</w:t>
            </w:r>
            <w:r>
              <w:rPr>
                <w:rFonts w:eastAsia="Times New Roman" w:cs="Times New Roman"/>
                <w:b/>
                <w:bCs/>
              </w:rPr>
              <w:t xml:space="preserve">. </w:t>
            </w:r>
            <w:r>
              <w:rPr>
                <w:rFonts w:eastAsia="Times New Roman" w:cs="Times New Roman"/>
              </w:rPr>
              <w:t xml:space="preserve">Consistently demonstrates critical analysis and application of relevant research connected to the education of students who are deaf or hard of hearing. </w:t>
            </w:r>
          </w:p>
          <w:p w14:paraId="5508B282" w14:textId="77777777" w:rsidR="00547C19" w:rsidRDefault="00547C19" w:rsidP="00C64EF2">
            <w:pPr>
              <w:spacing w:before="0" w:after="0" w:line="256" w:lineRule="auto"/>
              <w:jc w:val="left"/>
              <w:rPr>
                <w:rFonts w:eastAsia="Times New Roman" w:cs="Times New Roman"/>
                <w:b/>
                <w:bCs/>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9B51492" w14:textId="77777777" w:rsidR="00547C19" w:rsidRDefault="00547C19" w:rsidP="00C64EF2">
            <w:pPr>
              <w:spacing w:before="0" w:after="0"/>
              <w:jc w:val="left"/>
              <w:rPr>
                <w:rFonts w:eastAsia="Times New Roman" w:cs="Times New Roman"/>
                <w:b/>
                <w:bCs/>
              </w:rPr>
            </w:pPr>
            <w:r>
              <w:rPr>
                <w:rFonts w:eastAsia="Times New Roman" w:cs="Times New Roman"/>
              </w:rPr>
              <w:t xml:space="preserve">Consistently demonstrates a comprehensive understanding and application of medical, social &amp; ethical issues relative to the education of students who are deaf or hard of hearing.  Consistently demonstrates critical analysis and application of relevant research connected to the education of students who are deaf or hard of hearing. </w:t>
            </w:r>
          </w:p>
          <w:p w14:paraId="42E2FBBB" w14:textId="77777777" w:rsidR="00547C19" w:rsidRDefault="00547C19" w:rsidP="00C64EF2">
            <w:pPr>
              <w:spacing w:before="0" w:after="0" w:line="256" w:lineRule="auto"/>
              <w:jc w:val="left"/>
              <w:rPr>
                <w:rFonts w:eastAsia="Times New Roman" w:cs="Times New Roman"/>
              </w:rPr>
            </w:pPr>
          </w:p>
        </w:tc>
      </w:tr>
    </w:tbl>
    <w:p w14:paraId="678C6920" w14:textId="77777777" w:rsidR="00547C19" w:rsidRDefault="00547C19" w:rsidP="00547C19">
      <w:pPr>
        <w:widowControl w:val="0"/>
        <w:spacing w:before="0" w:after="0"/>
        <w:jc w:val="left"/>
        <w:rPr>
          <w:rFonts w:eastAsia="Times New Roman" w:cs="Times New Roman"/>
          <w:b/>
          <w:color w:val="000000"/>
        </w:rPr>
      </w:pPr>
    </w:p>
    <w:p w14:paraId="10A9D57B" w14:textId="77777777" w:rsidR="00547C19" w:rsidRDefault="00547C19" w:rsidP="00547C19">
      <w:pPr>
        <w:widowControl w:val="0"/>
        <w:spacing w:before="0" w:after="0"/>
        <w:jc w:val="left"/>
        <w:rPr>
          <w:rFonts w:eastAsia="Times New Roman" w:cs="Times New Roman"/>
          <w:b/>
          <w:color w:val="000000"/>
        </w:rPr>
      </w:pPr>
    </w:p>
    <w:tbl>
      <w:tblPr>
        <w:tblpPr w:leftFromText="180" w:rightFromText="180" w:bottomFromText="160" w:vertAnchor="text" w:horzAnchor="margin" w:tblpY="4171"/>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nine."/>
      </w:tblPr>
      <w:tblGrid>
        <w:gridCol w:w="3298"/>
        <w:gridCol w:w="3295"/>
        <w:gridCol w:w="3295"/>
        <w:gridCol w:w="3297"/>
      </w:tblGrid>
      <w:tr w:rsidR="00547C19" w14:paraId="79D62D3B"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E6F95E4" w14:textId="77777777" w:rsidR="00547C19" w:rsidRDefault="00547C19" w:rsidP="00C64EF2">
            <w:pPr>
              <w:widowControl w:val="0"/>
              <w:spacing w:before="0" w:after="0" w:line="256" w:lineRule="auto"/>
              <w:jc w:val="left"/>
              <w:rPr>
                <w:rFonts w:eastAsia="Times New Roman" w:cs="Times New Roman"/>
                <w:b/>
              </w:rPr>
            </w:pPr>
            <w:r>
              <w:rPr>
                <w:rFonts w:eastAsia="Times New Roman" w:cs="Times New Roman"/>
                <w:b/>
                <w:bCs/>
              </w:rPr>
              <w:t xml:space="preserve">9. </w:t>
            </w:r>
            <w:r>
              <w:rPr>
                <w:rFonts w:eastAsia="Times New Roman" w:cs="Times New Roman"/>
                <w:b/>
              </w:rPr>
              <w:t xml:space="preserve"> Knowledge of Federal and State Education laws pertaining to special </w:t>
            </w:r>
            <w:r w:rsidRPr="00231975">
              <w:rPr>
                <w:rFonts w:eastAsia="Times New Roman" w:cs="Times New Roman"/>
                <w:b/>
              </w:rPr>
              <w:t>education and the implications of these laws on the development and implementation of IEPs and 504 plans</w:t>
            </w:r>
          </w:p>
        </w:tc>
      </w:tr>
      <w:tr w:rsidR="00547C19" w14:paraId="05251E12"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9235B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24262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1D9144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EC3E76"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4382E755"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BFF4CE9"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sound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0C368594" w14:textId="77777777" w:rsidR="00547C19" w:rsidRDefault="00547C19" w:rsidP="00C64EF2">
            <w:pPr>
              <w:spacing w:before="0" w:after="0" w:line="256" w:lineRule="auto"/>
              <w:jc w:val="left"/>
              <w:rPr>
                <w:rFonts w:eastAsia="Times New Roman" w:cs="Times New Roman"/>
              </w:rPr>
            </w:pPr>
          </w:p>
          <w:p w14:paraId="22AF26DB"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47259DB"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21EDE62D" w14:textId="77777777" w:rsidR="00547C19" w:rsidRDefault="00547C19" w:rsidP="00C64EF2">
            <w:pPr>
              <w:spacing w:before="0" w:after="0" w:line="256" w:lineRule="auto"/>
              <w:jc w:val="left"/>
              <w:rPr>
                <w:rFonts w:eastAsia="Times New Roman" w:cs="Times New Roman"/>
              </w:rPr>
            </w:pPr>
          </w:p>
          <w:p w14:paraId="3EA407FE"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5D3653B"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sound knowledge and understanding of the laws and regulations (e.g., IDEA, Section 504, FERPA, Parent Rights) governing the processes of special education as related to carrying out the responsibilities necessary to successfully educate students who are deaf or hard of hearing. </w:t>
            </w:r>
          </w:p>
          <w:p w14:paraId="09DF46A1" w14:textId="77777777" w:rsidR="00547C19" w:rsidRDefault="00547C19" w:rsidP="00C64EF2">
            <w:pPr>
              <w:spacing w:before="0" w:after="0" w:line="256" w:lineRule="auto"/>
              <w:jc w:val="left"/>
              <w:rPr>
                <w:rFonts w:eastAsia="Times New Roman" w:cs="Times New Roman"/>
              </w:rPr>
            </w:pPr>
          </w:p>
          <w:p w14:paraId="55A538D2"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E81C22E"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13033C26" w14:textId="77777777" w:rsidR="00547C19" w:rsidRDefault="00547C19" w:rsidP="00C64EF2">
            <w:pPr>
              <w:spacing w:before="0" w:after="0" w:line="256" w:lineRule="auto"/>
              <w:jc w:val="left"/>
              <w:rPr>
                <w:rFonts w:eastAsia="Times New Roman" w:cs="Times New Roman"/>
              </w:rPr>
            </w:pPr>
          </w:p>
          <w:p w14:paraId="7E2744AF" w14:textId="77777777" w:rsidR="00547C19" w:rsidRDefault="00547C19" w:rsidP="00C64EF2">
            <w:pPr>
              <w:spacing w:before="0" w:after="0" w:line="256" w:lineRule="auto"/>
              <w:jc w:val="left"/>
              <w:rPr>
                <w:rFonts w:eastAsia="Times New Roman" w:cs="Times New Roman"/>
              </w:rPr>
            </w:pPr>
          </w:p>
        </w:tc>
      </w:tr>
      <w:bookmarkEnd w:id="0"/>
    </w:tbl>
    <w:p w14:paraId="0FF1882A" w14:textId="77777777" w:rsidR="00547C19" w:rsidRDefault="00547C19" w:rsidP="00547C19">
      <w:pPr>
        <w:spacing w:before="0" w:after="0"/>
        <w:jc w:val="left"/>
        <w:rPr>
          <w:rFonts w:ascii="Calibri" w:eastAsia="Times New Roman" w:hAnsi="Calibri" w:cs="Times New Roman"/>
          <w:b/>
          <w:color w:val="8496B0" w:themeColor="text2" w:themeTint="99"/>
          <w:sz w:val="28"/>
          <w:szCs w:val="28"/>
        </w:rPr>
        <w:sectPr w:rsidR="00547C19">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864" w:bottom="1008" w:left="864" w:header="720" w:footer="720" w:gutter="0"/>
          <w:cols w:space="720"/>
        </w:sectPr>
      </w:pPr>
    </w:p>
    <w:p w14:paraId="750F10EC" w14:textId="3DA0C1ED" w:rsidR="000A3296" w:rsidRDefault="000A3296" w:rsidP="000A3296">
      <w:pPr>
        <w:pStyle w:val="Normal1"/>
        <w:spacing w:after="0" w:line="240" w:lineRule="auto"/>
        <w:jc w:val="center"/>
        <w:rPr>
          <w:rFonts w:eastAsia="Times New Roman" w:cs="Times New Roman"/>
          <w:b/>
          <w:color w:val="8496B0" w:themeColor="text2" w:themeTint="99"/>
          <w:sz w:val="28"/>
          <w:szCs w:val="28"/>
        </w:rPr>
      </w:pPr>
      <w:bookmarkStart w:id="2" w:name="_Hlk37839649"/>
      <w:r w:rsidRPr="00D228AD">
        <w:rPr>
          <w:rFonts w:eastAsia="Times New Roman" w:cs="Times New Roman"/>
          <w:b/>
          <w:bCs/>
          <w:color w:val="323E4F" w:themeColor="text2" w:themeShade="BF"/>
          <w:sz w:val="28"/>
          <w:szCs w:val="28"/>
        </w:rPr>
        <w:lastRenderedPageBreak/>
        <w:t xml:space="preserve">Deaf and Hard-of-Hearing License: </w:t>
      </w:r>
      <w:r w:rsidRPr="00D228AD">
        <w:rPr>
          <w:rFonts w:eastAsia="Times New Roman" w:cs="Times New Roman"/>
          <w:b/>
          <w:bCs/>
          <w:i/>
          <w:color w:val="323E4F" w:themeColor="text2" w:themeShade="BF"/>
          <w:sz w:val="28"/>
          <w:szCs w:val="28"/>
        </w:rPr>
        <w:t>(ASL/TC)</w:t>
      </w:r>
      <w:r w:rsidRPr="00D228AD">
        <w:rPr>
          <w:rFonts w:eastAsia="Times New Roman" w:cs="Times New Roman"/>
          <w:b/>
          <w:color w:val="323E4F" w:themeColor="text2" w:themeShade="BF"/>
          <w:sz w:val="28"/>
          <w:szCs w:val="28"/>
        </w:rPr>
        <w:t>: SG&amp;S Form (Page 1 of 3)</w:t>
      </w:r>
    </w:p>
    <w:p w14:paraId="5E0935F4" w14:textId="77777777" w:rsidR="000A3296" w:rsidRDefault="000A3296" w:rsidP="000A3296">
      <w:pPr>
        <w:pStyle w:val="Normal1"/>
        <w:spacing w:after="0"/>
        <w:ind w:left="360"/>
        <w:jc w:val="center"/>
      </w:pPr>
      <w:r>
        <w:t>*Please print where signature is not required</w:t>
      </w:r>
    </w:p>
    <w:tbl>
      <w:tblPr>
        <w:tblStyle w:val="TableGrid"/>
        <w:tblW w:w="10056" w:type="dxa"/>
        <w:jc w:val="center"/>
        <w:tblInd w:w="0" w:type="dxa"/>
        <w:shd w:val="clear" w:color="auto" w:fill="FFFFFF" w:themeFill="background1"/>
        <w:tblLook w:val="04A0" w:firstRow="1" w:lastRow="0" w:firstColumn="1" w:lastColumn="0" w:noHBand="0" w:noVBand="1"/>
        <w:tblCaption w:val="Deaf and Hard-of-Hearing License: (Aural/Oral):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0A3296" w14:paraId="7F77D05A"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bookmarkEnd w:id="2"/>
          <w:p w14:paraId="2267B42C" w14:textId="77777777" w:rsidR="000A3296" w:rsidRDefault="000A3296">
            <w:pPr>
              <w:spacing w:before="0" w:after="0"/>
              <w:jc w:val="center"/>
              <w:rPr>
                <w:sz w:val="18"/>
                <w:szCs w:val="18"/>
              </w:rPr>
            </w:pPr>
            <w:r>
              <w:rPr>
                <w:sz w:val="18"/>
                <w:szCs w:val="18"/>
              </w:rPr>
              <w:t>General Information</w:t>
            </w:r>
          </w:p>
        </w:tc>
      </w:tr>
      <w:tr w:rsidR="000A3296" w14:paraId="1921049A"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80FAC4" w14:textId="77777777" w:rsidR="000A3296" w:rsidRDefault="000A3296">
            <w:pPr>
              <w:spacing w:before="0" w:after="0"/>
              <w:jc w:val="center"/>
              <w:rPr>
                <w:sz w:val="18"/>
                <w:szCs w:val="18"/>
              </w:rPr>
            </w:pPr>
            <w:r>
              <w:rPr>
                <w:sz w:val="18"/>
                <w:szCs w:val="18"/>
              </w:rPr>
              <w:t>Candidate Information</w:t>
            </w:r>
          </w:p>
        </w:tc>
      </w:tr>
      <w:tr w:rsidR="000A3296" w14:paraId="5F2EC83C"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BA41CB" w14:textId="77777777" w:rsidR="000A3296" w:rsidRDefault="000A3296">
            <w:pPr>
              <w:spacing w:before="0" w:after="0"/>
              <w:jc w:val="left"/>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7AC4E9" w14:textId="77777777" w:rsidR="000A3296" w:rsidRDefault="000A3296">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11961" w14:textId="77777777" w:rsidR="000A3296" w:rsidRDefault="000A3296">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9765F2" w14:textId="77777777" w:rsidR="000A3296" w:rsidRDefault="000A3296">
            <w:pPr>
              <w:spacing w:before="0" w:after="0"/>
              <w:rPr>
                <w:sz w:val="18"/>
                <w:szCs w:val="18"/>
              </w:rPr>
            </w:pPr>
          </w:p>
        </w:tc>
      </w:tr>
      <w:tr w:rsidR="000A3296" w14:paraId="19C1CBBB"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47F0A" w14:textId="77777777" w:rsidR="000A3296" w:rsidRDefault="000A3296">
            <w:pPr>
              <w:spacing w:before="0" w:after="0"/>
              <w:rPr>
                <w:sz w:val="18"/>
                <w:szCs w:val="18"/>
              </w:rPr>
            </w:pPr>
            <w:r>
              <w:rPr>
                <w:sz w:val="18"/>
                <w:szCs w:val="18"/>
              </w:rPr>
              <w:t>Street Address</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D4A62EC" w14:textId="77777777" w:rsidR="000A3296" w:rsidRDefault="000A3296">
            <w:pPr>
              <w:spacing w:before="0" w:after="0"/>
              <w:rPr>
                <w:sz w:val="18"/>
                <w:szCs w:val="18"/>
              </w:rPr>
            </w:pPr>
          </w:p>
        </w:tc>
      </w:tr>
      <w:tr w:rsidR="000A3296" w14:paraId="3C3C0B77"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B1902A" w14:textId="77777777" w:rsidR="000A3296" w:rsidRDefault="000A3296">
            <w:pPr>
              <w:spacing w:before="0" w:after="0"/>
              <w:rPr>
                <w:sz w:val="18"/>
                <w:szCs w:val="18"/>
              </w:rPr>
            </w:pPr>
            <w:r>
              <w:rPr>
                <w:sz w:val="18"/>
                <w:szCs w:val="18"/>
              </w:rPr>
              <w:t>City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F45CD2" w14:textId="77777777" w:rsidR="000A3296" w:rsidRDefault="000A3296">
            <w:pPr>
              <w:spacing w:before="0" w:after="0"/>
              <w:rPr>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99BBA7" w14:textId="77777777" w:rsidR="000A3296" w:rsidRDefault="000A3296">
            <w:pPr>
              <w:spacing w:before="0" w:after="0"/>
              <w:rPr>
                <w:sz w:val="18"/>
                <w:szCs w:val="18"/>
              </w:rPr>
            </w:pPr>
            <w:r>
              <w:rPr>
                <w:sz w:val="18"/>
                <w:szCs w:val="18"/>
              </w:rPr>
              <w:t>State</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C0EDED" w14:textId="77777777" w:rsidR="000A3296" w:rsidRDefault="000A3296">
            <w:pPr>
              <w:spacing w:before="0" w:after="0"/>
              <w:rPr>
                <w:sz w:val="18"/>
                <w:szCs w:val="18"/>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748B64" w14:textId="77777777" w:rsidR="000A3296" w:rsidRDefault="000A3296">
            <w:pPr>
              <w:spacing w:before="0" w:after="0"/>
              <w:rPr>
                <w:sz w:val="18"/>
                <w:szCs w:val="18"/>
              </w:rPr>
            </w:pPr>
            <w:r>
              <w:rPr>
                <w:sz w:val="18"/>
                <w:szCs w:val="18"/>
              </w:rPr>
              <w:t xml:space="preserve">Zip </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14638E" w14:textId="77777777" w:rsidR="000A3296" w:rsidRDefault="000A3296">
            <w:pPr>
              <w:spacing w:before="0" w:after="0"/>
              <w:rPr>
                <w:sz w:val="18"/>
                <w:szCs w:val="18"/>
              </w:rPr>
            </w:pPr>
          </w:p>
        </w:tc>
      </w:tr>
      <w:tr w:rsidR="000A3296" w14:paraId="79B3AAA6"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095A4" w14:textId="77777777" w:rsidR="000A3296" w:rsidRDefault="000A3296">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3C9A45F" w14:textId="77777777" w:rsidR="000A3296" w:rsidRDefault="000A3296">
            <w:pPr>
              <w:spacing w:before="0" w:after="0"/>
              <w:jc w:val="left"/>
              <w:rPr>
                <w:sz w:val="18"/>
                <w:szCs w:val="18"/>
              </w:rPr>
            </w:pPr>
          </w:p>
        </w:tc>
      </w:tr>
      <w:tr w:rsidR="000A3296" w14:paraId="1CE96741"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68FD9" w14:textId="77777777" w:rsidR="000A3296" w:rsidRDefault="000A3296">
            <w:pPr>
              <w:spacing w:before="0" w:after="0"/>
              <w:jc w:val="center"/>
              <w:rPr>
                <w:sz w:val="18"/>
                <w:szCs w:val="18"/>
              </w:rPr>
            </w:pPr>
            <w:r>
              <w:rPr>
                <w:sz w:val="18"/>
                <w:szCs w:val="18"/>
              </w:rPr>
              <w:t>SG&amp;S Setting (150-hour minimum)</w:t>
            </w:r>
          </w:p>
        </w:tc>
      </w:tr>
      <w:tr w:rsidR="000A3296" w14:paraId="21EAFDAA"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ADFFC" w14:textId="77777777" w:rsidR="000A3296" w:rsidRDefault="000A3296">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FA94E"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6ED83F" w14:textId="77777777" w:rsidR="000A3296" w:rsidRDefault="000A3296">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6ACA98" w14:textId="77777777" w:rsidR="000A3296" w:rsidRDefault="000A3296">
            <w:pPr>
              <w:spacing w:before="0" w:after="0"/>
              <w:jc w:val="left"/>
              <w:rPr>
                <w:sz w:val="18"/>
                <w:szCs w:val="18"/>
              </w:rPr>
            </w:pPr>
          </w:p>
        </w:tc>
      </w:tr>
      <w:tr w:rsidR="000A3296" w14:paraId="609BFCA0"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2316F" w14:textId="77777777" w:rsidR="000A3296" w:rsidRDefault="000A3296">
            <w:pPr>
              <w:spacing w:before="0" w:after="0"/>
              <w:jc w:val="left"/>
              <w:rPr>
                <w:sz w:val="18"/>
                <w:szCs w:val="18"/>
              </w:rPr>
            </w:pPr>
            <w:r>
              <w:rPr>
                <w:sz w:val="18"/>
                <w:szCs w:val="18"/>
              </w:rPr>
              <w:t>License Field</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FF3E87"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0E744B" w14:textId="77777777" w:rsidR="000A3296" w:rsidRDefault="000A3296">
            <w:pPr>
              <w:spacing w:before="0" w:after="0"/>
              <w:jc w:val="left"/>
              <w:rPr>
                <w:sz w:val="18"/>
                <w:szCs w:val="18"/>
              </w:rPr>
            </w:pPr>
            <w:r>
              <w:rPr>
                <w:sz w:val="18"/>
                <w:szCs w:val="18"/>
              </w:rPr>
              <w:t xml:space="preserve">License Grade Levels of Field-based Experience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904460" w14:textId="77777777" w:rsidR="000A3296" w:rsidRDefault="000A3296">
            <w:pPr>
              <w:spacing w:before="0" w:after="0"/>
              <w:jc w:val="left"/>
              <w:rPr>
                <w:sz w:val="18"/>
                <w:szCs w:val="18"/>
              </w:rPr>
            </w:pPr>
          </w:p>
        </w:tc>
      </w:tr>
      <w:tr w:rsidR="000A3296" w14:paraId="7A406C2B"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377997" w14:textId="77777777" w:rsidR="000A3296" w:rsidRDefault="000A3296">
            <w:pPr>
              <w:spacing w:before="0" w:after="0"/>
              <w:jc w:val="center"/>
              <w:rPr>
                <w:sz w:val="18"/>
                <w:szCs w:val="18"/>
              </w:rPr>
            </w:pPr>
            <w:r>
              <w:rPr>
                <w:sz w:val="18"/>
                <w:szCs w:val="18"/>
              </w:rPr>
              <w:t>Select only one of the following. Was this experience a/</w:t>
            </w:r>
            <w:proofErr w:type="gramStart"/>
            <w:r>
              <w:rPr>
                <w:sz w:val="18"/>
                <w:szCs w:val="18"/>
              </w:rPr>
              <w:t>an:</w:t>
            </w:r>
            <w:proofErr w:type="gramEnd"/>
          </w:p>
        </w:tc>
      </w:tr>
      <w:tr w:rsidR="000A3296" w14:paraId="5D68A06A" w14:textId="77777777" w:rsidTr="000A3296">
        <w:trPr>
          <w:trHeight w:val="460"/>
          <w:tblHeader/>
          <w:jc w:val="center"/>
        </w:trPr>
        <w:tc>
          <w:tcPr>
            <w:tcW w:w="48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2B76B" w14:textId="77777777" w:rsidR="000A3296" w:rsidRDefault="000A3296" w:rsidP="000A3296">
            <w:pPr>
              <w:pStyle w:val="ListParagraph"/>
              <w:numPr>
                <w:ilvl w:val="0"/>
                <w:numId w:val="3"/>
              </w:numPr>
              <w:spacing w:before="0" w:after="0"/>
              <w:jc w:val="left"/>
              <w:rPr>
                <w:sz w:val="18"/>
                <w:szCs w:val="18"/>
              </w:rPr>
            </w:pPr>
            <w:r>
              <w:rPr>
                <w:sz w:val="18"/>
                <w:szCs w:val="18"/>
              </w:rPr>
              <w:t xml:space="preserve">Internship to meet the requirements of adding an Initial or Professional license?  </w:t>
            </w:r>
          </w:p>
        </w:tc>
        <w:tc>
          <w:tcPr>
            <w:tcW w:w="520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338D8" w14:textId="77777777" w:rsidR="000A3296" w:rsidRDefault="000A3296" w:rsidP="000A3296">
            <w:pPr>
              <w:pStyle w:val="ListParagraph"/>
              <w:numPr>
                <w:ilvl w:val="0"/>
                <w:numId w:val="3"/>
              </w:numPr>
              <w:spacing w:before="0" w:after="0"/>
              <w:jc w:val="left"/>
              <w:rPr>
                <w:sz w:val="18"/>
                <w:szCs w:val="18"/>
              </w:rPr>
            </w:pPr>
            <w:r>
              <w:rPr>
                <w:sz w:val="18"/>
                <w:szCs w:val="18"/>
              </w:rPr>
              <w:t xml:space="preserve">Field-based experience to meet the requirements of earning a Provisional license? </w:t>
            </w:r>
          </w:p>
        </w:tc>
      </w:tr>
      <w:tr w:rsidR="000A3296" w14:paraId="20B6F485"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DEFCB8" w14:textId="77777777" w:rsidR="000A3296" w:rsidRDefault="000A3296">
            <w:pPr>
              <w:spacing w:before="0" w:after="0"/>
              <w:jc w:val="center"/>
              <w:rPr>
                <w:sz w:val="18"/>
                <w:szCs w:val="18"/>
              </w:rPr>
            </w:pPr>
            <w:r>
              <w:rPr>
                <w:sz w:val="18"/>
                <w:szCs w:val="18"/>
              </w:rPr>
              <w:t xml:space="preserve">Supervising educator </w:t>
            </w:r>
          </w:p>
          <w:p w14:paraId="3291DC23" w14:textId="77777777" w:rsidR="000A3296" w:rsidRDefault="000A3296">
            <w:pPr>
              <w:spacing w:before="0" w:after="0"/>
              <w:jc w:val="center"/>
              <w:rPr>
                <w:i/>
                <w:iCs/>
                <w:sz w:val="18"/>
                <w:szCs w:val="18"/>
              </w:rPr>
            </w:pPr>
            <w:r>
              <w:rPr>
                <w:i/>
                <w:iCs/>
                <w:sz w:val="18"/>
                <w:szCs w:val="18"/>
              </w:rPr>
              <w:t>(to be completed by the Supervising educator – see Guidelines for requirements for this role)</w:t>
            </w:r>
          </w:p>
        </w:tc>
      </w:tr>
      <w:tr w:rsidR="000A3296" w14:paraId="2F2B867D"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F68EF" w14:textId="77777777" w:rsidR="000A3296" w:rsidRDefault="000A3296">
            <w:pPr>
              <w:spacing w:before="0" w:after="0"/>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F971C4" w14:textId="77777777" w:rsidR="000A3296" w:rsidRDefault="000A3296">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E36FC" w14:textId="77777777" w:rsidR="000A3296" w:rsidRDefault="000A3296">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E01FAA" w14:textId="77777777" w:rsidR="000A3296" w:rsidRDefault="000A3296">
            <w:pPr>
              <w:spacing w:before="0" w:after="0"/>
              <w:rPr>
                <w:sz w:val="18"/>
                <w:szCs w:val="18"/>
              </w:rPr>
            </w:pPr>
          </w:p>
        </w:tc>
      </w:tr>
      <w:tr w:rsidR="000A3296" w14:paraId="726A8BC3"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D3390F" w14:textId="77777777" w:rsidR="000A3296" w:rsidRDefault="000A3296">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0D183"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258FE" w14:textId="77777777" w:rsidR="000A3296" w:rsidRDefault="000A3296">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0CF047" w14:textId="77777777" w:rsidR="000A3296" w:rsidRDefault="000A3296">
            <w:pPr>
              <w:spacing w:before="0" w:after="0"/>
              <w:jc w:val="left"/>
              <w:rPr>
                <w:sz w:val="18"/>
                <w:szCs w:val="18"/>
              </w:rPr>
            </w:pPr>
          </w:p>
        </w:tc>
      </w:tr>
      <w:tr w:rsidR="000A3296" w14:paraId="6811746F"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80ABFA" w14:textId="77777777" w:rsidR="000A3296" w:rsidRDefault="000A3296">
            <w:pPr>
              <w:spacing w:before="0" w:after="0"/>
              <w:jc w:val="left"/>
              <w:rPr>
                <w:sz w:val="18"/>
                <w:szCs w:val="18"/>
              </w:rPr>
            </w:pPr>
            <w:r>
              <w:rPr>
                <w:sz w:val="18"/>
                <w:szCs w:val="18"/>
              </w:rPr>
              <w:t>Position</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5284A3"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753EE" w14:textId="77777777" w:rsidR="000A3296" w:rsidRDefault="000A3296">
            <w:pPr>
              <w:spacing w:before="0" w:after="0"/>
              <w:jc w:val="left"/>
              <w:rPr>
                <w:sz w:val="18"/>
                <w:szCs w:val="18"/>
              </w:rPr>
            </w:pPr>
            <w:r>
              <w:rPr>
                <w:sz w:val="18"/>
                <w:szCs w:val="18"/>
              </w:rPr>
              <w:t>License Field(s)</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1BAEE5" w14:textId="77777777" w:rsidR="000A3296" w:rsidRDefault="000A3296">
            <w:pPr>
              <w:spacing w:before="0" w:after="0"/>
              <w:jc w:val="left"/>
              <w:rPr>
                <w:sz w:val="18"/>
                <w:szCs w:val="18"/>
              </w:rPr>
            </w:pPr>
          </w:p>
        </w:tc>
      </w:tr>
      <w:tr w:rsidR="000A3296" w14:paraId="221F8547"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CC016" w14:textId="77777777" w:rsidR="000A3296" w:rsidRDefault="000A3296">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E51C5D5" w14:textId="77777777" w:rsidR="000A3296" w:rsidRDefault="000A3296">
            <w:pPr>
              <w:spacing w:before="0" w:after="0"/>
              <w:jc w:val="left"/>
              <w:rPr>
                <w:sz w:val="18"/>
                <w:szCs w:val="18"/>
              </w:rPr>
            </w:pPr>
          </w:p>
        </w:tc>
      </w:tr>
      <w:tr w:rsidR="000A3296" w14:paraId="26D9D74A" w14:textId="77777777" w:rsidTr="000A3296">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48AE6A" w14:textId="77777777" w:rsidR="000A3296" w:rsidRDefault="000A3296">
            <w:pPr>
              <w:spacing w:before="0" w:after="0"/>
              <w:jc w:val="left"/>
              <w:rPr>
                <w:sz w:val="18"/>
                <w:szCs w:val="18"/>
              </w:rPr>
            </w:pPr>
            <w:r>
              <w:rPr>
                <w:sz w:val="18"/>
                <w:szCs w:val="18"/>
              </w:rPr>
              <w:t>Number of years of experience under license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57E622" w14:textId="77777777" w:rsidR="000A3296" w:rsidRDefault="000A3296">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248716" w14:textId="77777777" w:rsidR="000A3296" w:rsidRDefault="000A3296">
            <w:pPr>
              <w:spacing w:before="0" w:after="0"/>
              <w:jc w:val="left"/>
              <w:rPr>
                <w:sz w:val="18"/>
                <w:szCs w:val="18"/>
              </w:rPr>
            </w:pPr>
            <w:r>
              <w:rPr>
                <w:sz w:val="18"/>
                <w:szCs w:val="18"/>
              </w:rPr>
              <w:t>Type of license</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F1D92" w14:textId="77777777" w:rsidR="000A3296" w:rsidRDefault="000A3296" w:rsidP="000A3296">
            <w:pPr>
              <w:pStyle w:val="ListParagraph"/>
              <w:numPr>
                <w:ilvl w:val="0"/>
                <w:numId w:val="4"/>
              </w:numPr>
              <w:spacing w:before="0" w:after="0"/>
              <w:jc w:val="left"/>
              <w:rPr>
                <w:sz w:val="18"/>
                <w:szCs w:val="18"/>
              </w:rPr>
            </w:pPr>
            <w:r>
              <w:rPr>
                <w:sz w:val="18"/>
                <w:szCs w:val="18"/>
              </w:rPr>
              <w:t>Initial</w:t>
            </w:r>
          </w:p>
          <w:p w14:paraId="67FE6E49" w14:textId="77777777" w:rsidR="000A3296" w:rsidRDefault="000A3296" w:rsidP="000A3296">
            <w:pPr>
              <w:pStyle w:val="ListParagraph"/>
              <w:numPr>
                <w:ilvl w:val="0"/>
                <w:numId w:val="4"/>
              </w:numPr>
              <w:spacing w:before="0" w:after="0"/>
              <w:jc w:val="left"/>
              <w:rPr>
                <w:sz w:val="18"/>
                <w:szCs w:val="18"/>
              </w:rPr>
            </w:pPr>
            <w:r>
              <w:rPr>
                <w:sz w:val="18"/>
                <w:szCs w:val="18"/>
              </w:rPr>
              <w:t>Professional</w:t>
            </w:r>
          </w:p>
        </w:tc>
      </w:tr>
      <w:tr w:rsidR="000A3296" w14:paraId="62FA938C" w14:textId="77777777" w:rsidTr="000A3296">
        <w:trPr>
          <w:trHeight w:val="460"/>
          <w:tblHeader/>
          <w:jc w:val="center"/>
        </w:trPr>
        <w:tc>
          <w:tcPr>
            <w:tcW w:w="5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24F386" w14:textId="77777777" w:rsidR="000A3296" w:rsidRDefault="000A3296">
            <w:pPr>
              <w:spacing w:before="0" w:after="0"/>
              <w:jc w:val="left"/>
              <w:rPr>
                <w:sz w:val="18"/>
                <w:szCs w:val="18"/>
              </w:rPr>
            </w:pPr>
            <w:r>
              <w:rPr>
                <w:sz w:val="18"/>
                <w:szCs w:val="18"/>
              </w:rPr>
              <w:t xml:space="preserve">Was your most recent summative evaluation proficient or higher?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F13A7" w14:textId="77777777" w:rsidR="000A3296" w:rsidRDefault="000A3296" w:rsidP="000A3296">
            <w:pPr>
              <w:pStyle w:val="ListParagraph"/>
              <w:numPr>
                <w:ilvl w:val="0"/>
                <w:numId w:val="5"/>
              </w:numPr>
              <w:spacing w:before="0" w:after="0"/>
              <w:jc w:val="left"/>
              <w:rPr>
                <w:sz w:val="18"/>
                <w:szCs w:val="18"/>
              </w:rPr>
            </w:pPr>
            <w:r>
              <w:rPr>
                <w:sz w:val="18"/>
                <w:szCs w:val="18"/>
              </w:rPr>
              <w:t>Yes</w:t>
            </w:r>
          </w:p>
          <w:p w14:paraId="03C1BB73" w14:textId="77777777" w:rsidR="000A3296" w:rsidRDefault="000A3296" w:rsidP="000A3296">
            <w:pPr>
              <w:pStyle w:val="ListParagraph"/>
              <w:numPr>
                <w:ilvl w:val="0"/>
                <w:numId w:val="5"/>
              </w:numPr>
              <w:spacing w:before="0" w:after="0"/>
              <w:jc w:val="left"/>
              <w:rPr>
                <w:sz w:val="18"/>
                <w:szCs w:val="18"/>
              </w:rPr>
            </w:pPr>
            <w:r>
              <w:rPr>
                <w:sz w:val="18"/>
                <w:szCs w:val="18"/>
              </w:rPr>
              <w:t>No</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CCB8" w14:textId="77777777" w:rsidR="000A3296" w:rsidRDefault="000A3296">
            <w:pPr>
              <w:spacing w:before="0" w:after="0"/>
              <w:jc w:val="left"/>
              <w:rPr>
                <w:sz w:val="18"/>
                <w:szCs w:val="18"/>
              </w:rPr>
            </w:pPr>
          </w:p>
        </w:tc>
      </w:tr>
      <w:tr w:rsidR="000A3296" w14:paraId="3A510C6B"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pct5" w:color="auto" w:fill="FFFFFF" w:themeFill="background1"/>
            <w:hideMark/>
          </w:tcPr>
          <w:p w14:paraId="41FB407E" w14:textId="77777777" w:rsidR="000A3296" w:rsidRDefault="000A3296">
            <w:pPr>
              <w:spacing w:before="0" w:after="0"/>
              <w:jc w:val="center"/>
              <w:rPr>
                <w:sz w:val="18"/>
                <w:szCs w:val="18"/>
              </w:rPr>
            </w:pPr>
            <w:r>
              <w:rPr>
                <w:sz w:val="18"/>
                <w:szCs w:val="18"/>
              </w:rPr>
              <w:t xml:space="preserve">Supervising administrator </w:t>
            </w:r>
          </w:p>
          <w:p w14:paraId="5EE60B6C" w14:textId="77777777" w:rsidR="000A3296" w:rsidRDefault="000A3296">
            <w:pPr>
              <w:spacing w:before="0" w:after="0"/>
              <w:jc w:val="center"/>
              <w:rPr>
                <w:sz w:val="18"/>
                <w:szCs w:val="18"/>
              </w:rPr>
            </w:pPr>
            <w:r>
              <w:rPr>
                <w:i/>
                <w:iCs/>
                <w:sz w:val="18"/>
                <w:szCs w:val="18"/>
              </w:rPr>
              <w:t>(to be completed by the Supervising administrator – see Guidelines for requirements for this role)</w:t>
            </w:r>
          </w:p>
        </w:tc>
      </w:tr>
      <w:tr w:rsidR="000A3296" w14:paraId="13638B2C" w14:textId="77777777" w:rsidTr="000A3296">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64B13" w14:textId="77777777" w:rsidR="000A3296" w:rsidRDefault="000A3296">
            <w:pPr>
              <w:spacing w:before="0" w:after="0"/>
              <w:rPr>
                <w:sz w:val="18"/>
                <w:szCs w:val="18"/>
              </w:rPr>
            </w:pPr>
            <w:r>
              <w:rPr>
                <w:sz w:val="18"/>
                <w:szCs w:val="18"/>
              </w:rPr>
              <w:t>First Name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8AE873" w14:textId="77777777" w:rsidR="000A3296" w:rsidRDefault="000A3296">
            <w:pPr>
              <w:spacing w:before="0" w:after="0"/>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0467BC" w14:textId="77777777" w:rsidR="000A3296" w:rsidRDefault="000A3296">
            <w:pPr>
              <w:spacing w:before="0" w:after="0"/>
              <w:rPr>
                <w:sz w:val="18"/>
                <w:szCs w:val="18"/>
              </w:rPr>
            </w:pPr>
            <w:r>
              <w:rPr>
                <w:sz w:val="18"/>
                <w:szCs w:val="18"/>
              </w:rPr>
              <w:t xml:space="preserve">Last Name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0C569D" w14:textId="77777777" w:rsidR="000A3296" w:rsidRDefault="000A3296">
            <w:pPr>
              <w:spacing w:before="0" w:after="0"/>
              <w:rPr>
                <w:sz w:val="18"/>
                <w:szCs w:val="18"/>
              </w:rPr>
            </w:pPr>
          </w:p>
        </w:tc>
      </w:tr>
      <w:tr w:rsidR="000A3296" w14:paraId="5100A1C4" w14:textId="77777777" w:rsidTr="000A3296">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ECB0F" w14:textId="77777777" w:rsidR="000A3296" w:rsidRDefault="000A3296">
            <w:pPr>
              <w:spacing w:before="0" w:after="0"/>
              <w:jc w:val="left"/>
              <w:rPr>
                <w:sz w:val="18"/>
                <w:szCs w:val="18"/>
              </w:rPr>
            </w:pPr>
            <w:r>
              <w:rPr>
                <w:sz w:val="18"/>
                <w:szCs w:val="18"/>
              </w:rPr>
              <w:t>School District or Institution</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20E181" w14:textId="77777777" w:rsidR="000A3296" w:rsidRDefault="000A3296">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77F0CD" w14:textId="77777777" w:rsidR="000A3296" w:rsidRDefault="000A3296">
            <w:pPr>
              <w:spacing w:before="0" w:after="0"/>
              <w:jc w:val="left"/>
              <w:rPr>
                <w:sz w:val="18"/>
                <w:szCs w:val="18"/>
              </w:rPr>
            </w:pPr>
            <w:r>
              <w:rPr>
                <w:sz w:val="18"/>
                <w:szCs w:val="18"/>
              </w:rPr>
              <w:t xml:space="preserve">Position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DA146" w14:textId="77777777" w:rsidR="000A3296" w:rsidRDefault="000A3296">
            <w:pPr>
              <w:spacing w:before="0" w:after="0"/>
              <w:jc w:val="left"/>
              <w:rPr>
                <w:sz w:val="18"/>
                <w:szCs w:val="18"/>
              </w:rPr>
            </w:pPr>
          </w:p>
        </w:tc>
      </w:tr>
      <w:tr w:rsidR="000A3296" w14:paraId="12FB2049" w14:textId="77777777" w:rsidTr="000A3296">
        <w:trPr>
          <w:trHeight w:val="602"/>
          <w:tblHeader/>
          <w:jc w:val="center"/>
        </w:trPr>
        <w:tc>
          <w:tcPr>
            <w:tcW w:w="10056" w:type="dxa"/>
            <w:gridSpan w:val="10"/>
            <w:tcBorders>
              <w:top w:val="single" w:sz="4" w:space="0" w:color="auto"/>
              <w:left w:val="single" w:sz="4" w:space="0" w:color="auto"/>
              <w:bottom w:val="nil"/>
              <w:right w:val="single" w:sz="4" w:space="0" w:color="auto"/>
            </w:tcBorders>
            <w:shd w:val="clear" w:color="auto" w:fill="F2F2F2" w:themeFill="background1" w:themeFillShade="F2"/>
            <w:hideMark/>
          </w:tcPr>
          <w:p w14:paraId="204AC3E8" w14:textId="77777777" w:rsidR="000A3296" w:rsidRPr="000A3296" w:rsidRDefault="000A3296" w:rsidP="000A3296">
            <w:pPr>
              <w:spacing w:before="0" w:after="120"/>
              <w:jc w:val="center"/>
              <w:rPr>
                <w:sz w:val="18"/>
                <w:szCs w:val="18"/>
                <w:u w:val="single"/>
              </w:rPr>
            </w:pPr>
            <w:r w:rsidRPr="000A3296">
              <w:rPr>
                <w:sz w:val="18"/>
                <w:szCs w:val="18"/>
                <w:u w:val="single"/>
              </w:rPr>
              <w:t>Superintendent’s Verification</w:t>
            </w:r>
          </w:p>
          <w:p w14:paraId="6F4A5DBD" w14:textId="77777777" w:rsidR="000A3296" w:rsidRDefault="000A3296">
            <w:pPr>
              <w:spacing w:before="0" w:after="0"/>
              <w:jc w:val="left"/>
              <w:rPr>
                <w:sz w:val="18"/>
                <w:szCs w:val="18"/>
              </w:rPr>
            </w:pPr>
            <w:r>
              <w:rPr>
                <w:sz w:val="18"/>
                <w:szCs w:val="18"/>
              </w:rPr>
              <w:t>I have reviewed the attached information and attest that the candidate listed above has completed the SG&amp;S process.</w:t>
            </w:r>
          </w:p>
        </w:tc>
      </w:tr>
      <w:tr w:rsidR="000A3296" w14:paraId="7C69044E" w14:textId="77777777" w:rsidTr="000A3296">
        <w:trPr>
          <w:trHeight w:val="1251"/>
          <w:tblHeader/>
          <w:jc w:val="center"/>
        </w:trPr>
        <w:tc>
          <w:tcPr>
            <w:tcW w:w="10056"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25B2BDB0" w14:textId="77777777" w:rsidR="000A3296" w:rsidRDefault="000A3296">
            <w:pPr>
              <w:spacing w:before="0" w:after="0"/>
              <w:jc w:val="left"/>
              <w:rPr>
                <w:sz w:val="18"/>
                <w:szCs w:val="18"/>
              </w:rPr>
            </w:pPr>
            <w:r>
              <w:rPr>
                <w:sz w:val="18"/>
                <w:szCs w:val="18"/>
              </w:rPr>
              <w:t>Name of superintendent/or equivalent: _______________________________________</w:t>
            </w:r>
          </w:p>
          <w:p w14:paraId="086A04F5" w14:textId="77777777" w:rsidR="000A3296" w:rsidRDefault="000A3296">
            <w:pPr>
              <w:spacing w:before="0" w:after="0"/>
              <w:jc w:val="left"/>
              <w:rPr>
                <w:sz w:val="18"/>
                <w:szCs w:val="18"/>
              </w:rPr>
            </w:pPr>
          </w:p>
          <w:p w14:paraId="225426D3" w14:textId="77777777" w:rsidR="000A3296" w:rsidRDefault="000A3296">
            <w:pPr>
              <w:spacing w:before="0" w:after="0"/>
              <w:jc w:val="left"/>
              <w:rPr>
                <w:sz w:val="18"/>
                <w:szCs w:val="18"/>
              </w:rPr>
            </w:pPr>
            <w:r>
              <w:rPr>
                <w:sz w:val="18"/>
                <w:szCs w:val="18"/>
              </w:rPr>
              <w:t>Signature of superintendent/or equivalent: __________________________________________</w:t>
            </w:r>
          </w:p>
          <w:p w14:paraId="11621FC2" w14:textId="77777777" w:rsidR="000A3296" w:rsidRDefault="000A3296">
            <w:pPr>
              <w:spacing w:before="0" w:after="0"/>
              <w:jc w:val="left"/>
              <w:rPr>
                <w:sz w:val="18"/>
                <w:szCs w:val="18"/>
              </w:rPr>
            </w:pPr>
          </w:p>
        </w:tc>
      </w:tr>
    </w:tbl>
    <w:p w14:paraId="40017665" w14:textId="0BC60889" w:rsidR="00547C19" w:rsidRDefault="00547C19" w:rsidP="00547C19">
      <w:pPr>
        <w:spacing w:before="0" w:after="0"/>
        <w:jc w:val="left"/>
        <w:rPr>
          <w:rFonts w:eastAsia="Times New Roman" w:cs="Times New Roman"/>
          <w:b/>
          <w:color w:val="8496B0" w:themeColor="text2" w:themeTint="99"/>
          <w:sz w:val="24"/>
          <w:szCs w:val="24"/>
        </w:rPr>
      </w:pPr>
    </w:p>
    <w:p w14:paraId="01E73324" w14:textId="77777777" w:rsidR="000A3296" w:rsidRDefault="000A3296" w:rsidP="000A3296">
      <w:pPr>
        <w:pStyle w:val="Normal1"/>
        <w:spacing w:after="0" w:line="240" w:lineRule="auto"/>
        <w:jc w:val="center"/>
        <w:rPr>
          <w:rFonts w:eastAsia="Times New Roman" w:cs="Times New Roman"/>
          <w:b/>
          <w:bCs/>
          <w:color w:val="8496B0" w:themeColor="text2" w:themeTint="99"/>
          <w:sz w:val="28"/>
          <w:szCs w:val="28"/>
        </w:rPr>
        <w:sectPr w:rsidR="000A3296" w:rsidSect="000A3296">
          <w:pgSz w:w="12240" w:h="15840"/>
          <w:pgMar w:top="864" w:right="1440" w:bottom="864" w:left="1440" w:header="720" w:footer="720" w:gutter="0"/>
          <w:cols w:space="720"/>
          <w:docGrid w:linePitch="360"/>
        </w:sectPr>
      </w:pPr>
    </w:p>
    <w:p w14:paraId="6C8B8067" w14:textId="2385A684" w:rsidR="000A3296" w:rsidRDefault="000A3296" w:rsidP="000A3296">
      <w:pPr>
        <w:pStyle w:val="Normal1"/>
        <w:spacing w:after="0" w:line="240" w:lineRule="auto"/>
        <w:jc w:val="center"/>
        <w:rPr>
          <w:rFonts w:eastAsia="Times New Roman" w:cs="Times New Roman"/>
          <w:b/>
          <w:color w:val="8496B0" w:themeColor="text2" w:themeTint="99"/>
          <w:sz w:val="28"/>
          <w:szCs w:val="28"/>
        </w:rPr>
      </w:pPr>
      <w:r w:rsidRPr="00D228AD">
        <w:rPr>
          <w:rFonts w:eastAsia="Times New Roman" w:cs="Times New Roman"/>
          <w:b/>
          <w:bCs/>
          <w:color w:val="323E4F" w:themeColor="text2" w:themeShade="BF"/>
          <w:sz w:val="28"/>
          <w:szCs w:val="28"/>
        </w:rPr>
        <w:lastRenderedPageBreak/>
        <w:t xml:space="preserve">Deaf and Hard-of-Hearing License: </w:t>
      </w:r>
      <w:r w:rsidRPr="00D228AD">
        <w:rPr>
          <w:rFonts w:eastAsia="Times New Roman" w:cs="Times New Roman"/>
          <w:b/>
          <w:bCs/>
          <w:i/>
          <w:color w:val="323E4F" w:themeColor="text2" w:themeShade="BF"/>
          <w:sz w:val="28"/>
          <w:szCs w:val="28"/>
        </w:rPr>
        <w:t>(ASL/TC)</w:t>
      </w:r>
      <w:r w:rsidRPr="00D228AD">
        <w:rPr>
          <w:rFonts w:eastAsia="Times New Roman" w:cs="Times New Roman"/>
          <w:b/>
          <w:color w:val="323E4F" w:themeColor="text2" w:themeShade="BF"/>
          <w:sz w:val="28"/>
          <w:szCs w:val="28"/>
        </w:rPr>
        <w:t>: SG&amp;S Form (Page 2 of 3)</w:t>
      </w:r>
    </w:p>
    <w:p w14:paraId="3EC9DA6A" w14:textId="5951D963" w:rsidR="000A3296" w:rsidRDefault="000A3296" w:rsidP="000A3296">
      <w:pPr>
        <w:pStyle w:val="Normal1"/>
        <w:spacing w:after="0"/>
        <w:ind w:left="360"/>
        <w:jc w:val="center"/>
      </w:pPr>
    </w:p>
    <w:tbl>
      <w:tblPr>
        <w:tblW w:w="10645" w:type="dxa"/>
        <w:jc w:val="center"/>
        <w:tblLook w:val="04A0" w:firstRow="1" w:lastRow="0" w:firstColumn="1" w:lastColumn="0" w:noHBand="0" w:noVBand="1"/>
        <w:tblCaption w:val="Teacher of the Deaf and Hard-of-Hearing License: (ASL/TC): SG&amp;S Form (Page 2 of 3)"/>
        <w:tblDescription w:val="Initial, formative, and summative meeting sign-off. indicator one through seven rating."/>
      </w:tblPr>
      <w:tblGrid>
        <w:gridCol w:w="5125"/>
        <w:gridCol w:w="2520"/>
        <w:gridCol w:w="3000"/>
      </w:tblGrid>
      <w:tr w:rsidR="00547C19" w14:paraId="798775A1" w14:textId="77777777" w:rsidTr="00C64EF2">
        <w:trPr>
          <w:trHeight w:val="288"/>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1327D0F1" w14:textId="77777777" w:rsidR="00547C19" w:rsidRDefault="00547C19" w:rsidP="00C64EF2">
            <w:pPr>
              <w:spacing w:before="0" w:after="0" w:line="256" w:lineRule="auto"/>
              <w:jc w:val="center"/>
              <w:rPr>
                <w:rFonts w:eastAsia="Times New Roman" w:cs="Times New Roman"/>
                <w:b/>
                <w:bCs/>
                <w:sz w:val="18"/>
                <w:szCs w:val="18"/>
              </w:rPr>
            </w:pPr>
            <w:bookmarkStart w:id="3" w:name="_Hlk485633276"/>
            <w:r>
              <w:rPr>
                <w:rFonts w:eastAsia="Times New Roman" w:cs="Times New Roman"/>
                <w:b/>
                <w:bCs/>
                <w:sz w:val="18"/>
                <w:szCs w:val="18"/>
              </w:rPr>
              <w:t>Initial Meeting</w:t>
            </w:r>
            <w:r>
              <w:rPr>
                <w:rFonts w:eastAsia="Times New Roman" w:cs="Times New Roman"/>
                <w:sz w:val="18"/>
                <w:szCs w:val="18"/>
              </w:rPr>
              <w:t xml:space="preserve"> </w:t>
            </w:r>
          </w:p>
        </w:tc>
        <w:bookmarkEnd w:id="3"/>
      </w:tr>
      <w:tr w:rsidR="00547C19" w14:paraId="5161A05E" w14:textId="77777777" w:rsidTr="00B43633">
        <w:trPr>
          <w:trHeight w:val="28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CB897A6"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Supervising educator (signature)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09EA661"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436F73C6" w14:textId="77777777" w:rsidTr="00B43633">
        <w:trPr>
          <w:trHeight w:val="242"/>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9521AC7"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Supervising administrator (signature)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A1BF5"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368E30C1" w14:textId="77777777" w:rsidTr="00B43633">
        <w:trPr>
          <w:trHeight w:val="17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5B950BE"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 xml:space="preserve">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B4C62"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4CEBD516" w14:textId="77777777" w:rsidTr="00C64EF2">
        <w:trPr>
          <w:trHeight w:val="280"/>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07F13E33" w14:textId="77777777" w:rsidR="00547C19" w:rsidRDefault="00547C19" w:rsidP="00C64EF2">
            <w:pPr>
              <w:spacing w:before="0" w:after="0" w:line="256" w:lineRule="auto"/>
              <w:jc w:val="center"/>
              <w:rPr>
                <w:rFonts w:eastAsia="Times New Roman" w:cs="Times New Roman"/>
                <w:b/>
                <w:bCs/>
                <w:sz w:val="18"/>
                <w:szCs w:val="18"/>
              </w:rPr>
            </w:pPr>
            <w:r>
              <w:rPr>
                <w:rFonts w:eastAsia="Times New Roman" w:cs="Times New Roman"/>
                <w:b/>
                <w:bCs/>
                <w:sz w:val="18"/>
                <w:szCs w:val="18"/>
              </w:rPr>
              <w:t>Formative Meeting</w:t>
            </w:r>
          </w:p>
        </w:tc>
      </w:tr>
      <w:tr w:rsidR="00547C19" w14:paraId="1A93117E" w14:textId="77777777" w:rsidTr="00B43633">
        <w:trPr>
          <w:trHeight w:val="305"/>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E5A8D6E"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Supervising educator (signature)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2F05FAC"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3F1C33F7" w14:textId="77777777" w:rsidTr="00B43633">
        <w:trPr>
          <w:trHeight w:val="26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712D79B"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Supervising administrator (signature)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61E10"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61B94697" w14:textId="77777777" w:rsidTr="00B43633">
        <w:trPr>
          <w:trHeight w:val="17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80250A4"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C691C"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Date:  </w:t>
            </w:r>
          </w:p>
        </w:tc>
      </w:tr>
      <w:tr w:rsidR="00547C19" w14:paraId="2C68C30F" w14:textId="77777777" w:rsidTr="00C64EF2">
        <w:trPr>
          <w:trHeight w:val="809"/>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BD5EC85" w14:textId="77777777" w:rsidR="00547C19" w:rsidRDefault="00547C19" w:rsidP="00C64EF2">
            <w:pPr>
              <w:spacing w:before="0" w:after="0" w:line="256" w:lineRule="auto"/>
              <w:jc w:val="center"/>
              <w:rPr>
                <w:rFonts w:eastAsia="Times New Roman" w:cs="Times New Roman"/>
                <w:b/>
                <w:bCs/>
                <w:sz w:val="18"/>
                <w:szCs w:val="18"/>
              </w:rPr>
            </w:pPr>
            <w:r>
              <w:rPr>
                <w:rFonts w:eastAsia="Times New Roman" w:cs="Times New Roman"/>
                <w:b/>
                <w:bCs/>
                <w:sz w:val="18"/>
                <w:szCs w:val="18"/>
              </w:rPr>
              <w:t xml:space="preserve">Summative Meeting </w:t>
            </w:r>
          </w:p>
          <w:p w14:paraId="78DF5FBD" w14:textId="77777777" w:rsidR="00547C19" w:rsidRDefault="00547C19" w:rsidP="00C64EF2">
            <w:pPr>
              <w:spacing w:before="0" w:after="0" w:line="256" w:lineRule="auto"/>
              <w:jc w:val="left"/>
              <w:rPr>
                <w:rFonts w:eastAsia="Times New Roman" w:cs="Times New Roman"/>
                <w:bCs/>
                <w:sz w:val="18"/>
                <w:szCs w:val="18"/>
              </w:rPr>
            </w:pPr>
            <w:r>
              <w:rPr>
                <w:sz w:val="18"/>
                <w:szCs w:val="18"/>
              </w:rPr>
              <w:t xml:space="preserve">By signing, I acknowledge that this experience has been completed factually as represented in this form and described in official Department Guidelines. I acknowledge that the Department may conduct an audit of the candidate’s portfolio for verification purposes. </w:t>
            </w:r>
          </w:p>
        </w:tc>
      </w:tr>
      <w:tr w:rsidR="00547C19" w14:paraId="5BE1CDD6" w14:textId="77777777" w:rsidTr="00C64EF2">
        <w:trPr>
          <w:trHeight w:val="280"/>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4A0FD16B" w14:textId="77777777" w:rsidR="00547C19" w:rsidRDefault="00547C19" w:rsidP="00C64EF2">
            <w:pPr>
              <w:spacing w:before="0" w:after="0" w:line="256" w:lineRule="auto"/>
              <w:jc w:val="left"/>
              <w:rPr>
                <w:rFonts w:eastAsia="Times New Roman" w:cs="Times New Roman"/>
                <w:b/>
                <w:bCs/>
                <w:sz w:val="18"/>
                <w:szCs w:val="18"/>
              </w:rPr>
            </w:pPr>
            <w:r>
              <w:rPr>
                <w:rFonts w:eastAsia="Times New Roman" w:cs="Times New Roman"/>
                <w:b/>
                <w:bCs/>
                <w:sz w:val="18"/>
                <w:szCs w:val="18"/>
              </w:rPr>
              <w:t xml:space="preserve">Supervising educator: </w:t>
            </w:r>
            <w:r>
              <w:rPr>
                <w:rFonts w:eastAsia="Times New Roman" w:cs="Times New Roman"/>
                <w:bCs/>
                <w:sz w:val="18"/>
                <w:szCs w:val="18"/>
              </w:rPr>
              <w:t>Document how candidate has demonstrated competency in each indicator. All indicators must be rated Proficient or higher.</w:t>
            </w:r>
            <w:r>
              <w:rPr>
                <w:rFonts w:eastAsia="Times New Roman" w:cs="Times New Roman"/>
                <w:b/>
                <w:bCs/>
                <w:sz w:val="18"/>
                <w:szCs w:val="18"/>
              </w:rPr>
              <w:t xml:space="preserve">   </w:t>
            </w:r>
          </w:p>
        </w:tc>
      </w:tr>
      <w:tr w:rsidR="00547C19" w14:paraId="1567EBDE" w14:textId="77777777" w:rsidTr="000A3296">
        <w:trPr>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0A26E07" w14:textId="77777777" w:rsidR="00547C19" w:rsidRDefault="00547C19" w:rsidP="00C64EF2">
            <w:pPr>
              <w:spacing w:before="0" w:after="0" w:line="256" w:lineRule="auto"/>
              <w:jc w:val="center"/>
              <w:rPr>
                <w:rFonts w:eastAsia="Times New Roman" w:cs="Times New Roman"/>
                <w:b/>
                <w:sz w:val="18"/>
                <w:szCs w:val="18"/>
              </w:rPr>
            </w:pPr>
            <w:r>
              <w:rPr>
                <w:rFonts w:eastAsia="Times New Roman" w:cs="Times New Roman"/>
                <w:b/>
                <w:sz w:val="18"/>
                <w:szCs w:val="18"/>
              </w:rPr>
              <w:t>Indicator</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3A981" w14:textId="77777777" w:rsidR="00547C19" w:rsidRDefault="00547C19"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Rating</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6AA515" w14:textId="77777777" w:rsidR="00547C19" w:rsidRDefault="00547C19"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Form of Evidence Documented</w:t>
            </w:r>
          </w:p>
          <w:p w14:paraId="3A4C1FAC" w14:textId="77777777" w:rsidR="00547C19" w:rsidRDefault="00547C19"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w:t>
            </w:r>
            <w:r>
              <w:rPr>
                <w:rFonts w:eastAsia="Times New Roman" w:cs="Arial"/>
                <w:b/>
                <w:i/>
                <w:sz w:val="18"/>
                <w:szCs w:val="18"/>
              </w:rPr>
              <w:t>select all that apply</w:t>
            </w:r>
            <w:r>
              <w:rPr>
                <w:rFonts w:eastAsia="Times New Roman" w:cs="Arial"/>
                <w:b/>
                <w:sz w:val="18"/>
                <w:szCs w:val="18"/>
              </w:rPr>
              <w:t>)</w:t>
            </w:r>
          </w:p>
        </w:tc>
      </w:tr>
      <w:tr w:rsidR="00547C19" w:rsidRPr="00231975" w14:paraId="042CF395" w14:textId="77777777" w:rsidTr="000A3296">
        <w:trPr>
          <w:trHeight w:val="1136"/>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ED06A15"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the perception, acquisition, and processing of language, both spoken and sign, and strategies for supporting language acquisition in sign language.</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27794"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24323B5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61B328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4C6E282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083CF6"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0C177174"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7A681893"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0683AA67"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4E9AB0F7" w14:textId="77777777" w:rsidTr="000A3296">
        <w:trPr>
          <w:trHeight w:val="1127"/>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B895D84"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the relationship between ASL and English language and strategies for translating between ASL and English</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5683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690D03D0"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35834F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59F542A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0B90E2"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23C2041F"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6524E0D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52D19DAC"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2DF0407D" w14:textId="77777777" w:rsidTr="000A3296">
        <w:trPr>
          <w:trHeight w:val="1091"/>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hideMark/>
          </w:tcPr>
          <w:p w14:paraId="1F83D9A3"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bCs/>
                <w:sz w:val="18"/>
                <w:szCs w:val="18"/>
                <w:shd w:val="clear" w:color="auto" w:fill="E7E6E6" w:themeFill="background2"/>
              </w:rPr>
              <w:t xml:space="preserve">Theories </w:t>
            </w:r>
            <w:r w:rsidRPr="00231975">
              <w:rPr>
                <w:rFonts w:eastAsia="Times New Roman" w:cs="Times New Roman"/>
                <w:bCs/>
                <w:sz w:val="18"/>
                <w:szCs w:val="18"/>
              </w:rPr>
              <w:t>in typical and</w:t>
            </w:r>
            <w:r w:rsidRPr="00231975">
              <w:rPr>
                <w:rFonts w:eastAsia="Times New Roman" w:cs="Times New Roman"/>
                <w:bCs/>
                <w:sz w:val="18"/>
                <w:szCs w:val="18"/>
                <w:shd w:val="clear" w:color="auto" w:fill="D9E2F3" w:themeFill="accent1" w:themeFillTint="33"/>
              </w:rPr>
              <w:t xml:space="preserve"> </w:t>
            </w:r>
            <w:r w:rsidRPr="00231975">
              <w:rPr>
                <w:rFonts w:eastAsia="Times New Roman" w:cs="Times New Roman"/>
                <w:bCs/>
                <w:sz w:val="18"/>
                <w:szCs w:val="18"/>
                <w:shd w:val="clear" w:color="auto" w:fill="E7E6E6" w:themeFill="background2"/>
              </w:rPr>
              <w:t>atypical child development as they</w:t>
            </w:r>
            <w:r w:rsidRPr="00231975">
              <w:rPr>
                <w:rFonts w:eastAsia="Times New Roman" w:cs="Times New Roman"/>
                <w:bCs/>
                <w:sz w:val="18"/>
                <w:szCs w:val="18"/>
                <w:shd w:val="clear" w:color="auto" w:fill="D9E2F3" w:themeFill="accent1" w:themeFillTint="33"/>
              </w:rPr>
              <w:t xml:space="preserve"> </w:t>
            </w:r>
            <w:r w:rsidRPr="00231975">
              <w:rPr>
                <w:rFonts w:eastAsia="Times New Roman" w:cs="Times New Roman"/>
                <w:bCs/>
                <w:sz w:val="18"/>
                <w:szCs w:val="18"/>
                <w:shd w:val="clear" w:color="auto" w:fill="E7E6E6" w:themeFill="background2"/>
              </w:rPr>
              <w:t>relate to children who</w:t>
            </w:r>
            <w:r w:rsidRPr="00231975">
              <w:rPr>
                <w:rFonts w:eastAsia="Times New Roman" w:cs="Times New Roman"/>
                <w:bCs/>
                <w:sz w:val="18"/>
                <w:szCs w:val="18"/>
                <w:shd w:val="clear" w:color="auto" w:fill="D9E2F3" w:themeFill="accent1" w:themeFillTint="33"/>
              </w:rPr>
              <w:t xml:space="preserve"> </w:t>
            </w:r>
            <w:r w:rsidRPr="00231975">
              <w:rPr>
                <w:rFonts w:eastAsia="Times New Roman" w:cs="Times New Roman"/>
                <w:bCs/>
                <w:sz w:val="18"/>
                <w:szCs w:val="18"/>
                <w:shd w:val="clear" w:color="auto" w:fill="E7E6E6" w:themeFill="background2"/>
              </w:rPr>
              <w:t>are deaf or hard of hearing</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0F6E4"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774C56E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46AEC019"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390C5361"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E770FA"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51E5FE43"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7F582934"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74319A10"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0503D107" w14:textId="77777777" w:rsidTr="000A3296">
        <w:trPr>
          <w:trHeight w:val="1172"/>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4E6CBCE"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Designs and makes modifications of curricular and instructional materials to ensure accessibility of the curriculum for deaf or hard of hearing students with and without special needs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59A3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1E9A1DE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1979EC4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756B2774"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D5730B"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59AB4808"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1AF74F59"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1CABC726"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15A21145" w14:textId="77777777" w:rsidTr="000A3296">
        <w:trPr>
          <w:trHeight w:val="1154"/>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E76B34F"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bCs/>
                <w:sz w:val="18"/>
                <w:szCs w:val="18"/>
              </w:rPr>
              <w:t xml:space="preserve"> </w:t>
            </w:r>
            <w:r w:rsidRPr="00231975">
              <w:rPr>
                <w:rFonts w:eastAsia="Times New Roman" w:cs="Times New Roman"/>
                <w:sz w:val="18"/>
                <w:szCs w:val="18"/>
              </w:rPr>
              <w:t xml:space="preserve"> Knowledge of strategies for promoting literacy among students who are deaf or hard of hearing</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9DFA0"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1D94D5C5"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71D99578"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4348118F"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D6634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41AA995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48C8970F"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52580419"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6F5AB424" w14:textId="77777777" w:rsidTr="000A3296">
        <w:trPr>
          <w:trHeight w:val="1136"/>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57D43E9"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the clinical foundation of hearing as measured using diagnostic instruments, testing materials and tools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2EBD5"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523E07F8"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0C49AC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01726411"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75944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65C53E4E"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5AF4209F"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629453AB"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3C4B528E" w14:textId="77777777" w:rsidTr="000A3296">
        <w:trPr>
          <w:trHeight w:val="280"/>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5BDADEF"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how deaf people live their daily lives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6702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4FCA840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2738E3C8"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4C872933"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844768B"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7584BDB6"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006EDBD8"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37F49029"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bl>
    <w:tbl>
      <w:tblPr>
        <w:tblpPr w:leftFromText="180" w:rightFromText="180" w:bottomFromText="160" w:vertAnchor="text" w:horzAnchor="margin" w:tblpXSpec="center" w:tblpY="217"/>
        <w:tblW w:w="10645" w:type="dxa"/>
        <w:tblLook w:val="04A0" w:firstRow="1" w:lastRow="0" w:firstColumn="1" w:lastColumn="0" w:noHBand="0" w:noVBand="1"/>
        <w:tblCaption w:val="Teacher of the Deaf and Hard-of-Hearing License: (ASL/TC): SG&amp;S Form (Page 2 of 3)"/>
        <w:tblDescription w:val="Initial, formative, and summative meeting sign-off. indicator one through seven rating."/>
      </w:tblPr>
      <w:tblGrid>
        <w:gridCol w:w="5040"/>
        <w:gridCol w:w="2520"/>
        <w:gridCol w:w="3085"/>
      </w:tblGrid>
      <w:tr w:rsidR="00547C19" w:rsidRPr="00231975" w14:paraId="2A190F1F" w14:textId="77777777" w:rsidTr="00C64EF2">
        <w:trPr>
          <w:trHeight w:val="351"/>
          <w:tblHeader/>
        </w:trPr>
        <w:tc>
          <w:tcPr>
            <w:tcW w:w="10645" w:type="dxa"/>
            <w:gridSpan w:val="3"/>
            <w:tcBorders>
              <w:top w:val="nil"/>
              <w:left w:val="nil"/>
              <w:bottom w:val="single" w:sz="4" w:space="0" w:color="000000"/>
              <w:right w:val="nil"/>
            </w:tcBorders>
            <w:tcMar>
              <w:top w:w="0" w:type="dxa"/>
              <w:left w:w="115" w:type="dxa"/>
              <w:bottom w:w="0" w:type="dxa"/>
              <w:right w:w="115" w:type="dxa"/>
            </w:tcMar>
            <w:hideMark/>
          </w:tcPr>
          <w:p w14:paraId="30AAF8D7" w14:textId="77777777" w:rsidR="00547C19" w:rsidRPr="00231975" w:rsidRDefault="00547C19" w:rsidP="000A3296">
            <w:pPr>
              <w:spacing w:before="0" w:after="120" w:line="257" w:lineRule="auto"/>
              <w:jc w:val="center"/>
              <w:rPr>
                <w:rFonts w:ascii="Calibri" w:eastAsia="Times New Roman" w:hAnsi="Calibri" w:cs="Times New Roman"/>
                <w:b/>
                <w:color w:val="8496B0" w:themeColor="text2" w:themeTint="99"/>
                <w:sz w:val="28"/>
                <w:szCs w:val="28"/>
              </w:rPr>
            </w:pPr>
            <w:bookmarkStart w:id="4" w:name="_GoBack"/>
            <w:r w:rsidRPr="00D228AD">
              <w:rPr>
                <w:rFonts w:eastAsia="Times New Roman" w:cs="Times New Roman"/>
                <w:b/>
                <w:color w:val="323E4F" w:themeColor="text2" w:themeShade="BF"/>
                <w:sz w:val="28"/>
                <w:szCs w:val="28"/>
              </w:rPr>
              <w:lastRenderedPageBreak/>
              <w:t xml:space="preserve">Teacher of the </w:t>
            </w:r>
            <w:r w:rsidRPr="00D228AD">
              <w:rPr>
                <w:rFonts w:eastAsia="Times New Roman" w:cs="Times New Roman"/>
                <w:b/>
                <w:bCs/>
                <w:color w:val="323E4F" w:themeColor="text2" w:themeShade="BF"/>
                <w:sz w:val="28"/>
                <w:szCs w:val="28"/>
              </w:rPr>
              <w:t xml:space="preserve">Deaf and Hard-of-Hearing License: </w:t>
            </w:r>
            <w:r w:rsidRPr="00D228AD">
              <w:rPr>
                <w:rFonts w:eastAsia="Times New Roman" w:cs="Times New Roman"/>
                <w:b/>
                <w:bCs/>
                <w:i/>
                <w:color w:val="323E4F" w:themeColor="text2" w:themeShade="BF"/>
                <w:sz w:val="28"/>
                <w:szCs w:val="28"/>
              </w:rPr>
              <w:t>(ASL/TC)</w:t>
            </w:r>
            <w:r w:rsidRPr="00D228AD">
              <w:rPr>
                <w:rFonts w:eastAsia="Times New Roman" w:cs="Times New Roman"/>
                <w:b/>
                <w:color w:val="323E4F" w:themeColor="text2" w:themeShade="BF"/>
                <w:sz w:val="28"/>
                <w:szCs w:val="28"/>
              </w:rPr>
              <w:t>: SG&amp;S Form</w:t>
            </w:r>
            <w:r w:rsidRPr="00D228AD">
              <w:rPr>
                <w:rFonts w:ascii="Calibri" w:eastAsia="Times New Roman" w:hAnsi="Calibri" w:cs="Times New Roman"/>
                <w:b/>
                <w:color w:val="323E4F" w:themeColor="text2" w:themeShade="BF"/>
                <w:sz w:val="28"/>
                <w:szCs w:val="28"/>
              </w:rPr>
              <w:t xml:space="preserve"> (Page 3 of 3)</w:t>
            </w:r>
          </w:p>
        </w:tc>
      </w:tr>
      <w:tr w:rsidR="00547C19" w:rsidRPr="00231975" w14:paraId="17A7BCE6" w14:textId="77777777" w:rsidTr="000A3296">
        <w:trPr>
          <w:trHeight w:val="1142"/>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E65E8E3"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bCs/>
                <w:sz w:val="18"/>
                <w:szCs w:val="18"/>
              </w:rPr>
              <w:t xml:space="preserve">Knowledge of current and historic medical, social, ethical and educational research related to educating students who are deaf or hard of hearing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4110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1F2DF4BD"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4112BD2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06EFF18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120995"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Observation</w:t>
            </w:r>
          </w:p>
          <w:p w14:paraId="550679C9"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747AF9FE"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Student Feedback </w:t>
            </w:r>
          </w:p>
          <w:p w14:paraId="2CD58DA5"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0F4C59B9" w14:textId="77777777" w:rsidTr="000A3296">
        <w:trPr>
          <w:trHeight w:val="1133"/>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90681BF"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Federal and State Education laws pertaining to special education and the implications of these laws on the development and implementation of IEPs and 504 plans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C4D1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52161085"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3849BC1"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01580200"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516709"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Observation</w:t>
            </w:r>
          </w:p>
          <w:p w14:paraId="55EA7E1D"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1FF50C92"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Student Feedback </w:t>
            </w:r>
          </w:p>
          <w:p w14:paraId="16EFF9BC"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14FB9493" w14:textId="77777777" w:rsidTr="000A3296">
        <w:trPr>
          <w:trHeight w:val="713"/>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F1AB910" w14:textId="77777777" w:rsidR="00547C19" w:rsidRPr="00231975" w:rsidRDefault="00547C19" w:rsidP="00C64EF2">
            <w:pPr>
              <w:spacing w:before="0" w:after="0" w:line="256" w:lineRule="auto"/>
              <w:ind w:left="60"/>
              <w:jc w:val="left"/>
              <w:rPr>
                <w:rFonts w:eastAsia="Times New Roman" w:cs="Times New Roman"/>
                <w:b/>
                <w:sz w:val="18"/>
                <w:szCs w:val="18"/>
              </w:rPr>
            </w:pPr>
            <w:r w:rsidRPr="00231975">
              <w:rPr>
                <w:rFonts w:eastAsia="Times New Roman" w:cs="Times New Roman"/>
                <w:b/>
                <w:sz w:val="18"/>
                <w:szCs w:val="18"/>
              </w:rPr>
              <w:t xml:space="preserve">Based on the candidate’s performance in the SG&amp;S process, we have determined this candidate to be: </w:t>
            </w:r>
          </w:p>
        </w:tc>
        <w:tc>
          <w:tcPr>
            <w:tcW w:w="2520"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3F3A971E" w14:textId="77777777" w:rsidR="00547C19" w:rsidRPr="00231975" w:rsidRDefault="00547C19" w:rsidP="00C64EF2">
            <w:pPr>
              <w:numPr>
                <w:ilvl w:val="0"/>
                <w:numId w:val="2"/>
              </w:numPr>
              <w:spacing w:before="120" w:after="0" w:line="256" w:lineRule="auto"/>
              <w:jc w:val="left"/>
              <w:textAlignment w:val="baseline"/>
              <w:rPr>
                <w:rFonts w:eastAsia="Times New Roman" w:cs="Arial"/>
                <w:b/>
                <w:sz w:val="18"/>
                <w:szCs w:val="18"/>
              </w:rPr>
            </w:pPr>
            <w:r w:rsidRPr="00231975">
              <w:rPr>
                <w:rFonts w:eastAsia="Times New Roman" w:cs="Arial"/>
                <w:b/>
                <w:sz w:val="18"/>
                <w:szCs w:val="18"/>
              </w:rPr>
              <w:t>Met Requirements</w:t>
            </w:r>
          </w:p>
        </w:tc>
        <w:tc>
          <w:tcPr>
            <w:tcW w:w="3085"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45C440ED" w14:textId="77777777" w:rsidR="00547C19" w:rsidRPr="00231975" w:rsidRDefault="00547C19" w:rsidP="00C64EF2">
            <w:pPr>
              <w:numPr>
                <w:ilvl w:val="0"/>
                <w:numId w:val="2"/>
              </w:numPr>
              <w:spacing w:before="120" w:after="0" w:line="256" w:lineRule="auto"/>
              <w:jc w:val="left"/>
              <w:textAlignment w:val="baseline"/>
              <w:rPr>
                <w:rFonts w:eastAsia="Times New Roman" w:cs="Arial"/>
                <w:b/>
                <w:sz w:val="18"/>
                <w:szCs w:val="18"/>
              </w:rPr>
            </w:pPr>
            <w:r w:rsidRPr="00231975">
              <w:rPr>
                <w:rFonts w:eastAsia="Times New Roman" w:cs="Arial"/>
                <w:b/>
                <w:sz w:val="18"/>
                <w:szCs w:val="18"/>
              </w:rPr>
              <w:t>Not Met Requirements</w:t>
            </w:r>
          </w:p>
        </w:tc>
      </w:tr>
      <w:tr w:rsidR="00547C19" w:rsidRPr="00231975" w14:paraId="2307A7F2"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27F8207" w14:textId="77777777" w:rsidR="00547C19" w:rsidRPr="00231975" w:rsidRDefault="00547C19" w:rsidP="00C64EF2">
            <w:pPr>
              <w:spacing w:before="0" w:after="0" w:line="256" w:lineRule="auto"/>
              <w:rPr>
                <w:rFonts w:eastAsia="Times New Roman" w:cs="Times New Roman"/>
                <w:b/>
                <w:sz w:val="18"/>
                <w:szCs w:val="18"/>
              </w:rPr>
            </w:pPr>
            <w:r w:rsidRPr="00231975">
              <w:rPr>
                <w:rFonts w:eastAsia="Times New Roman" w:cs="Times New Roman"/>
                <w:b/>
                <w:sz w:val="18"/>
                <w:szCs w:val="18"/>
              </w:rPr>
              <w:t>Supervising educator (signature)</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0AC09FB" w14:textId="77777777" w:rsidR="00547C19" w:rsidRPr="00231975" w:rsidRDefault="00547C19" w:rsidP="00C64EF2">
            <w:pPr>
              <w:spacing w:before="0" w:after="0" w:line="256" w:lineRule="auto"/>
              <w:ind w:left="360"/>
              <w:rPr>
                <w:rFonts w:eastAsia="Times New Roman" w:cs="Times New Roman"/>
                <w:sz w:val="18"/>
                <w:szCs w:val="18"/>
              </w:rPr>
            </w:pPr>
            <w:r w:rsidRPr="00231975">
              <w:rPr>
                <w:rFonts w:eastAsia="Times New Roman" w:cs="Times New Roman"/>
                <w:sz w:val="18"/>
                <w:szCs w:val="18"/>
              </w:rPr>
              <w:t xml:space="preserve">Date: </w:t>
            </w:r>
          </w:p>
        </w:tc>
      </w:tr>
      <w:tr w:rsidR="00547C19" w:rsidRPr="00231975" w14:paraId="5D46A173"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7C2A682" w14:textId="77777777" w:rsidR="00547C19" w:rsidRPr="00231975" w:rsidRDefault="00547C19" w:rsidP="00C64EF2">
            <w:pPr>
              <w:spacing w:before="0" w:after="0" w:line="256" w:lineRule="auto"/>
              <w:rPr>
                <w:rFonts w:eastAsia="Times New Roman" w:cs="Times New Roman"/>
                <w:b/>
                <w:sz w:val="18"/>
                <w:szCs w:val="18"/>
              </w:rPr>
            </w:pPr>
            <w:r w:rsidRPr="00231975">
              <w:rPr>
                <w:rFonts w:eastAsia="Times New Roman" w:cs="Times New Roman"/>
                <w:b/>
                <w:sz w:val="18"/>
                <w:szCs w:val="18"/>
              </w:rPr>
              <w:t>Supervising administrator (signature)</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17AC0E4" w14:textId="77777777" w:rsidR="00547C19" w:rsidRPr="00231975" w:rsidRDefault="00547C19" w:rsidP="00C64EF2">
            <w:pPr>
              <w:spacing w:before="0" w:after="0" w:line="256" w:lineRule="auto"/>
              <w:ind w:left="360"/>
              <w:rPr>
                <w:rFonts w:eastAsia="Times New Roman" w:cs="Times New Roman"/>
                <w:sz w:val="18"/>
                <w:szCs w:val="18"/>
              </w:rPr>
            </w:pPr>
            <w:r w:rsidRPr="00231975">
              <w:rPr>
                <w:rFonts w:eastAsia="Times New Roman" w:cs="Times New Roman"/>
                <w:sz w:val="18"/>
                <w:szCs w:val="18"/>
              </w:rPr>
              <w:t xml:space="preserve">Date: </w:t>
            </w:r>
          </w:p>
        </w:tc>
      </w:tr>
      <w:tr w:rsidR="00547C19" w:rsidRPr="00231975" w14:paraId="02C237DB"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9ACA293" w14:textId="77777777" w:rsidR="00547C19" w:rsidRPr="00231975" w:rsidRDefault="00547C19" w:rsidP="00C64EF2">
            <w:pPr>
              <w:spacing w:before="0" w:after="0" w:line="256" w:lineRule="auto"/>
              <w:rPr>
                <w:rFonts w:eastAsia="Times New Roman" w:cs="Times New Roman"/>
                <w:b/>
                <w:sz w:val="18"/>
                <w:szCs w:val="18"/>
              </w:rPr>
            </w:pPr>
            <w:r w:rsidRPr="00231975">
              <w:rPr>
                <w:rFonts w:eastAsia="Times New Roman" w:cs="Times New Roman"/>
                <w:b/>
                <w:sz w:val="18"/>
                <w:szCs w:val="18"/>
              </w:rPr>
              <w:t xml:space="preserve">Candidate (Signature) </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EE5D8FC" w14:textId="77777777" w:rsidR="00547C19" w:rsidRPr="00231975" w:rsidRDefault="00547C19" w:rsidP="00C64EF2">
            <w:pPr>
              <w:spacing w:before="0" w:after="0" w:line="256" w:lineRule="auto"/>
              <w:ind w:left="360"/>
              <w:rPr>
                <w:rFonts w:eastAsia="Times New Roman" w:cs="Times New Roman"/>
                <w:sz w:val="18"/>
                <w:szCs w:val="18"/>
              </w:rPr>
            </w:pPr>
            <w:r w:rsidRPr="00231975">
              <w:rPr>
                <w:rFonts w:eastAsia="Times New Roman" w:cs="Times New Roman"/>
                <w:sz w:val="18"/>
                <w:szCs w:val="18"/>
              </w:rPr>
              <w:t xml:space="preserve">Date: </w:t>
            </w:r>
          </w:p>
        </w:tc>
      </w:tr>
      <w:tr w:rsidR="00547C19" w14:paraId="5467942E" w14:textId="77777777" w:rsidTr="00C64EF2">
        <w:trPr>
          <w:trHeight w:val="576"/>
          <w:tblHeader/>
        </w:trPr>
        <w:tc>
          <w:tcPr>
            <w:tcW w:w="106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58D38" w14:textId="77777777" w:rsidR="00547C19" w:rsidRDefault="00547C19" w:rsidP="00C64EF2">
            <w:pPr>
              <w:spacing w:before="0" w:after="0" w:line="256" w:lineRule="auto"/>
              <w:ind w:left="-30"/>
              <w:rPr>
                <w:rFonts w:eastAsia="Times New Roman" w:cs="Times New Roman"/>
                <w:sz w:val="18"/>
                <w:szCs w:val="18"/>
              </w:rPr>
            </w:pPr>
            <w:r w:rsidRPr="00231975">
              <w:rPr>
                <w:b/>
                <w:sz w:val="20"/>
                <w:szCs w:val="20"/>
                <w:u w:val="single"/>
              </w:rPr>
              <w:t>Please note</w:t>
            </w:r>
            <w:r w:rsidRPr="00231975">
              <w:rPr>
                <w:b/>
                <w:sz w:val="20"/>
                <w:szCs w:val="20"/>
              </w:rPr>
              <w:t>:</w:t>
            </w:r>
            <w:r w:rsidRPr="00231975">
              <w:rPr>
                <w:sz w:val="24"/>
                <w:szCs w:val="24"/>
              </w:rPr>
              <w:t xml:space="preserve"> </w:t>
            </w:r>
            <w:r w:rsidRPr="00231975">
              <w:rPr>
                <w:sz w:val="20"/>
                <w:szCs w:val="20"/>
              </w:rPr>
              <w:t xml:space="preserve">Documents may be uploaded into your ELAR account or mailed to the Office of Educator Licensure. Information regarding the uploading and mailing of documents may be found </w:t>
            </w:r>
            <w:hyperlink r:id="rId17" w:history="1">
              <w:r w:rsidRPr="00231975">
                <w:rPr>
                  <w:rStyle w:val="Hyperlink"/>
                  <w:color w:val="0000FF"/>
                  <w:sz w:val="20"/>
                  <w:szCs w:val="20"/>
                </w:rPr>
                <w:t>here</w:t>
              </w:r>
            </w:hyperlink>
            <w:r w:rsidRPr="00231975">
              <w:rPr>
                <w:color w:val="0000FF"/>
                <w:sz w:val="20"/>
                <w:szCs w:val="20"/>
              </w:rPr>
              <w:t>.</w:t>
            </w:r>
          </w:p>
        </w:tc>
      </w:tr>
      <w:bookmarkEnd w:id="1"/>
      <w:bookmarkEnd w:id="4"/>
    </w:tbl>
    <w:p w14:paraId="24AC9CC7" w14:textId="77777777" w:rsidR="00873D7E" w:rsidRDefault="00873D7E"/>
    <w:sectPr w:rsidR="00873D7E" w:rsidSect="000A329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DFC2" w14:textId="77777777" w:rsidR="00BA0DFB" w:rsidRDefault="00BA0DFB" w:rsidP="000C7189">
      <w:pPr>
        <w:spacing w:before="0" w:after="0"/>
      </w:pPr>
      <w:r>
        <w:separator/>
      </w:r>
    </w:p>
  </w:endnote>
  <w:endnote w:type="continuationSeparator" w:id="0">
    <w:p w14:paraId="554189DA" w14:textId="77777777" w:rsidR="00BA0DFB" w:rsidRDefault="00BA0DFB" w:rsidP="000C7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BDD7" w14:textId="77777777" w:rsidR="000C7189" w:rsidRDefault="000C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CED8" w14:textId="77777777" w:rsidR="000C7189" w:rsidRDefault="000C7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9160" w14:textId="77777777" w:rsidR="000C7189" w:rsidRDefault="000C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604D2" w14:textId="77777777" w:rsidR="00BA0DFB" w:rsidRDefault="00BA0DFB" w:rsidP="000C7189">
      <w:pPr>
        <w:spacing w:before="0" w:after="0"/>
      </w:pPr>
      <w:r>
        <w:separator/>
      </w:r>
    </w:p>
  </w:footnote>
  <w:footnote w:type="continuationSeparator" w:id="0">
    <w:p w14:paraId="74F8F1DC" w14:textId="77777777" w:rsidR="00BA0DFB" w:rsidRDefault="00BA0DFB" w:rsidP="000C71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59EA" w14:textId="77777777" w:rsidR="000C7189" w:rsidRDefault="000C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48558"/>
      <w:docPartObj>
        <w:docPartGallery w:val="Watermarks"/>
        <w:docPartUnique/>
      </w:docPartObj>
    </w:sdtPr>
    <w:sdtEndPr/>
    <w:sdtContent>
      <w:p w14:paraId="3CE805D9" w14:textId="77777777" w:rsidR="000C7189" w:rsidRDefault="00BA0DFB">
        <w:pPr>
          <w:pStyle w:val="Header"/>
        </w:pPr>
        <w:r>
          <w:rPr>
            <w:noProof/>
          </w:rPr>
          <w:pict w14:anchorId="13497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52C1" w14:textId="77777777" w:rsidR="000C7189" w:rsidRDefault="000C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BF4C43"/>
    <w:multiLevelType w:val="hybridMultilevel"/>
    <w:tmpl w:val="DFC8A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19"/>
    <w:rsid w:val="000A3296"/>
    <w:rsid w:val="000C7189"/>
    <w:rsid w:val="000E5884"/>
    <w:rsid w:val="001D11A2"/>
    <w:rsid w:val="002271E5"/>
    <w:rsid w:val="00231975"/>
    <w:rsid w:val="002D66CB"/>
    <w:rsid w:val="00325732"/>
    <w:rsid w:val="00360F96"/>
    <w:rsid w:val="00547C19"/>
    <w:rsid w:val="00873D7E"/>
    <w:rsid w:val="00922902"/>
    <w:rsid w:val="00953D2A"/>
    <w:rsid w:val="00B43633"/>
    <w:rsid w:val="00BA0DFB"/>
    <w:rsid w:val="00CF41A1"/>
    <w:rsid w:val="00D228AD"/>
    <w:rsid w:val="00EF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0D354C"/>
  <w15:chartTrackingRefBased/>
  <w15:docId w15:val="{228E5319-748E-4BFF-8781-7586ACB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9"/>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C19"/>
    <w:rPr>
      <w:color w:val="0563C1" w:themeColor="hyperlink"/>
      <w:u w:val="single"/>
    </w:rPr>
  </w:style>
  <w:style w:type="paragraph" w:styleId="ListParagraph">
    <w:name w:val="List Paragraph"/>
    <w:basedOn w:val="Normal"/>
    <w:uiPriority w:val="34"/>
    <w:qFormat/>
    <w:rsid w:val="00547C19"/>
    <w:pPr>
      <w:ind w:left="720"/>
      <w:contextualSpacing/>
    </w:pPr>
  </w:style>
  <w:style w:type="paragraph" w:styleId="Header">
    <w:name w:val="header"/>
    <w:basedOn w:val="Normal"/>
    <w:link w:val="HeaderChar"/>
    <w:uiPriority w:val="99"/>
    <w:unhideWhenUsed/>
    <w:rsid w:val="000C7189"/>
    <w:pPr>
      <w:tabs>
        <w:tab w:val="center" w:pos="4680"/>
        <w:tab w:val="right" w:pos="9360"/>
      </w:tabs>
      <w:spacing w:before="0" w:after="0"/>
    </w:pPr>
  </w:style>
  <w:style w:type="character" w:customStyle="1" w:styleId="HeaderChar">
    <w:name w:val="Header Char"/>
    <w:basedOn w:val="DefaultParagraphFont"/>
    <w:link w:val="Header"/>
    <w:uiPriority w:val="99"/>
    <w:rsid w:val="000C7189"/>
  </w:style>
  <w:style w:type="paragraph" w:styleId="Footer">
    <w:name w:val="footer"/>
    <w:basedOn w:val="Normal"/>
    <w:link w:val="FooterChar"/>
    <w:uiPriority w:val="99"/>
    <w:unhideWhenUsed/>
    <w:rsid w:val="000C7189"/>
    <w:pPr>
      <w:tabs>
        <w:tab w:val="center" w:pos="4680"/>
        <w:tab w:val="right" w:pos="9360"/>
      </w:tabs>
      <w:spacing w:before="0" w:after="0"/>
    </w:pPr>
  </w:style>
  <w:style w:type="character" w:customStyle="1" w:styleId="FooterChar">
    <w:name w:val="Footer Char"/>
    <w:basedOn w:val="DefaultParagraphFont"/>
    <w:link w:val="Footer"/>
    <w:uiPriority w:val="99"/>
    <w:rsid w:val="000C7189"/>
  </w:style>
  <w:style w:type="paragraph" w:customStyle="1" w:styleId="Normal1">
    <w:name w:val="Normal1"/>
    <w:rsid w:val="000A3296"/>
    <w:pPr>
      <w:widowControl w:val="0"/>
      <w:spacing w:after="200" w:line="276" w:lineRule="auto"/>
    </w:pPr>
    <w:rPr>
      <w:rFonts w:ascii="Calibri" w:eastAsia="Calibri" w:hAnsi="Calibri" w:cs="Calibri"/>
      <w:color w:val="000000"/>
    </w:rPr>
  </w:style>
  <w:style w:type="table" w:styleId="TableGrid">
    <w:name w:val="Table Grid"/>
    <w:basedOn w:val="TableNormal"/>
    <w:uiPriority w:val="59"/>
    <w:rsid w:val="000A3296"/>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e.mass.edu/licensure/ela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DESE-231-59886</_dlc_DocId>
    <_dlc_DocIdUrl xmlns="733efe1c-5bbe-4968-87dc-d400e65c879f">
      <Url>https://sharepoint.doemass.org/ese/webteam/cps/_layouts/DocIdRedir.aspx?ID=DESE-231-59886</Url>
      <Description>DESE-231-59886</Description>
    </_dlc_DocIdUrl>
  </documentManagement>
</p:properties>
</file>

<file path=customXml/itemProps1.xml><?xml version="1.0" encoding="utf-8"?>
<ds:datastoreItem xmlns:ds="http://schemas.openxmlformats.org/officeDocument/2006/customXml" ds:itemID="{217BAA32-51CB-49DE-96E2-2D2E99F3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7F404-EDC4-4A9B-8F7F-68AA391054EC}">
  <ds:schemaRefs>
    <ds:schemaRef ds:uri="http://schemas.microsoft.com/sharepoint/events"/>
  </ds:schemaRefs>
</ds:datastoreItem>
</file>

<file path=customXml/itemProps3.xml><?xml version="1.0" encoding="utf-8"?>
<ds:datastoreItem xmlns:ds="http://schemas.openxmlformats.org/officeDocument/2006/customXml" ds:itemID="{5D04B7D6-4BA8-4ACC-ADD6-5618F2FB29BF}">
  <ds:schemaRefs>
    <ds:schemaRef ds:uri="http://schemas.microsoft.com/sharepoint/v3/contenttype/forms"/>
  </ds:schemaRefs>
</ds:datastoreItem>
</file>

<file path=customXml/itemProps4.xml><?xml version="1.0" encoding="utf-8"?>
<ds:datastoreItem xmlns:ds="http://schemas.openxmlformats.org/officeDocument/2006/customXml" ds:itemID="{ED428E2A-76A6-4087-A482-9B8E4C51E5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2451</Words>
  <Characters>14703</Characters>
  <Application>Microsoft Office Word</Application>
  <DocSecurity>0</DocSecurity>
  <Lines>661</Lines>
  <Paragraphs>247</Paragraphs>
  <ScaleCrop>false</ScaleCrop>
  <HeadingPairs>
    <vt:vector size="2" baseType="variant">
      <vt:variant>
        <vt:lpstr>Title</vt:lpstr>
      </vt:variant>
      <vt:variant>
        <vt:i4>1</vt:i4>
      </vt:variant>
    </vt:vector>
  </HeadingPairs>
  <TitlesOfParts>
    <vt:vector size="1" baseType="lpstr">
      <vt:lpstr>Rubric for Deaf and Hard-of-Hearing License: American Sign Language/Total Communication (ASL/TC)</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Deaf and Hard-of-Hearing License: American Sign Language/Total Communication (ASL/TC)</dc:title>
  <dc:subject>Rubric for Deaf and Hard-of-Hearing License: American Sign Language/Total Communication (ASL/TC)</dc:subject>
  <dc:creator>Bloomer, Roberta M (DESE)</dc:creator>
  <cp:keywords/>
  <dc:description/>
  <cp:lastModifiedBy>O'Brien-Driscoll, Courtney (EOE)</cp:lastModifiedBy>
  <cp:revision>3</cp:revision>
  <dcterms:created xsi:type="dcterms:W3CDTF">2020-04-16T14:06:00Z</dcterms:created>
  <dcterms:modified xsi:type="dcterms:W3CDTF">2020-04-16T14:19:00Z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e14e3a2c-b757-4591-998f-0d94e4d6a96b</vt:lpwstr>
  </property>
  <property fmtid="{D5CDD505-2E9C-101B-9397-08002B2CF9AE}" pid="4" name="metadate">
    <vt:lpwstr>Apr 16 2020</vt:lpwstr>
  </property>
</Properties>
</file>