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7AACA"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0D3221F5" wp14:editId="15D2881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626FC75F"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54065FE"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4F486E33" wp14:editId="42E3F3E3">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C349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4295C359"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67413C3" w14:textId="77777777" w:rsidR="00A20194" w:rsidRPr="00C974A6" w:rsidRDefault="00A20194">
      <w:pPr>
        <w:ind w:left="720"/>
        <w:rPr>
          <w:rFonts w:ascii="Arial" w:hAnsi="Arial"/>
          <w:i/>
          <w:sz w:val="16"/>
          <w:szCs w:val="16"/>
        </w:rPr>
      </w:pPr>
    </w:p>
    <w:p w14:paraId="2E26DEEE"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2443280E"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Jeffrey C. Riley"/>
        <w:tblDescription w:val="Commissioner Jeffrey C. Riley"/>
      </w:tblPr>
      <w:tblGrid>
        <w:gridCol w:w="2951"/>
        <w:gridCol w:w="8425"/>
      </w:tblGrid>
      <w:tr w:rsidR="00C974A6" w:rsidRPr="00C974A6" w14:paraId="2275957E" w14:textId="77777777">
        <w:tc>
          <w:tcPr>
            <w:tcW w:w="2988" w:type="dxa"/>
          </w:tcPr>
          <w:p w14:paraId="3F646186"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8FE339D"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1B0ED106" w14:textId="77777777" w:rsidR="00C974A6" w:rsidRPr="00C974A6" w:rsidRDefault="00C974A6" w:rsidP="00C974A6">
            <w:pPr>
              <w:jc w:val="center"/>
              <w:rPr>
                <w:rFonts w:ascii="Arial" w:hAnsi="Arial"/>
                <w:i/>
                <w:sz w:val="16"/>
                <w:szCs w:val="16"/>
              </w:rPr>
            </w:pPr>
          </w:p>
        </w:tc>
      </w:tr>
    </w:tbl>
    <w:p w14:paraId="13F4D319"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2533522" w14:textId="57E41759" w:rsidR="00606ED1" w:rsidRDefault="00606ED1" w:rsidP="00606ED1">
      <w:pPr>
        <w:pStyle w:val="Heading1"/>
        <w:tabs>
          <w:tab w:val="clear" w:pos="4680"/>
        </w:tabs>
      </w:pPr>
      <w:r>
        <w:t>MEMORANDUM</w:t>
      </w:r>
    </w:p>
    <w:p w14:paraId="3D2A2508" w14:textId="77777777" w:rsidR="00606ED1" w:rsidRDefault="00606ED1" w:rsidP="00606ED1">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o, From, Date and Subject Lines of Letter"/>
        <w:tblDescription w:val="To Superintendents and other school leaders from the Office of Educator Licensure. Memo about the Bilingual Education Endorsement"/>
      </w:tblPr>
      <w:tblGrid>
        <w:gridCol w:w="1184"/>
        <w:gridCol w:w="8176"/>
      </w:tblGrid>
      <w:tr w:rsidR="00606ED1" w14:paraId="0E0A4D3D" w14:textId="77777777" w:rsidTr="001D6E70">
        <w:tc>
          <w:tcPr>
            <w:tcW w:w="1188" w:type="dxa"/>
          </w:tcPr>
          <w:p w14:paraId="14DB68EB" w14:textId="77777777" w:rsidR="00606ED1" w:rsidRDefault="00606ED1" w:rsidP="001D6E70">
            <w:pPr>
              <w:rPr>
                <w:b/>
              </w:rPr>
            </w:pPr>
            <w:r>
              <w:rPr>
                <w:b/>
              </w:rPr>
              <w:t>To:</w:t>
            </w:r>
          </w:p>
        </w:tc>
        <w:tc>
          <w:tcPr>
            <w:tcW w:w="8388" w:type="dxa"/>
          </w:tcPr>
          <w:p w14:paraId="4054BE03" w14:textId="7AD15CC3" w:rsidR="00606ED1" w:rsidRPr="009B1D8F" w:rsidRDefault="009F5F53" w:rsidP="002C117A">
            <w:r>
              <w:t>Superintendents</w:t>
            </w:r>
            <w:r w:rsidR="004D5365">
              <w:t xml:space="preserve">, </w:t>
            </w:r>
            <w:r>
              <w:t>Leaders of Charter Schools and Educational Collaboratives</w:t>
            </w:r>
            <w:r w:rsidR="004D5365">
              <w:t>, Directors of Bilingual Programs and Educators Seeking a Bilingual Education Endorsement</w:t>
            </w:r>
          </w:p>
        </w:tc>
      </w:tr>
      <w:tr w:rsidR="00606ED1" w14:paraId="34ACFAD7" w14:textId="77777777" w:rsidTr="001D6E70">
        <w:tc>
          <w:tcPr>
            <w:tcW w:w="1188" w:type="dxa"/>
          </w:tcPr>
          <w:p w14:paraId="3C41CFF6" w14:textId="77777777" w:rsidR="00606ED1" w:rsidRDefault="00606ED1" w:rsidP="001D6E70">
            <w:pPr>
              <w:rPr>
                <w:b/>
              </w:rPr>
            </w:pPr>
            <w:r>
              <w:rPr>
                <w:b/>
              </w:rPr>
              <w:t>From:</w:t>
            </w:r>
            <w:r w:rsidRPr="00490D51">
              <w:rPr>
                <w:b/>
              </w:rPr>
              <w:tab/>
            </w:r>
          </w:p>
        </w:tc>
        <w:tc>
          <w:tcPr>
            <w:tcW w:w="8388" w:type="dxa"/>
          </w:tcPr>
          <w:p w14:paraId="70D75898" w14:textId="5C3E39A0" w:rsidR="00606ED1" w:rsidRDefault="007C5A1E" w:rsidP="001D6E70">
            <w:r>
              <w:t>Brian Devine, Director, Office of Educator Licensure</w:t>
            </w:r>
          </w:p>
          <w:p w14:paraId="43D3F00D" w14:textId="6A17950B" w:rsidR="007C5A1E" w:rsidRPr="009B1D8F" w:rsidRDefault="007C5A1E" w:rsidP="001D6E70">
            <w:r>
              <w:t xml:space="preserve">Paul Aguiar, Director, Office of Language Acquisition </w:t>
            </w:r>
          </w:p>
        </w:tc>
      </w:tr>
      <w:tr w:rsidR="00606ED1" w14:paraId="21B375E7" w14:textId="77777777" w:rsidTr="001D6E70">
        <w:tc>
          <w:tcPr>
            <w:tcW w:w="1188" w:type="dxa"/>
          </w:tcPr>
          <w:p w14:paraId="6B1FD4F5" w14:textId="77777777" w:rsidR="00606ED1" w:rsidRDefault="00606ED1" w:rsidP="001D6E70">
            <w:pPr>
              <w:rPr>
                <w:b/>
              </w:rPr>
            </w:pPr>
            <w:r>
              <w:rPr>
                <w:b/>
              </w:rPr>
              <w:t>Date:</w:t>
            </w:r>
            <w:r>
              <w:tab/>
            </w:r>
          </w:p>
        </w:tc>
        <w:tc>
          <w:tcPr>
            <w:tcW w:w="8388" w:type="dxa"/>
          </w:tcPr>
          <w:p w14:paraId="3F39A674" w14:textId="4C674817" w:rsidR="00606ED1" w:rsidRPr="009B1D8F" w:rsidRDefault="00C74FC9" w:rsidP="003D0D8A">
            <w:r>
              <w:t>October</w:t>
            </w:r>
            <w:r w:rsidR="00606ED1" w:rsidRPr="00E408A9">
              <w:t xml:space="preserve"> </w:t>
            </w:r>
            <w:r w:rsidR="004D5365">
              <w:t>9</w:t>
            </w:r>
            <w:r w:rsidR="00606ED1" w:rsidRPr="00E408A9">
              <w:t>, 201</w:t>
            </w:r>
            <w:r w:rsidR="00606ED1">
              <w:t>9</w:t>
            </w:r>
          </w:p>
        </w:tc>
      </w:tr>
      <w:tr w:rsidR="00606ED1" w14:paraId="4C780F3C" w14:textId="77777777" w:rsidTr="001D6E70">
        <w:tc>
          <w:tcPr>
            <w:tcW w:w="1188" w:type="dxa"/>
          </w:tcPr>
          <w:p w14:paraId="7CBED683" w14:textId="77777777" w:rsidR="00606ED1" w:rsidRDefault="00606ED1" w:rsidP="001D6E70">
            <w:pPr>
              <w:rPr>
                <w:b/>
              </w:rPr>
            </w:pPr>
            <w:r>
              <w:rPr>
                <w:b/>
              </w:rPr>
              <w:t>Subject:</w:t>
            </w:r>
          </w:p>
        </w:tc>
        <w:tc>
          <w:tcPr>
            <w:tcW w:w="8388" w:type="dxa"/>
          </w:tcPr>
          <w:p w14:paraId="40385740" w14:textId="77777777" w:rsidR="00606ED1" w:rsidRPr="009B1D8F" w:rsidRDefault="00606ED1" w:rsidP="001D6E70">
            <w:r>
              <w:t xml:space="preserve">Information about </w:t>
            </w:r>
            <w:r w:rsidR="0051118A">
              <w:t xml:space="preserve">the </w:t>
            </w:r>
            <w:r>
              <w:t>Bilingual Education Endorsement</w:t>
            </w:r>
          </w:p>
        </w:tc>
      </w:tr>
    </w:tbl>
    <w:p w14:paraId="34ED5A99" w14:textId="77777777" w:rsidR="00606ED1" w:rsidRDefault="00606ED1" w:rsidP="00606ED1">
      <w:pPr>
        <w:pBdr>
          <w:bottom w:val="single" w:sz="4" w:space="1" w:color="auto"/>
        </w:pBdr>
      </w:pPr>
      <w:bookmarkStart w:id="0" w:name="TO"/>
      <w:bookmarkStart w:id="1" w:name="FROM"/>
      <w:bookmarkStart w:id="2" w:name="DATE"/>
      <w:bookmarkStart w:id="3" w:name="RE"/>
      <w:bookmarkEnd w:id="0"/>
      <w:bookmarkEnd w:id="1"/>
      <w:bookmarkEnd w:id="2"/>
      <w:bookmarkEnd w:id="3"/>
    </w:p>
    <w:p w14:paraId="10B96558" w14:textId="77777777" w:rsidR="00606ED1" w:rsidRDefault="00606ED1" w:rsidP="00606ED1">
      <w:pPr>
        <w:sectPr w:rsidR="00606ED1">
          <w:endnotePr>
            <w:numFmt w:val="decimal"/>
          </w:endnotePr>
          <w:type w:val="continuous"/>
          <w:pgSz w:w="12240" w:h="15840"/>
          <w:pgMar w:top="1440" w:right="1440" w:bottom="1440" w:left="1440" w:header="1440" w:footer="1440" w:gutter="0"/>
          <w:cols w:space="720"/>
          <w:noEndnote/>
        </w:sectPr>
      </w:pPr>
    </w:p>
    <w:p w14:paraId="33719891" w14:textId="77777777" w:rsidR="00606ED1" w:rsidRDefault="00606ED1" w:rsidP="00606ED1"/>
    <w:p w14:paraId="3B826ECA" w14:textId="33877CD6" w:rsidR="00857F81" w:rsidRDefault="00857F81">
      <w:r>
        <w:t xml:space="preserve">As you may know, the Department of Elementary and Secondary Education (Department) developed a Bilingual Education Endorsement in 2018. This memo provides an overview of the Bilingual Education Endorsement </w:t>
      </w:r>
      <w:r w:rsidR="00EA1FD8">
        <w:t>requirements and information that may be helpful to your school district</w:t>
      </w:r>
      <w:r w:rsidR="007038CA">
        <w:t xml:space="preserve"> if you are </w:t>
      </w:r>
      <w:r w:rsidR="005B05FA">
        <w:t>offering or planning to offer a bilingual education program</w:t>
      </w:r>
      <w:r w:rsidR="00C614F0">
        <w:t>.</w:t>
      </w:r>
      <w:r w:rsidR="00C614F0" w:rsidRPr="00407713">
        <w:rPr>
          <w:rStyle w:val="FootnoteReference"/>
          <w:vertAlign w:val="superscript"/>
        </w:rPr>
        <w:footnoteReference w:id="1"/>
      </w:r>
      <w:r w:rsidR="00C614F0">
        <w:t xml:space="preserve"> </w:t>
      </w:r>
      <w:r>
        <w:t xml:space="preserve"> </w:t>
      </w:r>
    </w:p>
    <w:p w14:paraId="743A9CEE" w14:textId="77777777" w:rsidR="00857F81" w:rsidRDefault="00857F81"/>
    <w:p w14:paraId="728D6D93" w14:textId="35BBE605" w:rsidR="00EA1FD8" w:rsidRDefault="00857F81" w:rsidP="00053A92">
      <w:pPr>
        <w:pStyle w:val="ListParagraph"/>
        <w:numPr>
          <w:ilvl w:val="0"/>
          <w:numId w:val="22"/>
        </w:numPr>
        <w:rPr>
          <w:b/>
        </w:rPr>
      </w:pPr>
      <w:r w:rsidRPr="00DD3A15">
        <w:rPr>
          <w:b/>
        </w:rPr>
        <w:t>What you need to know from this memo</w:t>
      </w:r>
    </w:p>
    <w:p w14:paraId="04742A5B" w14:textId="77777777" w:rsidR="00DB5109" w:rsidRDefault="00DB5109" w:rsidP="00DD3A15">
      <w:pPr>
        <w:pStyle w:val="ListParagraph"/>
        <w:ind w:left="1080"/>
        <w:rPr>
          <w:b/>
        </w:rPr>
      </w:pPr>
    </w:p>
    <w:p w14:paraId="4E812009" w14:textId="125F11A5" w:rsidR="00EA1FD8" w:rsidRDefault="00EA1FD8" w:rsidP="00053A92">
      <w:pPr>
        <w:pStyle w:val="ListParagraph"/>
        <w:numPr>
          <w:ilvl w:val="0"/>
          <w:numId w:val="23"/>
        </w:numPr>
      </w:pPr>
      <w:r w:rsidRPr="00DD3A15">
        <w:t xml:space="preserve">Core academic teachers </w:t>
      </w:r>
      <w:r w:rsidR="007038CA">
        <w:t xml:space="preserve">who </w:t>
      </w:r>
      <w:r w:rsidRPr="00DD3A15">
        <w:t xml:space="preserve">provide instruction in a language other than English </w:t>
      </w:r>
      <w:r w:rsidR="005B05FA">
        <w:t xml:space="preserve">to students who are English learners </w:t>
      </w:r>
      <w:r w:rsidRPr="00DD3A15">
        <w:t>must hold the Bilingual Education Endorsement.</w:t>
      </w:r>
    </w:p>
    <w:p w14:paraId="780E8EA7" w14:textId="683DE95C" w:rsidR="00EA1FD8" w:rsidRPr="00DD3A15" w:rsidRDefault="00DB5109" w:rsidP="00EA1FD8">
      <w:pPr>
        <w:pStyle w:val="ListParagraph"/>
        <w:numPr>
          <w:ilvl w:val="0"/>
          <w:numId w:val="23"/>
        </w:numPr>
      </w:pPr>
      <w:r>
        <w:t xml:space="preserve">A valid Transitional Bilingual Education (TBE) license or Transitional Bilingual Learning (TBL) endorsement previously issued by the Department may be used in lieu of the Bilingual Education Endorsement. </w:t>
      </w:r>
    </w:p>
    <w:p w14:paraId="7FB040AA" w14:textId="541CE9A0" w:rsidR="00EA1FD8" w:rsidRPr="007038CA" w:rsidRDefault="00EA1FD8" w:rsidP="00053A92">
      <w:pPr>
        <w:pStyle w:val="ListParagraph"/>
        <w:numPr>
          <w:ilvl w:val="0"/>
          <w:numId w:val="23"/>
        </w:numPr>
      </w:pPr>
      <w:r w:rsidRPr="007038CA">
        <w:rPr>
          <w:color w:val="000000"/>
          <w:szCs w:val="24"/>
        </w:rPr>
        <w:t xml:space="preserve">Core academic teachers </w:t>
      </w:r>
      <w:r w:rsidR="007038CA" w:rsidRPr="007038CA">
        <w:rPr>
          <w:color w:val="000000"/>
          <w:szCs w:val="24"/>
        </w:rPr>
        <w:t xml:space="preserve">who </w:t>
      </w:r>
      <w:r w:rsidRPr="007038CA">
        <w:rPr>
          <w:color w:val="000000"/>
          <w:szCs w:val="24"/>
        </w:rPr>
        <w:t xml:space="preserve">provide instruction in English to an English learner in a bilingual education setting, must hold </w:t>
      </w:r>
      <w:r w:rsidRPr="00FC3C8F">
        <w:rPr>
          <w:color w:val="000000"/>
          <w:szCs w:val="24"/>
        </w:rPr>
        <w:t>either</w:t>
      </w:r>
      <w:r w:rsidRPr="007038CA">
        <w:rPr>
          <w:color w:val="000000"/>
          <w:szCs w:val="24"/>
        </w:rPr>
        <w:t xml:space="preserve"> the Bilingual Education Endorsement </w:t>
      </w:r>
      <w:r w:rsidRPr="007038CA">
        <w:rPr>
          <w:b/>
          <w:color w:val="000000"/>
          <w:szCs w:val="24"/>
        </w:rPr>
        <w:t>or</w:t>
      </w:r>
      <w:r w:rsidRPr="007038CA">
        <w:rPr>
          <w:color w:val="000000"/>
          <w:szCs w:val="24"/>
        </w:rPr>
        <w:t xml:space="preserve"> the </w:t>
      </w:r>
      <w:r w:rsidR="005B05FA">
        <w:rPr>
          <w:color w:val="000000"/>
          <w:szCs w:val="24"/>
        </w:rPr>
        <w:t>Sheltered English Immersion (</w:t>
      </w:r>
      <w:r w:rsidRPr="007038CA">
        <w:rPr>
          <w:color w:val="000000"/>
          <w:szCs w:val="24"/>
        </w:rPr>
        <w:t>SEI</w:t>
      </w:r>
      <w:r w:rsidR="005B05FA">
        <w:rPr>
          <w:color w:val="000000"/>
          <w:szCs w:val="24"/>
        </w:rPr>
        <w:t>)</w:t>
      </w:r>
      <w:r w:rsidRPr="007038CA">
        <w:rPr>
          <w:color w:val="000000"/>
          <w:szCs w:val="24"/>
        </w:rPr>
        <w:t xml:space="preserve"> Endorsement</w:t>
      </w:r>
      <w:r w:rsidR="007038CA">
        <w:rPr>
          <w:color w:val="000000"/>
          <w:szCs w:val="24"/>
        </w:rPr>
        <w:t>.</w:t>
      </w:r>
    </w:p>
    <w:p w14:paraId="62F32F88" w14:textId="156AC08F" w:rsidR="00EA1FD8" w:rsidRPr="007038CA" w:rsidRDefault="00EA1FD8" w:rsidP="00053A92">
      <w:pPr>
        <w:pStyle w:val="ListParagraph"/>
        <w:numPr>
          <w:ilvl w:val="0"/>
          <w:numId w:val="23"/>
        </w:numPr>
      </w:pPr>
      <w:r w:rsidRPr="007038CA">
        <w:rPr>
          <w:color w:val="000000"/>
          <w:szCs w:val="24"/>
        </w:rPr>
        <w:t xml:space="preserve">There are multiple pathways to earn the </w:t>
      </w:r>
      <w:r w:rsidR="006335C5">
        <w:rPr>
          <w:color w:val="000000"/>
          <w:szCs w:val="24"/>
        </w:rPr>
        <w:t>Bilingual Education</w:t>
      </w:r>
      <w:r w:rsidRPr="007038CA">
        <w:rPr>
          <w:color w:val="000000"/>
          <w:szCs w:val="24"/>
        </w:rPr>
        <w:t xml:space="preserve"> Endorsement</w:t>
      </w:r>
      <w:r w:rsidR="007038CA" w:rsidRPr="007038CA">
        <w:rPr>
          <w:color w:val="000000"/>
          <w:szCs w:val="24"/>
        </w:rPr>
        <w:t>,</w:t>
      </w:r>
      <w:r w:rsidRPr="007038CA">
        <w:rPr>
          <w:color w:val="000000"/>
          <w:szCs w:val="24"/>
        </w:rPr>
        <w:t xml:space="preserve"> including a “grandfather clause” that is in effect until June 30, 2020. </w:t>
      </w:r>
    </w:p>
    <w:p w14:paraId="23A5F97E" w14:textId="21EA92D6" w:rsidR="00EA1FD8" w:rsidRDefault="00DB5109" w:rsidP="00053A92">
      <w:pPr>
        <w:pStyle w:val="ListParagraph"/>
        <w:numPr>
          <w:ilvl w:val="0"/>
          <w:numId w:val="23"/>
        </w:numPr>
      </w:pPr>
      <w:r w:rsidRPr="00DD3A15">
        <w:t xml:space="preserve">School districts </w:t>
      </w:r>
      <w:r w:rsidR="00FC3C8F">
        <w:t xml:space="preserve">may </w:t>
      </w:r>
      <w:r w:rsidRPr="00DD3A15">
        <w:t xml:space="preserve">obtain a licensure hardship waiver to employ </w:t>
      </w:r>
      <w:r w:rsidR="007038CA">
        <w:t xml:space="preserve">teachers </w:t>
      </w:r>
      <w:r w:rsidRPr="00DD3A15">
        <w:t xml:space="preserve">in the role </w:t>
      </w:r>
      <w:r w:rsidR="007038CA">
        <w:t xml:space="preserve">who </w:t>
      </w:r>
      <w:r w:rsidRPr="00DD3A15">
        <w:t xml:space="preserve">have not yet obtained the Bilingual Education Endorsement. </w:t>
      </w:r>
    </w:p>
    <w:p w14:paraId="4E9E0EE3" w14:textId="7FF47118" w:rsidR="00DB5109" w:rsidRPr="00DD3A15" w:rsidRDefault="00DB5109" w:rsidP="00DD3A15">
      <w:pPr>
        <w:pStyle w:val="ListParagraph"/>
        <w:numPr>
          <w:ilvl w:val="0"/>
          <w:numId w:val="23"/>
        </w:numPr>
      </w:pPr>
      <w:r>
        <w:t xml:space="preserve">The Department is updating the </w:t>
      </w:r>
      <w:r w:rsidR="005B05FA">
        <w:t xml:space="preserve">data </w:t>
      </w:r>
      <w:r>
        <w:t xml:space="preserve">we collect in order to </w:t>
      </w:r>
      <w:r w:rsidR="00053A92" w:rsidRPr="003B2731">
        <w:rPr>
          <w:color w:val="000000"/>
          <w:szCs w:val="24"/>
        </w:rPr>
        <w:t xml:space="preserve">assist </w:t>
      </w:r>
      <w:r w:rsidR="00053A92">
        <w:rPr>
          <w:color w:val="000000"/>
          <w:szCs w:val="24"/>
        </w:rPr>
        <w:t>districts</w:t>
      </w:r>
      <w:r w:rsidR="00053A92" w:rsidRPr="003B2731">
        <w:rPr>
          <w:color w:val="000000"/>
          <w:szCs w:val="24"/>
        </w:rPr>
        <w:t xml:space="preserve"> </w:t>
      </w:r>
      <w:r w:rsidR="00FC3C8F">
        <w:rPr>
          <w:color w:val="000000"/>
          <w:szCs w:val="24"/>
        </w:rPr>
        <w:t xml:space="preserve">in addressing the </w:t>
      </w:r>
      <w:r w:rsidR="00053A92" w:rsidRPr="003B2731">
        <w:rPr>
          <w:color w:val="000000"/>
          <w:szCs w:val="24"/>
        </w:rPr>
        <w:t>Bilingual Education Endorsement requirements</w:t>
      </w:r>
      <w:r w:rsidR="00053A92">
        <w:rPr>
          <w:color w:val="000000"/>
          <w:szCs w:val="24"/>
        </w:rPr>
        <w:t xml:space="preserve">. </w:t>
      </w:r>
    </w:p>
    <w:p w14:paraId="0CA347C1" w14:textId="6195A3D4" w:rsidR="00857F81" w:rsidRPr="00F42525" w:rsidRDefault="00857F81" w:rsidP="004D5365">
      <w:r w:rsidRPr="004D5365">
        <w:rPr>
          <w:b/>
        </w:rPr>
        <w:lastRenderedPageBreak/>
        <w:t>II.</w:t>
      </w:r>
      <w:r>
        <w:t xml:space="preserve"> </w:t>
      </w:r>
      <w:r w:rsidRPr="004D5365">
        <w:rPr>
          <w:b/>
        </w:rPr>
        <w:t>Background Regarding the Bilingual Education Endorsement</w:t>
      </w:r>
    </w:p>
    <w:p w14:paraId="6DEF57AD" w14:textId="77777777" w:rsidR="00857F81" w:rsidRDefault="00857F81"/>
    <w:p w14:paraId="27F6C3FA" w14:textId="21190367" w:rsidR="0051118A" w:rsidRDefault="00857F81">
      <w:r>
        <w:t>O</w:t>
      </w:r>
      <w:r w:rsidR="0037669D">
        <w:t xml:space="preserve">n November 22, 2017, the Governor signed into law </w:t>
      </w:r>
      <w:hyperlink r:id="rId13" w:history="1">
        <w:r w:rsidR="0037669D" w:rsidRPr="0037669D">
          <w:rPr>
            <w:rStyle w:val="Hyperlink"/>
          </w:rPr>
          <w:t>An Act Relative to Language Opportunity for Our Kids</w:t>
        </w:r>
      </w:hyperlink>
      <w:r w:rsidR="0037669D">
        <w:t xml:space="preserve"> (LOOK Act)</w:t>
      </w:r>
      <w:r w:rsidR="005E20BB">
        <w:t>.</w:t>
      </w:r>
      <w:r w:rsidR="004F637A">
        <w:t xml:space="preserve"> The LOOK Act provides more flexibility to </w:t>
      </w:r>
      <w:r w:rsidR="003D0D8A">
        <w:t xml:space="preserve">school </w:t>
      </w:r>
      <w:r w:rsidR="004F637A">
        <w:t>districts as to the type of English learner education program</w:t>
      </w:r>
      <w:r w:rsidR="003D0D8A">
        <w:t>s</w:t>
      </w:r>
      <w:r w:rsidR="004F637A">
        <w:t xml:space="preserve"> they </w:t>
      </w:r>
      <w:r w:rsidR="00407713">
        <w:t xml:space="preserve">may </w:t>
      </w:r>
      <w:r w:rsidR="003F2533">
        <w:t>implement</w:t>
      </w:r>
      <w:r w:rsidR="004F637A">
        <w:t>.</w:t>
      </w:r>
      <w:r w:rsidR="00A43252">
        <w:t xml:space="preserve"> While </w:t>
      </w:r>
      <w:r w:rsidR="007038CA">
        <w:t xml:space="preserve">most </w:t>
      </w:r>
      <w:r w:rsidR="00A43252">
        <w:t>school districts in the Commonwealth utilize</w:t>
      </w:r>
      <w:r w:rsidR="00407713">
        <w:t xml:space="preserve"> Sheltered English Immersion (SEI)</w:t>
      </w:r>
      <w:r w:rsidR="00B07E01">
        <w:t xml:space="preserve"> programs</w:t>
      </w:r>
      <w:r w:rsidR="00407713">
        <w:t xml:space="preserve">, some school districts offer bilingual education programs, or are in the process of applying </w:t>
      </w:r>
      <w:r w:rsidR="000F4FDB">
        <w:t xml:space="preserve">to </w:t>
      </w:r>
      <w:r w:rsidR="00407713">
        <w:t>the Department to begin new bilingual education programs.</w:t>
      </w:r>
      <w:r w:rsidR="00F64379">
        <w:t xml:space="preserve"> In accordance with the LOOK Act, on June 26, 2018, the Board of Elementary and Secondary Education established the </w:t>
      </w:r>
      <w:r w:rsidR="0017117F" w:rsidRPr="0017117F">
        <w:t>Bilingual Education Endorsement</w:t>
      </w:r>
      <w:r w:rsidR="004E61CB">
        <w:t>.</w:t>
      </w:r>
      <w:r w:rsidR="00E60078">
        <w:t xml:space="preserve"> </w:t>
      </w:r>
      <w:r w:rsidR="0051118A">
        <w:t xml:space="preserve"> </w:t>
      </w:r>
    </w:p>
    <w:p w14:paraId="3696A310" w14:textId="77777777" w:rsidR="00946DDD" w:rsidRDefault="00946DDD" w:rsidP="00946DDD"/>
    <w:p w14:paraId="419E2BB3" w14:textId="57A44090" w:rsidR="007F1E00" w:rsidRDefault="00E34747" w:rsidP="007F1E00">
      <w:pPr>
        <w:rPr>
          <w:color w:val="000000"/>
          <w:szCs w:val="24"/>
        </w:rPr>
      </w:pPr>
      <w:r>
        <w:t xml:space="preserve">The Department’s </w:t>
      </w:r>
      <w:hyperlink r:id="rId14" w:history="1">
        <w:r w:rsidR="00946DDD" w:rsidRPr="000D400D">
          <w:rPr>
            <w:rStyle w:val="Hyperlink"/>
          </w:rPr>
          <w:t>regulations</w:t>
        </w:r>
      </w:hyperlink>
      <w:r w:rsidR="00946DDD">
        <w:t xml:space="preserve"> specify that a</w:t>
      </w:r>
      <w:r>
        <w:t xml:space="preserve"> “core academic teacher responsible for the instructional component provided </w:t>
      </w:r>
      <w:r w:rsidRPr="00E34747">
        <w:rPr>
          <w:b/>
        </w:rPr>
        <w:t>in a language other than English</w:t>
      </w:r>
      <w:r>
        <w:t xml:space="preserve"> must hold the Bilingual Education Endorsement” if such a teacher is </w:t>
      </w:r>
      <w:r w:rsidR="00445201">
        <w:t>assigned to provide</w:t>
      </w:r>
      <w:r>
        <w:t xml:space="preserve"> instruction </w:t>
      </w:r>
      <w:r w:rsidRPr="000D6C0E">
        <w:rPr>
          <w:b/>
        </w:rPr>
        <w:t>to an English learner</w:t>
      </w:r>
      <w:r>
        <w:t xml:space="preserve"> in a bilingual education setting, such as dual language education or two-way immersion program, or transitional bilingual education program.</w:t>
      </w:r>
      <w:r w:rsidR="00C802A5" w:rsidRPr="00D1733B">
        <w:rPr>
          <w:rStyle w:val="FootnoteReference"/>
          <w:color w:val="000000"/>
          <w:szCs w:val="24"/>
          <w:vertAlign w:val="superscript"/>
        </w:rPr>
        <w:footnoteReference w:id="2"/>
      </w:r>
      <w:r>
        <w:t xml:space="preserve"> </w:t>
      </w:r>
      <w:r>
        <w:rPr>
          <w:i/>
        </w:rPr>
        <w:t xml:space="preserve">See </w:t>
      </w:r>
      <w:r>
        <w:t>603 CMR 7.15(9)(c)1.a.</w:t>
      </w:r>
      <w:r w:rsidR="00445201">
        <w:t xml:space="preserve"> For purposes of the Bilingual Education Endorsement, </w:t>
      </w:r>
      <w:r w:rsidR="00445201">
        <w:rPr>
          <w:szCs w:val="24"/>
        </w:rPr>
        <w:t>c</w:t>
      </w:r>
      <w:r w:rsidR="00445201" w:rsidRPr="007C68D0">
        <w:rPr>
          <w:szCs w:val="24"/>
        </w:rPr>
        <w:t xml:space="preserve">ore academic teachers include </w:t>
      </w:r>
      <w:r w:rsidR="00445201" w:rsidRPr="007C68D0">
        <w:rPr>
          <w:color w:val="000000"/>
          <w:szCs w:val="24"/>
        </w:rPr>
        <w:t>teachers of students with moderate disabilities, teachers of students with severe disabilities, and teachers of the following academic subjects: English, reading or language arts, mathematics, science, civics and government, economics, history, and geography</w:t>
      </w:r>
      <w:r w:rsidR="006E1156">
        <w:rPr>
          <w:color w:val="000000"/>
          <w:szCs w:val="24"/>
        </w:rPr>
        <w:t>, including early childhood and elementary teachers</w:t>
      </w:r>
      <w:r w:rsidR="00445201" w:rsidRPr="007C68D0">
        <w:rPr>
          <w:color w:val="000000"/>
          <w:szCs w:val="24"/>
        </w:rPr>
        <w:t xml:space="preserve">. </w:t>
      </w:r>
      <w:r w:rsidR="003239D4">
        <w:rPr>
          <w:i/>
          <w:color w:val="000000"/>
          <w:szCs w:val="24"/>
        </w:rPr>
        <w:t xml:space="preserve">See </w:t>
      </w:r>
      <w:r w:rsidR="00445201" w:rsidRPr="007C68D0">
        <w:rPr>
          <w:color w:val="000000"/>
          <w:szCs w:val="24"/>
        </w:rPr>
        <w:t>603 CMR 7.02.</w:t>
      </w:r>
      <w:r w:rsidR="007F1E00">
        <w:rPr>
          <w:color w:val="000000"/>
          <w:szCs w:val="24"/>
        </w:rPr>
        <w:t xml:space="preserve"> </w:t>
      </w:r>
    </w:p>
    <w:p w14:paraId="763398B3" w14:textId="77777777" w:rsidR="0029095C" w:rsidRDefault="0029095C" w:rsidP="00445201">
      <w:pPr>
        <w:rPr>
          <w:color w:val="000000"/>
          <w:szCs w:val="24"/>
        </w:rPr>
      </w:pPr>
    </w:p>
    <w:p w14:paraId="16FB8350" w14:textId="77777777" w:rsidR="00445201" w:rsidRPr="00445201" w:rsidRDefault="00445201" w:rsidP="00445201">
      <w:pPr>
        <w:rPr>
          <w:szCs w:val="24"/>
        </w:rPr>
      </w:pPr>
      <w:bookmarkStart w:id="4" w:name="_Hlk19028111"/>
      <w:r w:rsidRPr="00445201">
        <w:rPr>
          <w:color w:val="000000"/>
          <w:szCs w:val="24"/>
        </w:rPr>
        <w:t xml:space="preserve">Core academic teachers responsible for the instructional component provided </w:t>
      </w:r>
      <w:r w:rsidRPr="00445201">
        <w:rPr>
          <w:b/>
          <w:color w:val="000000"/>
          <w:szCs w:val="24"/>
        </w:rPr>
        <w:t xml:space="preserve">in </w:t>
      </w:r>
      <w:r w:rsidRPr="00514C28">
        <w:rPr>
          <w:b/>
          <w:color w:val="000000"/>
          <w:szCs w:val="24"/>
        </w:rPr>
        <w:t>English</w:t>
      </w:r>
      <w:r w:rsidRPr="000D6C0E">
        <w:rPr>
          <w:b/>
          <w:color w:val="000000"/>
          <w:szCs w:val="24"/>
        </w:rPr>
        <w:t xml:space="preserve"> to an English learner</w:t>
      </w:r>
      <w:r w:rsidRPr="00445201">
        <w:rPr>
          <w:color w:val="000000"/>
          <w:szCs w:val="24"/>
        </w:rPr>
        <w:t xml:space="preserve"> in a bilingual education setting, must hold either the Bilingual Education Endorsement </w:t>
      </w:r>
      <w:r w:rsidRPr="00445201">
        <w:rPr>
          <w:b/>
          <w:color w:val="000000"/>
          <w:szCs w:val="24"/>
        </w:rPr>
        <w:t>or</w:t>
      </w:r>
      <w:r w:rsidRPr="00445201">
        <w:rPr>
          <w:color w:val="000000"/>
          <w:szCs w:val="24"/>
        </w:rPr>
        <w:t xml:space="preserve"> the SEI Endorsement</w:t>
      </w:r>
      <w:bookmarkEnd w:id="4"/>
      <w:r w:rsidRPr="00445201">
        <w:rPr>
          <w:color w:val="000000"/>
          <w:szCs w:val="24"/>
        </w:rPr>
        <w:t xml:space="preserve">. </w:t>
      </w:r>
      <w:r w:rsidRPr="00445201">
        <w:rPr>
          <w:i/>
          <w:color w:val="000000"/>
          <w:szCs w:val="24"/>
        </w:rPr>
        <w:t xml:space="preserve">See </w:t>
      </w:r>
      <w:r w:rsidRPr="00445201">
        <w:rPr>
          <w:szCs w:val="24"/>
        </w:rPr>
        <w:t>603 CMR 7.15(9)(c)1.</w:t>
      </w:r>
      <w:r>
        <w:rPr>
          <w:szCs w:val="24"/>
        </w:rPr>
        <w:t>b</w:t>
      </w:r>
      <w:r w:rsidRPr="00445201">
        <w:rPr>
          <w:szCs w:val="24"/>
        </w:rPr>
        <w:t xml:space="preserve">. </w:t>
      </w:r>
    </w:p>
    <w:p w14:paraId="49E94F68" w14:textId="77777777" w:rsidR="00445201" w:rsidRPr="00445201" w:rsidRDefault="00445201" w:rsidP="00445201">
      <w:pPr>
        <w:rPr>
          <w:szCs w:val="24"/>
        </w:rPr>
      </w:pPr>
    </w:p>
    <w:p w14:paraId="16981D3A" w14:textId="157C489B" w:rsidR="007C68D0" w:rsidRPr="00C447E3" w:rsidRDefault="00445201" w:rsidP="004F637A">
      <w:pPr>
        <w:rPr>
          <w:i/>
          <w:color w:val="000000"/>
          <w:szCs w:val="24"/>
        </w:rPr>
      </w:pPr>
      <w:r w:rsidRPr="00445201">
        <w:rPr>
          <w:szCs w:val="24"/>
        </w:rPr>
        <w:t xml:space="preserve">A principal, assistant principal, or supervisor/director who supervises or evaluates a core academic teacher </w:t>
      </w:r>
      <w:r w:rsidRPr="00445201">
        <w:rPr>
          <w:color w:val="000000"/>
          <w:szCs w:val="24"/>
        </w:rPr>
        <w:t xml:space="preserve">assigned to provide instruction to an English learner in a bilingual education setting must hold the Bilingual Education Endorsement </w:t>
      </w:r>
      <w:r w:rsidRPr="00445201">
        <w:rPr>
          <w:b/>
          <w:color w:val="000000"/>
          <w:szCs w:val="24"/>
        </w:rPr>
        <w:t>or</w:t>
      </w:r>
      <w:r w:rsidRPr="00445201">
        <w:rPr>
          <w:color w:val="000000"/>
          <w:szCs w:val="24"/>
        </w:rPr>
        <w:t xml:space="preserve"> the SEI Endorsement.</w:t>
      </w:r>
      <w:r w:rsidR="00C447E3">
        <w:rPr>
          <w:szCs w:val="24"/>
        </w:rPr>
        <w:t xml:space="preserve"> </w:t>
      </w:r>
      <w:r w:rsidR="003239D4">
        <w:rPr>
          <w:i/>
          <w:szCs w:val="24"/>
        </w:rPr>
        <w:t xml:space="preserve">See </w:t>
      </w:r>
      <w:r w:rsidR="007C68D0" w:rsidRPr="007C68D0">
        <w:rPr>
          <w:color w:val="000000"/>
          <w:szCs w:val="24"/>
        </w:rPr>
        <w:t>603 CMR 7.15(9)(c)2.</w:t>
      </w:r>
    </w:p>
    <w:p w14:paraId="027C21F5" w14:textId="77777777" w:rsidR="005B05FA" w:rsidRDefault="005B05FA" w:rsidP="00DD3A15">
      <w:pPr>
        <w:rPr>
          <w:b/>
          <w:color w:val="000000"/>
          <w:szCs w:val="24"/>
        </w:rPr>
      </w:pPr>
    </w:p>
    <w:p w14:paraId="50AA5696" w14:textId="3F0373BE" w:rsidR="007C68D0" w:rsidRPr="00DD3A15" w:rsidRDefault="00556EC3" w:rsidP="00DD3A15">
      <w:pPr>
        <w:rPr>
          <w:b/>
          <w:color w:val="000000"/>
          <w:szCs w:val="24"/>
        </w:rPr>
      </w:pPr>
      <w:r>
        <w:rPr>
          <w:b/>
          <w:color w:val="000000"/>
          <w:szCs w:val="24"/>
        </w:rPr>
        <w:t xml:space="preserve">III. </w:t>
      </w:r>
      <w:r w:rsidR="007C68D0" w:rsidRPr="00DD3A15">
        <w:rPr>
          <w:b/>
          <w:color w:val="000000"/>
          <w:szCs w:val="24"/>
        </w:rPr>
        <w:t>Pathways for Obtaining the Bilingual Education Endorsement</w:t>
      </w:r>
    </w:p>
    <w:p w14:paraId="31C8921C" w14:textId="77777777" w:rsidR="007C68D0" w:rsidRDefault="007C68D0" w:rsidP="007C68D0">
      <w:pPr>
        <w:rPr>
          <w:b/>
          <w:color w:val="000000"/>
          <w:szCs w:val="24"/>
        </w:rPr>
      </w:pPr>
    </w:p>
    <w:p w14:paraId="31AEA787" w14:textId="6BCE646E" w:rsidR="000F4FDB" w:rsidRPr="00734742" w:rsidRDefault="008715CF" w:rsidP="00734742">
      <w:pPr>
        <w:rPr>
          <w:color w:val="000000"/>
          <w:szCs w:val="24"/>
        </w:rPr>
      </w:pPr>
      <w:r>
        <w:rPr>
          <w:color w:val="000000"/>
          <w:szCs w:val="24"/>
        </w:rPr>
        <w:t>The Department’s regulations</w:t>
      </w:r>
      <w:r w:rsidR="00114529">
        <w:rPr>
          <w:color w:val="000000"/>
          <w:szCs w:val="24"/>
        </w:rPr>
        <w:t xml:space="preserve"> (603 CMR 7.14(3))</w:t>
      </w:r>
      <w:r>
        <w:rPr>
          <w:color w:val="000000"/>
          <w:szCs w:val="24"/>
        </w:rPr>
        <w:t xml:space="preserve"> </w:t>
      </w:r>
      <w:r w:rsidR="000F4FDB">
        <w:rPr>
          <w:color w:val="000000"/>
          <w:szCs w:val="24"/>
        </w:rPr>
        <w:t xml:space="preserve">describe </w:t>
      </w:r>
      <w:r w:rsidR="00145564">
        <w:rPr>
          <w:color w:val="000000"/>
          <w:szCs w:val="24"/>
        </w:rPr>
        <w:t xml:space="preserve">four </w:t>
      </w:r>
      <w:r w:rsidR="00E609B8">
        <w:rPr>
          <w:color w:val="000000"/>
          <w:szCs w:val="24"/>
        </w:rPr>
        <w:t>pathways for an educator to obtain the Bilingual Education Endorsement</w:t>
      </w:r>
      <w:r w:rsidR="00114529">
        <w:rPr>
          <w:color w:val="000000"/>
          <w:szCs w:val="24"/>
        </w:rPr>
        <w:t xml:space="preserve">  In addition to the Department’s </w:t>
      </w:r>
      <w:hyperlink r:id="rId15" w:history="1">
        <w:r w:rsidR="00114529" w:rsidRPr="00114529">
          <w:rPr>
            <w:rStyle w:val="Hyperlink"/>
            <w:szCs w:val="24"/>
          </w:rPr>
          <w:t>Licensure Requirements Tool</w:t>
        </w:r>
      </w:hyperlink>
      <w:r w:rsidR="00114529">
        <w:rPr>
          <w:color w:val="000000"/>
          <w:szCs w:val="24"/>
        </w:rPr>
        <w:t xml:space="preserve">, a </w:t>
      </w:r>
      <w:hyperlink r:id="rId16" w:history="1">
        <w:r w:rsidR="00114529" w:rsidRPr="00114529">
          <w:rPr>
            <w:rStyle w:val="Hyperlink"/>
            <w:szCs w:val="24"/>
          </w:rPr>
          <w:t>video</w:t>
        </w:r>
      </w:hyperlink>
      <w:r w:rsidR="00114529">
        <w:rPr>
          <w:color w:val="000000"/>
          <w:szCs w:val="24"/>
        </w:rPr>
        <w:t xml:space="preserve"> about the Bilingual Education Endorsement has been added to the Massachusetts Educator Licensure Series (MELS) on the </w:t>
      </w:r>
      <w:hyperlink r:id="rId17" w:history="1">
        <w:r w:rsidR="00114529" w:rsidRPr="00C614F0">
          <w:rPr>
            <w:rStyle w:val="Hyperlink"/>
            <w:szCs w:val="24"/>
          </w:rPr>
          <w:t>Office of Educator Licensure’s You Tube channel</w:t>
        </w:r>
      </w:hyperlink>
      <w:r w:rsidR="00114529">
        <w:rPr>
          <w:color w:val="000000"/>
          <w:szCs w:val="24"/>
        </w:rPr>
        <w:t xml:space="preserve">. </w:t>
      </w:r>
    </w:p>
    <w:p w14:paraId="06342D23" w14:textId="77777777" w:rsidR="00E609B8" w:rsidRDefault="00E609B8" w:rsidP="00514C28">
      <w:pPr>
        <w:rPr>
          <w:color w:val="000000"/>
          <w:szCs w:val="24"/>
        </w:rPr>
      </w:pPr>
    </w:p>
    <w:p w14:paraId="5F870B79" w14:textId="77777777" w:rsidR="004D5365" w:rsidRDefault="004D5365" w:rsidP="00514C28">
      <w:pPr>
        <w:rPr>
          <w:b/>
          <w:color w:val="000000"/>
          <w:szCs w:val="24"/>
        </w:rPr>
      </w:pPr>
    </w:p>
    <w:p w14:paraId="7914476C" w14:textId="77777777" w:rsidR="004D5365" w:rsidRDefault="004D5365" w:rsidP="00514C28">
      <w:pPr>
        <w:rPr>
          <w:b/>
          <w:color w:val="000000"/>
          <w:szCs w:val="24"/>
        </w:rPr>
      </w:pPr>
    </w:p>
    <w:p w14:paraId="2FFFBEB0" w14:textId="5AD0031D" w:rsidR="00B02D1B" w:rsidRDefault="00B02D1B" w:rsidP="00514C28">
      <w:pPr>
        <w:rPr>
          <w:b/>
          <w:color w:val="000000"/>
          <w:szCs w:val="24"/>
        </w:rPr>
      </w:pPr>
      <w:r w:rsidRPr="00514C28">
        <w:rPr>
          <w:b/>
          <w:color w:val="000000"/>
          <w:szCs w:val="24"/>
        </w:rPr>
        <w:lastRenderedPageBreak/>
        <w:t>Pathway 1</w:t>
      </w:r>
    </w:p>
    <w:p w14:paraId="0684C55A" w14:textId="2E93B8A1" w:rsidR="00B02D1B" w:rsidRDefault="00B02D1B" w:rsidP="00514C28">
      <w:pPr>
        <w:rPr>
          <w:b/>
          <w:color w:val="000000"/>
          <w:szCs w:val="24"/>
        </w:rPr>
      </w:pPr>
    </w:p>
    <w:p w14:paraId="637CD78D" w14:textId="73345A05" w:rsidR="00B02D1B" w:rsidRDefault="00B02D1B" w:rsidP="00514C28">
      <w:pPr>
        <w:rPr>
          <w:color w:val="000000"/>
          <w:szCs w:val="24"/>
        </w:rPr>
      </w:pPr>
      <w:r>
        <w:rPr>
          <w:color w:val="000000"/>
          <w:szCs w:val="24"/>
        </w:rPr>
        <w:t xml:space="preserve">This pathway is for educators who have experience in bilingual education </w:t>
      </w:r>
      <w:r w:rsidR="00181484">
        <w:rPr>
          <w:color w:val="000000"/>
          <w:szCs w:val="24"/>
        </w:rPr>
        <w:t>settings</w:t>
      </w:r>
      <w:r w:rsidR="00265905">
        <w:rPr>
          <w:color w:val="000000"/>
          <w:szCs w:val="24"/>
        </w:rPr>
        <w:t xml:space="preserve"> (sometimes thought of as a </w:t>
      </w:r>
      <w:r w:rsidR="00D6590E">
        <w:rPr>
          <w:color w:val="000000"/>
          <w:szCs w:val="24"/>
        </w:rPr>
        <w:t>“</w:t>
      </w:r>
      <w:r w:rsidR="00265905">
        <w:rPr>
          <w:color w:val="000000"/>
          <w:szCs w:val="24"/>
        </w:rPr>
        <w:t>grandfather clause</w:t>
      </w:r>
      <w:r w:rsidR="00D6590E">
        <w:rPr>
          <w:color w:val="000000"/>
          <w:szCs w:val="24"/>
        </w:rPr>
        <w:t>”</w:t>
      </w:r>
      <w:r w:rsidR="00265905">
        <w:rPr>
          <w:color w:val="000000"/>
          <w:szCs w:val="24"/>
        </w:rPr>
        <w:t>)</w:t>
      </w:r>
      <w:r w:rsidR="00181484">
        <w:rPr>
          <w:color w:val="000000"/>
          <w:szCs w:val="24"/>
        </w:rPr>
        <w:t xml:space="preserve">. </w:t>
      </w:r>
      <w:r>
        <w:rPr>
          <w:color w:val="000000"/>
          <w:szCs w:val="24"/>
        </w:rPr>
        <w:t>To satisfy this pathway, an educator must:</w:t>
      </w:r>
    </w:p>
    <w:p w14:paraId="400BCCE6" w14:textId="77777777" w:rsidR="00B02D1B" w:rsidRDefault="00B02D1B" w:rsidP="00514C28">
      <w:pPr>
        <w:rPr>
          <w:color w:val="000000"/>
          <w:szCs w:val="24"/>
        </w:rPr>
      </w:pPr>
    </w:p>
    <w:p w14:paraId="7342484E" w14:textId="4E25F8DE" w:rsidR="00B02D1B" w:rsidRDefault="00B02D1B" w:rsidP="00514C28">
      <w:pPr>
        <w:pStyle w:val="ListParagraph"/>
        <w:numPr>
          <w:ilvl w:val="0"/>
          <w:numId w:val="14"/>
        </w:numPr>
      </w:pPr>
      <w:r>
        <w:rPr>
          <w:color w:val="000000"/>
          <w:szCs w:val="24"/>
        </w:rPr>
        <w:t xml:space="preserve">Obtain a </w:t>
      </w:r>
      <w:r w:rsidRPr="00A1640D">
        <w:t>passing score on a foreign language test acceptable to the Department</w:t>
      </w:r>
      <w:r>
        <w:t xml:space="preserve"> in the relevant foreign language</w:t>
      </w:r>
      <w:r w:rsidR="000D6C0E" w:rsidRPr="000D6C0E">
        <w:rPr>
          <w:rStyle w:val="FootnoteReference"/>
          <w:vertAlign w:val="superscript"/>
        </w:rPr>
        <w:footnoteReference w:id="3"/>
      </w:r>
      <w:r>
        <w:t>;</w:t>
      </w:r>
    </w:p>
    <w:p w14:paraId="0EBDF836" w14:textId="357F2413" w:rsidR="00B02D1B" w:rsidRDefault="00B02D1B" w:rsidP="00514C28">
      <w:pPr>
        <w:pStyle w:val="ListParagraph"/>
        <w:numPr>
          <w:ilvl w:val="0"/>
          <w:numId w:val="14"/>
        </w:numPr>
      </w:pPr>
      <w:r>
        <w:t>Have at least three years of employment experience in a bilingual education setting;</w:t>
      </w:r>
    </w:p>
    <w:p w14:paraId="01F46CD2" w14:textId="544152FE" w:rsidR="00B02D1B" w:rsidRDefault="00B02D1B" w:rsidP="00514C28">
      <w:pPr>
        <w:pStyle w:val="ListParagraph"/>
        <w:numPr>
          <w:ilvl w:val="0"/>
          <w:numId w:val="14"/>
        </w:numPr>
      </w:pPr>
      <w:r>
        <w:t xml:space="preserve">Demonstrate that he or she meets the relevant subject matter knowledge and skills requirements (see </w:t>
      </w:r>
      <w:r w:rsidR="00AC15F5">
        <w:t xml:space="preserve">the </w:t>
      </w:r>
      <w:hyperlink r:id="rId18" w:history="1">
        <w:r w:rsidR="00AC15F5" w:rsidRPr="00C756C0">
          <w:rPr>
            <w:rStyle w:val="Hyperlink"/>
          </w:rPr>
          <w:t>Department’s Office of Educator Licensure website</w:t>
        </w:r>
      </w:hyperlink>
      <w:r w:rsidR="00145564">
        <w:t>, which contains the Bilingual Education Endorsement: Demonstration of SMKs Form)</w:t>
      </w:r>
      <w:r>
        <w:t xml:space="preserve">; and </w:t>
      </w:r>
    </w:p>
    <w:p w14:paraId="741ED566" w14:textId="3424B2D1" w:rsidR="00B02D1B" w:rsidRPr="00514C28" w:rsidRDefault="00B02D1B" w:rsidP="00514C28">
      <w:pPr>
        <w:pStyle w:val="ListParagraph"/>
        <w:numPr>
          <w:ilvl w:val="0"/>
          <w:numId w:val="14"/>
        </w:numPr>
        <w:rPr>
          <w:b/>
          <w:color w:val="000000"/>
          <w:szCs w:val="24"/>
        </w:rPr>
      </w:pPr>
      <w:r>
        <w:t xml:space="preserve">Apply to the Department </w:t>
      </w:r>
      <w:r w:rsidR="00F65E2C">
        <w:t>and complete the requirements</w:t>
      </w:r>
      <w:r w:rsidR="000D6C0E">
        <w:t xml:space="preserve"> in 1-3 above</w:t>
      </w:r>
      <w:r w:rsidR="00F65E2C">
        <w:t xml:space="preserve"> </w:t>
      </w:r>
      <w:r>
        <w:t xml:space="preserve">by </w:t>
      </w:r>
      <w:r w:rsidRPr="000A3D1F">
        <w:rPr>
          <w:b/>
        </w:rPr>
        <w:t>June 30, 2020</w:t>
      </w:r>
      <w:r>
        <w:t>.</w:t>
      </w:r>
      <w:r w:rsidR="003239D4">
        <w:t xml:space="preserve"> </w:t>
      </w:r>
      <w:r w:rsidR="003239D4">
        <w:rPr>
          <w:i/>
        </w:rPr>
        <w:t>See</w:t>
      </w:r>
      <w:r w:rsidR="003239D4">
        <w:t xml:space="preserve"> 603 CMR </w:t>
      </w:r>
      <w:r w:rsidR="003239D4">
        <w:rPr>
          <w:color w:val="000000"/>
          <w:szCs w:val="24"/>
        </w:rPr>
        <w:t>7.14(3)(c).</w:t>
      </w:r>
    </w:p>
    <w:p w14:paraId="74A14982" w14:textId="6A8DF497" w:rsidR="00717E45" w:rsidRDefault="00717E45" w:rsidP="00B02D1B">
      <w:pPr>
        <w:ind w:left="720"/>
        <w:rPr>
          <w:color w:val="000000"/>
          <w:szCs w:val="24"/>
        </w:rPr>
      </w:pPr>
    </w:p>
    <w:p w14:paraId="426CF027" w14:textId="703E770D" w:rsidR="00A56521" w:rsidRPr="00514C28" w:rsidRDefault="001C172F" w:rsidP="00514C28">
      <w:pPr>
        <w:rPr>
          <w:b/>
          <w:color w:val="000000"/>
          <w:szCs w:val="24"/>
        </w:rPr>
      </w:pPr>
      <w:r w:rsidRPr="00514C28">
        <w:rPr>
          <w:b/>
          <w:color w:val="000000"/>
          <w:szCs w:val="24"/>
        </w:rPr>
        <w:t>Pathway 2</w:t>
      </w:r>
    </w:p>
    <w:p w14:paraId="276A277C" w14:textId="77777777" w:rsidR="001C172F" w:rsidRDefault="001C172F" w:rsidP="00514C28">
      <w:pPr>
        <w:rPr>
          <w:color w:val="000000"/>
          <w:szCs w:val="24"/>
        </w:rPr>
      </w:pPr>
    </w:p>
    <w:p w14:paraId="3599309B" w14:textId="4C8D5CE6" w:rsidR="00492E64" w:rsidRDefault="00492E64" w:rsidP="00514C28">
      <w:pPr>
        <w:rPr>
          <w:color w:val="000000"/>
          <w:szCs w:val="24"/>
        </w:rPr>
      </w:pPr>
      <w:r>
        <w:rPr>
          <w:color w:val="000000"/>
          <w:szCs w:val="24"/>
        </w:rPr>
        <w:t>This pathway is available to all educators. To satisfy this pathway, an educator must:</w:t>
      </w:r>
    </w:p>
    <w:p w14:paraId="524976D3" w14:textId="77777777" w:rsidR="00492E64" w:rsidRDefault="00492E64" w:rsidP="00514C28">
      <w:pPr>
        <w:rPr>
          <w:color w:val="000000"/>
          <w:szCs w:val="24"/>
        </w:rPr>
      </w:pPr>
    </w:p>
    <w:p w14:paraId="138A0420" w14:textId="41CE081B" w:rsidR="00492E64" w:rsidRDefault="00492E64" w:rsidP="00514C28">
      <w:pPr>
        <w:pStyle w:val="ListParagraph"/>
        <w:numPr>
          <w:ilvl w:val="0"/>
          <w:numId w:val="15"/>
        </w:numPr>
        <w:rPr>
          <w:color w:val="000000"/>
          <w:szCs w:val="24"/>
        </w:rPr>
      </w:pPr>
      <w:r>
        <w:rPr>
          <w:color w:val="000000"/>
          <w:szCs w:val="24"/>
        </w:rPr>
        <w:t>Obtain a passing score on a foreign language test acceptable to the Department in the relevant foreign language</w:t>
      </w:r>
      <w:r w:rsidR="00BD3F95">
        <w:rPr>
          <w:color w:val="000000"/>
          <w:szCs w:val="24"/>
        </w:rPr>
        <w:t xml:space="preserve"> (</w:t>
      </w:r>
      <w:r w:rsidR="00BD3F95" w:rsidRPr="00C74FC9">
        <w:rPr>
          <w:color w:val="000000"/>
          <w:szCs w:val="24"/>
        </w:rPr>
        <w:t xml:space="preserve">see footnote </w:t>
      </w:r>
      <w:r w:rsidR="00C74FC9" w:rsidRPr="00C74FC9">
        <w:rPr>
          <w:color w:val="000000"/>
          <w:szCs w:val="24"/>
        </w:rPr>
        <w:t>3</w:t>
      </w:r>
      <w:r w:rsidR="00BD3F95">
        <w:rPr>
          <w:color w:val="000000"/>
          <w:szCs w:val="24"/>
        </w:rPr>
        <w:t>)</w:t>
      </w:r>
      <w:r>
        <w:rPr>
          <w:color w:val="000000"/>
          <w:szCs w:val="24"/>
        </w:rPr>
        <w:t xml:space="preserve">; </w:t>
      </w:r>
    </w:p>
    <w:p w14:paraId="51BA6D2E" w14:textId="4EAA2133" w:rsidR="00492E64" w:rsidRPr="000D5EAB" w:rsidRDefault="005B6DCB" w:rsidP="000D5EAB">
      <w:pPr>
        <w:pStyle w:val="ListParagraph"/>
        <w:numPr>
          <w:ilvl w:val="0"/>
          <w:numId w:val="15"/>
        </w:numPr>
        <w:rPr>
          <w:color w:val="000000"/>
          <w:szCs w:val="24"/>
        </w:rPr>
      </w:pPr>
      <w:r w:rsidRPr="00405E0D">
        <w:rPr>
          <w:color w:val="000000"/>
          <w:szCs w:val="24"/>
        </w:rPr>
        <w:t>Demonstrate</w:t>
      </w:r>
      <w:r w:rsidR="00492E64" w:rsidRPr="00405E0D">
        <w:rPr>
          <w:color w:val="000000"/>
          <w:szCs w:val="24"/>
        </w:rPr>
        <w:t xml:space="preserve"> required subject matter knowledge and skill</w:t>
      </w:r>
      <w:r w:rsidR="00A644BC" w:rsidRPr="00405E0D">
        <w:rPr>
          <w:color w:val="000000"/>
          <w:szCs w:val="24"/>
        </w:rPr>
        <w:t>s</w:t>
      </w:r>
      <w:r w:rsidR="00492E64" w:rsidRPr="00405E0D">
        <w:rPr>
          <w:color w:val="000000"/>
          <w:szCs w:val="24"/>
        </w:rPr>
        <w:t xml:space="preserve"> by successfully completing a Depa</w:t>
      </w:r>
      <w:r w:rsidR="00405E0D">
        <w:rPr>
          <w:color w:val="000000"/>
          <w:szCs w:val="24"/>
        </w:rPr>
        <w:t>rtment approved course of study</w:t>
      </w:r>
      <w:r w:rsidR="00212F59">
        <w:rPr>
          <w:color w:val="000000"/>
          <w:szCs w:val="24"/>
        </w:rPr>
        <w:t xml:space="preserve"> for providing bilingual education</w:t>
      </w:r>
      <w:r w:rsidR="00492E64" w:rsidRPr="000D5EAB">
        <w:rPr>
          <w:rStyle w:val="FootnoteReference"/>
          <w:color w:val="000000"/>
          <w:szCs w:val="24"/>
          <w:vertAlign w:val="superscript"/>
        </w:rPr>
        <w:footnoteReference w:id="4"/>
      </w:r>
      <w:r w:rsidR="00492E64" w:rsidRPr="000D5EAB">
        <w:rPr>
          <w:color w:val="000000"/>
          <w:szCs w:val="24"/>
        </w:rPr>
        <w:t xml:space="preserve">; and </w:t>
      </w:r>
    </w:p>
    <w:p w14:paraId="26BB17DE" w14:textId="332196DB" w:rsidR="00492E64" w:rsidRDefault="005B6DCB" w:rsidP="00514C28">
      <w:pPr>
        <w:pStyle w:val="ListParagraph"/>
        <w:numPr>
          <w:ilvl w:val="0"/>
          <w:numId w:val="15"/>
        </w:numPr>
        <w:rPr>
          <w:color w:val="000000"/>
          <w:szCs w:val="24"/>
        </w:rPr>
      </w:pPr>
      <w:r>
        <w:rPr>
          <w:color w:val="000000"/>
          <w:szCs w:val="24"/>
        </w:rPr>
        <w:t>C</w:t>
      </w:r>
      <w:r w:rsidR="00492E64">
        <w:rPr>
          <w:color w:val="000000"/>
          <w:szCs w:val="24"/>
        </w:rPr>
        <w:t>omplete at least 75 hours of field-based experience in a Pre-K through grade 12 bilingual education setting.</w:t>
      </w:r>
      <w:r w:rsidR="00F4184D" w:rsidRPr="00F4184D">
        <w:rPr>
          <w:rStyle w:val="FootnoteReference"/>
          <w:color w:val="000000"/>
          <w:szCs w:val="24"/>
          <w:vertAlign w:val="superscript"/>
        </w:rPr>
        <w:footnoteReference w:id="5"/>
      </w:r>
      <w:r w:rsidR="003239D4">
        <w:t xml:space="preserve"> </w:t>
      </w:r>
      <w:r w:rsidR="003239D4">
        <w:rPr>
          <w:i/>
        </w:rPr>
        <w:t>See</w:t>
      </w:r>
      <w:r w:rsidR="003239D4">
        <w:t xml:space="preserve"> 603 CMR </w:t>
      </w:r>
      <w:r w:rsidR="003239D4">
        <w:rPr>
          <w:color w:val="000000"/>
          <w:szCs w:val="24"/>
        </w:rPr>
        <w:t xml:space="preserve">7.14(3)(a). </w:t>
      </w:r>
    </w:p>
    <w:p w14:paraId="4F87B542" w14:textId="77777777" w:rsidR="009501E7" w:rsidRDefault="009501E7" w:rsidP="0029095C">
      <w:pPr>
        <w:ind w:left="720"/>
        <w:rPr>
          <w:color w:val="000000"/>
          <w:szCs w:val="24"/>
        </w:rPr>
      </w:pPr>
    </w:p>
    <w:p w14:paraId="24417228" w14:textId="34FB3BBF" w:rsidR="00502379" w:rsidRPr="00514C28" w:rsidRDefault="00502379" w:rsidP="00514C28">
      <w:pPr>
        <w:rPr>
          <w:b/>
          <w:color w:val="000000"/>
          <w:szCs w:val="24"/>
        </w:rPr>
      </w:pPr>
      <w:r w:rsidRPr="00514C28">
        <w:rPr>
          <w:b/>
          <w:color w:val="000000"/>
          <w:szCs w:val="24"/>
        </w:rPr>
        <w:t xml:space="preserve">Pathway </w:t>
      </w:r>
      <w:r w:rsidR="0029095C" w:rsidRPr="00514C28">
        <w:rPr>
          <w:b/>
          <w:color w:val="000000"/>
          <w:szCs w:val="24"/>
        </w:rPr>
        <w:t>3</w:t>
      </w:r>
    </w:p>
    <w:p w14:paraId="7DC51F73" w14:textId="77777777" w:rsidR="00A64E75" w:rsidRDefault="00A64E75" w:rsidP="0029095C">
      <w:pPr>
        <w:ind w:left="720"/>
        <w:rPr>
          <w:b/>
          <w:color w:val="000000"/>
          <w:szCs w:val="24"/>
        </w:rPr>
      </w:pPr>
    </w:p>
    <w:p w14:paraId="732BD609" w14:textId="0162970C" w:rsidR="00492E64" w:rsidRDefault="00492E64" w:rsidP="00514C28">
      <w:pPr>
        <w:rPr>
          <w:color w:val="000000"/>
          <w:szCs w:val="24"/>
        </w:rPr>
      </w:pPr>
      <w:r>
        <w:rPr>
          <w:color w:val="000000"/>
          <w:szCs w:val="24"/>
        </w:rPr>
        <w:t>This pathway is available to educators prepared outside of Massachusetts. To satisfy this pathway</w:t>
      </w:r>
      <w:r w:rsidR="00FC3C8F">
        <w:rPr>
          <w:color w:val="000000"/>
          <w:szCs w:val="24"/>
        </w:rPr>
        <w:t>,</w:t>
      </w:r>
      <w:r>
        <w:rPr>
          <w:color w:val="000000"/>
          <w:szCs w:val="24"/>
        </w:rPr>
        <w:t xml:space="preserve"> an educator must:</w:t>
      </w:r>
    </w:p>
    <w:p w14:paraId="0402D992" w14:textId="77777777" w:rsidR="00492E64" w:rsidRDefault="00492E64" w:rsidP="00514C28">
      <w:pPr>
        <w:rPr>
          <w:color w:val="000000"/>
          <w:szCs w:val="24"/>
        </w:rPr>
      </w:pPr>
    </w:p>
    <w:p w14:paraId="17001A6E" w14:textId="6EFAA2DA" w:rsidR="005B6DCB" w:rsidRDefault="005B6DCB" w:rsidP="00514C28">
      <w:pPr>
        <w:pStyle w:val="ListParagraph"/>
        <w:numPr>
          <w:ilvl w:val="0"/>
          <w:numId w:val="16"/>
        </w:numPr>
        <w:rPr>
          <w:color w:val="000000"/>
          <w:szCs w:val="24"/>
        </w:rPr>
      </w:pPr>
      <w:r>
        <w:rPr>
          <w:color w:val="000000"/>
          <w:szCs w:val="24"/>
        </w:rPr>
        <w:t>Obtain a passing score on a foreign language test acceptable to the Department in the relevant foreign language</w:t>
      </w:r>
      <w:r w:rsidR="00BD3F95">
        <w:rPr>
          <w:color w:val="000000"/>
          <w:szCs w:val="24"/>
        </w:rPr>
        <w:t xml:space="preserve"> (see footnote</w:t>
      </w:r>
      <w:r w:rsidR="00556EC3">
        <w:rPr>
          <w:color w:val="000000"/>
          <w:szCs w:val="24"/>
        </w:rPr>
        <w:t xml:space="preserve"> 3)</w:t>
      </w:r>
      <w:r w:rsidR="00212F59">
        <w:rPr>
          <w:color w:val="000000"/>
          <w:szCs w:val="24"/>
        </w:rPr>
        <w:t>;</w:t>
      </w:r>
      <w:r>
        <w:rPr>
          <w:color w:val="000000"/>
          <w:szCs w:val="24"/>
        </w:rPr>
        <w:t xml:space="preserve"> and</w:t>
      </w:r>
    </w:p>
    <w:p w14:paraId="470E4EC7" w14:textId="612ACDE0" w:rsidR="00BD3F95" w:rsidRDefault="005B6DCB" w:rsidP="00514C28">
      <w:pPr>
        <w:pStyle w:val="ListParagraph"/>
        <w:numPr>
          <w:ilvl w:val="0"/>
          <w:numId w:val="16"/>
        </w:numPr>
        <w:rPr>
          <w:color w:val="000000"/>
          <w:szCs w:val="24"/>
        </w:rPr>
      </w:pPr>
      <w:r>
        <w:rPr>
          <w:color w:val="000000"/>
          <w:szCs w:val="24"/>
        </w:rPr>
        <w:t>Possess an out-of-state license/certificate/endorsement that is comparable to the Bilingual Education Endorsement or complete a</w:t>
      </w:r>
      <w:r w:rsidR="00AD6307">
        <w:rPr>
          <w:color w:val="000000"/>
          <w:szCs w:val="24"/>
        </w:rPr>
        <w:t xml:space="preserve"> comparable</w:t>
      </w:r>
      <w:r>
        <w:rPr>
          <w:color w:val="000000"/>
          <w:szCs w:val="24"/>
        </w:rPr>
        <w:t xml:space="preserve"> </w:t>
      </w:r>
      <w:r w:rsidR="00AD6307">
        <w:rPr>
          <w:color w:val="000000"/>
          <w:szCs w:val="24"/>
        </w:rPr>
        <w:t xml:space="preserve">bilingual education </w:t>
      </w:r>
      <w:r>
        <w:rPr>
          <w:color w:val="000000"/>
          <w:szCs w:val="24"/>
        </w:rPr>
        <w:t>educator preparation program</w:t>
      </w:r>
      <w:r w:rsidR="00675F99">
        <w:rPr>
          <w:color w:val="000000"/>
          <w:szCs w:val="24"/>
        </w:rPr>
        <w:t>.</w:t>
      </w:r>
      <w:r w:rsidR="002865F1">
        <w:t xml:space="preserve"> </w:t>
      </w:r>
      <w:r w:rsidR="002865F1">
        <w:rPr>
          <w:i/>
        </w:rPr>
        <w:t>See</w:t>
      </w:r>
      <w:r w:rsidR="002865F1">
        <w:t xml:space="preserve"> 603 CMR </w:t>
      </w:r>
      <w:r w:rsidR="002865F1">
        <w:rPr>
          <w:color w:val="000000"/>
          <w:szCs w:val="24"/>
        </w:rPr>
        <w:t xml:space="preserve">7.14(3)(d). </w:t>
      </w:r>
      <w:r w:rsidR="00BD3F95">
        <w:rPr>
          <w:color w:val="000000"/>
          <w:szCs w:val="24"/>
        </w:rPr>
        <w:t xml:space="preserve"> </w:t>
      </w:r>
    </w:p>
    <w:p w14:paraId="59CC30F4" w14:textId="77777777" w:rsidR="00BD3F95" w:rsidRPr="00734742" w:rsidRDefault="00BD3F95" w:rsidP="00BD3F95">
      <w:pPr>
        <w:ind w:left="720"/>
        <w:rPr>
          <w:color w:val="000000"/>
          <w:szCs w:val="24"/>
        </w:rPr>
      </w:pPr>
    </w:p>
    <w:p w14:paraId="0E548474" w14:textId="442A2B06" w:rsidR="00A64E75" w:rsidRDefault="00A64E75" w:rsidP="00734742">
      <w:pPr>
        <w:rPr>
          <w:color w:val="000000"/>
          <w:szCs w:val="24"/>
        </w:rPr>
      </w:pPr>
      <w:r w:rsidRPr="00734742">
        <w:rPr>
          <w:color w:val="000000"/>
          <w:szCs w:val="24"/>
        </w:rPr>
        <w:t xml:space="preserve">For more information regarding this pathway, please </w:t>
      </w:r>
      <w:r w:rsidR="00AD6307">
        <w:rPr>
          <w:color w:val="000000"/>
          <w:szCs w:val="24"/>
        </w:rPr>
        <w:t xml:space="preserve">contact the </w:t>
      </w:r>
      <w:hyperlink r:id="rId19" w:history="1">
        <w:r w:rsidR="00AD6307" w:rsidRPr="006B0646">
          <w:rPr>
            <w:rStyle w:val="Hyperlink"/>
            <w:szCs w:val="24"/>
          </w:rPr>
          <w:t>Department’s Office of Educator Licensure</w:t>
        </w:r>
      </w:hyperlink>
      <w:r w:rsidR="00355A66">
        <w:rPr>
          <w:color w:val="000000"/>
          <w:szCs w:val="24"/>
        </w:rPr>
        <w:t xml:space="preserve"> at 781-338-6600</w:t>
      </w:r>
      <w:r w:rsidRPr="00734742">
        <w:rPr>
          <w:color w:val="000000"/>
          <w:szCs w:val="24"/>
        </w:rPr>
        <w:t xml:space="preserve">. </w:t>
      </w:r>
    </w:p>
    <w:p w14:paraId="5948A414" w14:textId="229426D8" w:rsidR="00242913" w:rsidRPr="006B0646" w:rsidRDefault="00242913" w:rsidP="00734742">
      <w:pPr>
        <w:rPr>
          <w:b/>
          <w:color w:val="000000"/>
          <w:szCs w:val="24"/>
        </w:rPr>
      </w:pPr>
      <w:r w:rsidRPr="006B0646">
        <w:rPr>
          <w:b/>
          <w:color w:val="000000"/>
          <w:szCs w:val="24"/>
        </w:rPr>
        <w:lastRenderedPageBreak/>
        <w:t xml:space="preserve">Pathway 4 </w:t>
      </w:r>
    </w:p>
    <w:p w14:paraId="47691320" w14:textId="250F7ED4" w:rsidR="00242913" w:rsidRDefault="00242913" w:rsidP="00734742">
      <w:pPr>
        <w:rPr>
          <w:color w:val="000000"/>
          <w:szCs w:val="24"/>
        </w:rPr>
      </w:pPr>
    </w:p>
    <w:p w14:paraId="23776935" w14:textId="3569F45C" w:rsidR="00242913" w:rsidRDefault="006B0646" w:rsidP="00242913">
      <w:pPr>
        <w:rPr>
          <w:color w:val="000000"/>
          <w:szCs w:val="24"/>
        </w:rPr>
      </w:pPr>
      <w:r>
        <w:rPr>
          <w:color w:val="000000"/>
          <w:szCs w:val="24"/>
        </w:rPr>
        <w:t>We anticipate that t</w:t>
      </w:r>
      <w:r w:rsidRPr="006B0646">
        <w:rPr>
          <w:color w:val="000000"/>
          <w:szCs w:val="24"/>
        </w:rPr>
        <w:t xml:space="preserve">his </w:t>
      </w:r>
      <w:r w:rsidR="00242913" w:rsidRPr="006B0646">
        <w:rPr>
          <w:color w:val="000000"/>
          <w:szCs w:val="24"/>
        </w:rPr>
        <w:t xml:space="preserve">pathway </w:t>
      </w:r>
      <w:r w:rsidRPr="006B0646">
        <w:rPr>
          <w:color w:val="000000"/>
          <w:szCs w:val="24"/>
        </w:rPr>
        <w:t xml:space="preserve">will be </w:t>
      </w:r>
      <w:r w:rsidR="00242913" w:rsidRPr="006B0646">
        <w:rPr>
          <w:color w:val="000000"/>
          <w:szCs w:val="24"/>
        </w:rPr>
        <w:t>available to all educators</w:t>
      </w:r>
      <w:r>
        <w:rPr>
          <w:color w:val="000000"/>
          <w:szCs w:val="24"/>
        </w:rPr>
        <w:t xml:space="preserve"> starting in 2020</w:t>
      </w:r>
      <w:r w:rsidR="00242913" w:rsidRPr="006B0646">
        <w:rPr>
          <w:color w:val="000000"/>
          <w:szCs w:val="24"/>
        </w:rPr>
        <w:t>. To satisfy this</w:t>
      </w:r>
      <w:r w:rsidR="00242913">
        <w:rPr>
          <w:color w:val="000000"/>
          <w:szCs w:val="24"/>
        </w:rPr>
        <w:t xml:space="preserve"> pathway, an educator must:</w:t>
      </w:r>
    </w:p>
    <w:p w14:paraId="370BED06" w14:textId="77777777" w:rsidR="00242913" w:rsidRDefault="00242913" w:rsidP="00242913">
      <w:pPr>
        <w:rPr>
          <w:color w:val="000000"/>
          <w:szCs w:val="24"/>
        </w:rPr>
      </w:pPr>
    </w:p>
    <w:p w14:paraId="5F90BFB1" w14:textId="57A60CF1" w:rsidR="00242913" w:rsidRDefault="00242913" w:rsidP="006B0646">
      <w:pPr>
        <w:ind w:left="1080" w:hanging="360"/>
        <w:rPr>
          <w:color w:val="000000"/>
          <w:szCs w:val="24"/>
        </w:rPr>
      </w:pPr>
      <w:r>
        <w:rPr>
          <w:color w:val="000000"/>
          <w:szCs w:val="24"/>
        </w:rPr>
        <w:t>(1)</w:t>
      </w:r>
      <w:r w:rsidR="00321F28">
        <w:rPr>
          <w:color w:val="000000"/>
          <w:szCs w:val="24"/>
        </w:rPr>
        <w:t xml:space="preserve"> </w:t>
      </w:r>
      <w:r w:rsidRPr="006B0646">
        <w:rPr>
          <w:color w:val="000000"/>
          <w:szCs w:val="24"/>
        </w:rPr>
        <w:t xml:space="preserve">Obtain a passing score on a foreign language test acceptable to the Department in the relevant foreign language (see footnote </w:t>
      </w:r>
      <w:r w:rsidR="00C74FC9">
        <w:rPr>
          <w:color w:val="000000"/>
          <w:szCs w:val="24"/>
        </w:rPr>
        <w:t>3</w:t>
      </w:r>
      <w:r w:rsidRPr="006B0646">
        <w:rPr>
          <w:color w:val="000000"/>
          <w:szCs w:val="24"/>
        </w:rPr>
        <w:t xml:space="preserve">); </w:t>
      </w:r>
    </w:p>
    <w:p w14:paraId="2B030B58" w14:textId="2089B3E4" w:rsidR="00242913" w:rsidRDefault="00242913" w:rsidP="006B0646">
      <w:pPr>
        <w:ind w:left="1080" w:hanging="360"/>
        <w:rPr>
          <w:color w:val="000000"/>
          <w:szCs w:val="24"/>
        </w:rPr>
      </w:pPr>
      <w:r>
        <w:rPr>
          <w:color w:val="000000"/>
          <w:szCs w:val="24"/>
        </w:rPr>
        <w:t xml:space="preserve">(2) </w:t>
      </w:r>
      <w:r w:rsidR="00922457">
        <w:rPr>
          <w:color w:val="000000"/>
          <w:szCs w:val="24"/>
        </w:rPr>
        <w:t xml:space="preserve">Obtain a passing </w:t>
      </w:r>
      <w:r>
        <w:rPr>
          <w:color w:val="000000"/>
          <w:szCs w:val="24"/>
        </w:rPr>
        <w:t xml:space="preserve">score </w:t>
      </w:r>
      <w:r w:rsidR="00321F28">
        <w:rPr>
          <w:color w:val="000000"/>
          <w:szCs w:val="24"/>
        </w:rPr>
        <w:t xml:space="preserve">on </w:t>
      </w:r>
      <w:r w:rsidR="00922457">
        <w:rPr>
          <w:color w:val="000000"/>
          <w:szCs w:val="24"/>
        </w:rPr>
        <w:t>the</w:t>
      </w:r>
      <w:r w:rsidR="00321F28">
        <w:rPr>
          <w:color w:val="000000"/>
          <w:szCs w:val="24"/>
        </w:rPr>
        <w:t xml:space="preserve"> Bilingual Education MTEL exam, which is in development and is anticipated to be available in 2020</w:t>
      </w:r>
      <w:r w:rsidR="00922457">
        <w:rPr>
          <w:color w:val="000000"/>
          <w:szCs w:val="24"/>
        </w:rPr>
        <w:t>;</w:t>
      </w:r>
      <w:r w:rsidR="00321F28">
        <w:rPr>
          <w:color w:val="000000"/>
          <w:szCs w:val="24"/>
        </w:rPr>
        <w:t xml:space="preserve"> </w:t>
      </w:r>
    </w:p>
    <w:p w14:paraId="1397CBBB" w14:textId="3E439E63" w:rsidR="0029095C" w:rsidRDefault="00321F28" w:rsidP="00922457">
      <w:pPr>
        <w:ind w:left="1080" w:hanging="360"/>
        <w:rPr>
          <w:color w:val="000000"/>
          <w:szCs w:val="24"/>
        </w:rPr>
      </w:pPr>
      <w:r>
        <w:rPr>
          <w:color w:val="000000"/>
          <w:szCs w:val="24"/>
        </w:rPr>
        <w:t xml:space="preserve">(3) Complete at least 75 hours of field-based experience in a PreK through grade 12 bilingual education setting. </w:t>
      </w:r>
      <w:r w:rsidRPr="00FF2D26">
        <w:rPr>
          <w:i/>
          <w:color w:val="000000"/>
          <w:szCs w:val="24"/>
        </w:rPr>
        <w:t>See</w:t>
      </w:r>
      <w:r>
        <w:rPr>
          <w:color w:val="000000"/>
          <w:szCs w:val="24"/>
        </w:rPr>
        <w:t xml:space="preserve"> 603 CMR 7.14(3)</w:t>
      </w:r>
      <w:r w:rsidR="00922457">
        <w:rPr>
          <w:color w:val="000000"/>
          <w:szCs w:val="24"/>
        </w:rPr>
        <w:t>(a)</w:t>
      </w:r>
      <w:r>
        <w:rPr>
          <w:color w:val="000000"/>
          <w:szCs w:val="24"/>
        </w:rPr>
        <w:t xml:space="preserve">. </w:t>
      </w:r>
    </w:p>
    <w:p w14:paraId="4320179A" w14:textId="77777777" w:rsidR="00717E45" w:rsidRDefault="00717E45" w:rsidP="00922457">
      <w:pPr>
        <w:ind w:left="1080" w:hanging="360"/>
        <w:rPr>
          <w:color w:val="000000"/>
          <w:szCs w:val="24"/>
        </w:rPr>
      </w:pPr>
    </w:p>
    <w:p w14:paraId="7228CEB0" w14:textId="77777777" w:rsidR="004447FD" w:rsidRDefault="004447FD" w:rsidP="00922457">
      <w:pPr>
        <w:ind w:left="1080" w:hanging="360"/>
        <w:rPr>
          <w:color w:val="000000"/>
          <w:szCs w:val="24"/>
        </w:rPr>
      </w:pPr>
    </w:p>
    <w:p w14:paraId="0E44C0F8" w14:textId="243CDD58" w:rsidR="00A24E58" w:rsidRPr="00DD3A15" w:rsidRDefault="00EA1FD8" w:rsidP="00DD3A15">
      <w:pPr>
        <w:rPr>
          <w:b/>
          <w:color w:val="000000"/>
          <w:szCs w:val="24"/>
        </w:rPr>
      </w:pPr>
      <w:r>
        <w:rPr>
          <w:b/>
          <w:color w:val="000000"/>
          <w:szCs w:val="24"/>
        </w:rPr>
        <w:t xml:space="preserve">IV. </w:t>
      </w:r>
      <w:r w:rsidR="00A34B2C" w:rsidRPr="00DD3A15">
        <w:rPr>
          <w:b/>
          <w:color w:val="000000"/>
          <w:szCs w:val="24"/>
        </w:rPr>
        <w:t xml:space="preserve">Waiver </w:t>
      </w:r>
      <w:r w:rsidR="00DD66A8" w:rsidRPr="00DD3A15">
        <w:rPr>
          <w:b/>
          <w:color w:val="000000"/>
          <w:szCs w:val="24"/>
        </w:rPr>
        <w:t>Applications</w:t>
      </w:r>
    </w:p>
    <w:p w14:paraId="7EABAD4D" w14:textId="77777777" w:rsidR="00A24E58" w:rsidRDefault="00A24E58" w:rsidP="00A24E58">
      <w:pPr>
        <w:rPr>
          <w:b/>
          <w:color w:val="000000"/>
          <w:szCs w:val="24"/>
        </w:rPr>
      </w:pPr>
    </w:p>
    <w:p w14:paraId="4E912A08" w14:textId="534DAC5A" w:rsidR="00A24E58" w:rsidRPr="00F431B8" w:rsidRDefault="00A24E58" w:rsidP="007C68D0">
      <w:r w:rsidRPr="00A24E58">
        <w:rPr>
          <w:color w:val="000000"/>
          <w:szCs w:val="24"/>
        </w:rPr>
        <w:t xml:space="preserve">The Commissioner may issue a waiver to a school district, including a charter school and an educational collaborative, </w:t>
      </w:r>
      <w:r w:rsidR="006E1156">
        <w:rPr>
          <w:color w:val="000000"/>
          <w:szCs w:val="24"/>
        </w:rPr>
        <w:t>of</w:t>
      </w:r>
      <w:r w:rsidR="006E1156" w:rsidRPr="00A24E58">
        <w:rPr>
          <w:color w:val="000000"/>
          <w:szCs w:val="24"/>
        </w:rPr>
        <w:t xml:space="preserve"> </w:t>
      </w:r>
      <w:r w:rsidRPr="00A24E58">
        <w:rPr>
          <w:color w:val="000000"/>
          <w:szCs w:val="24"/>
        </w:rPr>
        <w:t xml:space="preserve">the requirement that a core academic teacher assigned to </w:t>
      </w:r>
      <w:r w:rsidR="007217D1">
        <w:rPr>
          <w:color w:val="000000"/>
          <w:szCs w:val="24"/>
        </w:rPr>
        <w:t xml:space="preserve">provide instruction to an English learner in </w:t>
      </w:r>
      <w:r w:rsidRPr="00A24E58">
        <w:rPr>
          <w:color w:val="000000"/>
          <w:szCs w:val="24"/>
        </w:rPr>
        <w:t xml:space="preserve">a bilingual education setting in a language other than English must hold the Bilingual Education Endorsement. </w:t>
      </w:r>
      <w:r w:rsidR="00EC0B43">
        <w:rPr>
          <w:i/>
          <w:color w:val="000000"/>
          <w:szCs w:val="24"/>
        </w:rPr>
        <w:t>See</w:t>
      </w:r>
      <w:r w:rsidR="00EC0B43">
        <w:rPr>
          <w:color w:val="000000"/>
          <w:szCs w:val="24"/>
        </w:rPr>
        <w:t xml:space="preserve"> </w:t>
      </w:r>
      <w:r w:rsidR="00EC0B43">
        <w:t xml:space="preserve">603 CMR 7.15(9)(c)1.a.; </w:t>
      </w:r>
      <w:r w:rsidR="00A46402">
        <w:t xml:space="preserve">603 CMR 7.15(13)(d). </w:t>
      </w:r>
      <w:r w:rsidR="00F431B8">
        <w:t xml:space="preserve">Since this Bilingual Education Endorsement requirement is new in our state, the waiver process was designed to provide districts with some needed flexibility. </w:t>
      </w:r>
      <w:r w:rsidR="00BD3F95">
        <w:rPr>
          <w:color w:val="000000"/>
          <w:szCs w:val="24"/>
        </w:rPr>
        <w:t xml:space="preserve">To be </w:t>
      </w:r>
      <w:r w:rsidR="00FC3C8F">
        <w:rPr>
          <w:color w:val="000000"/>
          <w:szCs w:val="24"/>
        </w:rPr>
        <w:t xml:space="preserve">granted </w:t>
      </w:r>
      <w:r w:rsidR="00BD3F95">
        <w:rPr>
          <w:color w:val="000000"/>
          <w:szCs w:val="24"/>
        </w:rPr>
        <w:t>a waiver, t</w:t>
      </w:r>
      <w:r w:rsidRPr="00A24E58">
        <w:rPr>
          <w:color w:val="000000"/>
          <w:szCs w:val="24"/>
        </w:rPr>
        <w:t xml:space="preserve">he school district must demonstrate that it has made a good faith effort to hire personnel with the Bilingual Education Endorsement, </w:t>
      </w:r>
      <w:r w:rsidR="00321F28">
        <w:rPr>
          <w:color w:val="000000"/>
          <w:szCs w:val="24"/>
        </w:rPr>
        <w:t>or the TBL Endorsement or TBE license</w:t>
      </w:r>
      <w:r w:rsidR="005259BB">
        <w:rPr>
          <w:color w:val="000000"/>
          <w:szCs w:val="24"/>
        </w:rPr>
        <w:t xml:space="preserve"> as </w:t>
      </w:r>
      <w:r w:rsidR="00F431B8">
        <w:rPr>
          <w:color w:val="000000"/>
          <w:szCs w:val="24"/>
        </w:rPr>
        <w:t xml:space="preserve">discussed </w:t>
      </w:r>
      <w:r w:rsidR="005259BB">
        <w:rPr>
          <w:color w:val="000000"/>
          <w:szCs w:val="24"/>
        </w:rPr>
        <w:t>in sectio</w:t>
      </w:r>
      <w:bookmarkStart w:id="5" w:name="_GoBack"/>
      <w:bookmarkEnd w:id="5"/>
      <w:r w:rsidR="005259BB">
        <w:rPr>
          <w:color w:val="000000"/>
          <w:szCs w:val="24"/>
        </w:rPr>
        <w:t>n V of this memo</w:t>
      </w:r>
      <w:r w:rsidR="00922457">
        <w:rPr>
          <w:color w:val="000000"/>
          <w:szCs w:val="24"/>
        </w:rPr>
        <w:t>,</w:t>
      </w:r>
      <w:r w:rsidR="00321F28">
        <w:rPr>
          <w:color w:val="000000"/>
          <w:szCs w:val="24"/>
        </w:rPr>
        <w:t xml:space="preserve"> </w:t>
      </w:r>
      <w:r w:rsidRPr="00A24E58">
        <w:rPr>
          <w:color w:val="000000"/>
          <w:szCs w:val="24"/>
        </w:rPr>
        <w:t xml:space="preserve">and has been unable to find a candidate with the </w:t>
      </w:r>
      <w:r w:rsidR="002F5AF5">
        <w:rPr>
          <w:color w:val="000000"/>
          <w:szCs w:val="24"/>
        </w:rPr>
        <w:t>appropriate credential</w:t>
      </w:r>
      <w:r w:rsidRPr="00A24E58">
        <w:rPr>
          <w:color w:val="000000"/>
          <w:szCs w:val="24"/>
        </w:rPr>
        <w:t xml:space="preserve"> who is qualified </w:t>
      </w:r>
      <w:r w:rsidRPr="002F5AF5">
        <w:rPr>
          <w:color w:val="000000"/>
          <w:szCs w:val="24"/>
        </w:rPr>
        <w:t>for the position.</w:t>
      </w:r>
      <w:r w:rsidR="009F6DAA" w:rsidRPr="002F5AF5">
        <w:rPr>
          <w:color w:val="000000"/>
          <w:szCs w:val="24"/>
        </w:rPr>
        <w:t xml:space="preserve"> </w:t>
      </w:r>
      <w:r w:rsidRPr="002F5AF5">
        <w:rPr>
          <w:color w:val="000000"/>
          <w:szCs w:val="24"/>
        </w:rPr>
        <w:t>The</w:t>
      </w:r>
      <w:r>
        <w:rPr>
          <w:color w:val="000000"/>
          <w:szCs w:val="24"/>
        </w:rPr>
        <w:t xml:space="preserve"> waiver is valid for a period of one school year, and may be renewed at the Commissioner’s discretion.</w:t>
      </w:r>
      <w:r w:rsidR="009F6DAA">
        <w:rPr>
          <w:color w:val="000000"/>
          <w:szCs w:val="24"/>
        </w:rPr>
        <w:t xml:space="preserve"> </w:t>
      </w:r>
    </w:p>
    <w:p w14:paraId="1DCD9E81" w14:textId="74466D96" w:rsidR="00D56742" w:rsidRDefault="00D56742" w:rsidP="007C68D0">
      <w:pPr>
        <w:rPr>
          <w:color w:val="000000"/>
          <w:szCs w:val="24"/>
        </w:rPr>
      </w:pPr>
    </w:p>
    <w:p w14:paraId="4CE71292" w14:textId="34DBF54F" w:rsidR="00D56742" w:rsidRPr="00DD3A15" w:rsidRDefault="00EA1FD8" w:rsidP="00DD3A15">
      <w:pPr>
        <w:rPr>
          <w:color w:val="000000"/>
          <w:szCs w:val="24"/>
        </w:rPr>
      </w:pPr>
      <w:r>
        <w:rPr>
          <w:b/>
          <w:color w:val="000000"/>
          <w:szCs w:val="24"/>
        </w:rPr>
        <w:t>V. E</w:t>
      </w:r>
      <w:r w:rsidR="00D56742" w:rsidRPr="00DD3A15">
        <w:rPr>
          <w:b/>
          <w:color w:val="000000"/>
          <w:szCs w:val="24"/>
        </w:rPr>
        <w:t xml:space="preserve">ducators with </w:t>
      </w:r>
      <w:r w:rsidR="009F6DAA" w:rsidRPr="00DD3A15">
        <w:rPr>
          <w:b/>
          <w:color w:val="000000"/>
          <w:szCs w:val="24"/>
        </w:rPr>
        <w:t xml:space="preserve">Transitional </w:t>
      </w:r>
      <w:r w:rsidR="00D56742" w:rsidRPr="00DD3A15">
        <w:rPr>
          <w:b/>
          <w:color w:val="000000"/>
          <w:szCs w:val="24"/>
        </w:rPr>
        <w:t>Bilingual Credentials Previously Issued by the Department</w:t>
      </w:r>
    </w:p>
    <w:p w14:paraId="4C515A9D" w14:textId="3DF2E3C8" w:rsidR="00D56742" w:rsidRDefault="00D56742" w:rsidP="00D56742">
      <w:pPr>
        <w:rPr>
          <w:color w:val="000000"/>
          <w:szCs w:val="24"/>
        </w:rPr>
      </w:pPr>
    </w:p>
    <w:p w14:paraId="0EEADDE6" w14:textId="35BD957F" w:rsidR="00D56742" w:rsidRPr="005343A4" w:rsidRDefault="009167CB" w:rsidP="00D56742">
      <w:pPr>
        <w:rPr>
          <w:color w:val="000000"/>
          <w:szCs w:val="24"/>
        </w:rPr>
      </w:pPr>
      <w:r>
        <w:rPr>
          <w:color w:val="000000"/>
          <w:szCs w:val="24"/>
        </w:rPr>
        <w:t>Some</w:t>
      </w:r>
      <w:r w:rsidR="005343A4" w:rsidRPr="005343A4">
        <w:rPr>
          <w:color w:val="000000"/>
          <w:szCs w:val="24"/>
        </w:rPr>
        <w:t xml:space="preserve"> educators in the Commonwealth still hold a valid Transitional Bilingual Education </w:t>
      </w:r>
      <w:r w:rsidR="005259BB">
        <w:rPr>
          <w:color w:val="000000"/>
          <w:szCs w:val="24"/>
        </w:rPr>
        <w:t xml:space="preserve">(TBE) </w:t>
      </w:r>
      <w:r w:rsidR="005343A4" w:rsidRPr="005343A4">
        <w:rPr>
          <w:color w:val="000000"/>
          <w:szCs w:val="24"/>
        </w:rPr>
        <w:t xml:space="preserve">license or Transitional Bilingual Learning </w:t>
      </w:r>
      <w:r w:rsidR="005259BB">
        <w:rPr>
          <w:color w:val="000000"/>
          <w:szCs w:val="24"/>
        </w:rPr>
        <w:t xml:space="preserve">(TBL) </w:t>
      </w:r>
      <w:r w:rsidR="005343A4" w:rsidRPr="005343A4">
        <w:rPr>
          <w:color w:val="000000"/>
          <w:szCs w:val="24"/>
        </w:rPr>
        <w:t xml:space="preserve">endorsement that </w:t>
      </w:r>
      <w:r w:rsidR="00492E64">
        <w:rPr>
          <w:color w:val="000000"/>
          <w:szCs w:val="24"/>
        </w:rPr>
        <w:t xml:space="preserve">was previously </w:t>
      </w:r>
      <w:r w:rsidR="005343A4" w:rsidRPr="005343A4">
        <w:rPr>
          <w:color w:val="000000"/>
          <w:szCs w:val="24"/>
        </w:rPr>
        <w:t xml:space="preserve">issued by the Department. </w:t>
      </w:r>
      <w:r w:rsidR="009F6DAA">
        <w:rPr>
          <w:color w:val="000000"/>
          <w:szCs w:val="24"/>
        </w:rPr>
        <w:t>For purposes of compliance</w:t>
      </w:r>
      <w:r w:rsidR="005343A4" w:rsidRPr="005343A4">
        <w:rPr>
          <w:color w:val="000000"/>
          <w:szCs w:val="24"/>
        </w:rPr>
        <w:t xml:space="preserve"> with the Department’s regulations, </w:t>
      </w:r>
      <w:r w:rsidR="00D56742" w:rsidRPr="005343A4">
        <w:rPr>
          <w:color w:val="000000"/>
          <w:szCs w:val="24"/>
        </w:rPr>
        <w:t>a valid TBE license or TB</w:t>
      </w:r>
      <w:r w:rsidR="005259BB">
        <w:rPr>
          <w:color w:val="000000"/>
          <w:szCs w:val="24"/>
        </w:rPr>
        <w:t>L</w:t>
      </w:r>
      <w:r w:rsidR="00D56742" w:rsidRPr="005343A4">
        <w:rPr>
          <w:color w:val="000000"/>
          <w:szCs w:val="24"/>
        </w:rPr>
        <w:t xml:space="preserve"> endorsement </w:t>
      </w:r>
      <w:r w:rsidR="005343A4" w:rsidRPr="005343A4">
        <w:rPr>
          <w:color w:val="000000"/>
          <w:szCs w:val="24"/>
        </w:rPr>
        <w:t xml:space="preserve">previously </w:t>
      </w:r>
      <w:r w:rsidR="00D56742" w:rsidRPr="005343A4">
        <w:rPr>
          <w:color w:val="000000"/>
          <w:szCs w:val="24"/>
        </w:rPr>
        <w:t xml:space="preserve">issued by the Department, </w:t>
      </w:r>
      <w:r w:rsidR="005343A4" w:rsidRPr="005343A4">
        <w:rPr>
          <w:color w:val="000000"/>
          <w:szCs w:val="24"/>
        </w:rPr>
        <w:t>is</w:t>
      </w:r>
      <w:r w:rsidR="00D56742" w:rsidRPr="005343A4">
        <w:rPr>
          <w:color w:val="000000"/>
          <w:szCs w:val="24"/>
        </w:rPr>
        <w:t xml:space="preserve"> equivalent </w:t>
      </w:r>
      <w:r w:rsidR="00FC3C8F">
        <w:rPr>
          <w:color w:val="000000"/>
          <w:szCs w:val="24"/>
        </w:rPr>
        <w:t xml:space="preserve">to </w:t>
      </w:r>
      <w:r w:rsidR="00D56742" w:rsidRPr="005343A4">
        <w:rPr>
          <w:color w:val="000000"/>
          <w:szCs w:val="24"/>
        </w:rPr>
        <w:t>the Bilingual Education Endorsement.</w:t>
      </w:r>
      <w:r w:rsidR="005343A4">
        <w:rPr>
          <w:color w:val="000000"/>
          <w:szCs w:val="24"/>
        </w:rPr>
        <w:t xml:space="preserve"> Therefore, educators </w:t>
      </w:r>
      <w:r w:rsidR="00FC3C8F">
        <w:rPr>
          <w:color w:val="000000"/>
          <w:szCs w:val="24"/>
        </w:rPr>
        <w:t xml:space="preserve">who </w:t>
      </w:r>
      <w:r w:rsidR="005343A4">
        <w:rPr>
          <w:color w:val="000000"/>
          <w:szCs w:val="24"/>
        </w:rPr>
        <w:t>have those credentials</w:t>
      </w:r>
      <w:r w:rsidR="009F6DAA">
        <w:rPr>
          <w:color w:val="000000"/>
          <w:szCs w:val="24"/>
        </w:rPr>
        <w:t>, if they are still valid,</w:t>
      </w:r>
      <w:r w:rsidR="005343A4">
        <w:rPr>
          <w:color w:val="000000"/>
          <w:szCs w:val="24"/>
        </w:rPr>
        <w:t xml:space="preserve"> do not need to apply for the Bilingual Education Endorsement.</w:t>
      </w:r>
    </w:p>
    <w:p w14:paraId="48213D98" w14:textId="77777777" w:rsidR="00D56742" w:rsidRDefault="00D56742" w:rsidP="007C68D0">
      <w:pPr>
        <w:rPr>
          <w:color w:val="000000"/>
          <w:szCs w:val="24"/>
        </w:rPr>
      </w:pPr>
    </w:p>
    <w:p w14:paraId="3912EF86" w14:textId="6016F4B9" w:rsidR="00A34B2C" w:rsidRPr="00DD3A15" w:rsidRDefault="00EA1FD8" w:rsidP="00DD3A15">
      <w:pPr>
        <w:rPr>
          <w:b/>
          <w:color w:val="000000"/>
          <w:szCs w:val="24"/>
        </w:rPr>
      </w:pPr>
      <w:r>
        <w:rPr>
          <w:b/>
          <w:color w:val="000000"/>
          <w:szCs w:val="24"/>
        </w:rPr>
        <w:t xml:space="preserve">VI. </w:t>
      </w:r>
      <w:r w:rsidR="00A34B2C" w:rsidRPr="00DD3A15">
        <w:rPr>
          <w:b/>
          <w:color w:val="000000"/>
          <w:szCs w:val="24"/>
        </w:rPr>
        <w:t>Future Edwin Analytics Reports</w:t>
      </w:r>
    </w:p>
    <w:p w14:paraId="267BABF1" w14:textId="77777777" w:rsidR="00A34B2C" w:rsidRDefault="00A34B2C" w:rsidP="00A34B2C">
      <w:pPr>
        <w:rPr>
          <w:b/>
          <w:color w:val="000000"/>
          <w:szCs w:val="24"/>
        </w:rPr>
      </w:pPr>
    </w:p>
    <w:p w14:paraId="7180023B" w14:textId="451CFCAF" w:rsidR="00A34B2C" w:rsidRPr="003B2731" w:rsidRDefault="00A34B2C">
      <w:pPr>
        <w:rPr>
          <w:color w:val="000000"/>
          <w:szCs w:val="24"/>
        </w:rPr>
      </w:pPr>
      <w:r w:rsidRPr="003B2731">
        <w:rPr>
          <w:color w:val="000000"/>
          <w:szCs w:val="24"/>
        </w:rPr>
        <w:t xml:space="preserve">The Department anticipates that starting in 2021, it will be able to provide </w:t>
      </w:r>
      <w:r w:rsidR="003B2731" w:rsidRPr="003B2731">
        <w:rPr>
          <w:color w:val="000000"/>
          <w:szCs w:val="24"/>
        </w:rPr>
        <w:t xml:space="preserve">school </w:t>
      </w:r>
      <w:r w:rsidRPr="003B2731">
        <w:rPr>
          <w:color w:val="000000"/>
          <w:szCs w:val="24"/>
        </w:rPr>
        <w:t>districts</w:t>
      </w:r>
      <w:r w:rsidR="003B2731" w:rsidRPr="003B2731">
        <w:rPr>
          <w:color w:val="000000"/>
          <w:szCs w:val="24"/>
        </w:rPr>
        <w:t>, including charter schools,</w:t>
      </w:r>
      <w:r w:rsidRPr="003B2731">
        <w:rPr>
          <w:color w:val="000000"/>
          <w:szCs w:val="24"/>
        </w:rPr>
        <w:t xml:space="preserve"> with Edwin Analytics reports intended to assist </w:t>
      </w:r>
      <w:r w:rsidR="003B2731">
        <w:rPr>
          <w:color w:val="000000"/>
          <w:szCs w:val="24"/>
        </w:rPr>
        <w:t>districts</w:t>
      </w:r>
      <w:r w:rsidRPr="003B2731">
        <w:rPr>
          <w:color w:val="000000"/>
          <w:szCs w:val="24"/>
        </w:rPr>
        <w:t xml:space="preserve"> with </w:t>
      </w:r>
      <w:r w:rsidR="00FC3C8F">
        <w:rPr>
          <w:color w:val="000000"/>
          <w:szCs w:val="24"/>
        </w:rPr>
        <w:t xml:space="preserve">addressing the </w:t>
      </w:r>
      <w:r w:rsidRPr="003B2731">
        <w:rPr>
          <w:color w:val="000000"/>
          <w:szCs w:val="24"/>
        </w:rPr>
        <w:t>Bilingual Education Endorsement requirements</w:t>
      </w:r>
      <w:r w:rsidR="003B2731">
        <w:rPr>
          <w:color w:val="000000"/>
          <w:szCs w:val="24"/>
        </w:rPr>
        <w:t xml:space="preserve">. </w:t>
      </w:r>
    </w:p>
    <w:p w14:paraId="56E28ECA" w14:textId="77777777" w:rsidR="00A34B2C" w:rsidRDefault="00A34B2C">
      <w:pPr>
        <w:rPr>
          <w:color w:val="000000"/>
          <w:szCs w:val="24"/>
        </w:rPr>
      </w:pPr>
    </w:p>
    <w:p w14:paraId="28ACEDF9" w14:textId="184B6EAB" w:rsidR="00201172" w:rsidRPr="00A34B2C" w:rsidRDefault="00A34B2C">
      <w:pPr>
        <w:rPr>
          <w:color w:val="000000"/>
          <w:szCs w:val="24"/>
        </w:rPr>
      </w:pPr>
      <w:r w:rsidRPr="00601290">
        <w:rPr>
          <w:color w:val="000000"/>
          <w:szCs w:val="24"/>
        </w:rPr>
        <w:t xml:space="preserve">If you have any questions regarding the Bilingual Education Endorsement requirements, please contact the </w:t>
      </w:r>
      <w:hyperlink r:id="rId20" w:history="1">
        <w:r w:rsidRPr="00601290">
          <w:rPr>
            <w:rStyle w:val="Hyperlink"/>
            <w:szCs w:val="24"/>
          </w:rPr>
          <w:t>Department’s Office of Educator Licensure</w:t>
        </w:r>
      </w:hyperlink>
      <w:r w:rsidR="00601290" w:rsidRPr="00601290">
        <w:rPr>
          <w:color w:val="000000"/>
          <w:szCs w:val="24"/>
        </w:rPr>
        <w:t xml:space="preserve"> at (781) 338-6600. If you are interested in establishing </w:t>
      </w:r>
      <w:r w:rsidR="006A2EF6">
        <w:rPr>
          <w:color w:val="000000"/>
          <w:szCs w:val="24"/>
        </w:rPr>
        <w:t xml:space="preserve">new </w:t>
      </w:r>
      <w:r w:rsidR="00601290" w:rsidRPr="00601290">
        <w:rPr>
          <w:color w:val="000000"/>
          <w:szCs w:val="24"/>
        </w:rPr>
        <w:t xml:space="preserve">bilingual education programs in your district, please </w:t>
      </w:r>
      <w:r w:rsidR="006A2EF6">
        <w:rPr>
          <w:color w:val="000000"/>
          <w:szCs w:val="24"/>
        </w:rPr>
        <w:t xml:space="preserve">see the Department’s </w:t>
      </w:r>
      <w:hyperlink r:id="rId21" w:history="1">
        <w:r w:rsidR="006A2EF6" w:rsidRPr="006A2EF6">
          <w:rPr>
            <w:rStyle w:val="Hyperlink"/>
            <w:szCs w:val="24"/>
          </w:rPr>
          <w:t>website</w:t>
        </w:r>
      </w:hyperlink>
      <w:r w:rsidR="006A2EF6">
        <w:rPr>
          <w:color w:val="000000"/>
          <w:szCs w:val="24"/>
        </w:rPr>
        <w:t xml:space="preserve"> or contact </w:t>
      </w:r>
      <w:r w:rsidR="00601290" w:rsidRPr="00601290">
        <w:rPr>
          <w:color w:val="000000"/>
          <w:szCs w:val="24"/>
        </w:rPr>
        <w:t xml:space="preserve">the Department’s </w:t>
      </w:r>
      <w:hyperlink r:id="rId22" w:history="1">
        <w:r w:rsidR="00601290" w:rsidRPr="00601290">
          <w:rPr>
            <w:rStyle w:val="Hyperlink"/>
            <w:szCs w:val="24"/>
          </w:rPr>
          <w:t>Office of Language Acquisition</w:t>
        </w:r>
      </w:hyperlink>
      <w:r w:rsidR="00601290" w:rsidRPr="00601290">
        <w:rPr>
          <w:color w:val="000000"/>
          <w:szCs w:val="24"/>
        </w:rPr>
        <w:t xml:space="preserve"> at </w:t>
      </w:r>
      <w:hyperlink r:id="rId23" w:history="1">
        <w:r w:rsidR="00601290" w:rsidRPr="00601290">
          <w:rPr>
            <w:rStyle w:val="Hyperlink"/>
            <w:szCs w:val="24"/>
          </w:rPr>
          <w:t>ell@</w:t>
        </w:r>
        <w:r w:rsidR="00601290" w:rsidRPr="002F5AF5">
          <w:rPr>
            <w:rStyle w:val="Hyperlink"/>
            <w:bCs/>
            <w:szCs w:val="24"/>
          </w:rPr>
          <w:t>doe</w:t>
        </w:r>
        <w:r w:rsidR="00601290" w:rsidRPr="002F5AF5">
          <w:rPr>
            <w:rStyle w:val="Hyperlink"/>
            <w:szCs w:val="24"/>
          </w:rPr>
          <w:t>.</w:t>
        </w:r>
        <w:r w:rsidR="00601290" w:rsidRPr="002F5AF5">
          <w:rPr>
            <w:rStyle w:val="Hyperlink"/>
            <w:bCs/>
            <w:szCs w:val="24"/>
          </w:rPr>
          <w:t>mass</w:t>
        </w:r>
        <w:r w:rsidR="00601290" w:rsidRPr="00601290">
          <w:rPr>
            <w:rStyle w:val="Hyperlink"/>
            <w:szCs w:val="24"/>
          </w:rPr>
          <w:t>.edu</w:t>
        </w:r>
      </w:hyperlink>
      <w:r w:rsidR="00601290" w:rsidRPr="00601290">
        <w:rPr>
          <w:color w:val="545454"/>
          <w:szCs w:val="24"/>
        </w:rPr>
        <w:t xml:space="preserve">. </w:t>
      </w:r>
    </w:p>
    <w:sectPr w:rsidR="00201172" w:rsidRPr="00A34B2C"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34206" w14:textId="77777777" w:rsidR="00CF4D28" w:rsidRDefault="00CF4D28" w:rsidP="004E61CB">
      <w:r>
        <w:separator/>
      </w:r>
    </w:p>
  </w:endnote>
  <w:endnote w:type="continuationSeparator" w:id="0">
    <w:p w14:paraId="41DCF19A" w14:textId="77777777" w:rsidR="00CF4D28" w:rsidRDefault="00CF4D28" w:rsidP="004E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E9EF1" w14:textId="77777777" w:rsidR="00CF4D28" w:rsidRDefault="00CF4D28" w:rsidP="004E61CB">
      <w:r>
        <w:separator/>
      </w:r>
    </w:p>
  </w:footnote>
  <w:footnote w:type="continuationSeparator" w:id="0">
    <w:p w14:paraId="66238A95" w14:textId="77777777" w:rsidR="00CF4D28" w:rsidRDefault="00CF4D28" w:rsidP="004E61CB">
      <w:r>
        <w:continuationSeparator/>
      </w:r>
    </w:p>
  </w:footnote>
  <w:footnote w:id="1">
    <w:p w14:paraId="6F2B6740" w14:textId="77777777" w:rsidR="00C614F0" w:rsidRPr="00407713" w:rsidRDefault="00C614F0" w:rsidP="00C614F0">
      <w:pPr>
        <w:pStyle w:val="FootnoteText"/>
      </w:pPr>
      <w:r w:rsidRPr="00407713">
        <w:rPr>
          <w:rStyle w:val="FootnoteReference"/>
          <w:vertAlign w:val="superscript"/>
        </w:rPr>
        <w:footnoteRef/>
      </w:r>
      <w:r w:rsidRPr="00407713">
        <w:rPr>
          <w:vertAlign w:val="superscript"/>
        </w:rPr>
        <w:t xml:space="preserve"> </w:t>
      </w:r>
      <w:r>
        <w:t xml:space="preserve">Bilingual education is defined as an educational program that involves teaching academic content in two languages, English and another language. Program types determine the varying amounts of each language used in instruction. Bilingual education programs include dual language education or two-way immersion and transitional bilingual education programs, as defined in M.G.L. c. 71A, </w:t>
      </w:r>
      <w:r w:rsidRPr="00407713">
        <w:t>§ 2, and any other bilingual program types</w:t>
      </w:r>
      <w:r>
        <w:t xml:space="preserve"> that may be approved by the Department</w:t>
      </w:r>
      <w:r w:rsidRPr="00407713">
        <w:t>.</w:t>
      </w:r>
      <w:r>
        <w:t xml:space="preserve"> </w:t>
      </w:r>
      <w:r>
        <w:rPr>
          <w:i/>
        </w:rPr>
        <w:t>See</w:t>
      </w:r>
      <w:r>
        <w:t xml:space="preserve"> 603 CMR 7.02.</w:t>
      </w:r>
    </w:p>
  </w:footnote>
  <w:footnote w:id="2">
    <w:p w14:paraId="441576CC" w14:textId="596F830F" w:rsidR="00C802A5" w:rsidRPr="00D1733B" w:rsidRDefault="00C802A5" w:rsidP="00C802A5">
      <w:pPr>
        <w:pStyle w:val="FootnoteText"/>
      </w:pPr>
      <w:r w:rsidRPr="00C802A5">
        <w:rPr>
          <w:rStyle w:val="FootnoteReference"/>
          <w:vertAlign w:val="superscript"/>
        </w:rPr>
        <w:footnoteRef/>
      </w:r>
      <w:r w:rsidRPr="00C802A5">
        <w:rPr>
          <w:vertAlign w:val="superscript"/>
        </w:rPr>
        <w:t xml:space="preserve"> </w:t>
      </w:r>
      <w:r w:rsidR="00145564">
        <w:t>A</w:t>
      </w:r>
      <w:r w:rsidR="00D1733B">
        <w:t xml:space="preserve"> valid Transitional Bilingual Education (TBE) license or Transitional Bilingual Learning (TBL) endorsement </w:t>
      </w:r>
      <w:r w:rsidR="00145564">
        <w:t xml:space="preserve">previously issued by the Department may be used to satisfy this requirement. </w:t>
      </w:r>
      <w:r w:rsidR="00145564">
        <w:rPr>
          <w:i/>
        </w:rPr>
        <w:t>See</w:t>
      </w:r>
      <w:r w:rsidR="00145564">
        <w:t xml:space="preserve"> Section V of this memorandum.</w:t>
      </w:r>
      <w:r w:rsidR="00650302">
        <w:t xml:space="preserve"> </w:t>
      </w:r>
      <w:r w:rsidR="00650302" w:rsidRPr="00650302">
        <w:t>Similarly to the TBE license and TBL Endorsement, the Bilingual Education Endorsement is issued for the specific foreign language in which the educator has demonstrated proficiency. For example, Bilingual Education [Spanish] Endorsement.</w:t>
      </w:r>
      <w:r w:rsidR="00650302">
        <w:rPr>
          <w:rFonts w:ascii="&amp;quot" w:hAnsi="&amp;quot"/>
          <w:snapToGrid/>
          <w:color w:val="000000"/>
          <w:sz w:val="21"/>
          <w:szCs w:val="21"/>
        </w:rPr>
        <w:t xml:space="preserve"> </w:t>
      </w:r>
      <w:r w:rsidR="00D1733B">
        <w:t xml:space="preserve">  </w:t>
      </w:r>
    </w:p>
  </w:footnote>
  <w:footnote w:id="3">
    <w:p w14:paraId="78D0B294" w14:textId="4BF63681" w:rsidR="000D6C0E" w:rsidRDefault="000D6C0E">
      <w:pPr>
        <w:pStyle w:val="FootnoteText"/>
      </w:pPr>
      <w:r w:rsidRPr="009F5F53">
        <w:rPr>
          <w:rStyle w:val="FootnoteReference"/>
          <w:vertAlign w:val="superscript"/>
        </w:rPr>
        <w:footnoteRef/>
      </w:r>
      <w:r>
        <w:t xml:space="preserve"> Tests that can be used to satisfy the foreign language test requirement include the MTEL in the relevant language, as well as the Oral Proficiency Interview and Writing Proficiency Test offered through the American Council for the Teaching of Foreign Languages (ACTFL). For more information regarding the currently available tests, please see the Department’s </w:t>
      </w:r>
      <w:hyperlink r:id="rId1" w:history="1">
        <w:r>
          <w:rPr>
            <w:rStyle w:val="Hyperlink"/>
          </w:rPr>
          <w:t>website</w:t>
        </w:r>
      </w:hyperlink>
      <w:r>
        <w:t xml:space="preserve"> and ACTFL’s </w:t>
      </w:r>
      <w:hyperlink r:id="rId2" w:history="1">
        <w:r w:rsidRPr="00576E35">
          <w:rPr>
            <w:rStyle w:val="Hyperlink"/>
          </w:rPr>
          <w:t>website</w:t>
        </w:r>
      </w:hyperlink>
      <w:r>
        <w:t xml:space="preserve">. </w:t>
      </w:r>
    </w:p>
  </w:footnote>
  <w:footnote w:id="4">
    <w:p w14:paraId="39074D93" w14:textId="04168D5C" w:rsidR="00492E64" w:rsidRDefault="00492E64">
      <w:pPr>
        <w:pStyle w:val="FootnoteText"/>
      </w:pPr>
      <w:r w:rsidRPr="00734742">
        <w:rPr>
          <w:rStyle w:val="FootnoteReference"/>
          <w:vertAlign w:val="superscript"/>
        </w:rPr>
        <w:footnoteRef/>
      </w:r>
      <w:r>
        <w:t xml:space="preserve"> </w:t>
      </w:r>
      <w:r w:rsidR="00405E0D">
        <w:t xml:space="preserve">Currently, there </w:t>
      </w:r>
      <w:r w:rsidR="00B7750A">
        <w:t>are</w:t>
      </w:r>
      <w:r w:rsidR="00405E0D">
        <w:t xml:space="preserve"> approved course</w:t>
      </w:r>
      <w:r w:rsidR="00FC3C8F">
        <w:t>s</w:t>
      </w:r>
      <w:r w:rsidR="00405E0D">
        <w:t xml:space="preserve"> of stud</w:t>
      </w:r>
      <w:r w:rsidR="00FC3C8F">
        <w:t>y</w:t>
      </w:r>
      <w:r w:rsidR="00405E0D">
        <w:t xml:space="preserve"> at </w:t>
      </w:r>
      <w:r w:rsidR="00405E0D" w:rsidRPr="000044F6">
        <w:t>UMASS Amherst</w:t>
      </w:r>
      <w:r w:rsidR="00405E0D">
        <w:t xml:space="preserve">, </w:t>
      </w:r>
      <w:r w:rsidR="00B7750A">
        <w:t>Boston College, Bridgewater State College and Lesley College</w:t>
      </w:r>
      <w:r w:rsidR="00FC3C8F">
        <w:t>,</w:t>
      </w:r>
      <w:r w:rsidR="00B7750A">
        <w:t xml:space="preserve"> </w:t>
      </w:r>
      <w:r w:rsidR="00405E0D">
        <w:t xml:space="preserve">and </w:t>
      </w:r>
      <w:r w:rsidR="000D5EAB">
        <w:t xml:space="preserve">the Department </w:t>
      </w:r>
      <w:r w:rsidRPr="00492E64">
        <w:t xml:space="preserve">is in the process of reviewing other proposed </w:t>
      </w:r>
      <w:r w:rsidR="004D7CE6">
        <w:t>courses of study</w:t>
      </w:r>
      <w:r w:rsidR="00405E0D">
        <w:t>.</w:t>
      </w:r>
      <w:r w:rsidR="000D5EAB">
        <w:t xml:space="preserve"> </w:t>
      </w:r>
      <w:r w:rsidR="004D7CE6">
        <w:t>P</w:t>
      </w:r>
      <w:r w:rsidR="000D5EAB">
        <w:t xml:space="preserve">lease see the Department’s </w:t>
      </w:r>
      <w:hyperlink r:id="rId3" w:history="1">
        <w:r w:rsidR="000D5EAB" w:rsidRPr="000D5EAB">
          <w:rPr>
            <w:rStyle w:val="Hyperlink"/>
          </w:rPr>
          <w:t>website</w:t>
        </w:r>
      </w:hyperlink>
      <w:r w:rsidR="004D7CE6">
        <w:t xml:space="preserve"> to search for approved courses of study</w:t>
      </w:r>
      <w:r w:rsidR="000D5EAB">
        <w:t>.</w:t>
      </w:r>
      <w:r w:rsidR="00405E0D">
        <w:t xml:space="preserve"> </w:t>
      </w:r>
      <w:r w:rsidR="00AD6307">
        <w:t xml:space="preserve"> </w:t>
      </w:r>
    </w:p>
  </w:footnote>
  <w:footnote w:id="5">
    <w:p w14:paraId="2AA50D87" w14:textId="71154973" w:rsidR="00F4184D" w:rsidRPr="00F4184D" w:rsidRDefault="00F4184D">
      <w:pPr>
        <w:pStyle w:val="FootnoteText"/>
      </w:pPr>
      <w:r w:rsidRPr="00F4184D">
        <w:rPr>
          <w:rStyle w:val="FootnoteReference"/>
          <w:vertAlign w:val="superscript"/>
        </w:rPr>
        <w:footnoteRef/>
      </w:r>
      <w:r w:rsidRPr="00F4184D">
        <w:rPr>
          <w:vertAlign w:val="superscript"/>
        </w:rPr>
        <w:t xml:space="preserve"> </w:t>
      </w:r>
      <w:r>
        <w:t xml:space="preserve">Ordinarily, educators </w:t>
      </w:r>
      <w:r w:rsidR="00FC3C8F">
        <w:t xml:space="preserve">who </w:t>
      </w:r>
      <w:r>
        <w:t>complete a Department</w:t>
      </w:r>
      <w:r w:rsidR="00FC3C8F">
        <w:t>-</w:t>
      </w:r>
      <w:r>
        <w:t>approved course of study will satisfy the requirement for field-based experience through that course of study.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4753"/>
    <w:multiLevelType w:val="hybridMultilevel"/>
    <w:tmpl w:val="EEF4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461DE"/>
    <w:multiLevelType w:val="hybridMultilevel"/>
    <w:tmpl w:val="1A2E9B20"/>
    <w:lvl w:ilvl="0" w:tplc="487AEEC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EB2853"/>
    <w:multiLevelType w:val="multilevel"/>
    <w:tmpl w:val="60702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02C28"/>
    <w:multiLevelType w:val="multilevel"/>
    <w:tmpl w:val="7664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4A1A02"/>
    <w:multiLevelType w:val="hybridMultilevel"/>
    <w:tmpl w:val="43AEEBDC"/>
    <w:lvl w:ilvl="0" w:tplc="CFF6B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80154B"/>
    <w:multiLevelType w:val="multilevel"/>
    <w:tmpl w:val="1F66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8B2990"/>
    <w:multiLevelType w:val="multilevel"/>
    <w:tmpl w:val="5372C1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E6624"/>
    <w:multiLevelType w:val="hybridMultilevel"/>
    <w:tmpl w:val="91A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35845"/>
    <w:multiLevelType w:val="hybridMultilevel"/>
    <w:tmpl w:val="B3C8AC82"/>
    <w:lvl w:ilvl="0" w:tplc="A1722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2240D"/>
    <w:multiLevelType w:val="hybridMultilevel"/>
    <w:tmpl w:val="89D6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D1199"/>
    <w:multiLevelType w:val="multilevel"/>
    <w:tmpl w:val="9AB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856E1"/>
    <w:multiLevelType w:val="multilevel"/>
    <w:tmpl w:val="67CEB6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485C2B"/>
    <w:multiLevelType w:val="multilevel"/>
    <w:tmpl w:val="4880E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4874FF"/>
    <w:multiLevelType w:val="hybridMultilevel"/>
    <w:tmpl w:val="F40E8350"/>
    <w:lvl w:ilvl="0" w:tplc="8C621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C30FDA"/>
    <w:multiLevelType w:val="hybridMultilevel"/>
    <w:tmpl w:val="B46E6E2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F16398A"/>
    <w:multiLevelType w:val="hybridMultilevel"/>
    <w:tmpl w:val="699AB236"/>
    <w:lvl w:ilvl="0" w:tplc="81066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2D5422"/>
    <w:multiLevelType w:val="hybridMultilevel"/>
    <w:tmpl w:val="6AD85A2A"/>
    <w:lvl w:ilvl="0" w:tplc="8820B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37A6F"/>
    <w:multiLevelType w:val="hybridMultilevel"/>
    <w:tmpl w:val="2C121294"/>
    <w:lvl w:ilvl="0" w:tplc="D8B069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E20E44"/>
    <w:multiLevelType w:val="hybridMultilevel"/>
    <w:tmpl w:val="C306579C"/>
    <w:lvl w:ilvl="0" w:tplc="81066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6033F5"/>
    <w:multiLevelType w:val="hybridMultilevel"/>
    <w:tmpl w:val="F6D60862"/>
    <w:lvl w:ilvl="0" w:tplc="60E6DFA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762B5E"/>
    <w:multiLevelType w:val="multilevel"/>
    <w:tmpl w:val="C8F6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C562C0"/>
    <w:multiLevelType w:val="multilevel"/>
    <w:tmpl w:val="5EEE3F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14"/>
  </w:num>
  <w:num w:numId="4">
    <w:abstractNumId w:val="22"/>
  </w:num>
  <w:num w:numId="5">
    <w:abstractNumId w:val="3"/>
  </w:num>
  <w:num w:numId="6">
    <w:abstractNumId w:val="2"/>
  </w:num>
  <w:num w:numId="7">
    <w:abstractNumId w:val="9"/>
  </w:num>
  <w:num w:numId="8">
    <w:abstractNumId w:val="0"/>
  </w:num>
  <w:num w:numId="9">
    <w:abstractNumId w:val="7"/>
  </w:num>
  <w:num w:numId="10">
    <w:abstractNumId w:val="8"/>
  </w:num>
  <w:num w:numId="11">
    <w:abstractNumId w:val="12"/>
  </w:num>
  <w:num w:numId="12">
    <w:abstractNumId w:val="6"/>
  </w:num>
  <w:num w:numId="13">
    <w:abstractNumId w:val="5"/>
  </w:num>
  <w:num w:numId="14">
    <w:abstractNumId w:val="20"/>
  </w:num>
  <w:num w:numId="15">
    <w:abstractNumId w:val="19"/>
  </w:num>
  <w:num w:numId="16">
    <w:abstractNumId w:val="4"/>
  </w:num>
  <w:num w:numId="17">
    <w:abstractNumId w:val="21"/>
  </w:num>
  <w:num w:numId="18">
    <w:abstractNumId w:val="10"/>
  </w:num>
  <w:num w:numId="19">
    <w:abstractNumId w:val="16"/>
  </w:num>
  <w:num w:numId="20">
    <w:abstractNumId w:val="11"/>
  </w:num>
  <w:num w:numId="21">
    <w:abstractNumId w:val="17"/>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FC"/>
    <w:rsid w:val="000044F6"/>
    <w:rsid w:val="00014DF0"/>
    <w:rsid w:val="00017033"/>
    <w:rsid w:val="00025507"/>
    <w:rsid w:val="00041CA1"/>
    <w:rsid w:val="00053A92"/>
    <w:rsid w:val="00077AB1"/>
    <w:rsid w:val="00083001"/>
    <w:rsid w:val="000866EB"/>
    <w:rsid w:val="000A3D1F"/>
    <w:rsid w:val="000C1715"/>
    <w:rsid w:val="000C3376"/>
    <w:rsid w:val="000D33C2"/>
    <w:rsid w:val="000D400D"/>
    <w:rsid w:val="000D4E8B"/>
    <w:rsid w:val="000D5EAB"/>
    <w:rsid w:val="000D6C0E"/>
    <w:rsid w:val="000E015A"/>
    <w:rsid w:val="000E0994"/>
    <w:rsid w:val="000F4FDB"/>
    <w:rsid w:val="00114529"/>
    <w:rsid w:val="00145564"/>
    <w:rsid w:val="00152136"/>
    <w:rsid w:val="0017117F"/>
    <w:rsid w:val="00181484"/>
    <w:rsid w:val="00182164"/>
    <w:rsid w:val="0019255D"/>
    <w:rsid w:val="001A6DAE"/>
    <w:rsid w:val="001B3BA4"/>
    <w:rsid w:val="001C172F"/>
    <w:rsid w:val="001E5ABC"/>
    <w:rsid w:val="00201172"/>
    <w:rsid w:val="00212F59"/>
    <w:rsid w:val="002165E6"/>
    <w:rsid w:val="00242913"/>
    <w:rsid w:val="00255784"/>
    <w:rsid w:val="00265905"/>
    <w:rsid w:val="00271FB3"/>
    <w:rsid w:val="00276DDB"/>
    <w:rsid w:val="002865F1"/>
    <w:rsid w:val="0029095C"/>
    <w:rsid w:val="002A1966"/>
    <w:rsid w:val="002A3E22"/>
    <w:rsid w:val="002B4B10"/>
    <w:rsid w:val="002B6099"/>
    <w:rsid w:val="002C0CF9"/>
    <w:rsid w:val="002C117A"/>
    <w:rsid w:val="002C3B79"/>
    <w:rsid w:val="002E3396"/>
    <w:rsid w:val="002E5B13"/>
    <w:rsid w:val="002F5424"/>
    <w:rsid w:val="002F5AF5"/>
    <w:rsid w:val="00321F28"/>
    <w:rsid w:val="003239D4"/>
    <w:rsid w:val="00341BF1"/>
    <w:rsid w:val="00355A66"/>
    <w:rsid w:val="003623E1"/>
    <w:rsid w:val="003627EF"/>
    <w:rsid w:val="00370CD9"/>
    <w:rsid w:val="00372508"/>
    <w:rsid w:val="0037669D"/>
    <w:rsid w:val="003953C8"/>
    <w:rsid w:val="003B2731"/>
    <w:rsid w:val="003C241B"/>
    <w:rsid w:val="003D0D8A"/>
    <w:rsid w:val="003F0D5E"/>
    <w:rsid w:val="003F2533"/>
    <w:rsid w:val="00405E0D"/>
    <w:rsid w:val="00407713"/>
    <w:rsid w:val="0041210C"/>
    <w:rsid w:val="00434D38"/>
    <w:rsid w:val="00434E1C"/>
    <w:rsid w:val="004447FD"/>
    <w:rsid w:val="00445201"/>
    <w:rsid w:val="00462C31"/>
    <w:rsid w:val="004734D4"/>
    <w:rsid w:val="00487E03"/>
    <w:rsid w:val="004907A1"/>
    <w:rsid w:val="00492E64"/>
    <w:rsid w:val="004C13DA"/>
    <w:rsid w:val="004C5DFB"/>
    <w:rsid w:val="004D5365"/>
    <w:rsid w:val="004D7CE6"/>
    <w:rsid w:val="004E5697"/>
    <w:rsid w:val="004E61CB"/>
    <w:rsid w:val="004F3F22"/>
    <w:rsid w:val="004F637A"/>
    <w:rsid w:val="00501623"/>
    <w:rsid w:val="00502379"/>
    <w:rsid w:val="0051118A"/>
    <w:rsid w:val="00514C28"/>
    <w:rsid w:val="005151A7"/>
    <w:rsid w:val="005259BB"/>
    <w:rsid w:val="00533415"/>
    <w:rsid w:val="005343A4"/>
    <w:rsid w:val="005430E2"/>
    <w:rsid w:val="00550AAF"/>
    <w:rsid w:val="00556EC3"/>
    <w:rsid w:val="005618E4"/>
    <w:rsid w:val="00566274"/>
    <w:rsid w:val="00571666"/>
    <w:rsid w:val="00576E35"/>
    <w:rsid w:val="00583483"/>
    <w:rsid w:val="00596D89"/>
    <w:rsid w:val="005A5793"/>
    <w:rsid w:val="005B05FA"/>
    <w:rsid w:val="005B6DCB"/>
    <w:rsid w:val="005C1013"/>
    <w:rsid w:val="005C1B61"/>
    <w:rsid w:val="005E20BB"/>
    <w:rsid w:val="005E3535"/>
    <w:rsid w:val="00601290"/>
    <w:rsid w:val="00606ED1"/>
    <w:rsid w:val="006132FE"/>
    <w:rsid w:val="00615983"/>
    <w:rsid w:val="0062324C"/>
    <w:rsid w:val="006335C5"/>
    <w:rsid w:val="00635070"/>
    <w:rsid w:val="00650302"/>
    <w:rsid w:val="00675F99"/>
    <w:rsid w:val="006A2EF6"/>
    <w:rsid w:val="006B0646"/>
    <w:rsid w:val="006B6D23"/>
    <w:rsid w:val="006E1156"/>
    <w:rsid w:val="006E1874"/>
    <w:rsid w:val="006E1A76"/>
    <w:rsid w:val="006F6169"/>
    <w:rsid w:val="007038CA"/>
    <w:rsid w:val="00710D62"/>
    <w:rsid w:val="00717E45"/>
    <w:rsid w:val="007217D1"/>
    <w:rsid w:val="00734742"/>
    <w:rsid w:val="0074485D"/>
    <w:rsid w:val="007602FC"/>
    <w:rsid w:val="00761FD8"/>
    <w:rsid w:val="00771813"/>
    <w:rsid w:val="007732FB"/>
    <w:rsid w:val="0078332A"/>
    <w:rsid w:val="007A6502"/>
    <w:rsid w:val="007C5A1E"/>
    <w:rsid w:val="007C68D0"/>
    <w:rsid w:val="007F1E00"/>
    <w:rsid w:val="008464EF"/>
    <w:rsid w:val="00857F81"/>
    <w:rsid w:val="008715CF"/>
    <w:rsid w:val="0089710C"/>
    <w:rsid w:val="008A1FD3"/>
    <w:rsid w:val="008A4B18"/>
    <w:rsid w:val="008C238A"/>
    <w:rsid w:val="008D3BE3"/>
    <w:rsid w:val="008F7F6C"/>
    <w:rsid w:val="009130E7"/>
    <w:rsid w:val="00913DB8"/>
    <w:rsid w:val="009167CB"/>
    <w:rsid w:val="00922457"/>
    <w:rsid w:val="009302A1"/>
    <w:rsid w:val="00946DDD"/>
    <w:rsid w:val="00946FA3"/>
    <w:rsid w:val="009501E7"/>
    <w:rsid w:val="00955CCE"/>
    <w:rsid w:val="00962DD7"/>
    <w:rsid w:val="00995E72"/>
    <w:rsid w:val="009A27DA"/>
    <w:rsid w:val="009B398B"/>
    <w:rsid w:val="009F5F53"/>
    <w:rsid w:val="009F6DAA"/>
    <w:rsid w:val="00A1640D"/>
    <w:rsid w:val="00A1763C"/>
    <w:rsid w:val="00A20194"/>
    <w:rsid w:val="00A24E58"/>
    <w:rsid w:val="00A34B2C"/>
    <w:rsid w:val="00A36B12"/>
    <w:rsid w:val="00A43252"/>
    <w:rsid w:val="00A46402"/>
    <w:rsid w:val="00A56521"/>
    <w:rsid w:val="00A644BC"/>
    <w:rsid w:val="00A64E75"/>
    <w:rsid w:val="00A70FE3"/>
    <w:rsid w:val="00A7681B"/>
    <w:rsid w:val="00AA4669"/>
    <w:rsid w:val="00AC15F5"/>
    <w:rsid w:val="00AD6307"/>
    <w:rsid w:val="00AE7187"/>
    <w:rsid w:val="00AF6E23"/>
    <w:rsid w:val="00B02D1B"/>
    <w:rsid w:val="00B03E8D"/>
    <w:rsid w:val="00B06E3A"/>
    <w:rsid w:val="00B07E01"/>
    <w:rsid w:val="00B15E7C"/>
    <w:rsid w:val="00B21E40"/>
    <w:rsid w:val="00B26A9C"/>
    <w:rsid w:val="00B34968"/>
    <w:rsid w:val="00B37C92"/>
    <w:rsid w:val="00B4165F"/>
    <w:rsid w:val="00B604D1"/>
    <w:rsid w:val="00B66834"/>
    <w:rsid w:val="00B7750A"/>
    <w:rsid w:val="00BA19E6"/>
    <w:rsid w:val="00BA3F88"/>
    <w:rsid w:val="00BB1BAE"/>
    <w:rsid w:val="00BC2537"/>
    <w:rsid w:val="00BD3F95"/>
    <w:rsid w:val="00BF4069"/>
    <w:rsid w:val="00BF4FA8"/>
    <w:rsid w:val="00C26A79"/>
    <w:rsid w:val="00C4228B"/>
    <w:rsid w:val="00C4361C"/>
    <w:rsid w:val="00C447E3"/>
    <w:rsid w:val="00C53BF3"/>
    <w:rsid w:val="00C614F0"/>
    <w:rsid w:val="00C7053F"/>
    <w:rsid w:val="00C73B06"/>
    <w:rsid w:val="00C74FC9"/>
    <w:rsid w:val="00C756C0"/>
    <w:rsid w:val="00C802A5"/>
    <w:rsid w:val="00C974A6"/>
    <w:rsid w:val="00CC19C8"/>
    <w:rsid w:val="00CD41E7"/>
    <w:rsid w:val="00CE1895"/>
    <w:rsid w:val="00CE693E"/>
    <w:rsid w:val="00CF4D28"/>
    <w:rsid w:val="00D1733B"/>
    <w:rsid w:val="00D1782C"/>
    <w:rsid w:val="00D22E54"/>
    <w:rsid w:val="00D31006"/>
    <w:rsid w:val="00D456B8"/>
    <w:rsid w:val="00D56742"/>
    <w:rsid w:val="00D56A4D"/>
    <w:rsid w:val="00D6590E"/>
    <w:rsid w:val="00D73B50"/>
    <w:rsid w:val="00D75084"/>
    <w:rsid w:val="00D805DC"/>
    <w:rsid w:val="00DA1D32"/>
    <w:rsid w:val="00DA2EAD"/>
    <w:rsid w:val="00DB5109"/>
    <w:rsid w:val="00DD3A15"/>
    <w:rsid w:val="00DD6593"/>
    <w:rsid w:val="00DD66A8"/>
    <w:rsid w:val="00DE0447"/>
    <w:rsid w:val="00DE0D78"/>
    <w:rsid w:val="00DE476F"/>
    <w:rsid w:val="00E157BF"/>
    <w:rsid w:val="00E26DA4"/>
    <w:rsid w:val="00E312A2"/>
    <w:rsid w:val="00E34747"/>
    <w:rsid w:val="00E60078"/>
    <w:rsid w:val="00E609B8"/>
    <w:rsid w:val="00E77FAD"/>
    <w:rsid w:val="00E91323"/>
    <w:rsid w:val="00EA1FD8"/>
    <w:rsid w:val="00EA4849"/>
    <w:rsid w:val="00EB7CBC"/>
    <w:rsid w:val="00EC0B43"/>
    <w:rsid w:val="00EE0A55"/>
    <w:rsid w:val="00F25840"/>
    <w:rsid w:val="00F3400D"/>
    <w:rsid w:val="00F4184D"/>
    <w:rsid w:val="00F42525"/>
    <w:rsid w:val="00F431B8"/>
    <w:rsid w:val="00F63297"/>
    <w:rsid w:val="00F64379"/>
    <w:rsid w:val="00F65E2C"/>
    <w:rsid w:val="00F6698F"/>
    <w:rsid w:val="00F70D19"/>
    <w:rsid w:val="00F76E0F"/>
    <w:rsid w:val="00F76E32"/>
    <w:rsid w:val="00F878C5"/>
    <w:rsid w:val="00FC3C8F"/>
    <w:rsid w:val="00FC60AE"/>
    <w:rsid w:val="00FD007F"/>
    <w:rsid w:val="00FD3713"/>
    <w:rsid w:val="00FE0A21"/>
    <w:rsid w:val="00FF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9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customStyle="1" w:styleId="Heading1Char">
    <w:name w:val="Heading 1 Char"/>
    <w:basedOn w:val="DefaultParagraphFont"/>
    <w:link w:val="Heading1"/>
    <w:rsid w:val="00606ED1"/>
    <w:rPr>
      <w:b/>
      <w:snapToGrid w:val="0"/>
      <w:sz w:val="24"/>
    </w:rPr>
  </w:style>
  <w:style w:type="character" w:styleId="Hyperlink">
    <w:name w:val="Hyperlink"/>
    <w:basedOn w:val="DefaultParagraphFont"/>
    <w:unhideWhenUsed/>
    <w:rsid w:val="0037669D"/>
    <w:rPr>
      <w:color w:val="0000FF" w:themeColor="hyperlink"/>
      <w:u w:val="single"/>
    </w:rPr>
  </w:style>
  <w:style w:type="character" w:styleId="Strong">
    <w:name w:val="Strong"/>
    <w:basedOn w:val="DefaultParagraphFont"/>
    <w:uiPriority w:val="22"/>
    <w:qFormat/>
    <w:rsid w:val="0037669D"/>
    <w:rPr>
      <w:b/>
      <w:bCs/>
    </w:rPr>
  </w:style>
  <w:style w:type="character" w:styleId="FollowedHyperlink">
    <w:name w:val="FollowedHyperlink"/>
    <w:basedOn w:val="DefaultParagraphFont"/>
    <w:semiHidden/>
    <w:unhideWhenUsed/>
    <w:rsid w:val="0037669D"/>
    <w:rPr>
      <w:color w:val="800080" w:themeColor="followedHyperlink"/>
      <w:u w:val="single"/>
    </w:rPr>
  </w:style>
  <w:style w:type="paragraph" w:styleId="FootnoteText">
    <w:name w:val="footnote text"/>
    <w:basedOn w:val="Normal"/>
    <w:link w:val="FootnoteTextChar"/>
    <w:semiHidden/>
    <w:unhideWhenUsed/>
    <w:rsid w:val="004E61CB"/>
    <w:rPr>
      <w:sz w:val="20"/>
    </w:rPr>
  </w:style>
  <w:style w:type="character" w:customStyle="1" w:styleId="FootnoteTextChar">
    <w:name w:val="Footnote Text Char"/>
    <w:basedOn w:val="DefaultParagraphFont"/>
    <w:link w:val="FootnoteText"/>
    <w:semiHidden/>
    <w:rsid w:val="004E61CB"/>
    <w:rPr>
      <w:snapToGrid w:val="0"/>
    </w:rPr>
  </w:style>
  <w:style w:type="paragraph" w:styleId="ListParagraph">
    <w:name w:val="List Paragraph"/>
    <w:basedOn w:val="Normal"/>
    <w:uiPriority w:val="34"/>
    <w:qFormat/>
    <w:rsid w:val="0051118A"/>
    <w:pPr>
      <w:ind w:left="720"/>
      <w:contextualSpacing/>
    </w:pPr>
  </w:style>
  <w:style w:type="character" w:styleId="Emphasis">
    <w:name w:val="Emphasis"/>
    <w:basedOn w:val="DefaultParagraphFont"/>
    <w:uiPriority w:val="20"/>
    <w:qFormat/>
    <w:rsid w:val="00601290"/>
    <w:rPr>
      <w:i/>
      <w:iCs/>
    </w:rPr>
  </w:style>
  <w:style w:type="character" w:styleId="CommentReference">
    <w:name w:val="annotation reference"/>
    <w:basedOn w:val="DefaultParagraphFont"/>
    <w:semiHidden/>
    <w:unhideWhenUsed/>
    <w:rsid w:val="00601290"/>
    <w:rPr>
      <w:sz w:val="16"/>
      <w:szCs w:val="16"/>
    </w:rPr>
  </w:style>
  <w:style w:type="paragraph" w:styleId="CommentText">
    <w:name w:val="annotation text"/>
    <w:basedOn w:val="Normal"/>
    <w:link w:val="CommentTextChar"/>
    <w:unhideWhenUsed/>
    <w:rsid w:val="00601290"/>
    <w:rPr>
      <w:sz w:val="20"/>
    </w:rPr>
  </w:style>
  <w:style w:type="character" w:customStyle="1" w:styleId="CommentTextChar">
    <w:name w:val="Comment Text Char"/>
    <w:basedOn w:val="DefaultParagraphFont"/>
    <w:link w:val="CommentText"/>
    <w:rsid w:val="00601290"/>
    <w:rPr>
      <w:snapToGrid w:val="0"/>
    </w:rPr>
  </w:style>
  <w:style w:type="paragraph" w:styleId="CommentSubject">
    <w:name w:val="annotation subject"/>
    <w:basedOn w:val="CommentText"/>
    <w:next w:val="CommentText"/>
    <w:link w:val="CommentSubjectChar"/>
    <w:semiHidden/>
    <w:unhideWhenUsed/>
    <w:rsid w:val="00601290"/>
    <w:rPr>
      <w:b/>
      <w:bCs/>
    </w:rPr>
  </w:style>
  <w:style w:type="character" w:customStyle="1" w:styleId="CommentSubjectChar">
    <w:name w:val="Comment Subject Char"/>
    <w:basedOn w:val="CommentTextChar"/>
    <w:link w:val="CommentSubject"/>
    <w:semiHidden/>
    <w:rsid w:val="00601290"/>
    <w:rPr>
      <w:b/>
      <w:bCs/>
      <w:snapToGrid w:val="0"/>
    </w:rPr>
  </w:style>
  <w:style w:type="character" w:customStyle="1" w:styleId="UnresolvedMention1">
    <w:name w:val="Unresolved Mention1"/>
    <w:basedOn w:val="DefaultParagraphFont"/>
    <w:uiPriority w:val="99"/>
    <w:semiHidden/>
    <w:unhideWhenUsed/>
    <w:rsid w:val="006132FE"/>
    <w:rPr>
      <w:color w:val="605E5C"/>
      <w:shd w:val="clear" w:color="auto" w:fill="E1DFDD"/>
    </w:rPr>
  </w:style>
  <w:style w:type="paragraph" w:styleId="Revision">
    <w:name w:val="Revision"/>
    <w:hidden/>
    <w:uiPriority w:val="99"/>
    <w:semiHidden/>
    <w:rsid w:val="00AD6307"/>
    <w:rPr>
      <w:snapToGrid w:val="0"/>
      <w:sz w:val="24"/>
    </w:rPr>
  </w:style>
  <w:style w:type="character" w:customStyle="1" w:styleId="UnresolvedMention2">
    <w:name w:val="Unresolved Mention2"/>
    <w:basedOn w:val="DefaultParagraphFont"/>
    <w:uiPriority w:val="99"/>
    <w:semiHidden/>
    <w:unhideWhenUsed/>
    <w:rsid w:val="00114529"/>
    <w:rPr>
      <w:color w:val="605E5C"/>
      <w:shd w:val="clear" w:color="auto" w:fill="E1DFDD"/>
    </w:rPr>
  </w:style>
  <w:style w:type="character" w:styleId="UnresolvedMention">
    <w:name w:val="Unresolved Mention"/>
    <w:basedOn w:val="DefaultParagraphFont"/>
    <w:uiPriority w:val="99"/>
    <w:semiHidden/>
    <w:unhideWhenUsed/>
    <w:rsid w:val="00C61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0913">
      <w:bodyDiv w:val="1"/>
      <w:marLeft w:val="0"/>
      <w:marRight w:val="0"/>
      <w:marTop w:val="0"/>
      <w:marBottom w:val="0"/>
      <w:divBdr>
        <w:top w:val="none" w:sz="0" w:space="0" w:color="auto"/>
        <w:left w:val="none" w:sz="0" w:space="0" w:color="auto"/>
        <w:bottom w:val="none" w:sz="0" w:space="0" w:color="auto"/>
        <w:right w:val="none" w:sz="0" w:space="0" w:color="auto"/>
      </w:divBdr>
    </w:div>
    <w:div w:id="235286195">
      <w:bodyDiv w:val="1"/>
      <w:marLeft w:val="0"/>
      <w:marRight w:val="0"/>
      <w:marTop w:val="0"/>
      <w:marBottom w:val="0"/>
      <w:divBdr>
        <w:top w:val="none" w:sz="0" w:space="0" w:color="auto"/>
        <w:left w:val="none" w:sz="0" w:space="0" w:color="auto"/>
        <w:bottom w:val="none" w:sz="0" w:space="0" w:color="auto"/>
        <w:right w:val="none" w:sz="0" w:space="0" w:color="auto"/>
      </w:divBdr>
      <w:divsChild>
        <w:div w:id="1610043552">
          <w:marLeft w:val="0"/>
          <w:marRight w:val="0"/>
          <w:marTop w:val="30"/>
          <w:marBottom w:val="60"/>
          <w:divBdr>
            <w:top w:val="none" w:sz="0" w:space="0" w:color="auto"/>
            <w:left w:val="none" w:sz="0" w:space="0" w:color="auto"/>
            <w:bottom w:val="none" w:sz="0" w:space="0" w:color="auto"/>
            <w:right w:val="none" w:sz="0" w:space="0" w:color="auto"/>
          </w:divBdr>
        </w:div>
        <w:div w:id="1703238606">
          <w:marLeft w:val="0"/>
          <w:marRight w:val="0"/>
          <w:marTop w:val="30"/>
          <w:marBottom w:val="60"/>
          <w:divBdr>
            <w:top w:val="none" w:sz="0" w:space="0" w:color="auto"/>
            <w:left w:val="none" w:sz="0" w:space="0" w:color="auto"/>
            <w:bottom w:val="none" w:sz="0" w:space="0" w:color="auto"/>
            <w:right w:val="none" w:sz="0" w:space="0" w:color="auto"/>
          </w:divBdr>
        </w:div>
      </w:divsChild>
    </w:div>
    <w:div w:id="332608684">
      <w:bodyDiv w:val="1"/>
      <w:marLeft w:val="0"/>
      <w:marRight w:val="0"/>
      <w:marTop w:val="0"/>
      <w:marBottom w:val="0"/>
      <w:divBdr>
        <w:top w:val="none" w:sz="0" w:space="0" w:color="auto"/>
        <w:left w:val="none" w:sz="0" w:space="0" w:color="auto"/>
        <w:bottom w:val="none" w:sz="0" w:space="0" w:color="auto"/>
        <w:right w:val="none" w:sz="0" w:space="0" w:color="auto"/>
      </w:divBdr>
      <w:divsChild>
        <w:div w:id="916016024">
          <w:marLeft w:val="0"/>
          <w:marRight w:val="0"/>
          <w:marTop w:val="30"/>
          <w:marBottom w:val="60"/>
          <w:divBdr>
            <w:top w:val="none" w:sz="0" w:space="0" w:color="auto"/>
            <w:left w:val="none" w:sz="0" w:space="0" w:color="auto"/>
            <w:bottom w:val="none" w:sz="0" w:space="0" w:color="auto"/>
            <w:right w:val="none" w:sz="0" w:space="0" w:color="auto"/>
          </w:divBdr>
        </w:div>
        <w:div w:id="1752193564">
          <w:marLeft w:val="0"/>
          <w:marRight w:val="0"/>
          <w:marTop w:val="30"/>
          <w:marBottom w:val="60"/>
          <w:divBdr>
            <w:top w:val="none" w:sz="0" w:space="0" w:color="auto"/>
            <w:left w:val="none" w:sz="0" w:space="0" w:color="auto"/>
            <w:bottom w:val="none" w:sz="0" w:space="0" w:color="auto"/>
            <w:right w:val="none" w:sz="0" w:space="0" w:color="auto"/>
          </w:divBdr>
        </w:div>
      </w:divsChild>
    </w:div>
    <w:div w:id="504781358">
      <w:bodyDiv w:val="1"/>
      <w:marLeft w:val="0"/>
      <w:marRight w:val="0"/>
      <w:marTop w:val="0"/>
      <w:marBottom w:val="0"/>
      <w:divBdr>
        <w:top w:val="none" w:sz="0" w:space="0" w:color="auto"/>
        <w:left w:val="none" w:sz="0" w:space="0" w:color="auto"/>
        <w:bottom w:val="none" w:sz="0" w:space="0" w:color="auto"/>
        <w:right w:val="none" w:sz="0" w:space="0" w:color="auto"/>
      </w:divBdr>
      <w:divsChild>
        <w:div w:id="1754355929">
          <w:marLeft w:val="0"/>
          <w:marRight w:val="0"/>
          <w:marTop w:val="30"/>
          <w:marBottom w:val="60"/>
          <w:divBdr>
            <w:top w:val="none" w:sz="0" w:space="0" w:color="auto"/>
            <w:left w:val="none" w:sz="0" w:space="0" w:color="auto"/>
            <w:bottom w:val="none" w:sz="0" w:space="0" w:color="auto"/>
            <w:right w:val="none" w:sz="0" w:space="0" w:color="auto"/>
          </w:divBdr>
        </w:div>
        <w:div w:id="320741569">
          <w:marLeft w:val="0"/>
          <w:marRight w:val="0"/>
          <w:marTop w:val="30"/>
          <w:marBottom w:val="60"/>
          <w:divBdr>
            <w:top w:val="none" w:sz="0" w:space="0" w:color="auto"/>
            <w:left w:val="none" w:sz="0" w:space="0" w:color="auto"/>
            <w:bottom w:val="none" w:sz="0" w:space="0" w:color="auto"/>
            <w:right w:val="none" w:sz="0" w:space="0" w:color="auto"/>
          </w:divBdr>
        </w:div>
      </w:divsChild>
    </w:div>
    <w:div w:id="795804494">
      <w:bodyDiv w:val="1"/>
      <w:marLeft w:val="0"/>
      <w:marRight w:val="0"/>
      <w:marTop w:val="0"/>
      <w:marBottom w:val="0"/>
      <w:divBdr>
        <w:top w:val="none" w:sz="0" w:space="0" w:color="auto"/>
        <w:left w:val="none" w:sz="0" w:space="0" w:color="auto"/>
        <w:bottom w:val="none" w:sz="0" w:space="0" w:color="auto"/>
        <w:right w:val="none" w:sz="0" w:space="0" w:color="auto"/>
      </w:divBdr>
    </w:div>
    <w:div w:id="834683044">
      <w:bodyDiv w:val="1"/>
      <w:marLeft w:val="0"/>
      <w:marRight w:val="0"/>
      <w:marTop w:val="0"/>
      <w:marBottom w:val="0"/>
      <w:divBdr>
        <w:top w:val="none" w:sz="0" w:space="0" w:color="auto"/>
        <w:left w:val="none" w:sz="0" w:space="0" w:color="auto"/>
        <w:bottom w:val="none" w:sz="0" w:space="0" w:color="auto"/>
        <w:right w:val="none" w:sz="0" w:space="0" w:color="auto"/>
      </w:divBdr>
    </w:div>
    <w:div w:id="863442803">
      <w:bodyDiv w:val="1"/>
      <w:marLeft w:val="0"/>
      <w:marRight w:val="0"/>
      <w:marTop w:val="0"/>
      <w:marBottom w:val="0"/>
      <w:divBdr>
        <w:top w:val="none" w:sz="0" w:space="0" w:color="auto"/>
        <w:left w:val="none" w:sz="0" w:space="0" w:color="auto"/>
        <w:bottom w:val="none" w:sz="0" w:space="0" w:color="auto"/>
        <w:right w:val="none" w:sz="0" w:space="0" w:color="auto"/>
      </w:divBdr>
      <w:divsChild>
        <w:div w:id="534655953">
          <w:marLeft w:val="0"/>
          <w:marRight w:val="0"/>
          <w:marTop w:val="30"/>
          <w:marBottom w:val="60"/>
          <w:divBdr>
            <w:top w:val="none" w:sz="0" w:space="0" w:color="auto"/>
            <w:left w:val="none" w:sz="0" w:space="0" w:color="auto"/>
            <w:bottom w:val="none" w:sz="0" w:space="0" w:color="auto"/>
            <w:right w:val="none" w:sz="0" w:space="0" w:color="auto"/>
          </w:divBdr>
        </w:div>
        <w:div w:id="1811970515">
          <w:marLeft w:val="0"/>
          <w:marRight w:val="0"/>
          <w:marTop w:val="30"/>
          <w:marBottom w:val="60"/>
          <w:divBdr>
            <w:top w:val="none" w:sz="0" w:space="0" w:color="auto"/>
            <w:left w:val="none" w:sz="0" w:space="0" w:color="auto"/>
            <w:bottom w:val="none" w:sz="0" w:space="0" w:color="auto"/>
            <w:right w:val="none" w:sz="0" w:space="0" w:color="auto"/>
          </w:divBdr>
          <w:divsChild>
            <w:div w:id="724647099">
              <w:marLeft w:val="0"/>
              <w:marRight w:val="0"/>
              <w:marTop w:val="0"/>
              <w:marBottom w:val="0"/>
              <w:divBdr>
                <w:top w:val="none" w:sz="0" w:space="0" w:color="auto"/>
                <w:left w:val="none" w:sz="0" w:space="0" w:color="auto"/>
                <w:bottom w:val="none" w:sz="0" w:space="0" w:color="auto"/>
                <w:right w:val="none" w:sz="0" w:space="0" w:color="auto"/>
              </w:divBdr>
              <w:divsChild>
                <w:div w:id="1626544977">
                  <w:marLeft w:val="0"/>
                  <w:marRight w:val="0"/>
                  <w:marTop w:val="30"/>
                  <w:marBottom w:val="60"/>
                  <w:divBdr>
                    <w:top w:val="none" w:sz="0" w:space="0" w:color="auto"/>
                    <w:left w:val="none" w:sz="0" w:space="0" w:color="auto"/>
                    <w:bottom w:val="none" w:sz="0" w:space="0" w:color="auto"/>
                    <w:right w:val="none" w:sz="0" w:space="0" w:color="auto"/>
                  </w:divBdr>
                </w:div>
                <w:div w:id="2093158755">
                  <w:marLeft w:val="0"/>
                  <w:marRight w:val="0"/>
                  <w:marTop w:val="30"/>
                  <w:marBottom w:val="60"/>
                  <w:divBdr>
                    <w:top w:val="none" w:sz="0" w:space="0" w:color="auto"/>
                    <w:left w:val="none" w:sz="0" w:space="0" w:color="auto"/>
                    <w:bottom w:val="none" w:sz="0" w:space="0" w:color="auto"/>
                    <w:right w:val="none" w:sz="0" w:space="0" w:color="auto"/>
                  </w:divBdr>
                </w:div>
                <w:div w:id="462650237">
                  <w:marLeft w:val="0"/>
                  <w:marRight w:val="0"/>
                  <w:marTop w:val="30"/>
                  <w:marBottom w:val="60"/>
                  <w:divBdr>
                    <w:top w:val="none" w:sz="0" w:space="0" w:color="auto"/>
                    <w:left w:val="none" w:sz="0" w:space="0" w:color="auto"/>
                    <w:bottom w:val="none" w:sz="0" w:space="0" w:color="auto"/>
                    <w:right w:val="none" w:sz="0" w:space="0" w:color="auto"/>
                  </w:divBdr>
                </w:div>
                <w:div w:id="901405054">
                  <w:marLeft w:val="0"/>
                  <w:marRight w:val="0"/>
                  <w:marTop w:val="30"/>
                  <w:marBottom w:val="60"/>
                  <w:divBdr>
                    <w:top w:val="none" w:sz="0" w:space="0" w:color="auto"/>
                    <w:left w:val="none" w:sz="0" w:space="0" w:color="auto"/>
                    <w:bottom w:val="none" w:sz="0" w:space="0" w:color="auto"/>
                    <w:right w:val="none" w:sz="0" w:space="0" w:color="auto"/>
                  </w:divBdr>
                </w:div>
                <w:div w:id="1351954037">
                  <w:marLeft w:val="0"/>
                  <w:marRight w:val="0"/>
                  <w:marTop w:val="30"/>
                  <w:marBottom w:val="60"/>
                  <w:divBdr>
                    <w:top w:val="none" w:sz="0" w:space="0" w:color="auto"/>
                    <w:left w:val="none" w:sz="0" w:space="0" w:color="auto"/>
                    <w:bottom w:val="none" w:sz="0" w:space="0" w:color="auto"/>
                    <w:right w:val="none" w:sz="0" w:space="0" w:color="auto"/>
                  </w:divBdr>
                </w:div>
                <w:div w:id="1648706978">
                  <w:marLeft w:val="0"/>
                  <w:marRight w:val="0"/>
                  <w:marTop w:val="30"/>
                  <w:marBottom w:val="60"/>
                  <w:divBdr>
                    <w:top w:val="none" w:sz="0" w:space="0" w:color="auto"/>
                    <w:left w:val="none" w:sz="0" w:space="0" w:color="auto"/>
                    <w:bottom w:val="none" w:sz="0" w:space="0" w:color="auto"/>
                    <w:right w:val="none" w:sz="0" w:space="0" w:color="auto"/>
                  </w:divBdr>
                </w:div>
                <w:div w:id="1898540784">
                  <w:marLeft w:val="0"/>
                  <w:marRight w:val="0"/>
                  <w:marTop w:val="30"/>
                  <w:marBottom w:val="60"/>
                  <w:divBdr>
                    <w:top w:val="none" w:sz="0" w:space="0" w:color="auto"/>
                    <w:left w:val="none" w:sz="0" w:space="0" w:color="auto"/>
                    <w:bottom w:val="none" w:sz="0" w:space="0" w:color="auto"/>
                    <w:right w:val="none" w:sz="0" w:space="0" w:color="auto"/>
                  </w:divBdr>
                </w:div>
                <w:div w:id="1520587548">
                  <w:marLeft w:val="0"/>
                  <w:marRight w:val="0"/>
                  <w:marTop w:val="30"/>
                  <w:marBottom w:val="60"/>
                  <w:divBdr>
                    <w:top w:val="none" w:sz="0" w:space="0" w:color="auto"/>
                    <w:left w:val="none" w:sz="0" w:space="0" w:color="auto"/>
                    <w:bottom w:val="none" w:sz="0" w:space="0" w:color="auto"/>
                    <w:right w:val="none" w:sz="0" w:space="0" w:color="auto"/>
                  </w:divBdr>
                </w:div>
                <w:div w:id="2090039192">
                  <w:marLeft w:val="0"/>
                  <w:marRight w:val="0"/>
                  <w:marTop w:val="30"/>
                  <w:marBottom w:val="60"/>
                  <w:divBdr>
                    <w:top w:val="none" w:sz="0" w:space="0" w:color="auto"/>
                    <w:left w:val="none" w:sz="0" w:space="0" w:color="auto"/>
                    <w:bottom w:val="none" w:sz="0" w:space="0" w:color="auto"/>
                    <w:right w:val="none" w:sz="0" w:space="0" w:color="auto"/>
                  </w:divBdr>
                </w:div>
                <w:div w:id="986082339">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 w:id="1122310962">
      <w:bodyDiv w:val="1"/>
      <w:marLeft w:val="0"/>
      <w:marRight w:val="0"/>
      <w:marTop w:val="0"/>
      <w:marBottom w:val="0"/>
      <w:divBdr>
        <w:top w:val="none" w:sz="0" w:space="0" w:color="auto"/>
        <w:left w:val="none" w:sz="0" w:space="0" w:color="auto"/>
        <w:bottom w:val="none" w:sz="0" w:space="0" w:color="auto"/>
        <w:right w:val="none" w:sz="0" w:space="0" w:color="auto"/>
      </w:divBdr>
      <w:divsChild>
        <w:div w:id="218595148">
          <w:marLeft w:val="0"/>
          <w:marRight w:val="0"/>
          <w:marTop w:val="30"/>
          <w:marBottom w:val="60"/>
          <w:divBdr>
            <w:top w:val="none" w:sz="0" w:space="0" w:color="auto"/>
            <w:left w:val="none" w:sz="0" w:space="0" w:color="auto"/>
            <w:bottom w:val="none" w:sz="0" w:space="0" w:color="auto"/>
            <w:right w:val="none" w:sz="0" w:space="0" w:color="auto"/>
          </w:divBdr>
        </w:div>
        <w:div w:id="1354500415">
          <w:marLeft w:val="0"/>
          <w:marRight w:val="0"/>
          <w:marTop w:val="30"/>
          <w:marBottom w:val="60"/>
          <w:divBdr>
            <w:top w:val="none" w:sz="0" w:space="0" w:color="auto"/>
            <w:left w:val="none" w:sz="0" w:space="0" w:color="auto"/>
            <w:bottom w:val="none" w:sz="0" w:space="0" w:color="auto"/>
            <w:right w:val="none" w:sz="0" w:space="0" w:color="auto"/>
          </w:divBdr>
        </w:div>
      </w:divsChild>
    </w:div>
    <w:div w:id="1147749270">
      <w:bodyDiv w:val="1"/>
      <w:marLeft w:val="0"/>
      <w:marRight w:val="0"/>
      <w:marTop w:val="0"/>
      <w:marBottom w:val="0"/>
      <w:divBdr>
        <w:top w:val="none" w:sz="0" w:space="0" w:color="auto"/>
        <w:left w:val="none" w:sz="0" w:space="0" w:color="auto"/>
        <w:bottom w:val="none" w:sz="0" w:space="0" w:color="auto"/>
        <w:right w:val="none" w:sz="0" w:space="0" w:color="auto"/>
      </w:divBdr>
      <w:divsChild>
        <w:div w:id="1347244847">
          <w:marLeft w:val="0"/>
          <w:marRight w:val="0"/>
          <w:marTop w:val="30"/>
          <w:marBottom w:val="60"/>
          <w:divBdr>
            <w:top w:val="none" w:sz="0" w:space="0" w:color="auto"/>
            <w:left w:val="none" w:sz="0" w:space="0" w:color="auto"/>
            <w:bottom w:val="none" w:sz="0" w:space="0" w:color="auto"/>
            <w:right w:val="none" w:sz="0" w:space="0" w:color="auto"/>
          </w:divBdr>
        </w:div>
      </w:divsChild>
    </w:div>
    <w:div w:id="1574044024">
      <w:bodyDiv w:val="1"/>
      <w:marLeft w:val="0"/>
      <w:marRight w:val="0"/>
      <w:marTop w:val="0"/>
      <w:marBottom w:val="0"/>
      <w:divBdr>
        <w:top w:val="none" w:sz="0" w:space="0" w:color="auto"/>
        <w:left w:val="none" w:sz="0" w:space="0" w:color="auto"/>
        <w:bottom w:val="none" w:sz="0" w:space="0" w:color="auto"/>
        <w:right w:val="none" w:sz="0" w:space="0" w:color="auto"/>
      </w:divBdr>
      <w:divsChild>
        <w:div w:id="1264453606">
          <w:marLeft w:val="0"/>
          <w:marRight w:val="0"/>
          <w:marTop w:val="0"/>
          <w:marBottom w:val="0"/>
          <w:divBdr>
            <w:top w:val="none" w:sz="0" w:space="0" w:color="auto"/>
            <w:left w:val="none" w:sz="0" w:space="0" w:color="auto"/>
            <w:bottom w:val="none" w:sz="0" w:space="0" w:color="auto"/>
            <w:right w:val="none" w:sz="0" w:space="0" w:color="auto"/>
          </w:divBdr>
        </w:div>
        <w:div w:id="1972781163">
          <w:marLeft w:val="0"/>
          <w:marRight w:val="0"/>
          <w:marTop w:val="209"/>
          <w:marBottom w:val="0"/>
          <w:divBdr>
            <w:top w:val="none" w:sz="0" w:space="0" w:color="auto"/>
            <w:left w:val="none" w:sz="0" w:space="0" w:color="auto"/>
            <w:bottom w:val="none" w:sz="0" w:space="0" w:color="auto"/>
            <w:right w:val="none" w:sz="0" w:space="0" w:color="auto"/>
          </w:divBdr>
          <w:divsChild>
            <w:div w:id="1888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72803">
      <w:bodyDiv w:val="1"/>
      <w:marLeft w:val="0"/>
      <w:marRight w:val="0"/>
      <w:marTop w:val="0"/>
      <w:marBottom w:val="0"/>
      <w:divBdr>
        <w:top w:val="none" w:sz="0" w:space="0" w:color="auto"/>
        <w:left w:val="none" w:sz="0" w:space="0" w:color="auto"/>
        <w:bottom w:val="none" w:sz="0" w:space="0" w:color="auto"/>
        <w:right w:val="none" w:sz="0" w:space="0" w:color="auto"/>
      </w:divBdr>
      <w:divsChild>
        <w:div w:id="940453830">
          <w:marLeft w:val="0"/>
          <w:marRight w:val="0"/>
          <w:marTop w:val="30"/>
          <w:marBottom w:val="60"/>
          <w:divBdr>
            <w:top w:val="none" w:sz="0" w:space="0" w:color="auto"/>
            <w:left w:val="none" w:sz="0" w:space="0" w:color="auto"/>
            <w:bottom w:val="none" w:sz="0" w:space="0" w:color="auto"/>
            <w:right w:val="none" w:sz="0" w:space="0" w:color="auto"/>
          </w:divBdr>
        </w:div>
      </w:divsChild>
    </w:div>
    <w:div w:id="1895771234">
      <w:bodyDiv w:val="1"/>
      <w:marLeft w:val="0"/>
      <w:marRight w:val="0"/>
      <w:marTop w:val="0"/>
      <w:marBottom w:val="0"/>
      <w:divBdr>
        <w:top w:val="none" w:sz="0" w:space="0" w:color="auto"/>
        <w:left w:val="none" w:sz="0" w:space="0" w:color="auto"/>
        <w:bottom w:val="none" w:sz="0" w:space="0" w:color="auto"/>
        <w:right w:val="none" w:sz="0" w:space="0" w:color="auto"/>
      </w:divBdr>
      <w:divsChild>
        <w:div w:id="1671639325">
          <w:marLeft w:val="0"/>
          <w:marRight w:val="0"/>
          <w:marTop w:val="251"/>
          <w:marBottom w:val="251"/>
          <w:divBdr>
            <w:top w:val="none" w:sz="0" w:space="0" w:color="auto"/>
            <w:left w:val="none" w:sz="0" w:space="0" w:color="auto"/>
            <w:bottom w:val="none" w:sz="0" w:space="0" w:color="auto"/>
            <w:right w:val="none" w:sz="0" w:space="0" w:color="auto"/>
          </w:divBdr>
        </w:div>
        <w:div w:id="1527517889">
          <w:marLeft w:val="0"/>
          <w:marRight w:val="0"/>
          <w:marTop w:val="209"/>
          <w:marBottom w:val="0"/>
          <w:divBdr>
            <w:top w:val="none" w:sz="0" w:space="0" w:color="auto"/>
            <w:left w:val="none" w:sz="0" w:space="0" w:color="auto"/>
            <w:bottom w:val="none" w:sz="0" w:space="0" w:color="auto"/>
            <w:right w:val="none" w:sz="0" w:space="0" w:color="auto"/>
          </w:divBdr>
          <w:divsChild>
            <w:div w:id="105975815">
              <w:marLeft w:val="0"/>
              <w:marRight w:val="0"/>
              <w:marTop w:val="0"/>
              <w:marBottom w:val="0"/>
              <w:divBdr>
                <w:top w:val="none" w:sz="0" w:space="0" w:color="auto"/>
                <w:left w:val="none" w:sz="0" w:space="0" w:color="auto"/>
                <w:bottom w:val="none" w:sz="0" w:space="0" w:color="auto"/>
                <w:right w:val="none" w:sz="0" w:space="0" w:color="auto"/>
              </w:divBdr>
              <w:divsChild>
                <w:div w:id="1974477717">
                  <w:marLeft w:val="0"/>
                  <w:marRight w:val="0"/>
                  <w:marTop w:val="0"/>
                  <w:marBottom w:val="0"/>
                  <w:divBdr>
                    <w:top w:val="none" w:sz="0" w:space="0" w:color="auto"/>
                    <w:left w:val="none" w:sz="0" w:space="0" w:color="auto"/>
                    <w:bottom w:val="none" w:sz="0" w:space="0" w:color="auto"/>
                    <w:right w:val="none" w:sz="0" w:space="0" w:color="auto"/>
                  </w:divBdr>
                  <w:divsChild>
                    <w:div w:id="978533773">
                      <w:marLeft w:val="0"/>
                      <w:marRight w:val="0"/>
                      <w:marTop w:val="0"/>
                      <w:marBottom w:val="0"/>
                      <w:divBdr>
                        <w:top w:val="none" w:sz="0" w:space="0" w:color="auto"/>
                        <w:left w:val="none" w:sz="0" w:space="0" w:color="auto"/>
                        <w:bottom w:val="none" w:sz="0" w:space="0" w:color="auto"/>
                        <w:right w:val="none" w:sz="0" w:space="0" w:color="auto"/>
                      </w:divBdr>
                    </w:div>
                  </w:divsChild>
                </w:div>
                <w:div w:id="1827015834">
                  <w:marLeft w:val="0"/>
                  <w:marRight w:val="0"/>
                  <w:marTop w:val="209"/>
                  <w:marBottom w:val="0"/>
                  <w:divBdr>
                    <w:top w:val="none" w:sz="0" w:space="0" w:color="auto"/>
                    <w:left w:val="none" w:sz="0" w:space="0" w:color="auto"/>
                    <w:bottom w:val="none" w:sz="0" w:space="0" w:color="auto"/>
                    <w:right w:val="none" w:sz="0" w:space="0" w:color="auto"/>
                  </w:divBdr>
                  <w:divsChild>
                    <w:div w:id="28608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legislature.gov/Laws/SessionLaws/Acts/2017/Chapter138" TargetMode="External"/><Relationship Id="rId18" Type="http://schemas.openxmlformats.org/officeDocument/2006/relationships/hyperlink" Target="http://www.doe.mass.edu/licensure/forms-guidelines.html" TargetMode="External"/><Relationship Id="rId3" Type="http://schemas.openxmlformats.org/officeDocument/2006/relationships/customXml" Target="../customXml/item3.xml"/><Relationship Id="rId21" Type="http://schemas.openxmlformats.org/officeDocument/2006/relationships/hyperlink" Target="http://www.doe.mass.edu/ell/resources.html?section=proposa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youtube.com/channel/UClS1IAPHRGoqr6iyzNHTgq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woAViQriPKc&amp;list=PLlTu2uV3XQ20usKrF6CcF5IMkZZVd-BgJ&amp;index=4&amp;t=0s" TargetMode="External"/><Relationship Id="rId20" Type="http://schemas.openxmlformats.org/officeDocument/2006/relationships/hyperlink" Target="http://www.doe.mass.edu/licensu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gateway.edu.state.ma.us/elar/licensurehelp/LicenseRequirementsCriteriaPageControl.ser" TargetMode="External"/><Relationship Id="rId23" Type="http://schemas.openxmlformats.org/officeDocument/2006/relationships/hyperlink" Target="mailto:ell@doe.mass.edu" TargetMode="External"/><Relationship Id="rId10" Type="http://schemas.openxmlformats.org/officeDocument/2006/relationships/footnotes" Target="footnotes.xml"/><Relationship Id="rId19" Type="http://schemas.openxmlformats.org/officeDocument/2006/relationships/hyperlink" Target="http://www.doe.mass.edu/licensur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7.html?section=15" TargetMode="External"/><Relationship Id="rId22" Type="http://schemas.openxmlformats.org/officeDocument/2006/relationships/hyperlink" Target="http://www.doe.mass.edu/el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ateway.edu.state.ma.us/elar/licensurehelp/ProgramSearchPageControl.ser" TargetMode="External"/><Relationship Id="rId2" Type="http://schemas.openxmlformats.org/officeDocument/2006/relationships/hyperlink" Target="https://www.actfl.org/assessment-professional-development/assessments-the-actfl-testing-office" TargetMode="External"/><Relationship Id="rId1" Type="http://schemas.openxmlformats.org/officeDocument/2006/relationships/hyperlink" Target="http://www.doe.mass.edu/m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DESE-231-60043</_dlc_DocId>
    <_dlc_DocIdUrl xmlns="733efe1c-5bbe-4968-87dc-d400e65c879f">
      <Url>https://sharepoint.doemass.org/ese/webteam/cps/_layouts/DocIdRedir.aspx?ID=DESE-231-60043</Url>
      <Description>DESE-231-60043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B3AAA-5433-47A5-B61A-E6C47310CC41}">
  <ds:schemaRefs>
    <ds:schemaRef ds:uri="http://schemas.microsoft.com/sharepoint/events"/>
  </ds:schemaRefs>
</ds:datastoreItem>
</file>

<file path=customXml/itemProps2.xml><?xml version="1.0" encoding="utf-8"?>
<ds:datastoreItem xmlns:ds="http://schemas.openxmlformats.org/officeDocument/2006/customXml" ds:itemID="{A8E11D77-6618-4F38-A752-0BE6B056758A}">
  <ds:schemaRefs>
    <ds:schemaRef ds:uri="http://schemas.microsoft.com/sharepoint/v3/contenttype/forms"/>
  </ds:schemaRefs>
</ds:datastoreItem>
</file>

<file path=customXml/itemProps3.xml><?xml version="1.0" encoding="utf-8"?>
<ds:datastoreItem xmlns:ds="http://schemas.openxmlformats.org/officeDocument/2006/customXml" ds:itemID="{310D4299-5CC5-4C53-B731-A4552F19C44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6AA25A3-6670-4F5C-8260-D1EDED868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CBE08D-39A4-4504-A1CB-97288AC7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1490</Words>
  <Characters>8702</Characters>
  <Application>Microsoft Office Word</Application>
  <DocSecurity>0</DocSecurity>
  <Lines>197</Lines>
  <Paragraphs>74</Paragraphs>
  <ScaleCrop>false</ScaleCrop>
  <HeadingPairs>
    <vt:vector size="2" baseType="variant">
      <vt:variant>
        <vt:lpstr>Title</vt:lpstr>
      </vt:variant>
      <vt:variant>
        <vt:i4>1</vt:i4>
      </vt:variant>
    </vt:vector>
  </HeadingPairs>
  <TitlesOfParts>
    <vt:vector size="1" baseType="lpstr">
      <vt:lpstr>Bilingual Education Endorsement Memo October 2019</vt:lpstr>
    </vt:vector>
  </TitlesOfParts>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Bilingual Education Endorsement Memo October 2019</dc:title>
  <dc:subject>Bilingual Education Endorsement Memo</dc:subject>
  <dc:creator/>
  <cp:lastModifiedBy/>
  <cp:revision>1</cp:revision>
  <cp:lastPrinted>2008-03-05T18:17:00Z</cp:lastPrinted>
  <dcterms:created xsi:type="dcterms:W3CDTF">2020-04-17T19:53:00Z</dcterms:created>
  <dcterms:modified xsi:type="dcterms:W3CDTF">2020-04-17T19:56:00Z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35f3b088-ae7e-4789-a490-b82913d070e1</vt:lpwstr>
  </property>
  <property fmtid="{D5CDD505-2E9C-101B-9397-08002B2CF9AE}" pid="4" name="metadate">
    <vt:lpwstr>Apr 17 2020</vt:lpwstr>
  </property>
</Properties>
</file>