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35155" w14:textId="22EE3F74" w:rsidR="0010691E" w:rsidRDefault="00351C70">
      <w:pPr>
        <w:rPr>
          <w:rFonts w:asciiTheme="minorHAnsi" w:hAnsiTheme="minorHAnsi"/>
        </w:rPr>
      </w:pPr>
      <w:r w:rsidRPr="00F05A40">
        <w:rPr>
          <w:noProof/>
        </w:rPr>
        <w:drawing>
          <wp:anchor distT="0" distB="0" distL="114300" distR="114300" simplePos="0" relativeHeight="251659264" behindDoc="0" locked="0" layoutInCell="1" allowOverlap="1" wp14:anchorId="70594012" wp14:editId="325ACA79">
            <wp:simplePos x="0" y="0"/>
            <wp:positionH relativeFrom="margin">
              <wp:align>left</wp:align>
            </wp:positionH>
            <wp:positionV relativeFrom="paragraph">
              <wp:posOffset>5715</wp:posOffset>
            </wp:positionV>
            <wp:extent cx="4467225" cy="1285875"/>
            <wp:effectExtent l="0" t="0" r="9525" b="9525"/>
            <wp:wrapNone/>
            <wp:docPr id="2" name="Picture 2"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4469380" cy="1286495"/>
                    </a:xfrm>
                    <a:prstGeom prst="rect">
                      <a:avLst/>
                    </a:prstGeom>
                  </pic:spPr>
                </pic:pic>
              </a:graphicData>
            </a:graphic>
            <wp14:sizeRelH relativeFrom="page">
              <wp14:pctWidth>0</wp14:pctWidth>
            </wp14:sizeRelH>
            <wp14:sizeRelV relativeFrom="page">
              <wp14:pctHeight>0</wp14:pctHeight>
            </wp14:sizeRelV>
          </wp:anchor>
        </w:drawing>
      </w:r>
    </w:p>
    <w:p w14:paraId="6BA42715" w14:textId="4ED951D3" w:rsidR="00FE7D1F" w:rsidRDefault="00FE7D1F">
      <w:pPr>
        <w:rPr>
          <w:rFonts w:asciiTheme="minorHAnsi" w:hAnsiTheme="minorHAnsi"/>
        </w:rPr>
      </w:pPr>
    </w:p>
    <w:p w14:paraId="137C3E7A" w14:textId="1239FFC7" w:rsidR="00FE7D1F" w:rsidRDefault="00FE7D1F">
      <w:pPr>
        <w:rPr>
          <w:rFonts w:asciiTheme="minorHAnsi" w:hAnsiTheme="minorHAnsi"/>
        </w:rPr>
      </w:pPr>
    </w:p>
    <w:p w14:paraId="20758CE3" w14:textId="77777777" w:rsidR="00FE7D1F" w:rsidRDefault="00FE7D1F">
      <w:pPr>
        <w:rPr>
          <w:rFonts w:asciiTheme="minorHAnsi" w:hAnsiTheme="minorHAnsi"/>
        </w:rPr>
      </w:pPr>
    </w:p>
    <w:p w14:paraId="58AAADA4" w14:textId="55E70998" w:rsidR="00FE7D1F" w:rsidRDefault="00FE7D1F">
      <w:pPr>
        <w:rPr>
          <w:rFonts w:asciiTheme="minorHAnsi" w:hAnsiTheme="minorHAnsi"/>
        </w:rPr>
      </w:pPr>
    </w:p>
    <w:p w14:paraId="26D449DE" w14:textId="779825C7" w:rsidR="00FE7D1F" w:rsidRDefault="00FE7D1F">
      <w:pPr>
        <w:rPr>
          <w:rFonts w:asciiTheme="minorHAnsi" w:hAnsiTheme="minorHAnsi"/>
        </w:rPr>
      </w:pPr>
    </w:p>
    <w:p w14:paraId="39228298" w14:textId="77777777" w:rsidR="00FE7D1F" w:rsidRDefault="00FE7D1F">
      <w:pPr>
        <w:rPr>
          <w:rFonts w:asciiTheme="minorHAnsi" w:hAnsiTheme="minorHAnsi"/>
        </w:rPr>
      </w:pPr>
    </w:p>
    <w:p w14:paraId="7BF8DCDA" w14:textId="77777777" w:rsidR="00FE7D1F" w:rsidRDefault="00FE7D1F">
      <w:pPr>
        <w:rPr>
          <w:rFonts w:asciiTheme="minorHAnsi" w:hAnsiTheme="minorHAnsi"/>
        </w:rPr>
      </w:pPr>
    </w:p>
    <w:p w14:paraId="153D9D05" w14:textId="77777777" w:rsidR="00FE7D1F" w:rsidRDefault="00FE7D1F">
      <w:pPr>
        <w:rPr>
          <w:rFonts w:asciiTheme="minorHAnsi" w:hAnsiTheme="minorHAnsi"/>
        </w:rPr>
      </w:pPr>
    </w:p>
    <w:p w14:paraId="77BD8C2D" w14:textId="77777777" w:rsidR="00FE7D1F" w:rsidRDefault="00FE7D1F">
      <w:pPr>
        <w:rPr>
          <w:rFonts w:asciiTheme="minorHAnsi" w:hAnsiTheme="minorHAnsi"/>
        </w:rPr>
      </w:pPr>
    </w:p>
    <w:p w14:paraId="3DB77F80" w14:textId="44836146" w:rsidR="00FE7D1F" w:rsidRDefault="00FE7D1F">
      <w:pPr>
        <w:rPr>
          <w:rFonts w:asciiTheme="minorHAnsi" w:hAnsiTheme="minorHAnsi"/>
        </w:rPr>
      </w:pPr>
    </w:p>
    <w:p w14:paraId="7F37977D" w14:textId="12BB872E" w:rsidR="00370898" w:rsidRDefault="00370898">
      <w:pPr>
        <w:rPr>
          <w:rFonts w:asciiTheme="minorHAnsi" w:hAnsiTheme="minorHAnsi"/>
        </w:rPr>
      </w:pPr>
    </w:p>
    <w:p w14:paraId="3F3DB16C" w14:textId="3CCC618A" w:rsidR="00370898" w:rsidRDefault="00370898">
      <w:pPr>
        <w:rPr>
          <w:rFonts w:asciiTheme="minorHAnsi" w:hAnsiTheme="minorHAnsi"/>
        </w:rPr>
      </w:pPr>
    </w:p>
    <w:p w14:paraId="07C6B4CB" w14:textId="6D127210" w:rsidR="00370898" w:rsidRDefault="00370898">
      <w:pPr>
        <w:rPr>
          <w:rFonts w:asciiTheme="minorHAnsi" w:hAnsiTheme="minorHAnsi"/>
        </w:rPr>
      </w:pPr>
    </w:p>
    <w:p w14:paraId="77AEB0FE" w14:textId="77777777" w:rsidR="00370898" w:rsidRDefault="00370898">
      <w:pPr>
        <w:rPr>
          <w:rFonts w:asciiTheme="minorHAnsi" w:hAnsiTheme="minorHAnsi"/>
        </w:rPr>
      </w:pPr>
    </w:p>
    <w:p w14:paraId="43A333BB" w14:textId="77777777" w:rsidR="00FE7D1F" w:rsidRDefault="00FE7D1F">
      <w:pPr>
        <w:rPr>
          <w:rFonts w:asciiTheme="minorHAnsi" w:hAnsiTheme="minorHAnsi"/>
        </w:rPr>
      </w:pPr>
    </w:p>
    <w:p w14:paraId="67046BCA" w14:textId="77777777" w:rsidR="00FE7D1F" w:rsidRPr="00FE7D1F" w:rsidRDefault="00FE7D1F">
      <w:pPr>
        <w:rPr>
          <w:rFonts w:asciiTheme="minorHAnsi" w:hAnsiTheme="minorHAnsi"/>
        </w:rPr>
      </w:pPr>
    </w:p>
    <w:p w14:paraId="2FA822F0" w14:textId="77777777" w:rsidR="0011752A" w:rsidRPr="00FE7D1F" w:rsidRDefault="0011752A">
      <w:pPr>
        <w:rPr>
          <w:rFonts w:asciiTheme="minorHAnsi" w:hAnsiTheme="minorHAnsi"/>
        </w:rPr>
      </w:pPr>
    </w:p>
    <w:p w14:paraId="60512302" w14:textId="7E926CF8" w:rsidR="009B602B" w:rsidRPr="009B602B" w:rsidRDefault="009B602B" w:rsidP="009B602B">
      <w:pPr>
        <w:spacing w:after="240"/>
        <w:jc w:val="center"/>
        <w:rPr>
          <w:rFonts w:asciiTheme="minorHAnsi" w:hAnsiTheme="minorHAnsi"/>
          <w:b/>
          <w:color w:val="244061" w:themeColor="accent1" w:themeShade="80"/>
          <w:sz w:val="36"/>
          <w:szCs w:val="36"/>
        </w:rPr>
      </w:pPr>
      <w:r w:rsidRPr="009B602B">
        <w:rPr>
          <w:rFonts w:asciiTheme="minorHAnsi" w:hAnsiTheme="minorHAnsi"/>
          <w:b/>
          <w:color w:val="244061" w:themeColor="accent1" w:themeShade="80"/>
          <w:sz w:val="36"/>
          <w:szCs w:val="36"/>
        </w:rPr>
        <w:t xml:space="preserve">Summary of </w:t>
      </w:r>
      <w:r w:rsidR="00961715">
        <w:rPr>
          <w:rFonts w:asciiTheme="minorHAnsi" w:hAnsiTheme="minorHAnsi"/>
          <w:b/>
          <w:color w:val="244061" w:themeColor="accent1" w:themeShade="80"/>
          <w:sz w:val="36"/>
          <w:szCs w:val="36"/>
        </w:rPr>
        <w:t>February</w:t>
      </w:r>
      <w:r w:rsidR="005A701C">
        <w:rPr>
          <w:rFonts w:asciiTheme="minorHAnsi" w:hAnsiTheme="minorHAnsi"/>
          <w:b/>
          <w:color w:val="244061" w:themeColor="accent1" w:themeShade="80"/>
          <w:sz w:val="36"/>
          <w:szCs w:val="36"/>
        </w:rPr>
        <w:t xml:space="preserve"> 20</w:t>
      </w:r>
      <w:r w:rsidR="00961715">
        <w:rPr>
          <w:rFonts w:asciiTheme="minorHAnsi" w:hAnsiTheme="minorHAnsi"/>
          <w:b/>
          <w:color w:val="244061" w:themeColor="accent1" w:themeShade="80"/>
          <w:sz w:val="36"/>
          <w:szCs w:val="36"/>
        </w:rPr>
        <w:t>23</w:t>
      </w:r>
      <w:r w:rsidR="005A701C">
        <w:rPr>
          <w:rFonts w:asciiTheme="minorHAnsi" w:hAnsiTheme="minorHAnsi"/>
          <w:b/>
          <w:color w:val="244061" w:themeColor="accent1" w:themeShade="80"/>
          <w:sz w:val="36"/>
          <w:szCs w:val="36"/>
        </w:rPr>
        <w:t xml:space="preserve"> Board </w:t>
      </w:r>
      <w:r w:rsidRPr="009B602B">
        <w:rPr>
          <w:rFonts w:asciiTheme="minorHAnsi" w:hAnsiTheme="minorHAnsi"/>
          <w:b/>
          <w:color w:val="244061" w:themeColor="accent1" w:themeShade="80"/>
          <w:sz w:val="36"/>
          <w:szCs w:val="36"/>
        </w:rPr>
        <w:t>Regulation Changes</w:t>
      </w:r>
      <w:r w:rsidR="005A701C">
        <w:rPr>
          <w:rFonts w:asciiTheme="minorHAnsi" w:hAnsiTheme="minorHAnsi"/>
          <w:b/>
          <w:color w:val="244061" w:themeColor="accent1" w:themeShade="80"/>
          <w:sz w:val="36"/>
          <w:szCs w:val="36"/>
        </w:rPr>
        <w:t>:</w:t>
      </w:r>
    </w:p>
    <w:p w14:paraId="23B8EB0E" w14:textId="526B5AFB" w:rsidR="009B602B" w:rsidRPr="009B602B" w:rsidRDefault="005A701C" w:rsidP="009B602B">
      <w:pPr>
        <w:pBdr>
          <w:top w:val="single" w:sz="12" w:space="1" w:color="365F91" w:themeColor="accent1" w:themeShade="BF"/>
        </w:pBdr>
        <w:jc w:val="center"/>
        <w:rPr>
          <w:rFonts w:asciiTheme="minorHAnsi" w:hAnsiTheme="minorHAnsi"/>
          <w:b/>
          <w:i/>
          <w:color w:val="365F91" w:themeColor="accent1" w:themeShade="BF"/>
          <w:sz w:val="32"/>
          <w:szCs w:val="32"/>
        </w:rPr>
      </w:pPr>
      <w:r>
        <w:rPr>
          <w:rFonts w:asciiTheme="minorHAnsi" w:hAnsiTheme="minorHAnsi"/>
          <w:b/>
          <w:i/>
          <w:color w:val="365F91" w:themeColor="accent1" w:themeShade="BF"/>
          <w:sz w:val="32"/>
          <w:szCs w:val="32"/>
        </w:rPr>
        <w:t>Educator Licensure and Preparation Program Approval (603 CMR 7.00)</w:t>
      </w:r>
      <w:r w:rsidR="009B602B" w:rsidRPr="009B602B">
        <w:rPr>
          <w:rFonts w:asciiTheme="minorHAnsi" w:hAnsiTheme="minorHAnsi"/>
          <w:b/>
          <w:i/>
          <w:color w:val="365F91" w:themeColor="accent1" w:themeShade="BF"/>
          <w:sz w:val="32"/>
          <w:szCs w:val="32"/>
        </w:rPr>
        <w:t xml:space="preserve"> </w:t>
      </w:r>
    </w:p>
    <w:p w14:paraId="671DF77E" w14:textId="7169B2D6" w:rsidR="0011752A" w:rsidRDefault="0011752A" w:rsidP="0011752A">
      <w:pPr>
        <w:jc w:val="center"/>
        <w:rPr>
          <w:rFonts w:asciiTheme="minorHAnsi" w:hAnsiTheme="minorHAnsi"/>
        </w:rPr>
      </w:pPr>
    </w:p>
    <w:p w14:paraId="03AC9B68" w14:textId="77777777" w:rsidR="00E315EE" w:rsidRDefault="00E315EE" w:rsidP="0011752A">
      <w:pPr>
        <w:jc w:val="center"/>
        <w:rPr>
          <w:rFonts w:asciiTheme="minorHAnsi" w:hAnsiTheme="minorHAnsi"/>
        </w:rPr>
      </w:pPr>
    </w:p>
    <w:p w14:paraId="0FD29736" w14:textId="77777777" w:rsidR="00E315EE" w:rsidRDefault="00E315EE" w:rsidP="0011752A">
      <w:pPr>
        <w:jc w:val="center"/>
        <w:rPr>
          <w:rFonts w:asciiTheme="minorHAnsi" w:hAnsiTheme="minorHAnsi"/>
        </w:rPr>
      </w:pPr>
    </w:p>
    <w:p w14:paraId="1CFFAF76" w14:textId="77777777" w:rsidR="00E315EE" w:rsidRDefault="00E315EE" w:rsidP="0011752A">
      <w:pPr>
        <w:jc w:val="center"/>
        <w:rPr>
          <w:rFonts w:asciiTheme="minorHAnsi" w:hAnsiTheme="minorHAnsi"/>
        </w:rPr>
      </w:pPr>
    </w:p>
    <w:p w14:paraId="17FB083A" w14:textId="77777777" w:rsidR="00E315EE" w:rsidRPr="00FE7D1F" w:rsidRDefault="00E315EE" w:rsidP="0011752A">
      <w:pPr>
        <w:jc w:val="center"/>
        <w:rPr>
          <w:rFonts w:asciiTheme="minorHAnsi" w:hAnsiTheme="minorHAnsi"/>
        </w:rPr>
      </w:pPr>
    </w:p>
    <w:p w14:paraId="1477620E" w14:textId="77777777" w:rsidR="0011752A" w:rsidRPr="00FE7D1F" w:rsidRDefault="0011752A" w:rsidP="0011752A">
      <w:pPr>
        <w:jc w:val="center"/>
        <w:rPr>
          <w:rFonts w:asciiTheme="minorHAnsi" w:hAnsiTheme="minorHAnsi"/>
        </w:rPr>
      </w:pPr>
    </w:p>
    <w:p w14:paraId="42F9636A" w14:textId="25C2968F" w:rsidR="0011752A" w:rsidRDefault="0011752A" w:rsidP="0011752A">
      <w:pPr>
        <w:jc w:val="center"/>
        <w:rPr>
          <w:rFonts w:asciiTheme="minorHAnsi" w:hAnsiTheme="minorHAnsi"/>
        </w:rPr>
      </w:pPr>
    </w:p>
    <w:p w14:paraId="3516A93E" w14:textId="41677954" w:rsidR="00370898" w:rsidRDefault="00370898" w:rsidP="0011752A">
      <w:pPr>
        <w:jc w:val="center"/>
        <w:rPr>
          <w:rFonts w:asciiTheme="minorHAnsi" w:hAnsiTheme="minorHAnsi"/>
        </w:rPr>
      </w:pPr>
    </w:p>
    <w:p w14:paraId="39A66222" w14:textId="3F0F8B4B" w:rsidR="00370898" w:rsidRDefault="00370898" w:rsidP="0011752A">
      <w:pPr>
        <w:jc w:val="center"/>
        <w:rPr>
          <w:rFonts w:asciiTheme="minorHAnsi" w:hAnsiTheme="minorHAnsi"/>
        </w:rPr>
      </w:pPr>
    </w:p>
    <w:p w14:paraId="525F8706" w14:textId="35CBD5A9" w:rsidR="00370898" w:rsidRDefault="00370898" w:rsidP="0011752A">
      <w:pPr>
        <w:jc w:val="center"/>
        <w:rPr>
          <w:rFonts w:asciiTheme="minorHAnsi" w:hAnsiTheme="minorHAnsi"/>
        </w:rPr>
      </w:pPr>
    </w:p>
    <w:p w14:paraId="67D07E1F" w14:textId="77777777" w:rsidR="00370898" w:rsidRDefault="00370898" w:rsidP="0011752A">
      <w:pPr>
        <w:jc w:val="center"/>
        <w:rPr>
          <w:rFonts w:asciiTheme="minorHAnsi" w:hAnsiTheme="minorHAnsi"/>
        </w:rPr>
      </w:pPr>
    </w:p>
    <w:p w14:paraId="7467B96A" w14:textId="77777777" w:rsidR="00E315EE" w:rsidRDefault="00E315EE" w:rsidP="0011752A">
      <w:pPr>
        <w:jc w:val="center"/>
        <w:rPr>
          <w:rFonts w:asciiTheme="minorHAnsi" w:hAnsiTheme="minorHAnsi"/>
        </w:rPr>
      </w:pPr>
    </w:p>
    <w:p w14:paraId="4A410487" w14:textId="77777777" w:rsidR="00E315EE" w:rsidRPr="00FE7D1F" w:rsidRDefault="00E315EE" w:rsidP="0011752A">
      <w:pPr>
        <w:jc w:val="center"/>
        <w:rPr>
          <w:rFonts w:asciiTheme="minorHAnsi" w:hAnsiTheme="minorHAnsi"/>
        </w:rPr>
      </w:pPr>
    </w:p>
    <w:p w14:paraId="3B5793F9" w14:textId="77777777" w:rsidR="00E315EE" w:rsidRPr="00E315EE" w:rsidRDefault="00E315EE" w:rsidP="00E315EE">
      <w:pPr>
        <w:jc w:val="center"/>
        <w:rPr>
          <w:rFonts w:asciiTheme="minorHAnsi" w:hAnsiTheme="minorHAnsi"/>
          <w:b/>
          <w:bCs/>
          <w:color w:val="365F91" w:themeColor="accent1" w:themeShade="BF"/>
          <w:sz w:val="28"/>
          <w:szCs w:val="28"/>
        </w:rPr>
      </w:pPr>
      <w:r w:rsidRPr="00E315EE">
        <w:rPr>
          <w:rFonts w:asciiTheme="minorHAnsi" w:hAnsiTheme="minorHAnsi"/>
          <w:b/>
          <w:color w:val="365F91" w:themeColor="accent1" w:themeShade="BF"/>
          <w:sz w:val="28"/>
          <w:szCs w:val="28"/>
        </w:rPr>
        <w:t>Office of Educator Licensure</w:t>
      </w:r>
      <w:r w:rsidRPr="00E315EE">
        <w:rPr>
          <w:rFonts w:asciiTheme="minorHAnsi" w:hAnsiTheme="minorHAnsi"/>
          <w:color w:val="365F91" w:themeColor="accent1" w:themeShade="BF"/>
          <w:sz w:val="28"/>
          <w:szCs w:val="28"/>
        </w:rPr>
        <w:br/>
      </w:r>
    </w:p>
    <w:p w14:paraId="29D484A3" w14:textId="77777777" w:rsidR="00E315EE" w:rsidRPr="0026651A" w:rsidRDefault="00E315EE" w:rsidP="00E315EE">
      <w:pPr>
        <w:spacing w:after="120"/>
        <w:jc w:val="center"/>
        <w:rPr>
          <w:rFonts w:asciiTheme="minorHAnsi" w:hAnsiTheme="minorHAnsi"/>
          <w:b/>
          <w:color w:val="244061" w:themeColor="accent1" w:themeShade="80"/>
          <w:sz w:val="22"/>
          <w:szCs w:val="22"/>
        </w:rPr>
      </w:pPr>
      <w:r w:rsidRPr="00370898">
        <w:rPr>
          <w:rFonts w:asciiTheme="minorHAnsi" w:hAnsiTheme="minorHAnsi"/>
          <w:b/>
          <w:bCs/>
          <w:color w:val="984806" w:themeColor="accent6" w:themeShade="80"/>
          <w:sz w:val="22"/>
          <w:szCs w:val="22"/>
        </w:rPr>
        <w:t>Licensure Call Center: 781-338-6600</w:t>
      </w:r>
      <w:r w:rsidRPr="00370898">
        <w:rPr>
          <w:rFonts w:asciiTheme="minorHAnsi" w:hAnsiTheme="minorHAnsi"/>
          <w:color w:val="984806" w:themeColor="accent6" w:themeShade="80"/>
          <w:sz w:val="22"/>
          <w:szCs w:val="22"/>
        </w:rPr>
        <w:br/>
      </w:r>
      <w:r w:rsidRPr="0026651A">
        <w:rPr>
          <w:rFonts w:asciiTheme="minorHAnsi" w:hAnsiTheme="minorHAnsi"/>
          <w:color w:val="244061" w:themeColor="accent1" w:themeShade="80"/>
          <w:sz w:val="22"/>
          <w:szCs w:val="22"/>
        </w:rPr>
        <w:t>Hours: Monday-Friday 9am-1pm &amp; 2pm-5pm</w:t>
      </w:r>
    </w:p>
    <w:p w14:paraId="58F11823" w14:textId="77777777" w:rsidR="00E315EE" w:rsidRPr="00E315EE" w:rsidRDefault="00E315EE" w:rsidP="00E315EE">
      <w:pPr>
        <w:jc w:val="center"/>
        <w:rPr>
          <w:rFonts w:asciiTheme="minorHAnsi" w:hAnsiTheme="minorHAnsi"/>
          <w:sz w:val="22"/>
          <w:szCs w:val="22"/>
        </w:rPr>
      </w:pPr>
      <w:r w:rsidRPr="00370898">
        <w:rPr>
          <w:rFonts w:asciiTheme="minorHAnsi" w:hAnsiTheme="minorHAnsi"/>
          <w:b/>
          <w:bCs/>
          <w:color w:val="984806" w:themeColor="accent6" w:themeShade="80"/>
          <w:sz w:val="22"/>
          <w:szCs w:val="22"/>
        </w:rPr>
        <w:t>Walk-in Welcome Center Service Counter</w:t>
      </w:r>
      <w:r w:rsidRPr="00370898">
        <w:rPr>
          <w:rFonts w:asciiTheme="minorHAnsi" w:hAnsiTheme="minorHAnsi"/>
          <w:b/>
          <w:bCs/>
          <w:color w:val="984806" w:themeColor="accent6" w:themeShade="80"/>
          <w:sz w:val="22"/>
          <w:szCs w:val="22"/>
        </w:rPr>
        <w:br/>
      </w:r>
      <w:r w:rsidRPr="0026651A">
        <w:rPr>
          <w:rFonts w:asciiTheme="minorHAnsi" w:hAnsiTheme="minorHAnsi"/>
          <w:color w:val="244061" w:themeColor="accent1" w:themeShade="80"/>
          <w:sz w:val="22"/>
          <w:szCs w:val="22"/>
        </w:rPr>
        <w:t>Hours: Monday-Friday</w:t>
      </w:r>
      <w:r w:rsidRPr="0026651A">
        <w:rPr>
          <w:rFonts w:asciiTheme="minorHAnsi" w:hAnsiTheme="minorHAnsi"/>
          <w:b/>
          <w:bCs/>
          <w:color w:val="244061" w:themeColor="accent1" w:themeShade="80"/>
          <w:sz w:val="22"/>
          <w:szCs w:val="22"/>
        </w:rPr>
        <w:br/>
      </w:r>
      <w:r w:rsidRPr="0026651A">
        <w:rPr>
          <w:rFonts w:asciiTheme="minorHAnsi" w:hAnsiTheme="minorHAnsi"/>
          <w:color w:val="244061" w:themeColor="accent1" w:themeShade="80"/>
          <w:sz w:val="22"/>
          <w:szCs w:val="22"/>
        </w:rPr>
        <w:t>8:45am - 4:45pm </w:t>
      </w:r>
      <w:r w:rsidRPr="0026651A">
        <w:rPr>
          <w:rFonts w:asciiTheme="minorHAnsi" w:hAnsiTheme="minorHAnsi"/>
          <w:color w:val="244061" w:themeColor="accent1" w:themeShade="80"/>
          <w:sz w:val="22"/>
          <w:szCs w:val="22"/>
        </w:rPr>
        <w:br/>
      </w:r>
    </w:p>
    <w:p w14:paraId="3437D606" w14:textId="77777777" w:rsidR="00E315EE" w:rsidRDefault="00E315EE" w:rsidP="00FE7D1F">
      <w:pPr>
        <w:spacing w:after="240"/>
        <w:rPr>
          <w:rFonts w:asciiTheme="minorHAnsi" w:hAnsiTheme="minorHAnsi"/>
          <w:b/>
          <w:color w:val="244061" w:themeColor="accent1" w:themeShade="80"/>
          <w:sz w:val="28"/>
          <w:szCs w:val="28"/>
        </w:rPr>
        <w:sectPr w:rsidR="00E315EE" w:rsidSect="00D622CD">
          <w:pgSz w:w="12240" w:h="15840"/>
          <w:pgMar w:top="1440" w:right="1440" w:bottom="1440" w:left="1440" w:header="720" w:footer="720" w:gutter="0"/>
          <w:pgNumType w:start="1"/>
          <w:cols w:space="720"/>
          <w:docGrid w:linePitch="360"/>
        </w:sectPr>
      </w:pPr>
    </w:p>
    <w:p w14:paraId="5D1A7FD1" w14:textId="77777777" w:rsidR="009B602B" w:rsidRPr="00B03D38" w:rsidRDefault="009B602B" w:rsidP="00EC6073">
      <w:pPr>
        <w:pStyle w:val="Heading1"/>
        <w:jc w:val="center"/>
        <w:rPr>
          <w:rFonts w:cstheme="minorHAnsi"/>
          <w:sz w:val="24"/>
          <w:szCs w:val="24"/>
        </w:rPr>
      </w:pPr>
      <w:r w:rsidRPr="00B03D38">
        <w:rPr>
          <w:rFonts w:cstheme="minorHAnsi"/>
          <w:sz w:val="24"/>
          <w:szCs w:val="24"/>
        </w:rPr>
        <w:lastRenderedPageBreak/>
        <w:t>Introduction</w:t>
      </w:r>
    </w:p>
    <w:p w14:paraId="5CA65462" w14:textId="77777777" w:rsidR="009B602B" w:rsidRPr="00B03D38" w:rsidRDefault="009B602B" w:rsidP="009B602B">
      <w:pPr>
        <w:pStyle w:val="NormalWeb"/>
        <w:rPr>
          <w:rFonts w:asciiTheme="minorHAnsi" w:hAnsiTheme="minorHAnsi" w:cstheme="minorHAnsi"/>
        </w:rPr>
      </w:pPr>
    </w:p>
    <w:p w14:paraId="436C1E90" w14:textId="1EE75645" w:rsidR="0009069A" w:rsidRPr="00B03D38" w:rsidRDefault="0009069A" w:rsidP="0009069A">
      <w:pPr>
        <w:pStyle w:val="NormalWeb"/>
        <w:rPr>
          <w:rFonts w:asciiTheme="minorHAnsi" w:hAnsiTheme="minorHAnsi" w:cstheme="minorHAnsi"/>
        </w:rPr>
      </w:pPr>
      <w:r w:rsidRPr="00B03D38">
        <w:rPr>
          <w:rFonts w:asciiTheme="minorHAnsi" w:hAnsiTheme="minorHAnsi" w:cstheme="minorHAnsi"/>
        </w:rPr>
        <w:t xml:space="preserve">On </w:t>
      </w:r>
      <w:r w:rsidR="00961715" w:rsidRPr="00B03D38">
        <w:rPr>
          <w:rFonts w:asciiTheme="minorHAnsi" w:hAnsiTheme="minorHAnsi" w:cstheme="minorHAnsi"/>
        </w:rPr>
        <w:t>February 28, 2023</w:t>
      </w:r>
      <w:r w:rsidRPr="00B03D38">
        <w:rPr>
          <w:rFonts w:asciiTheme="minorHAnsi" w:hAnsiTheme="minorHAnsi" w:cstheme="minorHAnsi"/>
        </w:rPr>
        <w:t xml:space="preserve">, the Board of Elementary and Secondary Education voted to approve regulation changes impacting educator licensure, program approval and license renewal. The regulations </w:t>
      </w:r>
      <w:r w:rsidR="00961715" w:rsidRPr="00B03D38">
        <w:rPr>
          <w:rFonts w:asciiTheme="minorHAnsi" w:hAnsiTheme="minorHAnsi" w:cstheme="minorHAnsi"/>
        </w:rPr>
        <w:t>were effective on Friday, March 17, 2023. T</w:t>
      </w:r>
      <w:r w:rsidRPr="00B03D38">
        <w:rPr>
          <w:rFonts w:asciiTheme="minorHAnsi" w:hAnsiTheme="minorHAnsi" w:cstheme="minorHAnsi"/>
        </w:rPr>
        <w:t>his summary is intended to provide an overview of the changes that were approved by the Board. This summary is not intended to represent all</w:t>
      </w:r>
      <w:r w:rsidR="005A0432">
        <w:rPr>
          <w:rFonts w:asciiTheme="minorHAnsi" w:hAnsiTheme="minorHAnsi" w:cstheme="minorHAnsi"/>
        </w:rPr>
        <w:t xml:space="preserve"> </w:t>
      </w:r>
      <w:r w:rsidRPr="00B03D38">
        <w:rPr>
          <w:rFonts w:asciiTheme="minorHAnsi" w:hAnsiTheme="minorHAnsi" w:cstheme="minorHAnsi"/>
        </w:rPr>
        <w:t xml:space="preserve">the requirements necessary to receive </w:t>
      </w:r>
      <w:r w:rsidR="003B18F3" w:rsidRPr="00B03D38">
        <w:rPr>
          <w:rFonts w:asciiTheme="minorHAnsi" w:hAnsiTheme="minorHAnsi" w:cstheme="minorHAnsi"/>
        </w:rPr>
        <w:t>a</w:t>
      </w:r>
      <w:r w:rsidRPr="00B03D38">
        <w:rPr>
          <w:rFonts w:asciiTheme="minorHAnsi" w:hAnsiTheme="minorHAnsi" w:cstheme="minorHAnsi"/>
        </w:rPr>
        <w:t xml:space="preserve"> license or endorsement impacted by the change and only highlights what is new or has changed as a result of the new regulations. In some circumstances, an applicant may be reviewed under these new regulations immediately and in other situations, the applicant will have until July 1</w:t>
      </w:r>
      <w:r w:rsidR="00961715" w:rsidRPr="00B03D38">
        <w:rPr>
          <w:rFonts w:asciiTheme="minorHAnsi" w:hAnsiTheme="minorHAnsi" w:cstheme="minorHAnsi"/>
        </w:rPr>
        <w:t>7</w:t>
      </w:r>
      <w:r w:rsidRPr="00B03D38">
        <w:rPr>
          <w:rFonts w:asciiTheme="minorHAnsi" w:hAnsiTheme="minorHAnsi" w:cstheme="minorHAnsi"/>
        </w:rPr>
        <w:t>, 20</w:t>
      </w:r>
      <w:r w:rsidR="00961715" w:rsidRPr="00B03D38">
        <w:rPr>
          <w:rFonts w:asciiTheme="minorHAnsi" w:hAnsiTheme="minorHAnsi" w:cstheme="minorHAnsi"/>
        </w:rPr>
        <w:t>25</w:t>
      </w:r>
      <w:r w:rsidR="00D5656C" w:rsidRPr="00B03D38">
        <w:rPr>
          <w:rFonts w:asciiTheme="minorHAnsi" w:hAnsiTheme="minorHAnsi" w:cstheme="minorHAnsi"/>
        </w:rPr>
        <w:t>,</w:t>
      </w:r>
      <w:r w:rsidRPr="00B03D38">
        <w:rPr>
          <w:rFonts w:asciiTheme="minorHAnsi" w:hAnsiTheme="minorHAnsi" w:cstheme="minorHAnsi"/>
        </w:rPr>
        <w:t xml:space="preserve"> to comply with the regulations that were in effect prior to </w:t>
      </w:r>
      <w:r w:rsidR="00961715" w:rsidRPr="00B03D38">
        <w:rPr>
          <w:rFonts w:asciiTheme="minorHAnsi" w:hAnsiTheme="minorHAnsi" w:cstheme="minorHAnsi"/>
        </w:rPr>
        <w:t>March 17,</w:t>
      </w:r>
      <w:r w:rsidRPr="00B03D38">
        <w:rPr>
          <w:rFonts w:asciiTheme="minorHAnsi" w:hAnsiTheme="minorHAnsi" w:cstheme="minorHAnsi"/>
        </w:rPr>
        <w:t xml:space="preserve"> 20</w:t>
      </w:r>
      <w:r w:rsidR="00961715" w:rsidRPr="00B03D38">
        <w:rPr>
          <w:rFonts w:asciiTheme="minorHAnsi" w:hAnsiTheme="minorHAnsi" w:cstheme="minorHAnsi"/>
        </w:rPr>
        <w:t>23</w:t>
      </w:r>
      <w:r w:rsidRPr="00B03D38">
        <w:rPr>
          <w:rFonts w:asciiTheme="minorHAnsi" w:hAnsiTheme="minorHAnsi" w:cstheme="minorHAnsi"/>
        </w:rPr>
        <w:t xml:space="preserve">. </w:t>
      </w:r>
    </w:p>
    <w:p w14:paraId="25DD64A3" w14:textId="7B46017E" w:rsidR="0009069A" w:rsidRPr="00B03D38" w:rsidRDefault="0009069A" w:rsidP="0009069A">
      <w:pPr>
        <w:pStyle w:val="NormalWeb"/>
        <w:rPr>
          <w:rFonts w:asciiTheme="minorHAnsi" w:hAnsiTheme="minorHAnsi" w:cstheme="minorHAnsi"/>
        </w:rPr>
      </w:pPr>
      <w:r w:rsidRPr="00B03D38">
        <w:rPr>
          <w:rFonts w:asciiTheme="minorHAnsi" w:hAnsiTheme="minorHAnsi" w:cstheme="minorHAnsi"/>
        </w:rPr>
        <w:t xml:space="preserve">We hope that these regulation changes have a positive impact on our educators, prospective </w:t>
      </w:r>
      <w:r w:rsidR="00370898" w:rsidRPr="00B03D38">
        <w:rPr>
          <w:rFonts w:asciiTheme="minorHAnsi" w:hAnsiTheme="minorHAnsi" w:cstheme="minorHAnsi"/>
        </w:rPr>
        <w:t>educators,</w:t>
      </w:r>
      <w:r w:rsidRPr="00B03D38">
        <w:rPr>
          <w:rFonts w:asciiTheme="minorHAnsi" w:hAnsiTheme="minorHAnsi" w:cstheme="minorHAnsi"/>
        </w:rPr>
        <w:t xml:space="preserve"> and students by streamlining the licensure system yet maintaining the high standards that ha</w:t>
      </w:r>
      <w:r w:rsidR="003B18F3" w:rsidRPr="00B03D38">
        <w:rPr>
          <w:rFonts w:asciiTheme="minorHAnsi" w:hAnsiTheme="minorHAnsi" w:cstheme="minorHAnsi"/>
        </w:rPr>
        <w:t>ve</w:t>
      </w:r>
      <w:r w:rsidRPr="00B03D38">
        <w:rPr>
          <w:rFonts w:asciiTheme="minorHAnsi" w:hAnsiTheme="minorHAnsi" w:cstheme="minorHAnsi"/>
        </w:rPr>
        <w:t xml:space="preserve"> resulted in Massachusetts schools lead</w:t>
      </w:r>
      <w:r w:rsidR="003B18F3" w:rsidRPr="00B03D38">
        <w:rPr>
          <w:rFonts w:asciiTheme="minorHAnsi" w:hAnsiTheme="minorHAnsi" w:cstheme="minorHAnsi"/>
        </w:rPr>
        <w:t>ing</w:t>
      </w:r>
      <w:r w:rsidRPr="00B03D38">
        <w:rPr>
          <w:rFonts w:asciiTheme="minorHAnsi" w:hAnsiTheme="minorHAnsi" w:cstheme="minorHAnsi"/>
        </w:rPr>
        <w:t xml:space="preserve"> the nation.  </w:t>
      </w:r>
    </w:p>
    <w:p w14:paraId="396A9164" w14:textId="77777777" w:rsidR="009B602B" w:rsidRPr="00B03D38" w:rsidRDefault="0009069A" w:rsidP="0009069A">
      <w:pPr>
        <w:pStyle w:val="NormalWeb"/>
        <w:rPr>
          <w:rFonts w:asciiTheme="minorHAnsi" w:hAnsiTheme="minorHAnsi" w:cstheme="minorHAnsi"/>
        </w:rPr>
      </w:pPr>
      <w:r w:rsidRPr="00B03D38">
        <w:rPr>
          <w:rFonts w:asciiTheme="minorHAnsi" w:hAnsiTheme="minorHAnsi" w:cstheme="minorHAnsi"/>
        </w:rPr>
        <w:t xml:space="preserve">For questions about the regulations or licensure process, please contact the Licensure Call Center where a representative will be happy to assist you. The Call Center is open each business day from </w:t>
      </w:r>
      <w:r w:rsidR="00AD35EF" w:rsidRPr="00B03D38">
        <w:rPr>
          <w:rFonts w:asciiTheme="minorHAnsi" w:hAnsiTheme="minorHAnsi" w:cstheme="minorHAnsi"/>
        </w:rPr>
        <w:t>9:00 a.m.</w:t>
      </w:r>
      <w:r w:rsidR="00A536CF" w:rsidRPr="00B03D38">
        <w:rPr>
          <w:rFonts w:asciiTheme="minorHAnsi" w:hAnsiTheme="minorHAnsi" w:cstheme="minorHAnsi"/>
        </w:rPr>
        <w:t>-1:00p.m.</w:t>
      </w:r>
      <w:r w:rsidRPr="00B03D38">
        <w:rPr>
          <w:rFonts w:asciiTheme="minorHAnsi" w:hAnsiTheme="minorHAnsi" w:cstheme="minorHAnsi"/>
        </w:rPr>
        <w:t xml:space="preserve"> and 2:00</w:t>
      </w:r>
      <w:r w:rsidR="00E26F76" w:rsidRPr="00B03D38">
        <w:rPr>
          <w:rFonts w:asciiTheme="minorHAnsi" w:hAnsiTheme="minorHAnsi" w:cstheme="minorHAnsi"/>
        </w:rPr>
        <w:t xml:space="preserve"> p.m.</w:t>
      </w:r>
      <w:r w:rsidRPr="00B03D38">
        <w:rPr>
          <w:rFonts w:asciiTheme="minorHAnsi" w:hAnsiTheme="minorHAnsi" w:cstheme="minorHAnsi"/>
        </w:rPr>
        <w:t>-5:00</w:t>
      </w:r>
      <w:r w:rsidR="00E26F76" w:rsidRPr="00B03D38">
        <w:rPr>
          <w:rFonts w:asciiTheme="minorHAnsi" w:hAnsiTheme="minorHAnsi" w:cstheme="minorHAnsi"/>
        </w:rPr>
        <w:t xml:space="preserve"> p.m</w:t>
      </w:r>
      <w:r w:rsidRPr="00B03D38">
        <w:rPr>
          <w:rFonts w:asciiTheme="minorHAnsi" w:hAnsiTheme="minorHAnsi" w:cstheme="minorHAnsi"/>
        </w:rPr>
        <w:t>.</w:t>
      </w:r>
    </w:p>
    <w:p w14:paraId="48586A71" w14:textId="77777777" w:rsidR="00FE7D1F" w:rsidRPr="00B03D38" w:rsidRDefault="00FE7D1F" w:rsidP="00CB3715">
      <w:pPr>
        <w:rPr>
          <w:rFonts w:asciiTheme="minorHAnsi" w:hAnsiTheme="minorHAnsi" w:cstheme="minorHAnsi"/>
          <w:b/>
        </w:rPr>
        <w:sectPr w:rsidR="00FE7D1F" w:rsidRPr="00B03D38" w:rsidSect="00D622CD">
          <w:footerReference w:type="default" r:id="rId12"/>
          <w:pgSz w:w="12240" w:h="15840"/>
          <w:pgMar w:top="1008" w:right="1008" w:bottom="1008" w:left="1008" w:header="576" w:footer="576" w:gutter="0"/>
          <w:pgNumType w:start="1"/>
          <w:cols w:space="720"/>
          <w:docGrid w:linePitch="360"/>
        </w:sectPr>
      </w:pPr>
    </w:p>
    <w:p w14:paraId="1AF66450" w14:textId="3E49FEF4" w:rsidR="009B602B" w:rsidRPr="00B03D38" w:rsidRDefault="00CB79E2" w:rsidP="00EC6073">
      <w:pPr>
        <w:pStyle w:val="Heading1"/>
        <w:rPr>
          <w:rFonts w:cstheme="minorHAnsi"/>
          <w:color w:val="002060"/>
          <w:sz w:val="24"/>
          <w:szCs w:val="24"/>
        </w:rPr>
      </w:pPr>
      <w:r w:rsidRPr="00B03D38">
        <w:rPr>
          <w:rFonts w:cstheme="minorHAnsi"/>
          <w:color w:val="002060"/>
          <w:sz w:val="24"/>
          <w:szCs w:val="24"/>
        </w:rPr>
        <w:lastRenderedPageBreak/>
        <w:t xml:space="preserve">New </w:t>
      </w:r>
      <w:r w:rsidR="009B602B" w:rsidRPr="00B03D38">
        <w:rPr>
          <w:rFonts w:cstheme="minorHAnsi"/>
          <w:color w:val="002060"/>
          <w:sz w:val="24"/>
          <w:szCs w:val="24"/>
        </w:rPr>
        <w:t>Licenses</w:t>
      </w:r>
    </w:p>
    <w:p w14:paraId="4D9027A6" w14:textId="66669126" w:rsidR="009B602B" w:rsidRPr="00B03D38" w:rsidRDefault="009B602B" w:rsidP="009B602B">
      <w:pPr>
        <w:spacing w:after="120" w:line="276" w:lineRule="auto"/>
        <w:rPr>
          <w:rFonts w:asciiTheme="minorHAnsi" w:hAnsiTheme="minorHAnsi" w:cstheme="minorHAnsi"/>
          <w:color w:val="000000" w:themeColor="text1"/>
        </w:rPr>
      </w:pPr>
      <w:r w:rsidRPr="00B03D38">
        <w:rPr>
          <w:rFonts w:asciiTheme="minorHAnsi" w:hAnsiTheme="minorHAnsi" w:cstheme="minorHAnsi"/>
          <w:b/>
          <w:color w:val="002060"/>
        </w:rPr>
        <w:t>Digital Literacy/Computer Science (</w:t>
      </w:r>
      <w:r w:rsidR="00B476A4" w:rsidRPr="00B03D38">
        <w:rPr>
          <w:rFonts w:asciiTheme="minorHAnsi" w:hAnsiTheme="minorHAnsi" w:cstheme="minorHAnsi"/>
          <w:b/>
          <w:color w:val="002060"/>
        </w:rPr>
        <w:t>PreK-6</w:t>
      </w:r>
      <w:r w:rsidRPr="00B03D38">
        <w:rPr>
          <w:rFonts w:asciiTheme="minorHAnsi" w:hAnsiTheme="minorHAnsi" w:cstheme="minorHAnsi"/>
          <w:b/>
          <w:color w:val="002060"/>
        </w:rPr>
        <w:t>):</w:t>
      </w:r>
      <w:r w:rsidRPr="00B03D38">
        <w:rPr>
          <w:rFonts w:asciiTheme="minorHAnsi" w:hAnsiTheme="minorHAnsi" w:cstheme="minorHAnsi"/>
          <w:color w:val="000000" w:themeColor="text1"/>
        </w:rPr>
        <w:t xml:space="preserve"> </w:t>
      </w:r>
      <w:r w:rsidR="00B476A4" w:rsidRPr="00B03D38">
        <w:rPr>
          <w:rFonts w:asciiTheme="minorHAnsi" w:hAnsiTheme="minorHAnsi" w:cstheme="minorHAnsi"/>
          <w:color w:val="000000" w:themeColor="text1"/>
        </w:rPr>
        <w:t xml:space="preserve">The Department offers a Digital Literacy/Computer Science (DLCS) license at the 5-12 grade span. This new level of licensure permits the Department to issue the DLCS license at the PreK-6 grade levels. Applicants for the PreK-6 DLCS license can demonstrate the subject matter knowledge of the license by passing the DLCS MTEL test. </w:t>
      </w:r>
      <w:r w:rsidR="00FA43CE" w:rsidRPr="00B03D38">
        <w:rPr>
          <w:rFonts w:asciiTheme="minorHAnsi" w:hAnsiTheme="minorHAnsi" w:cstheme="minorHAnsi"/>
          <w:color w:val="000000" w:themeColor="text1"/>
        </w:rPr>
        <w:t xml:space="preserve">The Office of Educator Licensure will be able to </w:t>
      </w:r>
      <w:r w:rsidR="00B476A4" w:rsidRPr="00B03D38">
        <w:rPr>
          <w:rFonts w:asciiTheme="minorHAnsi" w:hAnsiTheme="minorHAnsi" w:cstheme="minorHAnsi"/>
          <w:color w:val="000000" w:themeColor="text1"/>
        </w:rPr>
        <w:t xml:space="preserve">conduct a competency review for the PreK-6 level when the </w:t>
      </w:r>
      <w:r w:rsidR="00351C70">
        <w:rPr>
          <w:rFonts w:asciiTheme="minorHAnsi" w:hAnsiTheme="minorHAnsi" w:cstheme="minorHAnsi"/>
          <w:color w:val="000000" w:themeColor="text1"/>
        </w:rPr>
        <w:t xml:space="preserve">subject </w:t>
      </w:r>
      <w:r w:rsidR="00FA43CE" w:rsidRPr="00B03D38">
        <w:rPr>
          <w:rFonts w:asciiTheme="minorHAnsi" w:hAnsiTheme="minorHAnsi" w:cstheme="minorHAnsi"/>
          <w:color w:val="000000" w:themeColor="text1"/>
        </w:rPr>
        <w:t>matter knowledge requirements are developed.</w:t>
      </w:r>
      <w:r w:rsidRPr="00B03D38">
        <w:rPr>
          <w:rFonts w:asciiTheme="minorHAnsi" w:hAnsiTheme="minorHAnsi" w:cstheme="minorHAnsi"/>
          <w:color w:val="000000" w:themeColor="text1"/>
        </w:rPr>
        <w:t xml:space="preserve"> </w:t>
      </w:r>
    </w:p>
    <w:p w14:paraId="68D6DBB8" w14:textId="2E3C0B69" w:rsidR="00B476A4" w:rsidRPr="00B03D38" w:rsidRDefault="00B476A4" w:rsidP="009B602B">
      <w:pPr>
        <w:spacing w:after="120" w:line="276" w:lineRule="auto"/>
        <w:rPr>
          <w:rFonts w:asciiTheme="minorHAnsi" w:hAnsiTheme="minorHAnsi" w:cstheme="minorHAnsi"/>
          <w:color w:val="000000" w:themeColor="text1"/>
        </w:rPr>
      </w:pPr>
      <w:r w:rsidRPr="00B03D38">
        <w:rPr>
          <w:rFonts w:asciiTheme="minorHAnsi" w:hAnsiTheme="minorHAnsi" w:cstheme="minorHAnsi"/>
          <w:b/>
          <w:bCs/>
          <w:color w:val="002060"/>
        </w:rPr>
        <w:t>Military Spouse:</w:t>
      </w:r>
      <w:r w:rsidRPr="00B03D38">
        <w:rPr>
          <w:rFonts w:asciiTheme="minorHAnsi" w:hAnsiTheme="minorHAnsi" w:cstheme="minorHAnsi"/>
          <w:color w:val="002060"/>
        </w:rPr>
        <w:t xml:space="preserve"> </w:t>
      </w:r>
      <w:r w:rsidRPr="00B03D38">
        <w:rPr>
          <w:rFonts w:asciiTheme="minorHAnsi" w:hAnsiTheme="minorHAnsi" w:cstheme="minorHAnsi"/>
          <w:color w:val="000000" w:themeColor="text1"/>
        </w:rPr>
        <w:t>This license is designed f</w:t>
      </w:r>
      <w:r w:rsidR="00602216" w:rsidRPr="00B03D38">
        <w:rPr>
          <w:rFonts w:asciiTheme="minorHAnsi" w:hAnsiTheme="minorHAnsi" w:cstheme="minorHAnsi"/>
          <w:color w:val="000000" w:themeColor="text1"/>
        </w:rPr>
        <w:t xml:space="preserve">or an individual who is the spouse of a military service member who is in the armed forces of the United States (U.S.), a reserve unit of the armed forces of the U.S. or in the National Guard of another state and is serving in the Commonwealth or in a border state while living in the Commonwealth.  The Military Spouse must have a bachelor’s degree, hold a valid educator license from another state for the field and grade level of the Military Spouse license sought </w:t>
      </w:r>
      <w:r w:rsidR="00695C27" w:rsidRPr="005A0432">
        <w:t xml:space="preserve">and </w:t>
      </w:r>
      <w:r w:rsidR="00695C27" w:rsidRPr="005A0432">
        <w:rPr>
          <w:rFonts w:asciiTheme="minorHAnsi" w:hAnsiTheme="minorHAnsi" w:cstheme="minorHAnsi"/>
          <w:color w:val="000000" w:themeColor="text1"/>
        </w:rPr>
        <w:t>h</w:t>
      </w:r>
      <w:r w:rsidR="005404DB" w:rsidRPr="005A0432">
        <w:rPr>
          <w:rFonts w:asciiTheme="minorHAnsi" w:hAnsiTheme="minorHAnsi" w:cstheme="minorHAnsi"/>
          <w:color w:val="000000" w:themeColor="text1"/>
        </w:rPr>
        <w:t>as not documented compliance with all requirements for a Massachusetts Provisional, Initial, or Professional license for the field and grade level of the Military license sought</w:t>
      </w:r>
      <w:r w:rsidR="00602216" w:rsidRPr="005A0432">
        <w:rPr>
          <w:rFonts w:asciiTheme="minorHAnsi" w:hAnsiTheme="minorHAnsi" w:cstheme="minorHAnsi"/>
          <w:color w:val="000000" w:themeColor="text1"/>
        </w:rPr>
        <w:t>. The Military Spouse license</w:t>
      </w:r>
      <w:r w:rsidR="00602216" w:rsidRPr="00B03D38">
        <w:rPr>
          <w:rFonts w:asciiTheme="minorHAnsi" w:hAnsiTheme="minorHAnsi" w:cstheme="minorHAnsi"/>
          <w:color w:val="000000" w:themeColor="text1"/>
        </w:rPr>
        <w:t xml:space="preserve"> is valid for three years of employment in the Commonwealth. </w:t>
      </w:r>
    </w:p>
    <w:p w14:paraId="792564EF" w14:textId="11589509" w:rsidR="00602216" w:rsidRPr="00B03D38" w:rsidRDefault="00602216" w:rsidP="009B602B">
      <w:pPr>
        <w:spacing w:after="120" w:line="276" w:lineRule="auto"/>
        <w:rPr>
          <w:rFonts w:asciiTheme="minorHAnsi" w:hAnsiTheme="minorHAnsi" w:cstheme="minorHAnsi"/>
          <w:color w:val="000000" w:themeColor="text1"/>
        </w:rPr>
      </w:pPr>
      <w:r w:rsidRPr="00B03D38">
        <w:rPr>
          <w:rFonts w:asciiTheme="minorHAnsi" w:hAnsiTheme="minorHAnsi" w:cstheme="minorHAnsi"/>
          <w:b/>
          <w:bCs/>
          <w:color w:val="002060"/>
        </w:rPr>
        <w:t>Provisional Principal/Assistant Principal:</w:t>
      </w:r>
      <w:r w:rsidRPr="00B03D38">
        <w:rPr>
          <w:rFonts w:asciiTheme="minorHAnsi" w:hAnsiTheme="minorHAnsi" w:cstheme="minorHAnsi"/>
          <w:color w:val="002060"/>
        </w:rPr>
        <w:t xml:space="preserve"> </w:t>
      </w:r>
      <w:r w:rsidRPr="00B03D38">
        <w:rPr>
          <w:rFonts w:asciiTheme="minorHAnsi" w:hAnsiTheme="minorHAnsi" w:cstheme="minorHAnsi"/>
          <w:color w:val="000000" w:themeColor="text1"/>
        </w:rPr>
        <w:t>The Department can no</w:t>
      </w:r>
      <w:r w:rsidR="00351C70">
        <w:rPr>
          <w:rFonts w:asciiTheme="minorHAnsi" w:hAnsiTheme="minorHAnsi" w:cstheme="minorHAnsi"/>
          <w:color w:val="000000" w:themeColor="text1"/>
        </w:rPr>
        <w:t>w</w:t>
      </w:r>
      <w:r w:rsidRPr="00B03D38">
        <w:rPr>
          <w:rFonts w:asciiTheme="minorHAnsi" w:hAnsiTheme="minorHAnsi" w:cstheme="minorHAnsi"/>
          <w:color w:val="000000" w:themeColor="text1"/>
        </w:rPr>
        <w:t xml:space="preserve"> offer a Provisional license for an aspiring Principal or Assistant Principal. The requirements for this license are closely aligned with the requirements for an Initial license with the exception of having passed the Performance Assessment for Leaders (PAL) and the prerequisite experience. To qualify for a Provisional/Assistant Principal license an individual must have passed the Communication and Literacy Skills MTEL, have a bachelor’s degree, </w:t>
      </w:r>
      <w:r w:rsidR="008B1B86" w:rsidRPr="00B03D38">
        <w:rPr>
          <w:rFonts w:asciiTheme="minorHAnsi" w:hAnsiTheme="minorHAnsi" w:cstheme="minorHAnsi"/>
          <w:color w:val="000000" w:themeColor="text1"/>
        </w:rPr>
        <w:t xml:space="preserve">have a Sheltered English Immersion (SEI) Teacher or Administrator Endorsement, have at least three full years of employment in a district-wide, school-based or other educational setting and satisfied either an approved Principal/Assistant Principal state approved preparation program, the 500-hour apprenticeship/internship program or a Panel Review conducted by the Department.  Out-of-state administrators who have completed a state approved Principal/Assistant Principal program or have a valid out-of-state </w:t>
      </w:r>
      <w:r w:rsidR="0002328D" w:rsidRPr="005A0432">
        <w:rPr>
          <w:rFonts w:asciiTheme="minorHAnsi" w:hAnsiTheme="minorHAnsi" w:cstheme="minorHAnsi"/>
          <w:color w:val="000000" w:themeColor="text1"/>
        </w:rPr>
        <w:t>comparable to at least a</w:t>
      </w:r>
      <w:r w:rsidR="004B252D" w:rsidRPr="005A0432">
        <w:rPr>
          <w:rFonts w:asciiTheme="minorHAnsi" w:hAnsiTheme="minorHAnsi" w:cstheme="minorHAnsi"/>
          <w:color w:val="000000" w:themeColor="text1"/>
        </w:rPr>
        <w:t xml:space="preserve"> Massachusetts Initial </w:t>
      </w:r>
      <w:r w:rsidR="008B1B86" w:rsidRPr="005A0432">
        <w:rPr>
          <w:rFonts w:asciiTheme="minorHAnsi" w:hAnsiTheme="minorHAnsi" w:cstheme="minorHAnsi"/>
          <w:color w:val="000000" w:themeColor="text1"/>
        </w:rPr>
        <w:t>Principal</w:t>
      </w:r>
      <w:r w:rsidR="008B1B86" w:rsidRPr="00B03D38">
        <w:rPr>
          <w:rFonts w:asciiTheme="minorHAnsi" w:hAnsiTheme="minorHAnsi" w:cstheme="minorHAnsi"/>
          <w:color w:val="000000" w:themeColor="text1"/>
        </w:rPr>
        <w:t xml:space="preserve">/Assistant Principal license are also eligible to obtain this new Provisional license. </w:t>
      </w:r>
    </w:p>
    <w:p w14:paraId="1A97C06A" w14:textId="3FF8D23D" w:rsidR="009B602B" w:rsidRPr="00B03D38" w:rsidRDefault="00B476A4" w:rsidP="00EC6073">
      <w:pPr>
        <w:pStyle w:val="Heading1"/>
        <w:rPr>
          <w:rFonts w:cstheme="minorHAnsi"/>
          <w:sz w:val="24"/>
          <w:szCs w:val="24"/>
        </w:rPr>
      </w:pPr>
      <w:r w:rsidRPr="00B03D38">
        <w:rPr>
          <w:rFonts w:cstheme="minorHAnsi"/>
          <w:color w:val="002060"/>
          <w:sz w:val="24"/>
          <w:szCs w:val="24"/>
        </w:rPr>
        <w:t>Revised names and/or grade levels of licenses</w:t>
      </w:r>
    </w:p>
    <w:p w14:paraId="4ABD739E" w14:textId="27B413D2" w:rsidR="00FA43CE" w:rsidRPr="00B03D38" w:rsidRDefault="00FA43CE" w:rsidP="00FA43CE">
      <w:pPr>
        <w:spacing w:after="120" w:line="276" w:lineRule="auto"/>
        <w:rPr>
          <w:rFonts w:asciiTheme="minorHAnsi" w:hAnsiTheme="minorHAnsi" w:cstheme="minorHAnsi"/>
          <w:color w:val="000000" w:themeColor="text1"/>
        </w:rPr>
      </w:pPr>
      <w:r w:rsidRPr="00B03D38">
        <w:rPr>
          <w:rFonts w:asciiTheme="minorHAnsi" w:hAnsiTheme="minorHAnsi" w:cstheme="minorHAnsi"/>
          <w:color w:val="000000" w:themeColor="text1"/>
        </w:rPr>
        <w:t xml:space="preserve">To accommodate applicants attempting to advance licenses </w:t>
      </w:r>
      <w:r w:rsidR="00D120BD" w:rsidRPr="00B03D38">
        <w:rPr>
          <w:rFonts w:asciiTheme="minorHAnsi" w:hAnsiTheme="minorHAnsi" w:cstheme="minorHAnsi"/>
          <w:color w:val="000000" w:themeColor="text1"/>
        </w:rPr>
        <w:t>after March 17, 2023</w:t>
      </w:r>
      <w:r w:rsidRPr="00B03D38">
        <w:rPr>
          <w:rFonts w:asciiTheme="minorHAnsi" w:hAnsiTheme="minorHAnsi" w:cstheme="minorHAnsi"/>
          <w:color w:val="000000" w:themeColor="text1"/>
        </w:rPr>
        <w:t xml:space="preserve">, the </w:t>
      </w:r>
      <w:r w:rsidR="00CB79E2" w:rsidRPr="00B03D38">
        <w:rPr>
          <w:rFonts w:asciiTheme="minorHAnsi" w:hAnsiTheme="minorHAnsi" w:cstheme="minorHAnsi"/>
          <w:color w:val="000000" w:themeColor="text1"/>
        </w:rPr>
        <w:t>drop-down</w:t>
      </w:r>
      <w:r w:rsidRPr="00B03D38">
        <w:rPr>
          <w:rFonts w:asciiTheme="minorHAnsi" w:hAnsiTheme="minorHAnsi" w:cstheme="minorHAnsi"/>
          <w:color w:val="000000" w:themeColor="text1"/>
        </w:rPr>
        <w:t xml:space="preserve"> </w:t>
      </w:r>
      <w:r w:rsidR="00746F21" w:rsidRPr="00B03D38">
        <w:rPr>
          <w:rFonts w:asciiTheme="minorHAnsi" w:hAnsiTheme="minorHAnsi" w:cstheme="minorHAnsi"/>
          <w:color w:val="000000" w:themeColor="text1"/>
        </w:rPr>
        <w:t xml:space="preserve">menu </w:t>
      </w:r>
      <w:r w:rsidRPr="00B03D38">
        <w:rPr>
          <w:rFonts w:asciiTheme="minorHAnsi" w:hAnsiTheme="minorHAnsi" w:cstheme="minorHAnsi"/>
          <w:color w:val="000000" w:themeColor="text1"/>
        </w:rPr>
        <w:t>of licenses appearing in ELAR will include the “ancestor” licenses noted below.  Individuals who appl</w:t>
      </w:r>
      <w:r w:rsidR="00D120BD" w:rsidRPr="00B03D38">
        <w:rPr>
          <w:rFonts w:asciiTheme="minorHAnsi" w:hAnsiTheme="minorHAnsi" w:cstheme="minorHAnsi"/>
          <w:color w:val="000000" w:themeColor="text1"/>
        </w:rPr>
        <w:t>ied</w:t>
      </w:r>
      <w:r w:rsidRPr="00B03D38">
        <w:rPr>
          <w:rFonts w:asciiTheme="minorHAnsi" w:hAnsiTheme="minorHAnsi" w:cstheme="minorHAnsi"/>
          <w:color w:val="000000" w:themeColor="text1"/>
        </w:rPr>
        <w:t xml:space="preserve"> </w:t>
      </w:r>
      <w:r w:rsidR="00D120BD" w:rsidRPr="00B03D38">
        <w:rPr>
          <w:rFonts w:asciiTheme="minorHAnsi" w:hAnsiTheme="minorHAnsi" w:cstheme="minorHAnsi"/>
          <w:color w:val="000000" w:themeColor="text1"/>
        </w:rPr>
        <w:t xml:space="preserve">by March 17, 2023 for a new license in one of these fields </w:t>
      </w:r>
      <w:r w:rsidRPr="00B03D38">
        <w:rPr>
          <w:rFonts w:asciiTheme="minorHAnsi" w:hAnsiTheme="minorHAnsi" w:cstheme="minorHAnsi"/>
          <w:color w:val="000000" w:themeColor="text1"/>
        </w:rPr>
        <w:t xml:space="preserve">and complete all requirements for </w:t>
      </w:r>
      <w:r w:rsidR="00746F21" w:rsidRPr="00B03D38">
        <w:rPr>
          <w:rFonts w:asciiTheme="minorHAnsi" w:hAnsiTheme="minorHAnsi" w:cstheme="minorHAnsi"/>
          <w:color w:val="000000" w:themeColor="text1"/>
        </w:rPr>
        <w:t>these</w:t>
      </w:r>
      <w:r w:rsidRPr="00B03D38">
        <w:rPr>
          <w:rFonts w:asciiTheme="minorHAnsi" w:hAnsiTheme="minorHAnsi" w:cstheme="minorHAnsi"/>
          <w:color w:val="000000" w:themeColor="text1"/>
        </w:rPr>
        <w:t xml:space="preserve"> licenses prior to </w:t>
      </w:r>
      <w:r w:rsidR="00D120BD" w:rsidRPr="00B03D38">
        <w:rPr>
          <w:rFonts w:asciiTheme="minorHAnsi" w:hAnsiTheme="minorHAnsi" w:cstheme="minorHAnsi"/>
          <w:color w:val="000000" w:themeColor="text1"/>
        </w:rPr>
        <w:t>March 17</w:t>
      </w:r>
      <w:r w:rsidRPr="00B03D38">
        <w:rPr>
          <w:rFonts w:asciiTheme="minorHAnsi" w:hAnsiTheme="minorHAnsi" w:cstheme="minorHAnsi"/>
          <w:color w:val="000000" w:themeColor="text1"/>
        </w:rPr>
        <w:t>, 20</w:t>
      </w:r>
      <w:r w:rsidR="00D120BD" w:rsidRPr="00B03D38">
        <w:rPr>
          <w:rFonts w:asciiTheme="minorHAnsi" w:hAnsiTheme="minorHAnsi" w:cstheme="minorHAnsi"/>
          <w:color w:val="000000" w:themeColor="text1"/>
        </w:rPr>
        <w:t>25</w:t>
      </w:r>
      <w:r w:rsidRPr="00B03D38">
        <w:rPr>
          <w:rFonts w:asciiTheme="minorHAnsi" w:hAnsiTheme="minorHAnsi" w:cstheme="minorHAnsi"/>
          <w:color w:val="000000" w:themeColor="text1"/>
        </w:rPr>
        <w:t xml:space="preserve">, may qualify for licensure by meeting licensure requirements in effect prior to </w:t>
      </w:r>
      <w:r w:rsidR="00D120BD" w:rsidRPr="00B03D38">
        <w:rPr>
          <w:rFonts w:asciiTheme="minorHAnsi" w:hAnsiTheme="minorHAnsi" w:cstheme="minorHAnsi"/>
          <w:color w:val="000000" w:themeColor="text1"/>
        </w:rPr>
        <w:t>March 17, 2023</w:t>
      </w:r>
      <w:r w:rsidRPr="00B03D38">
        <w:rPr>
          <w:rFonts w:asciiTheme="minorHAnsi" w:hAnsiTheme="minorHAnsi" w:cstheme="minorHAnsi"/>
          <w:color w:val="000000" w:themeColor="text1"/>
        </w:rPr>
        <w:t xml:space="preserve"> (as indicated in 603 CMR 7.15(14)(</w:t>
      </w:r>
      <w:r w:rsidR="00D120BD" w:rsidRPr="00B03D38">
        <w:rPr>
          <w:rFonts w:asciiTheme="minorHAnsi" w:hAnsiTheme="minorHAnsi" w:cstheme="minorHAnsi"/>
          <w:color w:val="000000" w:themeColor="text1"/>
        </w:rPr>
        <w:t>i</w:t>
      </w:r>
      <w:r w:rsidRPr="00B03D38">
        <w:rPr>
          <w:rFonts w:asciiTheme="minorHAnsi" w:hAnsiTheme="minorHAnsi" w:cstheme="minorHAnsi"/>
          <w:color w:val="000000" w:themeColor="text1"/>
        </w:rPr>
        <w:t>)).</w:t>
      </w:r>
    </w:p>
    <w:p w14:paraId="61095312" w14:textId="78AFDBF0" w:rsidR="00FA43CE" w:rsidRPr="00B03D38" w:rsidRDefault="00FA43CE" w:rsidP="00FA43CE">
      <w:pPr>
        <w:spacing w:after="120" w:line="276" w:lineRule="auto"/>
        <w:rPr>
          <w:rFonts w:asciiTheme="minorHAnsi" w:hAnsiTheme="minorHAnsi" w:cstheme="minorHAnsi"/>
          <w:bCs/>
          <w:color w:val="000000" w:themeColor="text1"/>
        </w:rPr>
      </w:pPr>
      <w:r w:rsidRPr="00B03D38">
        <w:rPr>
          <w:rFonts w:asciiTheme="minorHAnsi" w:hAnsiTheme="minorHAnsi" w:cstheme="minorHAnsi"/>
          <w:color w:val="000000" w:themeColor="text1"/>
        </w:rPr>
        <w:t xml:space="preserve">Individuals attempting to earn one of these licenses for the first time, as opposed to advancing from Provisional to Initial or Initial to Professional </w:t>
      </w:r>
      <w:r w:rsidR="00746F21" w:rsidRPr="00B03D38">
        <w:rPr>
          <w:rFonts w:asciiTheme="minorHAnsi" w:hAnsiTheme="minorHAnsi" w:cstheme="minorHAnsi"/>
          <w:color w:val="000000" w:themeColor="text1"/>
        </w:rPr>
        <w:t>who</w:t>
      </w:r>
      <w:r w:rsidRPr="00B03D38">
        <w:rPr>
          <w:rFonts w:asciiTheme="minorHAnsi" w:hAnsiTheme="minorHAnsi" w:cstheme="minorHAnsi"/>
          <w:color w:val="000000" w:themeColor="text1"/>
        </w:rPr>
        <w:t xml:space="preserve"> cannot complete the requirements prior to </w:t>
      </w:r>
      <w:r w:rsidR="00D120BD" w:rsidRPr="00B03D38">
        <w:rPr>
          <w:rFonts w:asciiTheme="minorHAnsi" w:hAnsiTheme="minorHAnsi" w:cstheme="minorHAnsi"/>
          <w:color w:val="000000" w:themeColor="text1"/>
        </w:rPr>
        <w:t>March</w:t>
      </w:r>
      <w:r w:rsidRPr="00B03D38">
        <w:rPr>
          <w:rFonts w:asciiTheme="minorHAnsi" w:hAnsiTheme="minorHAnsi" w:cstheme="minorHAnsi"/>
          <w:color w:val="000000" w:themeColor="text1"/>
        </w:rPr>
        <w:t xml:space="preserve"> 1</w:t>
      </w:r>
      <w:r w:rsidR="00D120BD" w:rsidRPr="00B03D38">
        <w:rPr>
          <w:rFonts w:asciiTheme="minorHAnsi" w:hAnsiTheme="minorHAnsi" w:cstheme="minorHAnsi"/>
          <w:color w:val="000000" w:themeColor="text1"/>
        </w:rPr>
        <w:t>7</w:t>
      </w:r>
      <w:r w:rsidRPr="00B03D38">
        <w:rPr>
          <w:rFonts w:asciiTheme="minorHAnsi" w:hAnsiTheme="minorHAnsi" w:cstheme="minorHAnsi"/>
          <w:color w:val="000000" w:themeColor="text1"/>
        </w:rPr>
        <w:t>, 20</w:t>
      </w:r>
      <w:r w:rsidR="00D120BD" w:rsidRPr="00B03D38">
        <w:rPr>
          <w:rFonts w:asciiTheme="minorHAnsi" w:hAnsiTheme="minorHAnsi" w:cstheme="minorHAnsi"/>
          <w:color w:val="000000" w:themeColor="text1"/>
        </w:rPr>
        <w:t>25</w:t>
      </w:r>
      <w:r w:rsidRPr="00B03D38">
        <w:rPr>
          <w:rFonts w:asciiTheme="minorHAnsi" w:hAnsiTheme="minorHAnsi" w:cstheme="minorHAnsi"/>
          <w:color w:val="000000" w:themeColor="text1"/>
        </w:rPr>
        <w:t xml:space="preserve">, may </w:t>
      </w:r>
      <w:r w:rsidRPr="00B03D38">
        <w:rPr>
          <w:rFonts w:asciiTheme="minorHAnsi" w:hAnsiTheme="minorHAnsi" w:cstheme="minorHAnsi"/>
          <w:bCs/>
          <w:color w:val="000000" w:themeColor="text1"/>
        </w:rPr>
        <w:t xml:space="preserve">submit a signed request to change their application to the “successor” </w:t>
      </w:r>
      <w:r w:rsidR="00B66CCA" w:rsidRPr="00B03D38">
        <w:rPr>
          <w:rFonts w:asciiTheme="minorHAnsi" w:hAnsiTheme="minorHAnsi" w:cstheme="minorHAnsi"/>
          <w:bCs/>
          <w:color w:val="000000" w:themeColor="text1"/>
        </w:rPr>
        <w:t>credential</w:t>
      </w:r>
      <w:r w:rsidRPr="00B03D38">
        <w:rPr>
          <w:rFonts w:asciiTheme="minorHAnsi" w:hAnsiTheme="minorHAnsi" w:cstheme="minorHAnsi"/>
          <w:bCs/>
          <w:color w:val="000000" w:themeColor="text1"/>
        </w:rPr>
        <w:t xml:space="preserve"> or any other </w:t>
      </w:r>
      <w:r w:rsidR="00B66CCA" w:rsidRPr="00B03D38">
        <w:rPr>
          <w:rFonts w:asciiTheme="minorHAnsi" w:hAnsiTheme="minorHAnsi" w:cstheme="minorHAnsi"/>
          <w:bCs/>
          <w:color w:val="000000" w:themeColor="text1"/>
        </w:rPr>
        <w:t>cr</w:t>
      </w:r>
      <w:r w:rsidRPr="00B03D38">
        <w:rPr>
          <w:rFonts w:asciiTheme="minorHAnsi" w:hAnsiTheme="minorHAnsi" w:cstheme="minorHAnsi"/>
          <w:bCs/>
          <w:color w:val="000000" w:themeColor="text1"/>
        </w:rPr>
        <w:t>edential offered by ESE.</w:t>
      </w:r>
    </w:p>
    <w:p w14:paraId="3DC4B374" w14:textId="0B49DD42" w:rsidR="00FA43CE" w:rsidRPr="00B03D38" w:rsidRDefault="00FA43CE" w:rsidP="00FA43CE">
      <w:pPr>
        <w:spacing w:after="120" w:line="276" w:lineRule="auto"/>
        <w:rPr>
          <w:rFonts w:asciiTheme="minorHAnsi" w:hAnsiTheme="minorHAnsi" w:cstheme="minorHAnsi"/>
          <w:bCs/>
          <w:color w:val="000000" w:themeColor="text1"/>
        </w:rPr>
      </w:pPr>
      <w:r w:rsidRPr="00B03D38">
        <w:rPr>
          <w:rFonts w:asciiTheme="minorHAnsi" w:hAnsiTheme="minorHAnsi" w:cstheme="minorHAnsi"/>
          <w:color w:val="000000" w:themeColor="text1"/>
        </w:rPr>
        <w:lastRenderedPageBreak/>
        <w:t xml:space="preserve">Individuals attempting to advance their license(s) </w:t>
      </w:r>
      <w:r w:rsidR="00746F21" w:rsidRPr="00B03D38">
        <w:rPr>
          <w:rFonts w:asciiTheme="minorHAnsi" w:hAnsiTheme="minorHAnsi" w:cstheme="minorHAnsi"/>
          <w:color w:val="000000" w:themeColor="text1"/>
        </w:rPr>
        <w:t>who</w:t>
      </w:r>
      <w:r w:rsidRPr="00B03D38">
        <w:rPr>
          <w:rFonts w:asciiTheme="minorHAnsi" w:hAnsiTheme="minorHAnsi" w:cstheme="minorHAnsi"/>
          <w:color w:val="000000" w:themeColor="text1"/>
        </w:rPr>
        <w:t xml:space="preserve"> do </w:t>
      </w:r>
      <w:r w:rsidR="00746F21" w:rsidRPr="00B03D38">
        <w:rPr>
          <w:rFonts w:asciiTheme="minorHAnsi" w:hAnsiTheme="minorHAnsi" w:cstheme="minorHAnsi"/>
          <w:color w:val="000000" w:themeColor="text1"/>
        </w:rPr>
        <w:t xml:space="preserve">not </w:t>
      </w:r>
      <w:r w:rsidRPr="00B03D38">
        <w:rPr>
          <w:rFonts w:asciiTheme="minorHAnsi" w:hAnsiTheme="minorHAnsi" w:cstheme="minorHAnsi"/>
          <w:color w:val="000000" w:themeColor="text1"/>
        </w:rPr>
        <w:t xml:space="preserve">complete the requirements prior to </w:t>
      </w:r>
      <w:r w:rsidR="00D120BD" w:rsidRPr="00B03D38">
        <w:rPr>
          <w:rFonts w:asciiTheme="minorHAnsi" w:hAnsiTheme="minorHAnsi" w:cstheme="minorHAnsi"/>
          <w:color w:val="000000" w:themeColor="text1"/>
        </w:rPr>
        <w:t>March</w:t>
      </w:r>
      <w:r w:rsidRPr="00B03D38">
        <w:rPr>
          <w:rFonts w:asciiTheme="minorHAnsi" w:hAnsiTheme="minorHAnsi" w:cstheme="minorHAnsi"/>
          <w:color w:val="000000" w:themeColor="text1"/>
        </w:rPr>
        <w:t xml:space="preserve"> 1</w:t>
      </w:r>
      <w:r w:rsidR="00D120BD" w:rsidRPr="00B03D38">
        <w:rPr>
          <w:rFonts w:asciiTheme="minorHAnsi" w:hAnsiTheme="minorHAnsi" w:cstheme="minorHAnsi"/>
          <w:color w:val="000000" w:themeColor="text1"/>
        </w:rPr>
        <w:t>7</w:t>
      </w:r>
      <w:r w:rsidRPr="00B03D38">
        <w:rPr>
          <w:rFonts w:asciiTheme="minorHAnsi" w:hAnsiTheme="minorHAnsi" w:cstheme="minorHAnsi"/>
          <w:color w:val="000000" w:themeColor="text1"/>
        </w:rPr>
        <w:t>, 20</w:t>
      </w:r>
      <w:r w:rsidR="00D120BD" w:rsidRPr="00B03D38">
        <w:rPr>
          <w:rFonts w:asciiTheme="minorHAnsi" w:hAnsiTheme="minorHAnsi" w:cstheme="minorHAnsi"/>
          <w:color w:val="000000" w:themeColor="text1"/>
        </w:rPr>
        <w:t>25</w:t>
      </w:r>
      <w:r w:rsidRPr="00B03D38">
        <w:rPr>
          <w:rFonts w:asciiTheme="minorHAnsi" w:hAnsiTheme="minorHAnsi" w:cstheme="minorHAnsi"/>
          <w:color w:val="000000" w:themeColor="text1"/>
        </w:rPr>
        <w:t xml:space="preserve">, may be able to advance their license(s) through the </w:t>
      </w:r>
      <w:r w:rsidRPr="00B03D38">
        <w:rPr>
          <w:rFonts w:asciiTheme="minorHAnsi" w:hAnsiTheme="minorHAnsi" w:cstheme="minorHAnsi"/>
          <w:bCs/>
          <w:color w:val="000000" w:themeColor="text1"/>
        </w:rPr>
        <w:t xml:space="preserve">Commissioner's Determination process. </w:t>
      </w:r>
      <w:r w:rsidR="00D120BD" w:rsidRPr="00B03D38">
        <w:rPr>
          <w:rFonts w:asciiTheme="minorHAnsi" w:hAnsiTheme="minorHAnsi" w:cstheme="minorHAnsi"/>
          <w:bCs/>
          <w:color w:val="000000" w:themeColor="text1"/>
        </w:rPr>
        <w:t>In addition, an individual advancing an “ancestor” license may choose to change their application to a “successor” license. Making such a change requires uploading a request to change the application to the new “ancest</w:t>
      </w:r>
      <w:r w:rsidR="00CB79E2" w:rsidRPr="00B03D38">
        <w:rPr>
          <w:rFonts w:asciiTheme="minorHAnsi" w:hAnsiTheme="minorHAnsi" w:cstheme="minorHAnsi"/>
          <w:bCs/>
          <w:color w:val="000000" w:themeColor="text1"/>
        </w:rPr>
        <w:t xml:space="preserve">or” name and/or grade level. </w:t>
      </w:r>
    </w:p>
    <w:p w14:paraId="3E2541C8" w14:textId="31133419" w:rsidR="009B602B" w:rsidRPr="00B03D38" w:rsidRDefault="00FA43CE" w:rsidP="00FA43CE">
      <w:pPr>
        <w:spacing w:line="276" w:lineRule="auto"/>
        <w:rPr>
          <w:rFonts w:asciiTheme="minorHAnsi" w:hAnsiTheme="minorHAnsi" w:cstheme="minorHAnsi"/>
          <w:bCs/>
          <w:color w:val="000000" w:themeColor="text1"/>
        </w:rPr>
      </w:pPr>
      <w:r w:rsidRPr="00B03D38">
        <w:rPr>
          <w:rFonts w:asciiTheme="minorHAnsi" w:hAnsiTheme="minorHAnsi" w:cstheme="minorHAnsi"/>
          <w:bCs/>
          <w:color w:val="000000" w:themeColor="text1"/>
        </w:rPr>
        <w:t xml:space="preserve">Please be advised </w:t>
      </w:r>
      <w:r w:rsidRPr="00B03D38">
        <w:rPr>
          <w:rFonts w:asciiTheme="minorHAnsi" w:hAnsiTheme="minorHAnsi" w:cstheme="minorHAnsi"/>
          <w:color w:val="000000" w:themeColor="text1"/>
        </w:rPr>
        <w:t xml:space="preserve">that </w:t>
      </w:r>
      <w:r w:rsidRPr="00B03D38">
        <w:rPr>
          <w:rFonts w:asciiTheme="minorHAnsi" w:hAnsiTheme="minorHAnsi" w:cstheme="minorHAnsi"/>
          <w:bCs/>
          <w:color w:val="000000" w:themeColor="text1"/>
        </w:rPr>
        <w:t>any Provisional “ancestor” license(s) that are advanced to an Initial “successor” license, will lead to the expiration of the “ancestor” license(s) when the combined grade levels in each are identical. For example:</w:t>
      </w:r>
    </w:p>
    <w:p w14:paraId="36596AED" w14:textId="55C50692" w:rsidR="009B602B" w:rsidRPr="00A447A8" w:rsidRDefault="009B602B" w:rsidP="009B602B">
      <w:pPr>
        <w:numPr>
          <w:ilvl w:val="0"/>
          <w:numId w:val="8"/>
        </w:numPr>
        <w:spacing w:after="120" w:line="276" w:lineRule="auto"/>
        <w:rPr>
          <w:rFonts w:asciiTheme="minorHAnsi" w:hAnsiTheme="minorHAnsi" w:cstheme="minorHAnsi"/>
          <w:color w:val="000000" w:themeColor="text1"/>
        </w:rPr>
      </w:pPr>
      <w:r w:rsidRPr="00A447A8">
        <w:rPr>
          <w:rFonts w:asciiTheme="minorHAnsi" w:hAnsiTheme="minorHAnsi" w:cstheme="minorHAnsi"/>
          <w:bCs/>
          <w:color w:val="000000" w:themeColor="text1"/>
        </w:rPr>
        <w:t xml:space="preserve">A Provisional </w:t>
      </w:r>
      <w:r w:rsidR="00CB79E2" w:rsidRPr="00A447A8">
        <w:rPr>
          <w:rFonts w:asciiTheme="minorHAnsi" w:hAnsiTheme="minorHAnsi" w:cstheme="minorHAnsi"/>
          <w:bCs/>
          <w:color w:val="000000" w:themeColor="text1"/>
        </w:rPr>
        <w:t>History</w:t>
      </w:r>
      <w:r w:rsidRPr="00A447A8">
        <w:rPr>
          <w:rFonts w:asciiTheme="minorHAnsi" w:hAnsiTheme="minorHAnsi" w:cstheme="minorHAnsi"/>
          <w:bCs/>
          <w:color w:val="000000" w:themeColor="text1"/>
        </w:rPr>
        <w:t xml:space="preserve"> </w:t>
      </w:r>
      <w:r w:rsidR="00351C70" w:rsidRPr="00A447A8">
        <w:rPr>
          <w:rFonts w:asciiTheme="minorHAnsi" w:hAnsiTheme="minorHAnsi" w:cstheme="minorHAnsi"/>
          <w:bCs/>
          <w:color w:val="000000" w:themeColor="text1"/>
        </w:rPr>
        <w:t>(</w:t>
      </w:r>
      <w:r w:rsidRPr="00A447A8">
        <w:rPr>
          <w:rFonts w:asciiTheme="minorHAnsi" w:hAnsiTheme="minorHAnsi" w:cstheme="minorHAnsi"/>
          <w:bCs/>
          <w:color w:val="000000" w:themeColor="text1"/>
        </w:rPr>
        <w:t>8-12</w:t>
      </w:r>
      <w:r w:rsidR="00351C70" w:rsidRPr="00A447A8">
        <w:rPr>
          <w:rFonts w:asciiTheme="minorHAnsi" w:hAnsiTheme="minorHAnsi" w:cstheme="minorHAnsi"/>
          <w:bCs/>
          <w:color w:val="000000" w:themeColor="text1"/>
        </w:rPr>
        <w:t>)</w:t>
      </w:r>
      <w:r w:rsidRPr="00A447A8">
        <w:rPr>
          <w:rFonts w:asciiTheme="minorHAnsi" w:hAnsiTheme="minorHAnsi" w:cstheme="minorHAnsi"/>
          <w:bCs/>
          <w:color w:val="000000" w:themeColor="text1"/>
        </w:rPr>
        <w:t xml:space="preserve"> license advanced to the Initial </w:t>
      </w:r>
      <w:r w:rsidR="00CB79E2" w:rsidRPr="00A447A8">
        <w:rPr>
          <w:rFonts w:asciiTheme="minorHAnsi" w:hAnsiTheme="minorHAnsi" w:cstheme="minorHAnsi"/>
          <w:bCs/>
          <w:color w:val="000000" w:themeColor="text1"/>
        </w:rPr>
        <w:t>History/Social Science</w:t>
      </w:r>
      <w:r w:rsidRPr="00A447A8">
        <w:rPr>
          <w:rFonts w:asciiTheme="minorHAnsi" w:hAnsiTheme="minorHAnsi" w:cstheme="minorHAnsi"/>
          <w:bCs/>
          <w:color w:val="000000" w:themeColor="text1"/>
        </w:rPr>
        <w:t xml:space="preserve"> (</w:t>
      </w:r>
      <w:r w:rsidR="00CB79E2" w:rsidRPr="00A447A8">
        <w:rPr>
          <w:rFonts w:asciiTheme="minorHAnsi" w:hAnsiTheme="minorHAnsi" w:cstheme="minorHAnsi"/>
          <w:bCs/>
          <w:color w:val="000000" w:themeColor="text1"/>
        </w:rPr>
        <w:t>5</w:t>
      </w:r>
      <w:r w:rsidRPr="00A447A8">
        <w:rPr>
          <w:rFonts w:asciiTheme="minorHAnsi" w:hAnsiTheme="minorHAnsi" w:cstheme="minorHAnsi"/>
          <w:bCs/>
          <w:color w:val="000000" w:themeColor="text1"/>
        </w:rPr>
        <w:t xml:space="preserve">-12) license will lead to the expiration of the Provisional </w:t>
      </w:r>
      <w:r w:rsidR="00CB79E2" w:rsidRPr="00A447A8">
        <w:rPr>
          <w:rFonts w:asciiTheme="minorHAnsi" w:hAnsiTheme="minorHAnsi" w:cstheme="minorHAnsi"/>
          <w:bCs/>
          <w:color w:val="000000" w:themeColor="text1"/>
        </w:rPr>
        <w:t>History</w:t>
      </w:r>
      <w:r w:rsidRPr="00A447A8">
        <w:rPr>
          <w:rFonts w:asciiTheme="minorHAnsi" w:hAnsiTheme="minorHAnsi" w:cstheme="minorHAnsi"/>
          <w:bCs/>
          <w:color w:val="000000" w:themeColor="text1"/>
        </w:rPr>
        <w:t xml:space="preserve"> (8-12) license.</w:t>
      </w:r>
    </w:p>
    <w:p w14:paraId="1F67D4B3" w14:textId="2DFBD47B" w:rsidR="00CB3715" w:rsidRPr="00A447A8" w:rsidRDefault="005A0432" w:rsidP="005A0432">
      <w:pPr>
        <w:spacing w:after="240" w:line="276" w:lineRule="auto"/>
        <w:rPr>
          <w:rFonts w:asciiTheme="minorHAnsi" w:hAnsiTheme="minorHAnsi" w:cstheme="minorHAnsi"/>
          <w:color w:val="000000" w:themeColor="text1"/>
        </w:rPr>
      </w:pPr>
      <w:r w:rsidRPr="00A447A8">
        <w:rPr>
          <w:rFonts w:asciiTheme="minorHAnsi" w:hAnsiTheme="minorHAnsi" w:cstheme="minorHAnsi"/>
          <w:bCs/>
          <w:color w:val="000000" w:themeColor="text1"/>
        </w:rPr>
        <w:t>The same would be true for advancing from Initial to Professional and we are working on a process that will permit educators to swap to the most current version of their license during license renewal.</w:t>
      </w:r>
    </w:p>
    <w:tbl>
      <w:tblPr>
        <w:tblStyle w:val="TableGrid"/>
        <w:tblW w:w="9968" w:type="dxa"/>
        <w:jc w:val="center"/>
        <w:tblLook w:val="04A0" w:firstRow="1" w:lastRow="0" w:firstColumn="1" w:lastColumn="0" w:noHBand="0" w:noVBand="1"/>
      </w:tblPr>
      <w:tblGrid>
        <w:gridCol w:w="4840"/>
        <w:gridCol w:w="5128"/>
      </w:tblGrid>
      <w:tr w:rsidR="00B72E6F" w:rsidRPr="00A447A8" w14:paraId="7E411CF2" w14:textId="77777777" w:rsidTr="00B72E6F">
        <w:trPr>
          <w:trHeight w:val="432"/>
          <w:jc w:val="center"/>
        </w:trPr>
        <w:tc>
          <w:tcPr>
            <w:tcW w:w="4840" w:type="dxa"/>
            <w:shd w:val="clear" w:color="auto" w:fill="DBE5F1" w:themeFill="accent1" w:themeFillTint="33"/>
            <w:vAlign w:val="center"/>
          </w:tcPr>
          <w:p w14:paraId="6D579F41" w14:textId="77777777" w:rsidR="00B72E6F" w:rsidRPr="00A447A8" w:rsidRDefault="00B72E6F" w:rsidP="00B72E6F">
            <w:pPr>
              <w:spacing w:before="100" w:beforeAutospacing="1" w:after="100" w:afterAutospacing="1"/>
              <w:jc w:val="center"/>
              <w:rPr>
                <w:rFonts w:eastAsia="Times New Roman" w:cstheme="minorHAnsi"/>
                <w:bCs/>
              </w:rPr>
            </w:pPr>
            <w:r w:rsidRPr="00A447A8">
              <w:rPr>
                <w:rFonts w:cstheme="minorHAnsi"/>
                <w:b/>
              </w:rPr>
              <w:t>Ancestor(s)</w:t>
            </w:r>
          </w:p>
        </w:tc>
        <w:tc>
          <w:tcPr>
            <w:tcW w:w="5128" w:type="dxa"/>
            <w:shd w:val="clear" w:color="auto" w:fill="DBE5F1" w:themeFill="accent1" w:themeFillTint="33"/>
            <w:vAlign w:val="center"/>
          </w:tcPr>
          <w:p w14:paraId="558584B6" w14:textId="77777777" w:rsidR="00B72E6F" w:rsidRPr="00A447A8" w:rsidRDefault="00B72E6F" w:rsidP="00B72E6F">
            <w:pPr>
              <w:jc w:val="center"/>
              <w:rPr>
                <w:rFonts w:eastAsia="Times New Roman" w:cstheme="minorHAnsi"/>
                <w:bCs/>
              </w:rPr>
            </w:pPr>
            <w:r w:rsidRPr="00A447A8">
              <w:rPr>
                <w:rFonts w:eastAsia="Times New Roman" w:cstheme="minorHAnsi"/>
                <w:b/>
                <w:bCs/>
              </w:rPr>
              <w:t>Successor(s)</w:t>
            </w:r>
          </w:p>
        </w:tc>
      </w:tr>
      <w:tr w:rsidR="00B72E6F" w:rsidRPr="00A447A8" w14:paraId="1FC45F76" w14:textId="77777777" w:rsidTr="00B72E6F">
        <w:trPr>
          <w:trHeight w:val="432"/>
          <w:jc w:val="center"/>
        </w:trPr>
        <w:tc>
          <w:tcPr>
            <w:tcW w:w="4840" w:type="dxa"/>
            <w:vAlign w:val="center"/>
          </w:tcPr>
          <w:p w14:paraId="23006029" w14:textId="29DBDFF2" w:rsidR="00B72E6F" w:rsidRPr="00A447A8" w:rsidRDefault="00901295" w:rsidP="00B72E6F">
            <w:pPr>
              <w:spacing w:before="100" w:beforeAutospacing="1" w:after="100" w:afterAutospacing="1"/>
              <w:rPr>
                <w:rFonts w:eastAsia="Times New Roman" w:cstheme="minorHAnsi"/>
                <w:bCs/>
              </w:rPr>
            </w:pPr>
            <w:r w:rsidRPr="00A447A8">
              <w:rPr>
                <w:rFonts w:eastAsia="Times New Roman" w:cstheme="minorHAnsi"/>
                <w:bCs/>
              </w:rPr>
              <w:t>History (1-6) &amp; (5-12)</w:t>
            </w:r>
          </w:p>
        </w:tc>
        <w:tc>
          <w:tcPr>
            <w:tcW w:w="5128" w:type="dxa"/>
            <w:vAlign w:val="center"/>
          </w:tcPr>
          <w:p w14:paraId="6075BC44" w14:textId="16A7D2DE" w:rsidR="00B72E6F" w:rsidRPr="00A447A8" w:rsidRDefault="00901295" w:rsidP="00B72E6F">
            <w:pPr>
              <w:rPr>
                <w:rFonts w:eastAsia="Times New Roman" w:cstheme="minorHAnsi"/>
                <w:bCs/>
              </w:rPr>
            </w:pPr>
            <w:r w:rsidRPr="00A447A8">
              <w:rPr>
                <w:rFonts w:eastAsia="Times New Roman" w:cstheme="minorHAnsi"/>
                <w:bCs/>
              </w:rPr>
              <w:t>History/Social Science (1-6) &amp; (5-12)</w:t>
            </w:r>
          </w:p>
        </w:tc>
      </w:tr>
      <w:tr w:rsidR="00B72E6F" w:rsidRPr="00A447A8" w14:paraId="39A9CC72" w14:textId="77777777" w:rsidTr="00B72E6F">
        <w:trPr>
          <w:trHeight w:val="432"/>
          <w:jc w:val="center"/>
        </w:trPr>
        <w:tc>
          <w:tcPr>
            <w:tcW w:w="4840" w:type="dxa"/>
            <w:vAlign w:val="center"/>
          </w:tcPr>
          <w:p w14:paraId="4B8EF4C7" w14:textId="1FE75BD5" w:rsidR="00B72E6F" w:rsidRPr="00A447A8" w:rsidRDefault="00901295" w:rsidP="00B72E6F">
            <w:pPr>
              <w:spacing w:before="100" w:beforeAutospacing="1" w:after="100" w:afterAutospacing="1"/>
              <w:rPr>
                <w:rFonts w:eastAsia="Times New Roman" w:cstheme="minorHAnsi"/>
                <w:bCs/>
              </w:rPr>
            </w:pPr>
            <w:r w:rsidRPr="00A447A8">
              <w:rPr>
                <w:rFonts w:eastAsia="Times New Roman" w:cstheme="minorHAnsi"/>
                <w:bCs/>
              </w:rPr>
              <w:t>Foreign Language</w:t>
            </w:r>
            <w:r w:rsidR="00B72E6F" w:rsidRPr="00A447A8">
              <w:rPr>
                <w:rFonts w:eastAsia="Times New Roman" w:cstheme="minorHAnsi"/>
                <w:bCs/>
              </w:rPr>
              <w:t xml:space="preserve"> (</w:t>
            </w:r>
            <w:r w:rsidRPr="00A447A8">
              <w:rPr>
                <w:rFonts w:eastAsia="Times New Roman" w:cstheme="minorHAnsi"/>
                <w:bCs/>
              </w:rPr>
              <w:t>PreK-6) &amp; (5-12)</w:t>
            </w:r>
          </w:p>
        </w:tc>
        <w:tc>
          <w:tcPr>
            <w:tcW w:w="5128" w:type="dxa"/>
            <w:vAlign w:val="center"/>
          </w:tcPr>
          <w:p w14:paraId="46515800" w14:textId="52CF7DB4" w:rsidR="00B72E6F" w:rsidRPr="00A447A8" w:rsidRDefault="00901295" w:rsidP="00B72E6F">
            <w:pPr>
              <w:rPr>
                <w:rFonts w:eastAsia="Times New Roman" w:cstheme="minorHAnsi"/>
                <w:bCs/>
              </w:rPr>
            </w:pPr>
            <w:r w:rsidRPr="00A447A8">
              <w:rPr>
                <w:rFonts w:eastAsia="Times New Roman" w:cstheme="minorHAnsi"/>
                <w:bCs/>
              </w:rPr>
              <w:t>World Language</w:t>
            </w:r>
            <w:r w:rsidR="00B72E6F" w:rsidRPr="00A447A8">
              <w:rPr>
                <w:rFonts w:eastAsia="Times New Roman" w:cstheme="minorHAnsi"/>
                <w:bCs/>
              </w:rPr>
              <w:t xml:space="preserve"> (</w:t>
            </w:r>
            <w:r w:rsidRPr="00A447A8">
              <w:rPr>
                <w:rFonts w:eastAsia="Times New Roman" w:cstheme="minorHAnsi"/>
                <w:bCs/>
              </w:rPr>
              <w:t>PreK-6) &amp; (5-12)</w:t>
            </w:r>
          </w:p>
        </w:tc>
      </w:tr>
      <w:tr w:rsidR="00B72E6F" w:rsidRPr="00A447A8" w14:paraId="3D2CBE33" w14:textId="77777777" w:rsidTr="00B72E6F">
        <w:trPr>
          <w:trHeight w:val="432"/>
          <w:jc w:val="center"/>
        </w:trPr>
        <w:tc>
          <w:tcPr>
            <w:tcW w:w="4840" w:type="dxa"/>
            <w:vAlign w:val="center"/>
          </w:tcPr>
          <w:p w14:paraId="42150017" w14:textId="3F16C5D7" w:rsidR="00B72E6F" w:rsidRPr="00A447A8" w:rsidRDefault="00901295" w:rsidP="00B72E6F">
            <w:pPr>
              <w:spacing w:before="100" w:beforeAutospacing="1" w:after="100" w:afterAutospacing="1"/>
              <w:rPr>
                <w:rFonts w:eastAsia="Times New Roman" w:cstheme="minorHAnsi"/>
                <w:bCs/>
              </w:rPr>
            </w:pPr>
            <w:r w:rsidRPr="00A447A8">
              <w:rPr>
                <w:rFonts w:eastAsia="Times New Roman" w:cstheme="minorHAnsi"/>
                <w:bCs/>
              </w:rPr>
              <w:t xml:space="preserve">Social Science </w:t>
            </w:r>
            <w:r w:rsidR="00D120BD" w:rsidRPr="00A447A8">
              <w:rPr>
                <w:rFonts w:eastAsia="Times New Roman" w:cstheme="minorHAnsi"/>
                <w:bCs/>
              </w:rPr>
              <w:t>(5-12)</w:t>
            </w:r>
          </w:p>
        </w:tc>
        <w:tc>
          <w:tcPr>
            <w:tcW w:w="5128" w:type="dxa"/>
            <w:vAlign w:val="center"/>
          </w:tcPr>
          <w:p w14:paraId="3AB1418E" w14:textId="5B44D3AC" w:rsidR="00B72E6F" w:rsidRPr="00A447A8" w:rsidRDefault="00D120BD" w:rsidP="00B72E6F">
            <w:pPr>
              <w:rPr>
                <w:rFonts w:eastAsia="Times New Roman" w:cstheme="minorHAnsi"/>
                <w:bCs/>
              </w:rPr>
            </w:pPr>
            <w:r w:rsidRPr="00A447A8">
              <w:rPr>
                <w:rFonts w:eastAsia="Times New Roman" w:cstheme="minorHAnsi"/>
                <w:bCs/>
              </w:rPr>
              <w:t>History/Social Science (1-6) &amp; (5-12)</w:t>
            </w:r>
          </w:p>
        </w:tc>
      </w:tr>
    </w:tbl>
    <w:p w14:paraId="65C9B7BA" w14:textId="330582DF" w:rsidR="005A0432" w:rsidRPr="00B03D38" w:rsidRDefault="005A0432" w:rsidP="0045794E">
      <w:pPr>
        <w:autoSpaceDE w:val="0"/>
        <w:autoSpaceDN w:val="0"/>
        <w:adjustRightInd w:val="0"/>
        <w:spacing w:before="240" w:after="240"/>
        <w:rPr>
          <w:rFonts w:asciiTheme="minorHAnsi" w:hAnsiTheme="minorHAnsi" w:cstheme="minorHAnsi"/>
          <w:color w:val="000000" w:themeColor="text1"/>
        </w:rPr>
      </w:pPr>
      <w:r w:rsidRPr="00A447A8">
        <w:rPr>
          <w:rFonts w:asciiTheme="minorHAnsi" w:hAnsiTheme="minorHAnsi" w:cstheme="minorHAnsi"/>
          <w:color w:val="000000" w:themeColor="text1"/>
        </w:rPr>
        <w:t xml:space="preserve">In the case of School Counselor, the Department now offers an </w:t>
      </w:r>
      <w:r w:rsidR="0045794E" w:rsidRPr="005D1993">
        <w:rPr>
          <w:rFonts w:asciiTheme="minorHAnsi" w:hAnsiTheme="minorHAnsi" w:cstheme="minorHAnsi"/>
          <w:color w:val="000000" w:themeColor="text1"/>
        </w:rPr>
        <w:t>Al</w:t>
      </w:r>
      <w:r w:rsidR="0045794E" w:rsidRPr="00C522CB">
        <w:rPr>
          <w:rFonts w:asciiTheme="minorHAnsi" w:hAnsiTheme="minorHAnsi" w:cstheme="minorHAnsi"/>
          <w:b/>
          <w:bCs/>
          <w:color w:val="000000" w:themeColor="text1"/>
        </w:rPr>
        <w:t>l</w:t>
      </w:r>
      <w:r w:rsidR="00C522CB">
        <w:rPr>
          <w:rFonts w:asciiTheme="minorHAnsi" w:hAnsiTheme="minorHAnsi" w:cstheme="minorHAnsi"/>
          <w:color w:val="000000" w:themeColor="text1"/>
        </w:rPr>
        <w:t xml:space="preserve"> </w:t>
      </w:r>
      <w:r w:rsidR="0045794E" w:rsidRPr="00A447A8">
        <w:rPr>
          <w:rFonts w:asciiTheme="minorHAnsi" w:hAnsiTheme="minorHAnsi" w:cstheme="minorHAnsi"/>
          <w:color w:val="000000" w:themeColor="text1"/>
        </w:rPr>
        <w:t>levels</w:t>
      </w:r>
      <w:r w:rsidRPr="00A447A8">
        <w:rPr>
          <w:rFonts w:asciiTheme="minorHAnsi" w:hAnsiTheme="minorHAnsi" w:cstheme="minorHAnsi"/>
          <w:color w:val="000000" w:themeColor="text1"/>
        </w:rPr>
        <w:t xml:space="preserve"> license compared to the previous grade levels of PreK-8 and 5-12. A School Counselor that has only one of the old licenses offered, PreK-8 or 5-12, may apply for the </w:t>
      </w:r>
      <w:r w:rsidRPr="005D1993">
        <w:rPr>
          <w:rFonts w:asciiTheme="minorHAnsi" w:hAnsiTheme="minorHAnsi" w:cstheme="minorHAnsi"/>
          <w:color w:val="000000" w:themeColor="text1"/>
        </w:rPr>
        <w:t xml:space="preserve">All </w:t>
      </w:r>
      <w:r w:rsidRPr="00A447A8">
        <w:rPr>
          <w:rFonts w:asciiTheme="minorHAnsi" w:hAnsiTheme="minorHAnsi" w:cstheme="minorHAnsi"/>
          <w:color w:val="000000" w:themeColor="text1"/>
        </w:rPr>
        <w:t>levels license</w:t>
      </w:r>
      <w:r w:rsidR="00732B66" w:rsidRPr="00A447A8">
        <w:rPr>
          <w:rFonts w:asciiTheme="minorHAnsi" w:hAnsiTheme="minorHAnsi" w:cstheme="minorHAnsi"/>
          <w:color w:val="000000" w:themeColor="text1"/>
        </w:rPr>
        <w:t xml:space="preserve"> and would need to satisfy the “new level” aspects of the new license. A School Counselor that has both the PreK-8 and 5-12 Initial licenses can apply for the </w:t>
      </w:r>
      <w:r w:rsidR="00732B66" w:rsidRPr="005D1993">
        <w:rPr>
          <w:rFonts w:asciiTheme="minorHAnsi" w:hAnsiTheme="minorHAnsi" w:cstheme="minorHAnsi"/>
          <w:color w:val="000000" w:themeColor="text1"/>
        </w:rPr>
        <w:t>All</w:t>
      </w:r>
      <w:r w:rsidR="00C522CB">
        <w:rPr>
          <w:rFonts w:asciiTheme="minorHAnsi" w:hAnsiTheme="minorHAnsi" w:cstheme="minorHAnsi"/>
          <w:color w:val="000000" w:themeColor="text1"/>
        </w:rPr>
        <w:t xml:space="preserve"> </w:t>
      </w:r>
      <w:r w:rsidR="00732B66" w:rsidRPr="00A447A8">
        <w:rPr>
          <w:rFonts w:asciiTheme="minorHAnsi" w:hAnsiTheme="minorHAnsi" w:cstheme="minorHAnsi"/>
          <w:color w:val="000000" w:themeColor="text1"/>
        </w:rPr>
        <w:t>levels license Professional license when advancing and if granted, the old levels will be expired upon the issuance of the School Counselor (All) Professional license.</w:t>
      </w:r>
      <w:r w:rsidR="00732B66">
        <w:rPr>
          <w:rFonts w:asciiTheme="minorHAnsi" w:hAnsiTheme="minorHAnsi" w:cstheme="minorHAnsi"/>
          <w:color w:val="000000" w:themeColor="text1"/>
        </w:rPr>
        <w:t xml:space="preserve"> </w:t>
      </w:r>
    </w:p>
    <w:p w14:paraId="2BEB3D2A" w14:textId="64FDC830" w:rsidR="005F5564" w:rsidRPr="00B03D38" w:rsidRDefault="005F5564" w:rsidP="00901295">
      <w:pPr>
        <w:autoSpaceDE w:val="0"/>
        <w:autoSpaceDN w:val="0"/>
        <w:adjustRightInd w:val="0"/>
        <w:spacing w:after="240"/>
        <w:rPr>
          <w:rFonts w:asciiTheme="minorHAnsi" w:hAnsiTheme="minorHAnsi" w:cstheme="minorHAnsi"/>
          <w:b/>
          <w:bCs/>
          <w:color w:val="002060"/>
          <w:u w:val="single"/>
        </w:rPr>
      </w:pPr>
      <w:r w:rsidRPr="00B03D38">
        <w:rPr>
          <w:rFonts w:asciiTheme="minorHAnsi" w:hAnsiTheme="minorHAnsi" w:cstheme="minorHAnsi"/>
          <w:b/>
          <w:bCs/>
          <w:color w:val="002060"/>
          <w:u w:val="single"/>
        </w:rPr>
        <w:t xml:space="preserve">Other Changes: </w:t>
      </w:r>
    </w:p>
    <w:p w14:paraId="76F5CCD3" w14:textId="069A481F" w:rsidR="005F5564" w:rsidRPr="00B03D38" w:rsidRDefault="005F5564" w:rsidP="00901295">
      <w:pPr>
        <w:autoSpaceDE w:val="0"/>
        <w:autoSpaceDN w:val="0"/>
        <w:adjustRightInd w:val="0"/>
        <w:spacing w:after="240"/>
        <w:rPr>
          <w:rFonts w:asciiTheme="minorHAnsi" w:hAnsiTheme="minorHAnsi" w:cstheme="minorHAnsi"/>
          <w:color w:val="002060"/>
        </w:rPr>
      </w:pPr>
      <w:r w:rsidRPr="0045794E">
        <w:rPr>
          <w:rFonts w:asciiTheme="minorHAnsi" w:hAnsiTheme="minorHAnsi" w:cstheme="minorHAnsi"/>
          <w:b/>
          <w:bCs/>
          <w:color w:val="0F243E" w:themeColor="text2" w:themeShade="80"/>
        </w:rPr>
        <w:t>Extension of MTEL Alternative Assessment Pilot:</w:t>
      </w:r>
      <w:r w:rsidRPr="0045794E">
        <w:rPr>
          <w:rFonts w:asciiTheme="minorHAnsi" w:hAnsiTheme="minorHAnsi" w:cstheme="minorHAnsi"/>
          <w:color w:val="0F243E" w:themeColor="text2" w:themeShade="80"/>
        </w:rPr>
        <w:t xml:space="preserve"> </w:t>
      </w:r>
      <w:r w:rsidRPr="00B03D38">
        <w:rPr>
          <w:rFonts w:asciiTheme="minorHAnsi" w:hAnsiTheme="minorHAnsi" w:cstheme="minorHAnsi"/>
        </w:rPr>
        <w:t>The Board approved to extend the pilot to June 30, 2025. For additional information, please visit</w:t>
      </w:r>
      <w:r w:rsidRPr="00B03D38">
        <w:rPr>
          <w:rFonts w:asciiTheme="minorHAnsi" w:hAnsiTheme="minorHAnsi" w:cstheme="minorHAnsi"/>
          <w:color w:val="002060"/>
        </w:rPr>
        <w:t xml:space="preserve"> </w:t>
      </w:r>
      <w:hyperlink r:id="rId13" w:history="1">
        <w:r w:rsidRPr="00B03D38">
          <w:rPr>
            <w:rStyle w:val="Hyperlink"/>
            <w:rFonts w:asciiTheme="minorHAnsi" w:hAnsiTheme="minorHAnsi" w:cstheme="minorHAnsi"/>
          </w:rPr>
          <w:t>www.doe.mass.edu/mtel</w:t>
        </w:r>
      </w:hyperlink>
      <w:r w:rsidRPr="00B03D38">
        <w:rPr>
          <w:rFonts w:asciiTheme="minorHAnsi" w:hAnsiTheme="minorHAnsi" w:cstheme="minorHAnsi"/>
          <w:color w:val="002060"/>
        </w:rPr>
        <w:t xml:space="preserve">. </w:t>
      </w:r>
    </w:p>
    <w:p w14:paraId="54FBF9DC" w14:textId="777BD649" w:rsidR="005F5564" w:rsidRPr="00B03D38" w:rsidRDefault="005F5564" w:rsidP="00901295">
      <w:pPr>
        <w:autoSpaceDE w:val="0"/>
        <w:autoSpaceDN w:val="0"/>
        <w:adjustRightInd w:val="0"/>
        <w:spacing w:after="240"/>
        <w:rPr>
          <w:rFonts w:asciiTheme="minorHAnsi" w:hAnsiTheme="minorHAnsi" w:cstheme="minorHAnsi"/>
        </w:rPr>
      </w:pPr>
      <w:r w:rsidRPr="0045794E">
        <w:rPr>
          <w:rFonts w:asciiTheme="minorHAnsi" w:hAnsiTheme="minorHAnsi" w:cstheme="minorHAnsi"/>
          <w:b/>
          <w:bCs/>
          <w:color w:val="0F243E" w:themeColor="text2" w:themeShade="80"/>
        </w:rPr>
        <w:t>Sheltered English Immersion (SEI) “reciprocity”:</w:t>
      </w:r>
      <w:r w:rsidRPr="0045794E">
        <w:rPr>
          <w:rFonts w:asciiTheme="minorHAnsi" w:hAnsiTheme="minorHAnsi" w:cstheme="minorHAnsi"/>
          <w:color w:val="0F243E" w:themeColor="text2" w:themeShade="80"/>
        </w:rPr>
        <w:t xml:space="preserve"> </w:t>
      </w:r>
      <w:r w:rsidRPr="00B03D38">
        <w:rPr>
          <w:rFonts w:asciiTheme="minorHAnsi" w:hAnsiTheme="minorHAnsi" w:cstheme="minorHAnsi"/>
        </w:rPr>
        <w:t>The Department now can accept a</w:t>
      </w:r>
      <w:r w:rsidR="00351C70">
        <w:rPr>
          <w:rFonts w:asciiTheme="minorHAnsi" w:hAnsiTheme="minorHAnsi" w:cstheme="minorHAnsi"/>
        </w:rPr>
        <w:t>n</w:t>
      </w:r>
      <w:r w:rsidRPr="00B03D38">
        <w:rPr>
          <w:rFonts w:asciiTheme="minorHAnsi" w:hAnsiTheme="minorHAnsi" w:cstheme="minorHAnsi"/>
        </w:rPr>
        <w:t xml:space="preserve"> SEI Endorsement or similar credential offered by another state or jurisdiction when the Commissioner has determined that there is alignment in the subject matter knowledge requirements. In addition, the Licensure Office can accept another state</w:t>
      </w:r>
      <w:r w:rsidR="00351C70">
        <w:rPr>
          <w:rFonts w:asciiTheme="minorHAnsi" w:hAnsiTheme="minorHAnsi" w:cstheme="minorHAnsi"/>
        </w:rPr>
        <w:t>’s</w:t>
      </w:r>
      <w:r w:rsidRPr="00B03D38">
        <w:rPr>
          <w:rFonts w:asciiTheme="minorHAnsi" w:hAnsiTheme="minorHAnsi" w:cstheme="minorHAnsi"/>
        </w:rPr>
        <w:t xml:space="preserve"> or jurisdiction</w:t>
      </w:r>
      <w:r w:rsidR="00351C70">
        <w:rPr>
          <w:rFonts w:asciiTheme="minorHAnsi" w:hAnsiTheme="minorHAnsi" w:cstheme="minorHAnsi"/>
        </w:rPr>
        <w:t>’</w:t>
      </w:r>
      <w:r w:rsidRPr="00B03D38">
        <w:rPr>
          <w:rFonts w:asciiTheme="minorHAnsi" w:hAnsiTheme="minorHAnsi" w:cstheme="minorHAnsi"/>
        </w:rPr>
        <w:t xml:space="preserve">s English as a Second Language (ESL) license, or equivalent license, towards granting the SEI Endorsement. </w:t>
      </w:r>
    </w:p>
    <w:p w14:paraId="069AFD3D" w14:textId="45AEBAD9" w:rsidR="0002601A" w:rsidRPr="00B03D38" w:rsidRDefault="0002601A" w:rsidP="00901295">
      <w:pPr>
        <w:autoSpaceDE w:val="0"/>
        <w:autoSpaceDN w:val="0"/>
        <w:adjustRightInd w:val="0"/>
        <w:spacing w:after="240"/>
        <w:rPr>
          <w:rFonts w:asciiTheme="minorHAnsi" w:hAnsiTheme="minorHAnsi" w:cstheme="minorHAnsi"/>
        </w:rPr>
      </w:pPr>
      <w:r w:rsidRPr="0045794E">
        <w:rPr>
          <w:rFonts w:asciiTheme="minorHAnsi" w:hAnsiTheme="minorHAnsi" w:cstheme="minorHAnsi"/>
          <w:b/>
          <w:bCs/>
          <w:color w:val="0F243E" w:themeColor="text2" w:themeShade="80"/>
        </w:rPr>
        <w:t>Removal of the Performance Assessment for Initial License for certain administrator licenses</w:t>
      </w:r>
      <w:r w:rsidR="00316D9D" w:rsidRPr="0045794E">
        <w:rPr>
          <w:rFonts w:asciiTheme="minorHAnsi" w:hAnsiTheme="minorHAnsi" w:cstheme="minorHAnsi"/>
          <w:b/>
          <w:bCs/>
          <w:color w:val="0F243E" w:themeColor="text2" w:themeShade="80"/>
        </w:rPr>
        <w:t>:</w:t>
      </w:r>
      <w:r w:rsidRPr="0045794E">
        <w:rPr>
          <w:rFonts w:asciiTheme="minorHAnsi" w:hAnsiTheme="minorHAnsi" w:cstheme="minorHAnsi"/>
          <w:color w:val="0F243E" w:themeColor="text2" w:themeShade="80"/>
        </w:rPr>
        <w:t xml:space="preserve"> </w:t>
      </w:r>
      <w:r w:rsidR="00316D9D" w:rsidRPr="00B03D38">
        <w:rPr>
          <w:rFonts w:asciiTheme="minorHAnsi" w:hAnsiTheme="minorHAnsi" w:cstheme="minorHAnsi"/>
        </w:rPr>
        <w:t xml:space="preserve">Although the Performance Assessment for Initial License was part of the requirements to obtain an administrator license for almost 20 years, this specific assessment was only developed for Principals (the Performance Assessment for Leaders). This specific assessment is no longer part of the requirements to obtain a Superintendent/Assistant Superintendent, Special Education Administrator, School Business Administrator or Supervisor/Director license. A candidate seeking one of these licenses would have a </w:t>
      </w:r>
      <w:r w:rsidR="00316D9D" w:rsidRPr="00B03D38">
        <w:rPr>
          <w:rFonts w:asciiTheme="minorHAnsi" w:hAnsiTheme="minorHAnsi" w:cstheme="minorHAnsi"/>
        </w:rPr>
        <w:lastRenderedPageBreak/>
        <w:t xml:space="preserve">different performance assessment imbedded in the approved program, Panel Review or 500-hour apprenticeship/internship. </w:t>
      </w:r>
    </w:p>
    <w:p w14:paraId="5B42FAEF" w14:textId="64D8B34A" w:rsidR="00316D9D" w:rsidRPr="00B03D38" w:rsidRDefault="00316D9D" w:rsidP="00901295">
      <w:pPr>
        <w:autoSpaceDE w:val="0"/>
        <w:autoSpaceDN w:val="0"/>
        <w:adjustRightInd w:val="0"/>
        <w:spacing w:after="240"/>
        <w:rPr>
          <w:rFonts w:asciiTheme="minorHAnsi" w:hAnsiTheme="minorHAnsi" w:cstheme="minorHAnsi"/>
        </w:rPr>
      </w:pPr>
      <w:r w:rsidRPr="0045794E">
        <w:rPr>
          <w:rFonts w:asciiTheme="minorHAnsi" w:hAnsiTheme="minorHAnsi" w:cstheme="minorHAnsi"/>
          <w:b/>
          <w:bCs/>
          <w:color w:val="0F243E" w:themeColor="text2" w:themeShade="80"/>
        </w:rPr>
        <w:t>Out-of-State exemption from the Performance Assessment for Leaders</w:t>
      </w:r>
      <w:r w:rsidR="00351C70" w:rsidRPr="0045794E">
        <w:rPr>
          <w:rFonts w:asciiTheme="minorHAnsi" w:hAnsiTheme="minorHAnsi" w:cstheme="minorHAnsi"/>
          <w:b/>
          <w:bCs/>
          <w:color w:val="0F243E" w:themeColor="text2" w:themeShade="80"/>
        </w:rPr>
        <w:t xml:space="preserve"> </w:t>
      </w:r>
      <w:r w:rsidRPr="0045794E">
        <w:rPr>
          <w:rFonts w:asciiTheme="minorHAnsi" w:hAnsiTheme="minorHAnsi" w:cstheme="minorHAnsi"/>
          <w:b/>
          <w:bCs/>
          <w:color w:val="0F243E" w:themeColor="text2" w:themeShade="80"/>
        </w:rPr>
        <w:t>(PAL)</w:t>
      </w:r>
      <w:r w:rsidRPr="0045794E">
        <w:rPr>
          <w:rFonts w:asciiTheme="minorHAnsi" w:hAnsiTheme="minorHAnsi" w:cstheme="minorHAnsi"/>
          <w:color w:val="0F243E" w:themeColor="text2" w:themeShade="80"/>
        </w:rPr>
        <w:t xml:space="preserve"> – </w:t>
      </w:r>
      <w:r w:rsidRPr="00B03D38">
        <w:rPr>
          <w:rFonts w:asciiTheme="minorHAnsi" w:hAnsiTheme="minorHAnsi" w:cstheme="minorHAnsi"/>
        </w:rPr>
        <w:t>With the creation of the Provisional license for Principal/Assistant Principal license, an out-of-state candidate for this license must now have three years of experience (or more) as a Principal/Assistant Principal to be exempt from PAL</w:t>
      </w:r>
      <w:r w:rsidR="00697A3E" w:rsidRPr="00B03D38">
        <w:rPr>
          <w:rFonts w:asciiTheme="minorHAnsi" w:hAnsiTheme="minorHAnsi" w:cstheme="minorHAnsi"/>
        </w:rPr>
        <w:t xml:space="preserve">. Individuals who applied by March 17, 2023 have until March 17, 2025 to satisfy the requirements for an Initial license with only one year of experience as a Principal/Assistant Principal in another state. </w:t>
      </w:r>
    </w:p>
    <w:p w14:paraId="54835EC7" w14:textId="537818C2" w:rsidR="00697A3E" w:rsidRPr="00B03D38" w:rsidRDefault="00697A3E" w:rsidP="00901295">
      <w:pPr>
        <w:autoSpaceDE w:val="0"/>
        <w:autoSpaceDN w:val="0"/>
        <w:adjustRightInd w:val="0"/>
        <w:spacing w:after="240"/>
        <w:rPr>
          <w:rFonts w:asciiTheme="minorHAnsi" w:hAnsiTheme="minorHAnsi" w:cstheme="minorHAnsi"/>
        </w:rPr>
      </w:pPr>
      <w:r w:rsidRPr="00B03D38">
        <w:rPr>
          <w:rFonts w:asciiTheme="minorHAnsi" w:hAnsiTheme="minorHAnsi" w:cstheme="minorHAnsi"/>
          <w:b/>
          <w:bCs/>
          <w:color w:val="002060"/>
        </w:rPr>
        <w:t>Program Approval Modifications:</w:t>
      </w:r>
      <w:r w:rsidRPr="00B03D38">
        <w:rPr>
          <w:rFonts w:asciiTheme="minorHAnsi" w:hAnsiTheme="minorHAnsi" w:cstheme="minorHAnsi"/>
          <w:color w:val="002060"/>
        </w:rPr>
        <w:t xml:space="preserve"> </w:t>
      </w:r>
      <w:r w:rsidRPr="00B03D38">
        <w:rPr>
          <w:rFonts w:asciiTheme="minorHAnsi" w:hAnsiTheme="minorHAnsi" w:cstheme="minorHAnsi"/>
        </w:rPr>
        <w:t xml:space="preserve">The new regulations align the program approval requirements to the Guidelines for Program Approval and clarify the expectations that practicum experiences are in the licensure role. </w:t>
      </w:r>
    </w:p>
    <w:p w14:paraId="415AB8D9" w14:textId="64DAC8A8" w:rsidR="00697A3E" w:rsidRPr="00B03D38" w:rsidRDefault="00697A3E" w:rsidP="00901295">
      <w:pPr>
        <w:autoSpaceDE w:val="0"/>
        <w:autoSpaceDN w:val="0"/>
        <w:adjustRightInd w:val="0"/>
        <w:spacing w:after="240"/>
        <w:rPr>
          <w:rFonts w:asciiTheme="minorHAnsi" w:hAnsiTheme="minorHAnsi" w:cstheme="minorHAnsi"/>
        </w:rPr>
      </w:pPr>
      <w:r w:rsidRPr="0045794E">
        <w:rPr>
          <w:rFonts w:asciiTheme="minorHAnsi" w:hAnsiTheme="minorHAnsi" w:cstheme="minorHAnsi"/>
          <w:b/>
          <w:bCs/>
          <w:color w:val="0F243E" w:themeColor="text2" w:themeShade="80"/>
        </w:rPr>
        <w:t>“12-graduate credit” option for a Professional license</w:t>
      </w:r>
      <w:r w:rsidRPr="00B03D38">
        <w:rPr>
          <w:rFonts w:asciiTheme="minorHAnsi" w:hAnsiTheme="minorHAnsi" w:cstheme="minorHAnsi"/>
          <w:b/>
          <w:bCs/>
          <w:color w:val="002060"/>
        </w:rPr>
        <w:t>:</w:t>
      </w:r>
      <w:r w:rsidRPr="00B03D38">
        <w:rPr>
          <w:rFonts w:asciiTheme="minorHAnsi" w:hAnsiTheme="minorHAnsi" w:cstheme="minorHAnsi"/>
          <w:color w:val="002060"/>
        </w:rPr>
        <w:t xml:space="preserve"> </w:t>
      </w:r>
      <w:r w:rsidRPr="00B03D38">
        <w:rPr>
          <w:rFonts w:asciiTheme="minorHAnsi" w:hAnsiTheme="minorHAnsi" w:cstheme="minorHAnsi"/>
        </w:rPr>
        <w:t xml:space="preserve">A change in language permits the Department to accept a graduate level course </w:t>
      </w:r>
      <w:r w:rsidRPr="00732B66">
        <w:rPr>
          <w:rFonts w:asciiTheme="minorHAnsi" w:hAnsiTheme="minorHAnsi" w:cstheme="minorHAnsi"/>
        </w:rPr>
        <w:t xml:space="preserve">that addresses the content </w:t>
      </w:r>
      <w:r w:rsidR="00BE0A06" w:rsidRPr="00732B66">
        <w:rPr>
          <w:rFonts w:asciiTheme="minorHAnsi" w:hAnsiTheme="minorHAnsi" w:cstheme="minorHAnsi"/>
        </w:rPr>
        <w:t>of the Professional license sought as opposed to requiring that the course only has content of the license sought or content and pedagogy</w:t>
      </w:r>
      <w:r w:rsidR="00E24FC0" w:rsidRPr="00732B66">
        <w:rPr>
          <w:rFonts w:ascii="Georgia" w:hAnsi="Georgia"/>
          <w:color w:val="000000"/>
          <w:sz w:val="23"/>
          <w:szCs w:val="23"/>
          <w:shd w:val="clear" w:color="auto" w:fill="FFFFFF"/>
        </w:rPr>
        <w:t>.</w:t>
      </w:r>
      <w:r w:rsidR="00380A58">
        <w:rPr>
          <w:rFonts w:asciiTheme="minorHAnsi" w:hAnsiTheme="minorHAnsi" w:cstheme="minorHAnsi"/>
        </w:rPr>
        <w:t xml:space="preserve"> </w:t>
      </w:r>
      <w:r w:rsidR="00BE0A06" w:rsidRPr="00B03D38">
        <w:rPr>
          <w:rFonts w:asciiTheme="minorHAnsi" w:hAnsiTheme="minorHAnsi" w:cstheme="minorHAnsi"/>
        </w:rPr>
        <w:t xml:space="preserve">Please see the below examples of how this change will be implemented. </w:t>
      </w:r>
    </w:p>
    <w:p w14:paraId="1C762457" w14:textId="1197CF53" w:rsidR="00CD4D51" w:rsidRPr="00B03D38" w:rsidRDefault="00CD4D51" w:rsidP="0019219C">
      <w:pPr>
        <w:rPr>
          <w:rFonts w:asciiTheme="minorHAnsi" w:hAnsiTheme="minorHAnsi" w:cstheme="minorHAnsi"/>
        </w:rPr>
      </w:pPr>
      <w:r w:rsidRPr="00B03D38">
        <w:rPr>
          <w:rFonts w:asciiTheme="minorHAnsi" w:hAnsiTheme="minorHAnsi" w:cstheme="minorHAnsi"/>
        </w:rPr>
        <w:t xml:space="preserve">Please note that in the examples, the bold language is the subject matter knowledge applicable to the license sought and the italics language is examples of components of the course that fall outside of the course, meaning that prior to the regulation change, the course could not be accepted. </w:t>
      </w:r>
    </w:p>
    <w:p w14:paraId="32FBE23C" w14:textId="77777777" w:rsidR="00CD4D51" w:rsidRPr="00B03D38" w:rsidRDefault="00CD4D51" w:rsidP="0019219C">
      <w:pPr>
        <w:rPr>
          <w:rFonts w:asciiTheme="minorHAnsi" w:hAnsiTheme="minorHAnsi" w:cstheme="minorHAnsi"/>
          <w:b/>
          <w:bCs/>
        </w:rPr>
      </w:pPr>
    </w:p>
    <w:p w14:paraId="5A028592" w14:textId="429AD013" w:rsidR="0019219C" w:rsidRPr="00B03D38" w:rsidRDefault="0019219C" w:rsidP="0045794E">
      <w:pPr>
        <w:rPr>
          <w:rFonts w:asciiTheme="minorHAnsi" w:hAnsiTheme="minorHAnsi" w:cstheme="minorHAnsi"/>
          <w:b/>
          <w:bCs/>
        </w:rPr>
      </w:pPr>
      <w:r w:rsidRPr="00B03D38">
        <w:rPr>
          <w:rFonts w:asciiTheme="minorHAnsi" w:hAnsiTheme="minorHAnsi" w:cstheme="minorHAnsi"/>
          <w:b/>
          <w:bCs/>
        </w:rPr>
        <w:t>P</w:t>
      </w:r>
      <w:r w:rsidR="00CD4D51" w:rsidRPr="00B03D38">
        <w:rPr>
          <w:rFonts w:asciiTheme="minorHAnsi" w:hAnsiTheme="minorHAnsi" w:cstheme="minorHAnsi"/>
          <w:b/>
          <w:bCs/>
        </w:rPr>
        <w:t>hysical Education</w:t>
      </w:r>
      <w:r w:rsidRPr="00B03D38">
        <w:rPr>
          <w:rFonts w:asciiTheme="minorHAnsi" w:hAnsiTheme="minorHAnsi" w:cstheme="minorHAnsi"/>
          <w:b/>
          <w:bCs/>
        </w:rPr>
        <w:t>:</w:t>
      </w:r>
    </w:p>
    <w:p w14:paraId="53E2421F" w14:textId="77777777" w:rsidR="0019219C" w:rsidRPr="00351C70" w:rsidRDefault="0019219C" w:rsidP="0045794E">
      <w:pPr>
        <w:pStyle w:val="ListParagraph"/>
        <w:numPr>
          <w:ilvl w:val="0"/>
          <w:numId w:val="24"/>
        </w:numPr>
        <w:ind w:left="360"/>
        <w:contextualSpacing w:val="0"/>
        <w:outlineLvl w:val="3"/>
        <w:rPr>
          <w:rFonts w:asciiTheme="minorHAnsi" w:hAnsiTheme="minorHAnsi" w:cstheme="minorHAnsi"/>
          <w:b/>
          <w:bCs/>
          <w:color w:val="595959"/>
          <w:spacing w:val="-3"/>
        </w:rPr>
      </w:pPr>
      <w:r w:rsidRPr="00351C70">
        <w:rPr>
          <w:rFonts w:asciiTheme="minorHAnsi" w:hAnsiTheme="minorHAnsi" w:cstheme="minorHAnsi"/>
          <w:b/>
          <w:bCs/>
          <w:color w:val="595959"/>
          <w:spacing w:val="-3"/>
        </w:rPr>
        <w:t>PHED 726 - Legal Issues and Risk Management for Sport Coaching</w:t>
      </w:r>
    </w:p>
    <w:p w14:paraId="2A0F858A" w14:textId="77777777" w:rsidR="0019219C" w:rsidRPr="00B03D38" w:rsidRDefault="0019219C" w:rsidP="00370898">
      <w:pPr>
        <w:pStyle w:val="ListParagraph"/>
        <w:numPr>
          <w:ilvl w:val="0"/>
          <w:numId w:val="17"/>
        </w:numPr>
        <w:ind w:left="720"/>
        <w:rPr>
          <w:rFonts w:asciiTheme="minorHAnsi" w:hAnsiTheme="minorHAnsi" w:cstheme="minorHAnsi"/>
          <w:color w:val="080808"/>
          <w:spacing w:val="-3"/>
        </w:rPr>
      </w:pPr>
      <w:r w:rsidRPr="00B03D38">
        <w:rPr>
          <w:rFonts w:asciiTheme="minorHAnsi" w:hAnsiTheme="minorHAnsi" w:cstheme="minorHAnsi"/>
          <w:color w:val="080808"/>
          <w:spacing w:val="-3"/>
        </w:rPr>
        <w:t>(</w:t>
      </w:r>
      <w:r w:rsidRPr="00B03D38">
        <w:rPr>
          <w:rFonts w:asciiTheme="minorHAnsi" w:hAnsiTheme="minorHAnsi" w:cstheme="minorHAnsi"/>
          <w:spacing w:val="-3"/>
        </w:rPr>
        <w:t xml:space="preserve">3 credits) This course will provide students with an understanding of general legal concepts, federal and state legislation, potential legal liabilities, and the duty of care for </w:t>
      </w:r>
      <w:r w:rsidRPr="00B03D38">
        <w:rPr>
          <w:rFonts w:asciiTheme="minorHAnsi" w:hAnsiTheme="minorHAnsi" w:cstheme="minorHAnsi"/>
          <w:i/>
          <w:iCs/>
          <w:spacing w:val="-3"/>
        </w:rPr>
        <w:t>sport coaches</w:t>
      </w:r>
      <w:r w:rsidRPr="00B03D38">
        <w:rPr>
          <w:rFonts w:asciiTheme="minorHAnsi" w:hAnsiTheme="minorHAnsi" w:cstheme="minorHAnsi"/>
          <w:spacing w:val="-3"/>
        </w:rPr>
        <w:t xml:space="preserve">. Students will examine current legal issues within amateur sport (e.g., </w:t>
      </w:r>
      <w:r w:rsidRPr="00B03D38">
        <w:rPr>
          <w:rFonts w:asciiTheme="minorHAnsi" w:hAnsiTheme="minorHAnsi" w:cstheme="minorHAnsi"/>
          <w:b/>
          <w:bCs/>
          <w:spacing w:val="-3"/>
        </w:rPr>
        <w:t>youth sport, high school sport</w:t>
      </w:r>
      <w:r w:rsidRPr="00B03D38">
        <w:rPr>
          <w:rFonts w:asciiTheme="minorHAnsi" w:hAnsiTheme="minorHAnsi" w:cstheme="minorHAnsi"/>
          <w:spacing w:val="-3"/>
        </w:rPr>
        <w:t>, intercollegiate sport, recreational sport), explore their responsibility as sport coaches to provide for the safety of sport participants and spectators</w:t>
      </w:r>
      <w:r w:rsidRPr="00B03D38">
        <w:rPr>
          <w:rFonts w:asciiTheme="minorHAnsi" w:hAnsiTheme="minorHAnsi" w:cstheme="minorHAnsi"/>
          <w:color w:val="080808"/>
          <w:spacing w:val="-3"/>
        </w:rPr>
        <w:t>, and identify strategies to prevent injuries and manage risks through their decision making and through active planning. Offered alternate years.</w:t>
      </w:r>
    </w:p>
    <w:p w14:paraId="3082D6A6" w14:textId="77777777" w:rsidR="0019219C" w:rsidRPr="00B03D38" w:rsidRDefault="0019219C" w:rsidP="0045794E">
      <w:pPr>
        <w:rPr>
          <w:rFonts w:asciiTheme="minorHAnsi" w:hAnsiTheme="minorHAnsi" w:cstheme="minorHAnsi"/>
        </w:rPr>
      </w:pPr>
    </w:p>
    <w:p w14:paraId="4C523D71" w14:textId="7D1F4FC3" w:rsidR="0019219C" w:rsidRPr="00370898" w:rsidRDefault="0019219C" w:rsidP="0045794E">
      <w:pPr>
        <w:rPr>
          <w:rFonts w:asciiTheme="minorHAnsi" w:hAnsiTheme="minorHAnsi" w:cstheme="minorHAnsi"/>
        </w:rPr>
      </w:pPr>
      <w:r w:rsidRPr="00B03D38">
        <w:rPr>
          <w:rFonts w:asciiTheme="minorHAnsi" w:hAnsiTheme="minorHAnsi" w:cstheme="minorHAnsi"/>
          <w:b/>
          <w:bCs/>
        </w:rPr>
        <w:t>English</w:t>
      </w:r>
      <w:r w:rsidRPr="00B03D38">
        <w:rPr>
          <w:rFonts w:asciiTheme="minorHAnsi" w:hAnsiTheme="minorHAnsi" w:cstheme="minorHAnsi"/>
        </w:rPr>
        <w:t>:</w:t>
      </w:r>
    </w:p>
    <w:p w14:paraId="0A0BE9E0" w14:textId="77777777" w:rsidR="0019219C" w:rsidRPr="00B03D38" w:rsidRDefault="0019219C" w:rsidP="0045794E">
      <w:pPr>
        <w:pStyle w:val="ListParagraph"/>
        <w:numPr>
          <w:ilvl w:val="0"/>
          <w:numId w:val="18"/>
        </w:numPr>
        <w:ind w:left="360"/>
        <w:contextualSpacing w:val="0"/>
        <w:outlineLvl w:val="3"/>
        <w:rPr>
          <w:rFonts w:asciiTheme="minorHAnsi" w:hAnsiTheme="minorHAnsi" w:cstheme="minorHAnsi"/>
          <w:b/>
          <w:bCs/>
          <w:color w:val="595959"/>
          <w:spacing w:val="-3"/>
        </w:rPr>
      </w:pPr>
      <w:r w:rsidRPr="00B03D38">
        <w:rPr>
          <w:rFonts w:asciiTheme="minorHAnsi" w:hAnsiTheme="minorHAnsi" w:cstheme="minorHAnsi"/>
          <w:b/>
          <w:bCs/>
          <w:color w:val="595959"/>
          <w:spacing w:val="-3"/>
        </w:rPr>
        <w:t>ECED 842 - Language Arts and the Social Sciences for All PK-2 Learners</w:t>
      </w:r>
    </w:p>
    <w:p w14:paraId="0617F757" w14:textId="411204C8" w:rsidR="0019219C" w:rsidRPr="00B03D38" w:rsidRDefault="0019219C" w:rsidP="00370898">
      <w:pPr>
        <w:pStyle w:val="ListParagraph"/>
        <w:numPr>
          <w:ilvl w:val="0"/>
          <w:numId w:val="19"/>
        </w:numPr>
        <w:ind w:left="720"/>
        <w:rPr>
          <w:rFonts w:asciiTheme="minorHAnsi" w:hAnsiTheme="minorHAnsi" w:cstheme="minorHAnsi"/>
          <w:spacing w:val="-3"/>
        </w:rPr>
      </w:pPr>
      <w:r w:rsidRPr="00B03D38">
        <w:rPr>
          <w:rFonts w:asciiTheme="minorHAnsi" w:hAnsiTheme="minorHAnsi" w:cstheme="minorHAnsi"/>
          <w:spacing w:val="-3"/>
        </w:rPr>
        <w:t>(3 credits) Prerequisite: ELED 805 and ELED 814 and ELED 815 Corequisite: ECED 861 and ECED 875</w:t>
      </w:r>
      <w:r w:rsidRPr="00B03D38">
        <w:rPr>
          <w:rFonts w:asciiTheme="minorHAnsi" w:hAnsiTheme="minorHAnsi" w:cstheme="minorHAnsi"/>
          <w:spacing w:val="-3"/>
        </w:rPr>
        <w:br/>
        <w:t xml:space="preserve">This standards-based course integrates the components of the </w:t>
      </w:r>
      <w:r w:rsidRPr="00B03D38">
        <w:rPr>
          <w:rFonts w:asciiTheme="minorHAnsi" w:hAnsiTheme="minorHAnsi" w:cstheme="minorHAnsi"/>
          <w:b/>
          <w:bCs/>
          <w:spacing w:val="-3"/>
        </w:rPr>
        <w:t>language arts (listening, speaking, writing, reading, viewing and visually representing)</w:t>
      </w:r>
      <w:r w:rsidRPr="00B03D38">
        <w:rPr>
          <w:rFonts w:asciiTheme="minorHAnsi" w:hAnsiTheme="minorHAnsi" w:cstheme="minorHAnsi"/>
          <w:spacing w:val="-3"/>
        </w:rPr>
        <w:t xml:space="preserve"> and the four major topics of the </w:t>
      </w:r>
      <w:r w:rsidRPr="00B03D38">
        <w:rPr>
          <w:rFonts w:asciiTheme="minorHAnsi" w:hAnsiTheme="minorHAnsi" w:cstheme="minorHAnsi"/>
          <w:i/>
          <w:iCs/>
          <w:spacing w:val="-3"/>
        </w:rPr>
        <w:t>social sciences (civics, geography, history and economics</w:t>
      </w:r>
      <w:r w:rsidRPr="00B03D38">
        <w:rPr>
          <w:rFonts w:asciiTheme="minorHAnsi" w:hAnsiTheme="minorHAnsi" w:cstheme="minorHAnsi"/>
          <w:spacing w:val="-3"/>
        </w:rPr>
        <w:t xml:space="preserve">). Teacher candidates will examine and practice strategies focusing on the PK-2 learner. Emphasis will be given to the consideration and practice of content and strategies to develop oral language, writing and spelling, and visual literacy, as well as the use of informational texts across all disciplines, but with added emphasis in the social sciences. Offered fall and spring semesters. </w:t>
      </w:r>
    </w:p>
    <w:p w14:paraId="60788A96" w14:textId="77777777" w:rsidR="0019219C" w:rsidRPr="00B03D38" w:rsidRDefault="0019219C" w:rsidP="0045794E">
      <w:pPr>
        <w:rPr>
          <w:rFonts w:asciiTheme="minorHAnsi" w:hAnsiTheme="minorHAnsi" w:cstheme="minorHAnsi"/>
        </w:rPr>
      </w:pPr>
    </w:p>
    <w:p w14:paraId="7A8AA669" w14:textId="55A1B9FE" w:rsidR="0019219C" w:rsidRPr="00370898" w:rsidRDefault="00C95016" w:rsidP="0045794E">
      <w:pPr>
        <w:rPr>
          <w:rFonts w:asciiTheme="minorHAnsi" w:hAnsiTheme="minorHAnsi" w:cstheme="minorHAnsi"/>
          <w:b/>
          <w:bCs/>
        </w:rPr>
      </w:pPr>
      <w:r w:rsidRPr="00B03D38">
        <w:rPr>
          <w:rFonts w:asciiTheme="minorHAnsi" w:hAnsiTheme="minorHAnsi" w:cstheme="minorHAnsi"/>
          <w:b/>
          <w:bCs/>
        </w:rPr>
        <w:t>Mathematics:</w:t>
      </w:r>
    </w:p>
    <w:p w14:paraId="341EFE6F" w14:textId="77777777" w:rsidR="0019219C" w:rsidRPr="00B03D38" w:rsidRDefault="0019219C" w:rsidP="0045794E">
      <w:pPr>
        <w:pStyle w:val="ListParagraph"/>
        <w:numPr>
          <w:ilvl w:val="0"/>
          <w:numId w:val="20"/>
        </w:numPr>
        <w:spacing w:after="160" w:line="256" w:lineRule="auto"/>
        <w:rPr>
          <w:rFonts w:asciiTheme="minorHAnsi" w:hAnsiTheme="minorHAnsi" w:cstheme="minorHAnsi"/>
          <w:b/>
          <w:bCs/>
          <w:color w:val="545454"/>
        </w:rPr>
      </w:pPr>
      <w:r w:rsidRPr="00B03D38">
        <w:rPr>
          <w:rFonts w:asciiTheme="minorHAnsi" w:hAnsiTheme="minorHAnsi" w:cstheme="minorHAnsi"/>
          <w:b/>
          <w:bCs/>
          <w:color w:val="545454"/>
        </w:rPr>
        <w:t>EDU 756 - Using Literature in Mathematics for Grades 1-8</w:t>
      </w:r>
    </w:p>
    <w:p w14:paraId="2413BE92" w14:textId="77777777" w:rsidR="0019219C" w:rsidRPr="00370898" w:rsidRDefault="0019219C" w:rsidP="00370898">
      <w:pPr>
        <w:pStyle w:val="ListParagraph"/>
        <w:numPr>
          <w:ilvl w:val="0"/>
          <w:numId w:val="25"/>
        </w:numPr>
        <w:rPr>
          <w:rFonts w:asciiTheme="minorHAnsi" w:hAnsiTheme="minorHAnsi" w:cstheme="minorHAnsi"/>
        </w:rPr>
      </w:pPr>
      <w:r w:rsidRPr="00370898">
        <w:rPr>
          <w:rFonts w:asciiTheme="minorHAnsi" w:hAnsiTheme="minorHAnsi" w:cstheme="minorHAnsi"/>
        </w:rPr>
        <w:t xml:space="preserve">3 Credit(s) This course examines reasons </w:t>
      </w:r>
      <w:r w:rsidRPr="00370898">
        <w:rPr>
          <w:rFonts w:asciiTheme="minorHAnsi" w:hAnsiTheme="minorHAnsi" w:cstheme="minorHAnsi"/>
          <w:b/>
          <w:bCs/>
        </w:rPr>
        <w:t>for integrating the study of mathematics</w:t>
      </w:r>
      <w:r w:rsidRPr="00370898">
        <w:rPr>
          <w:rFonts w:asciiTheme="minorHAnsi" w:hAnsiTheme="minorHAnsi" w:cstheme="minorHAnsi"/>
        </w:rPr>
        <w:t xml:space="preserve"> and </w:t>
      </w:r>
      <w:r w:rsidRPr="00370898">
        <w:rPr>
          <w:rFonts w:asciiTheme="minorHAnsi" w:hAnsiTheme="minorHAnsi" w:cstheme="minorHAnsi"/>
          <w:i/>
          <w:iCs/>
        </w:rPr>
        <w:t>literature</w:t>
      </w:r>
      <w:r w:rsidRPr="00370898">
        <w:rPr>
          <w:rFonts w:asciiTheme="minorHAnsi" w:hAnsiTheme="minorHAnsi" w:cstheme="minorHAnsi"/>
        </w:rPr>
        <w:t xml:space="preserve">, and </w:t>
      </w:r>
      <w:r w:rsidRPr="00370898">
        <w:rPr>
          <w:rFonts w:asciiTheme="minorHAnsi" w:hAnsiTheme="minorHAnsi" w:cstheme="minorHAnsi"/>
          <w:b/>
          <w:bCs/>
        </w:rPr>
        <w:t>instructional methods that help children and adults better understand</w:t>
      </w:r>
      <w:r w:rsidRPr="00370898">
        <w:rPr>
          <w:rFonts w:asciiTheme="minorHAnsi" w:hAnsiTheme="minorHAnsi" w:cstheme="minorHAnsi"/>
        </w:rPr>
        <w:t xml:space="preserve"> </w:t>
      </w:r>
      <w:r w:rsidRPr="00370898">
        <w:rPr>
          <w:rFonts w:asciiTheme="minorHAnsi" w:hAnsiTheme="minorHAnsi" w:cstheme="minorHAnsi"/>
          <w:i/>
          <w:iCs/>
        </w:rPr>
        <w:t>literature</w:t>
      </w:r>
      <w:r w:rsidRPr="00370898">
        <w:rPr>
          <w:rFonts w:asciiTheme="minorHAnsi" w:hAnsiTheme="minorHAnsi" w:cstheme="minorHAnsi"/>
        </w:rPr>
        <w:t xml:space="preserve">, </w:t>
      </w:r>
      <w:r w:rsidRPr="00370898">
        <w:rPr>
          <w:rFonts w:asciiTheme="minorHAnsi" w:hAnsiTheme="minorHAnsi" w:cstheme="minorHAnsi"/>
          <w:b/>
          <w:bCs/>
        </w:rPr>
        <w:t>mathematics</w:t>
      </w:r>
      <w:r w:rsidRPr="00370898">
        <w:rPr>
          <w:rFonts w:asciiTheme="minorHAnsi" w:hAnsiTheme="minorHAnsi" w:cstheme="minorHAnsi"/>
        </w:rPr>
        <w:t xml:space="preserve">, and themselves. Standards useful in </w:t>
      </w:r>
      <w:r w:rsidRPr="00370898">
        <w:rPr>
          <w:rFonts w:asciiTheme="minorHAnsi" w:hAnsiTheme="minorHAnsi" w:cstheme="minorHAnsi"/>
          <w:b/>
          <w:bCs/>
        </w:rPr>
        <w:t xml:space="preserve">assessing children’s mathematical trade </w:t>
      </w:r>
      <w:r w:rsidRPr="00370898">
        <w:rPr>
          <w:rFonts w:asciiTheme="minorHAnsi" w:hAnsiTheme="minorHAnsi" w:cstheme="minorHAnsi"/>
          <w:b/>
          <w:bCs/>
        </w:rPr>
        <w:lastRenderedPageBreak/>
        <w:t>books</w:t>
      </w:r>
      <w:r w:rsidRPr="00370898">
        <w:rPr>
          <w:rFonts w:asciiTheme="minorHAnsi" w:hAnsiTheme="minorHAnsi" w:cstheme="minorHAnsi"/>
        </w:rPr>
        <w:t xml:space="preserve"> will be presented. Participants will explore ways of enhancing children’s books to enrich the reader’s mathematical and literary experiences.</w:t>
      </w:r>
    </w:p>
    <w:p w14:paraId="24829D24" w14:textId="77777777" w:rsidR="0019219C" w:rsidRPr="0045794E" w:rsidRDefault="0019219C" w:rsidP="0045794E">
      <w:pPr>
        <w:rPr>
          <w:rFonts w:asciiTheme="minorHAnsi" w:hAnsiTheme="minorHAnsi" w:cstheme="minorHAnsi"/>
          <w:b/>
          <w:bCs/>
        </w:rPr>
      </w:pPr>
    </w:p>
    <w:p w14:paraId="0C11E876" w14:textId="366ADBBA" w:rsidR="0019219C" w:rsidRPr="00B03D38" w:rsidRDefault="0019219C" w:rsidP="0019219C">
      <w:pPr>
        <w:rPr>
          <w:rFonts w:asciiTheme="minorHAnsi" w:hAnsiTheme="minorHAnsi" w:cstheme="minorHAnsi"/>
        </w:rPr>
      </w:pPr>
      <w:r w:rsidRPr="00B03D38">
        <w:rPr>
          <w:rFonts w:asciiTheme="minorHAnsi" w:hAnsiTheme="minorHAnsi" w:cstheme="minorHAnsi"/>
          <w:b/>
          <w:bCs/>
        </w:rPr>
        <w:t>Biology</w:t>
      </w:r>
      <w:r w:rsidRPr="00B03D38">
        <w:rPr>
          <w:rFonts w:asciiTheme="minorHAnsi" w:hAnsiTheme="minorHAnsi" w:cstheme="minorHAnsi"/>
        </w:rPr>
        <w:t xml:space="preserve">: </w:t>
      </w:r>
    </w:p>
    <w:p w14:paraId="18441D2A" w14:textId="773CF475" w:rsidR="00C95016" w:rsidRPr="0045794E" w:rsidRDefault="00C95016" w:rsidP="0045794E">
      <w:pPr>
        <w:pStyle w:val="ListParagraph"/>
        <w:numPr>
          <w:ilvl w:val="0"/>
          <w:numId w:val="20"/>
        </w:numPr>
        <w:rPr>
          <w:rFonts w:asciiTheme="minorHAnsi" w:hAnsiTheme="minorHAnsi" w:cstheme="minorHAnsi"/>
          <w:b/>
          <w:bCs/>
          <w:color w:val="595959" w:themeColor="text1" w:themeTint="A6"/>
        </w:rPr>
      </w:pPr>
      <w:r w:rsidRPr="0045794E">
        <w:rPr>
          <w:rFonts w:asciiTheme="minorHAnsi" w:hAnsiTheme="minorHAnsi" w:cstheme="minorHAnsi"/>
          <w:b/>
          <w:bCs/>
          <w:color w:val="595959" w:themeColor="text1" w:themeTint="A6"/>
        </w:rPr>
        <w:t>EDC 778 - Methods of Teaching General Science I</w:t>
      </w:r>
    </w:p>
    <w:p w14:paraId="08FBF0A8" w14:textId="682BC70C" w:rsidR="00D622CD" w:rsidRPr="00370898" w:rsidRDefault="0019219C" w:rsidP="00370898">
      <w:pPr>
        <w:pStyle w:val="ListParagraph"/>
        <w:numPr>
          <w:ilvl w:val="0"/>
          <w:numId w:val="26"/>
        </w:numPr>
        <w:rPr>
          <w:rFonts w:asciiTheme="minorHAnsi" w:hAnsiTheme="minorHAnsi" w:cstheme="minorHAnsi"/>
        </w:rPr>
      </w:pPr>
      <w:r w:rsidRPr="00370898">
        <w:rPr>
          <w:rFonts w:asciiTheme="minorHAnsi" w:hAnsiTheme="minorHAnsi" w:cstheme="minorHAnsi"/>
        </w:rPr>
        <w:t xml:space="preserve">3 Credit(s) This course is the first of two designed to provide students with the training to be a teacher of General Science at the elementary or middle school level. Topics include the teaching of </w:t>
      </w:r>
      <w:r w:rsidRPr="00370898">
        <w:rPr>
          <w:rFonts w:asciiTheme="minorHAnsi" w:hAnsiTheme="minorHAnsi" w:cstheme="minorHAnsi"/>
          <w:b/>
          <w:bCs/>
        </w:rPr>
        <w:t>biology</w:t>
      </w:r>
      <w:r w:rsidRPr="00370898">
        <w:rPr>
          <w:rFonts w:asciiTheme="minorHAnsi" w:hAnsiTheme="minorHAnsi" w:cstheme="minorHAnsi"/>
          <w:i/>
          <w:iCs/>
        </w:rPr>
        <w:t>, chemistry, earth and space science, and physics</w:t>
      </w:r>
      <w:r w:rsidRPr="00370898">
        <w:rPr>
          <w:rFonts w:asciiTheme="minorHAnsi" w:hAnsiTheme="minorHAnsi" w:cstheme="minorHAnsi"/>
        </w:rPr>
        <w:t>. Instruction will focus on methods and materials in the classroom, curricular issues and professional concerns, analysis of the teaching/learning processes, and a study of relevant teaching General Science.</w:t>
      </w:r>
    </w:p>
    <w:sectPr w:rsidR="00D622CD" w:rsidRPr="00370898" w:rsidSect="00D622CD">
      <w:pgSz w:w="12240" w:h="15840"/>
      <w:pgMar w:top="1008" w:right="1008" w:bottom="1008" w:left="1008"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FE427" w14:textId="77777777" w:rsidR="00180594" w:rsidRDefault="00180594" w:rsidP="00692A12">
      <w:r>
        <w:separator/>
      </w:r>
    </w:p>
  </w:endnote>
  <w:endnote w:type="continuationSeparator" w:id="0">
    <w:p w14:paraId="4E3E3429" w14:textId="77777777" w:rsidR="00180594" w:rsidRDefault="00180594" w:rsidP="0069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E688F" w14:textId="2B9E31D9" w:rsidR="00664C38" w:rsidRDefault="009B602B">
    <w:pPr>
      <w:pStyle w:val="Footer"/>
      <w:pBdr>
        <w:top w:val="thinThickSmallGap" w:sz="24" w:space="1" w:color="622423" w:themeColor="accent2" w:themeShade="7F"/>
      </w:pBdr>
      <w:rPr>
        <w:rFonts w:asciiTheme="majorHAnsi" w:hAnsiTheme="majorHAnsi"/>
      </w:rPr>
    </w:pPr>
    <w:r>
      <w:rPr>
        <w:rFonts w:asciiTheme="minorHAnsi" w:hAnsiTheme="minorHAnsi"/>
        <w:sz w:val="20"/>
        <w:szCs w:val="20"/>
      </w:rPr>
      <w:t>Summary of</w:t>
    </w:r>
    <w:r w:rsidR="0009069A">
      <w:rPr>
        <w:rFonts w:asciiTheme="minorHAnsi" w:hAnsiTheme="minorHAnsi"/>
        <w:sz w:val="20"/>
        <w:szCs w:val="20"/>
      </w:rPr>
      <w:t xml:space="preserve"> </w:t>
    </w:r>
    <w:r w:rsidR="00961715">
      <w:rPr>
        <w:rFonts w:asciiTheme="minorHAnsi" w:hAnsiTheme="minorHAnsi"/>
        <w:sz w:val="20"/>
        <w:szCs w:val="20"/>
      </w:rPr>
      <w:t>February 2023</w:t>
    </w:r>
    <w:r w:rsidR="0009069A">
      <w:rPr>
        <w:rFonts w:asciiTheme="minorHAnsi" w:hAnsiTheme="minorHAnsi"/>
        <w:sz w:val="20"/>
        <w:szCs w:val="20"/>
      </w:rPr>
      <w:t xml:space="preserve"> Regulation Changes</w:t>
    </w:r>
    <w:r w:rsidR="00664C38">
      <w:rPr>
        <w:rFonts w:asciiTheme="majorHAnsi" w:hAnsiTheme="majorHAnsi"/>
      </w:rPr>
      <w:ptab w:relativeTo="margin" w:alignment="right" w:leader="none"/>
    </w:r>
    <w:r w:rsidR="00664C38">
      <w:rPr>
        <w:rFonts w:asciiTheme="majorHAnsi" w:hAnsiTheme="majorHAnsi"/>
      </w:rPr>
      <w:t xml:space="preserve">Page </w:t>
    </w:r>
    <w:r w:rsidR="00884DA3">
      <w:fldChar w:fldCharType="begin"/>
    </w:r>
    <w:r w:rsidR="00562DEF">
      <w:instrText xml:space="preserve"> PAGE   \* MERGEFORMAT </w:instrText>
    </w:r>
    <w:r w:rsidR="00884DA3">
      <w:fldChar w:fldCharType="separate"/>
    </w:r>
    <w:r w:rsidR="00D95989" w:rsidRPr="00D95989">
      <w:rPr>
        <w:rFonts w:asciiTheme="majorHAnsi" w:hAnsiTheme="majorHAnsi"/>
        <w:noProof/>
      </w:rPr>
      <w:t>1</w:t>
    </w:r>
    <w:r w:rsidR="00884DA3">
      <w:rPr>
        <w:rFonts w:asciiTheme="majorHAnsi" w:hAnsiTheme="majorHAnsi"/>
        <w:noProof/>
      </w:rPr>
      <w:fldChar w:fldCharType="end"/>
    </w:r>
  </w:p>
  <w:p w14:paraId="7A2E3327" w14:textId="77777777" w:rsidR="00664C38" w:rsidRDefault="00664C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9B832" w14:textId="77777777" w:rsidR="00180594" w:rsidRDefault="00180594" w:rsidP="00692A12">
      <w:r>
        <w:separator/>
      </w:r>
    </w:p>
  </w:footnote>
  <w:footnote w:type="continuationSeparator" w:id="0">
    <w:p w14:paraId="41C6B084" w14:textId="77777777" w:rsidR="00180594" w:rsidRDefault="00180594" w:rsidP="0069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914C5"/>
    <w:multiLevelType w:val="hybridMultilevel"/>
    <w:tmpl w:val="F96A2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B4394"/>
    <w:multiLevelType w:val="hybridMultilevel"/>
    <w:tmpl w:val="AE846F8E"/>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 w15:restartNumberingAfterBreak="0">
    <w:nsid w:val="0D1C2D7A"/>
    <w:multiLevelType w:val="hybridMultilevel"/>
    <w:tmpl w:val="D59AF5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444FC0"/>
    <w:multiLevelType w:val="hybridMultilevel"/>
    <w:tmpl w:val="6372A8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06F80"/>
    <w:multiLevelType w:val="hybridMultilevel"/>
    <w:tmpl w:val="ABB8424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7EE295A"/>
    <w:multiLevelType w:val="hybridMultilevel"/>
    <w:tmpl w:val="222EA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F536B8"/>
    <w:multiLevelType w:val="hybridMultilevel"/>
    <w:tmpl w:val="65C25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B52AD"/>
    <w:multiLevelType w:val="hybridMultilevel"/>
    <w:tmpl w:val="F588F6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E80068"/>
    <w:multiLevelType w:val="hybridMultilevel"/>
    <w:tmpl w:val="7B2A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B002F"/>
    <w:multiLevelType w:val="multilevel"/>
    <w:tmpl w:val="9216CEDC"/>
    <w:lvl w:ilvl="0">
      <w:start w:val="1"/>
      <w:numFmt w:val="decimal"/>
      <w:lvlText w:val="%1."/>
      <w:lvlJc w:val="left"/>
      <w:pPr>
        <w:tabs>
          <w:tab w:val="num" w:pos="720"/>
        </w:tabs>
        <w:ind w:left="7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2160"/>
        </w:tabs>
        <w:ind w:left="2160" w:hanging="360"/>
      </w:pPr>
      <w:rPr>
        <w:i w:val="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9511C"/>
    <w:multiLevelType w:val="hybridMultilevel"/>
    <w:tmpl w:val="0A2CA212"/>
    <w:lvl w:ilvl="0" w:tplc="40821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3647D8"/>
    <w:multiLevelType w:val="hybridMultilevel"/>
    <w:tmpl w:val="5BF6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64119"/>
    <w:multiLevelType w:val="hybridMultilevel"/>
    <w:tmpl w:val="3D02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A3C98"/>
    <w:multiLevelType w:val="hybridMultilevel"/>
    <w:tmpl w:val="9A52A63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09004CD"/>
    <w:multiLevelType w:val="hybridMultilevel"/>
    <w:tmpl w:val="BA3C4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C0712"/>
    <w:multiLevelType w:val="hybridMultilevel"/>
    <w:tmpl w:val="C138FBF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4B4963A8"/>
    <w:multiLevelType w:val="hybridMultilevel"/>
    <w:tmpl w:val="D7068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81D53"/>
    <w:multiLevelType w:val="hybridMultilevel"/>
    <w:tmpl w:val="3366312E"/>
    <w:lvl w:ilvl="0" w:tplc="DF5C6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FA7976"/>
    <w:multiLevelType w:val="hybridMultilevel"/>
    <w:tmpl w:val="9148F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73111"/>
    <w:multiLevelType w:val="hybridMultilevel"/>
    <w:tmpl w:val="3CDE71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FF04A63"/>
    <w:multiLevelType w:val="hybridMultilevel"/>
    <w:tmpl w:val="F318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9385A"/>
    <w:multiLevelType w:val="hybridMultilevel"/>
    <w:tmpl w:val="6A72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A0A14"/>
    <w:multiLevelType w:val="hybridMultilevel"/>
    <w:tmpl w:val="9704ECA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5406C82"/>
    <w:multiLevelType w:val="hybridMultilevel"/>
    <w:tmpl w:val="1F0C5172"/>
    <w:lvl w:ilvl="0" w:tplc="54D0284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B02CA"/>
    <w:multiLevelType w:val="hybridMultilevel"/>
    <w:tmpl w:val="27EA8BB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C551091"/>
    <w:multiLevelType w:val="hybridMultilevel"/>
    <w:tmpl w:val="9D8EF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2"/>
  </w:num>
  <w:num w:numId="4">
    <w:abstractNumId w:val="17"/>
  </w:num>
  <w:num w:numId="5">
    <w:abstractNumId w:val="10"/>
  </w:num>
  <w:num w:numId="6">
    <w:abstractNumId w:val="6"/>
  </w:num>
  <w:num w:numId="7">
    <w:abstractNumId w:val="25"/>
  </w:num>
  <w:num w:numId="8">
    <w:abstractNumId w:val="20"/>
  </w:num>
  <w:num w:numId="9">
    <w:abstractNumId w:val="11"/>
  </w:num>
  <w:num w:numId="10">
    <w:abstractNumId w:val="8"/>
  </w:num>
  <w:num w:numId="11">
    <w:abstractNumId w:val="9"/>
  </w:num>
  <w:num w:numId="12">
    <w:abstractNumId w:val="23"/>
  </w:num>
  <w:num w:numId="13">
    <w:abstractNumId w:val="7"/>
  </w:num>
  <w:num w:numId="14">
    <w:abstractNumId w:val="21"/>
  </w:num>
  <w:num w:numId="15">
    <w:abstractNumId w:val="5"/>
  </w:num>
  <w:num w:numId="16">
    <w:abstractNumId w:val="22"/>
  </w:num>
  <w:num w:numId="17">
    <w:abstractNumId w:val="4"/>
  </w:num>
  <w:num w:numId="18">
    <w:abstractNumId w:val="13"/>
  </w:num>
  <w:num w:numId="19">
    <w:abstractNumId w:val="19"/>
  </w:num>
  <w:num w:numId="20">
    <w:abstractNumId w:val="24"/>
  </w:num>
  <w:num w:numId="21">
    <w:abstractNumId w:val="15"/>
  </w:num>
  <w:num w:numId="22">
    <w:abstractNumId w:val="2"/>
  </w:num>
  <w:num w:numId="23">
    <w:abstractNumId w:val="1"/>
  </w:num>
  <w:num w:numId="24">
    <w:abstractNumId w:val="3"/>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2A"/>
    <w:rsid w:val="000016D2"/>
    <w:rsid w:val="00014CCF"/>
    <w:rsid w:val="0002328D"/>
    <w:rsid w:val="0002601A"/>
    <w:rsid w:val="000671F6"/>
    <w:rsid w:val="0009069A"/>
    <w:rsid w:val="000C2F21"/>
    <w:rsid w:val="0010691E"/>
    <w:rsid w:val="001115E0"/>
    <w:rsid w:val="0011752A"/>
    <w:rsid w:val="00180594"/>
    <w:rsid w:val="0019219C"/>
    <w:rsid w:val="002002DE"/>
    <w:rsid w:val="00246D95"/>
    <w:rsid w:val="0026651A"/>
    <w:rsid w:val="0026662E"/>
    <w:rsid w:val="002729DA"/>
    <w:rsid w:val="00296E90"/>
    <w:rsid w:val="002B11E2"/>
    <w:rsid w:val="002F7B0E"/>
    <w:rsid w:val="00316D9D"/>
    <w:rsid w:val="00323E5E"/>
    <w:rsid w:val="003341FF"/>
    <w:rsid w:val="00343500"/>
    <w:rsid w:val="00351C70"/>
    <w:rsid w:val="00370898"/>
    <w:rsid w:val="00380A58"/>
    <w:rsid w:val="003B18F3"/>
    <w:rsid w:val="003D7BF2"/>
    <w:rsid w:val="003E4D6A"/>
    <w:rsid w:val="0043516B"/>
    <w:rsid w:val="004373AD"/>
    <w:rsid w:val="00437ECF"/>
    <w:rsid w:val="0045794E"/>
    <w:rsid w:val="0049724D"/>
    <w:rsid w:val="004B252D"/>
    <w:rsid w:val="004C17D8"/>
    <w:rsid w:val="004D63E3"/>
    <w:rsid w:val="004E34B8"/>
    <w:rsid w:val="00507034"/>
    <w:rsid w:val="00522F3F"/>
    <w:rsid w:val="00524411"/>
    <w:rsid w:val="005404DB"/>
    <w:rsid w:val="00542743"/>
    <w:rsid w:val="00562DEF"/>
    <w:rsid w:val="005A0432"/>
    <w:rsid w:val="005A701C"/>
    <w:rsid w:val="005D1993"/>
    <w:rsid w:val="005F38DC"/>
    <w:rsid w:val="005F5564"/>
    <w:rsid w:val="00602216"/>
    <w:rsid w:val="00664C38"/>
    <w:rsid w:val="00690F25"/>
    <w:rsid w:val="00692A12"/>
    <w:rsid w:val="00695C27"/>
    <w:rsid w:val="00697A3E"/>
    <w:rsid w:val="006A19B6"/>
    <w:rsid w:val="006B194D"/>
    <w:rsid w:val="006C37F6"/>
    <w:rsid w:val="006C4515"/>
    <w:rsid w:val="006C573B"/>
    <w:rsid w:val="00732B66"/>
    <w:rsid w:val="00746F21"/>
    <w:rsid w:val="007904AE"/>
    <w:rsid w:val="00790A05"/>
    <w:rsid w:val="007A3C82"/>
    <w:rsid w:val="007B7E76"/>
    <w:rsid w:val="007D1DF7"/>
    <w:rsid w:val="008517DB"/>
    <w:rsid w:val="008667D2"/>
    <w:rsid w:val="00884DA3"/>
    <w:rsid w:val="008B1B86"/>
    <w:rsid w:val="008D50B3"/>
    <w:rsid w:val="00901295"/>
    <w:rsid w:val="0095681F"/>
    <w:rsid w:val="00961715"/>
    <w:rsid w:val="00972304"/>
    <w:rsid w:val="00972837"/>
    <w:rsid w:val="00973C93"/>
    <w:rsid w:val="00977813"/>
    <w:rsid w:val="009B3D10"/>
    <w:rsid w:val="009B602B"/>
    <w:rsid w:val="009C2237"/>
    <w:rsid w:val="00A13C6B"/>
    <w:rsid w:val="00A26251"/>
    <w:rsid w:val="00A447A8"/>
    <w:rsid w:val="00A536CF"/>
    <w:rsid w:val="00A72EEE"/>
    <w:rsid w:val="00AC5241"/>
    <w:rsid w:val="00AD35EF"/>
    <w:rsid w:val="00AF7998"/>
    <w:rsid w:val="00B03D38"/>
    <w:rsid w:val="00B05AA6"/>
    <w:rsid w:val="00B17EB8"/>
    <w:rsid w:val="00B3438E"/>
    <w:rsid w:val="00B476A4"/>
    <w:rsid w:val="00B66CCA"/>
    <w:rsid w:val="00B72E6F"/>
    <w:rsid w:val="00BC101F"/>
    <w:rsid w:val="00BC3D0E"/>
    <w:rsid w:val="00BE0A06"/>
    <w:rsid w:val="00C01DF7"/>
    <w:rsid w:val="00C21D7B"/>
    <w:rsid w:val="00C27473"/>
    <w:rsid w:val="00C34A31"/>
    <w:rsid w:val="00C522CB"/>
    <w:rsid w:val="00C6396B"/>
    <w:rsid w:val="00C75D55"/>
    <w:rsid w:val="00C86065"/>
    <w:rsid w:val="00C9421B"/>
    <w:rsid w:val="00C95016"/>
    <w:rsid w:val="00CB3715"/>
    <w:rsid w:val="00CB79E2"/>
    <w:rsid w:val="00CD11D7"/>
    <w:rsid w:val="00CD4D51"/>
    <w:rsid w:val="00CE1AFE"/>
    <w:rsid w:val="00CE6107"/>
    <w:rsid w:val="00D004D6"/>
    <w:rsid w:val="00D120BD"/>
    <w:rsid w:val="00D24A2B"/>
    <w:rsid w:val="00D43C51"/>
    <w:rsid w:val="00D446E0"/>
    <w:rsid w:val="00D5648F"/>
    <w:rsid w:val="00D5656C"/>
    <w:rsid w:val="00D613C3"/>
    <w:rsid w:val="00D622CD"/>
    <w:rsid w:val="00D673D6"/>
    <w:rsid w:val="00D95989"/>
    <w:rsid w:val="00DD10BA"/>
    <w:rsid w:val="00DE7B18"/>
    <w:rsid w:val="00DF7398"/>
    <w:rsid w:val="00E00E17"/>
    <w:rsid w:val="00E24FC0"/>
    <w:rsid w:val="00E26F76"/>
    <w:rsid w:val="00E315EE"/>
    <w:rsid w:val="00E36747"/>
    <w:rsid w:val="00E871C0"/>
    <w:rsid w:val="00EC546B"/>
    <w:rsid w:val="00EC6073"/>
    <w:rsid w:val="00EE69D1"/>
    <w:rsid w:val="00F13508"/>
    <w:rsid w:val="00F24B8C"/>
    <w:rsid w:val="00FA261E"/>
    <w:rsid w:val="00FA43CE"/>
    <w:rsid w:val="00FC375D"/>
    <w:rsid w:val="00FE4933"/>
    <w:rsid w:val="00FE7D1F"/>
    <w:rsid w:val="00FF2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3628F"/>
  <w15:docId w15:val="{26A41236-4EDD-4721-A3DB-12028AE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998"/>
    <w:rPr>
      <w:sz w:val="24"/>
      <w:szCs w:val="24"/>
    </w:rPr>
  </w:style>
  <w:style w:type="paragraph" w:styleId="Heading1">
    <w:name w:val="heading 1"/>
    <w:basedOn w:val="Normal"/>
    <w:next w:val="Normal"/>
    <w:link w:val="Heading1Char"/>
    <w:qFormat/>
    <w:rsid w:val="00EC6073"/>
    <w:pPr>
      <w:spacing w:before="240" w:after="120" w:line="276" w:lineRule="auto"/>
      <w:outlineLvl w:val="0"/>
    </w:pPr>
    <w:rPr>
      <w:rFonts w:asciiTheme="minorHAnsi" w:hAnsiTheme="minorHAnsi"/>
      <w:b/>
      <w:color w:val="244061" w:themeColor="accent1" w:themeShade="80"/>
      <w:sz w:val="28"/>
      <w:szCs w:val="28"/>
      <w:u w:val="single"/>
    </w:rPr>
  </w:style>
  <w:style w:type="paragraph" w:styleId="Heading3">
    <w:name w:val="heading 3"/>
    <w:basedOn w:val="Normal"/>
    <w:next w:val="Normal"/>
    <w:link w:val="Heading3Char"/>
    <w:semiHidden/>
    <w:unhideWhenUsed/>
    <w:qFormat/>
    <w:rsid w:val="0019219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9DA"/>
    <w:pPr>
      <w:ind w:left="720"/>
      <w:contextualSpacing/>
    </w:pPr>
  </w:style>
  <w:style w:type="paragraph" w:styleId="BalloonText">
    <w:name w:val="Balloon Text"/>
    <w:basedOn w:val="Normal"/>
    <w:link w:val="BalloonTextChar"/>
    <w:rsid w:val="00FE7D1F"/>
    <w:rPr>
      <w:rFonts w:ascii="Tahoma" w:hAnsi="Tahoma" w:cs="Tahoma"/>
      <w:sz w:val="16"/>
      <w:szCs w:val="16"/>
    </w:rPr>
  </w:style>
  <w:style w:type="character" w:customStyle="1" w:styleId="BalloonTextChar">
    <w:name w:val="Balloon Text Char"/>
    <w:basedOn w:val="DefaultParagraphFont"/>
    <w:link w:val="BalloonText"/>
    <w:rsid w:val="00FE7D1F"/>
    <w:rPr>
      <w:rFonts w:ascii="Tahoma" w:hAnsi="Tahoma" w:cs="Tahoma"/>
      <w:sz w:val="16"/>
      <w:szCs w:val="16"/>
    </w:rPr>
  </w:style>
  <w:style w:type="paragraph" w:styleId="Header">
    <w:name w:val="header"/>
    <w:basedOn w:val="Normal"/>
    <w:link w:val="HeaderChar"/>
    <w:rsid w:val="00692A12"/>
    <w:pPr>
      <w:tabs>
        <w:tab w:val="center" w:pos="4680"/>
        <w:tab w:val="right" w:pos="9360"/>
      </w:tabs>
    </w:pPr>
  </w:style>
  <w:style w:type="character" w:customStyle="1" w:styleId="HeaderChar">
    <w:name w:val="Header Char"/>
    <w:basedOn w:val="DefaultParagraphFont"/>
    <w:link w:val="Header"/>
    <w:rsid w:val="00692A12"/>
    <w:rPr>
      <w:sz w:val="24"/>
      <w:szCs w:val="24"/>
    </w:rPr>
  </w:style>
  <w:style w:type="paragraph" w:styleId="Footer">
    <w:name w:val="footer"/>
    <w:basedOn w:val="Normal"/>
    <w:link w:val="FooterChar"/>
    <w:uiPriority w:val="99"/>
    <w:rsid w:val="00692A12"/>
    <w:pPr>
      <w:tabs>
        <w:tab w:val="center" w:pos="4680"/>
        <w:tab w:val="right" w:pos="9360"/>
      </w:tabs>
    </w:pPr>
  </w:style>
  <w:style w:type="character" w:customStyle="1" w:styleId="FooterChar">
    <w:name w:val="Footer Char"/>
    <w:basedOn w:val="DefaultParagraphFont"/>
    <w:link w:val="Footer"/>
    <w:uiPriority w:val="99"/>
    <w:rsid w:val="00692A12"/>
    <w:rPr>
      <w:sz w:val="24"/>
      <w:szCs w:val="24"/>
    </w:rPr>
  </w:style>
  <w:style w:type="paragraph" w:styleId="NormalWeb">
    <w:name w:val="Normal (Web)"/>
    <w:basedOn w:val="Normal"/>
    <w:uiPriority w:val="99"/>
    <w:unhideWhenUsed/>
    <w:rsid w:val="009B602B"/>
    <w:pPr>
      <w:spacing w:after="200" w:line="276" w:lineRule="auto"/>
    </w:pPr>
    <w:rPr>
      <w:rFonts w:eastAsiaTheme="minorHAnsi"/>
    </w:rPr>
  </w:style>
  <w:style w:type="character" w:styleId="Hyperlink">
    <w:name w:val="Hyperlink"/>
    <w:basedOn w:val="DefaultParagraphFont"/>
    <w:uiPriority w:val="99"/>
    <w:unhideWhenUsed/>
    <w:rsid w:val="009B602B"/>
    <w:rPr>
      <w:color w:val="0000FF"/>
      <w:u w:val="single"/>
    </w:rPr>
  </w:style>
  <w:style w:type="table" w:styleId="TableGrid">
    <w:name w:val="Table Grid"/>
    <w:basedOn w:val="TableNormal"/>
    <w:uiPriority w:val="59"/>
    <w:rsid w:val="00B72E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C6073"/>
    <w:rPr>
      <w:rFonts w:asciiTheme="minorHAnsi" w:hAnsiTheme="minorHAnsi"/>
      <w:b/>
      <w:color w:val="244061" w:themeColor="accent1" w:themeShade="80"/>
      <w:sz w:val="28"/>
      <w:szCs w:val="28"/>
      <w:u w:val="single"/>
    </w:rPr>
  </w:style>
  <w:style w:type="character" w:styleId="CommentReference">
    <w:name w:val="annotation reference"/>
    <w:basedOn w:val="DefaultParagraphFont"/>
    <w:semiHidden/>
    <w:unhideWhenUsed/>
    <w:rsid w:val="00961715"/>
    <w:rPr>
      <w:sz w:val="16"/>
      <w:szCs w:val="16"/>
    </w:rPr>
  </w:style>
  <w:style w:type="paragraph" w:styleId="CommentText">
    <w:name w:val="annotation text"/>
    <w:basedOn w:val="Normal"/>
    <w:link w:val="CommentTextChar"/>
    <w:semiHidden/>
    <w:unhideWhenUsed/>
    <w:rsid w:val="00961715"/>
    <w:rPr>
      <w:sz w:val="20"/>
      <w:szCs w:val="20"/>
    </w:rPr>
  </w:style>
  <w:style w:type="character" w:customStyle="1" w:styleId="CommentTextChar">
    <w:name w:val="Comment Text Char"/>
    <w:basedOn w:val="DefaultParagraphFont"/>
    <w:link w:val="CommentText"/>
    <w:semiHidden/>
    <w:rsid w:val="00961715"/>
  </w:style>
  <w:style w:type="paragraph" w:styleId="CommentSubject">
    <w:name w:val="annotation subject"/>
    <w:basedOn w:val="CommentText"/>
    <w:next w:val="CommentText"/>
    <w:link w:val="CommentSubjectChar"/>
    <w:semiHidden/>
    <w:unhideWhenUsed/>
    <w:rsid w:val="00961715"/>
    <w:rPr>
      <w:b/>
      <w:bCs/>
    </w:rPr>
  </w:style>
  <w:style w:type="character" w:customStyle="1" w:styleId="CommentSubjectChar">
    <w:name w:val="Comment Subject Char"/>
    <w:basedOn w:val="CommentTextChar"/>
    <w:link w:val="CommentSubject"/>
    <w:semiHidden/>
    <w:rsid w:val="00961715"/>
    <w:rPr>
      <w:b/>
      <w:bCs/>
    </w:rPr>
  </w:style>
  <w:style w:type="character" w:styleId="UnresolvedMention">
    <w:name w:val="Unresolved Mention"/>
    <w:basedOn w:val="DefaultParagraphFont"/>
    <w:uiPriority w:val="99"/>
    <w:semiHidden/>
    <w:unhideWhenUsed/>
    <w:rsid w:val="005F5564"/>
    <w:rPr>
      <w:color w:val="605E5C"/>
      <w:shd w:val="clear" w:color="auto" w:fill="E1DFDD"/>
    </w:rPr>
  </w:style>
  <w:style w:type="character" w:customStyle="1" w:styleId="Heading3Char">
    <w:name w:val="Heading 3 Char"/>
    <w:basedOn w:val="DefaultParagraphFont"/>
    <w:link w:val="Heading3"/>
    <w:semiHidden/>
    <w:rsid w:val="0019219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92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498420">
      <w:bodyDiv w:val="1"/>
      <w:marLeft w:val="0"/>
      <w:marRight w:val="0"/>
      <w:marTop w:val="0"/>
      <w:marBottom w:val="0"/>
      <w:divBdr>
        <w:top w:val="none" w:sz="0" w:space="0" w:color="auto"/>
        <w:left w:val="none" w:sz="0" w:space="0" w:color="auto"/>
        <w:bottom w:val="none" w:sz="0" w:space="0" w:color="auto"/>
        <w:right w:val="none" w:sz="0" w:space="0" w:color="auto"/>
      </w:divBdr>
    </w:div>
    <w:div w:id="1023019664">
      <w:bodyDiv w:val="1"/>
      <w:marLeft w:val="0"/>
      <w:marRight w:val="0"/>
      <w:marTop w:val="0"/>
      <w:marBottom w:val="0"/>
      <w:divBdr>
        <w:top w:val="none" w:sz="0" w:space="0" w:color="auto"/>
        <w:left w:val="none" w:sz="0" w:space="0" w:color="auto"/>
        <w:bottom w:val="none" w:sz="0" w:space="0" w:color="auto"/>
        <w:right w:val="none" w:sz="0" w:space="0" w:color="auto"/>
      </w:divBdr>
    </w:div>
    <w:div w:id="1698040125">
      <w:bodyDiv w:val="1"/>
      <w:marLeft w:val="0"/>
      <w:marRight w:val="0"/>
      <w:marTop w:val="0"/>
      <w:marBottom w:val="0"/>
      <w:divBdr>
        <w:top w:val="none" w:sz="0" w:space="0" w:color="auto"/>
        <w:left w:val="none" w:sz="0" w:space="0" w:color="auto"/>
        <w:bottom w:val="none" w:sz="0" w:space="0" w:color="auto"/>
        <w:right w:val="none" w:sz="0" w:space="0" w:color="auto"/>
      </w:divBdr>
    </w:div>
    <w:div w:id="20452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e.mass.edu/mte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DESE-231-57257</_dlc_DocId>
    <_dlc_DocIdUrl xmlns="733efe1c-5bbe-4968-87dc-d400e65c879f">
      <Url>https://sharepoint.doemass.org/ese/webteam/cps/_layouts/DocIdRedir.aspx?ID=DESE-231-57257</Url>
      <Description>DESE-231-57257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2B8A10-DF86-4743-B726-1DB198A8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10DCF-38ED-4928-BD46-98CF39D95DE9}">
  <ds:schemaRefs>
    <ds:schemaRef ds:uri="http://schemas.microsoft.com/sharepoint/v3/contenttype/forms"/>
  </ds:schemaRefs>
</ds:datastoreItem>
</file>

<file path=customXml/itemProps3.xml><?xml version="1.0" encoding="utf-8"?>
<ds:datastoreItem xmlns:ds="http://schemas.openxmlformats.org/officeDocument/2006/customXml" ds:itemID="{D038B4B3-569E-4F17-AB0B-AA74C28033D8}">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FC5A9B9D-B390-4869-9B00-171B4DCFB2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Summary of June 2017 Board Regulation Changes</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February 2023 Board Regulation Changes</dc:title>
  <dc:subject/>
  <dc:creator>DESE</dc:creator>
  <cp:lastModifiedBy>Zou, Dong (EOE)</cp:lastModifiedBy>
  <cp:revision>5</cp:revision>
  <cp:lastPrinted>2017-08-02T16:01:00Z</cp:lastPrinted>
  <dcterms:created xsi:type="dcterms:W3CDTF">2023-03-31T17:09:00Z</dcterms:created>
  <dcterms:modified xsi:type="dcterms:W3CDTF">2023-03-31T17:32:00Z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2023 12:00AM</vt:lpwstr>
  </property>
</Properties>
</file>