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07" w:type="dxa"/>
        <w:tblCellMar>
          <w:left w:w="115" w:type="dxa"/>
          <w:right w:w="115" w:type="dxa"/>
        </w:tblCellMar>
        <w:tblLook w:val="04A0" w:firstRow="1" w:lastRow="0" w:firstColumn="1" w:lastColumn="0" w:noHBand="0" w:noVBand="1"/>
      </w:tblPr>
      <w:tblGrid>
        <w:gridCol w:w="4852"/>
        <w:gridCol w:w="4855"/>
      </w:tblGrid>
      <w:tr w:rsidR="00281EE8" w14:paraId="3FEC4C27" w14:textId="77777777" w:rsidTr="00205B17">
        <w:trPr>
          <w:trHeight w:val="388"/>
        </w:trPr>
        <w:tc>
          <w:tcPr>
            <w:tcW w:w="9707" w:type="dxa"/>
            <w:gridSpan w:val="2"/>
            <w:shd w:val="clear" w:color="auto" w:fill="D9D9D9" w:themeFill="background1" w:themeFillShade="D9"/>
          </w:tcPr>
          <w:p w14:paraId="24ADF066" w14:textId="52D3D97E" w:rsidR="00281EE8" w:rsidRPr="00AE1842" w:rsidRDefault="00281EE8" w:rsidP="00AE1842">
            <w:pPr>
              <w:jc w:val="center"/>
              <w:rPr>
                <w:rFonts w:ascii="Arial Rounded MT Bold" w:hAnsi="Arial Rounded MT Bold"/>
                <w:sz w:val="32"/>
                <w:szCs w:val="32"/>
              </w:rPr>
            </w:pPr>
            <w:r w:rsidRPr="00AE1842">
              <w:rPr>
                <w:rFonts w:ascii="Arial Rounded MT Bold" w:hAnsi="Arial Rounded MT Bold"/>
                <w:sz w:val="32"/>
                <w:szCs w:val="32"/>
              </w:rPr>
              <w:t>FOUNDATIONAL CONCEPTS</w:t>
            </w:r>
          </w:p>
        </w:tc>
      </w:tr>
      <w:tr w:rsidR="00281EE8" w14:paraId="1C788FD4" w14:textId="77777777" w:rsidTr="00205B17">
        <w:trPr>
          <w:trHeight w:val="409"/>
        </w:trPr>
        <w:tc>
          <w:tcPr>
            <w:tcW w:w="9707" w:type="dxa"/>
            <w:gridSpan w:val="2"/>
            <w:shd w:val="clear" w:color="auto" w:fill="DEEAF6" w:themeFill="accent5" w:themeFillTint="33"/>
          </w:tcPr>
          <w:p w14:paraId="0CAE7985" w14:textId="37FBD2D4" w:rsidR="00281EE8" w:rsidRPr="009C1AC5" w:rsidRDefault="00281EE8" w:rsidP="00AE1842">
            <w:pPr>
              <w:jc w:val="center"/>
              <w:rPr>
                <w:rFonts w:ascii="Calibri" w:hAnsi="Calibri" w:cs="Calibri"/>
                <w:b/>
                <w:bCs/>
                <w:sz w:val="32"/>
                <w:szCs w:val="32"/>
              </w:rPr>
            </w:pPr>
            <w:r w:rsidRPr="009C1AC5">
              <w:rPr>
                <w:rFonts w:ascii="Calibri" w:hAnsi="Calibri" w:cs="Calibri"/>
                <w:b/>
                <w:bCs/>
                <w:sz w:val="32"/>
                <w:szCs w:val="32"/>
              </w:rPr>
              <w:t>Language Learning through Content Instruction</w:t>
            </w:r>
          </w:p>
        </w:tc>
      </w:tr>
      <w:tr w:rsidR="00281EE8" w14:paraId="34EEA2B5" w14:textId="77777777" w:rsidTr="00205B17">
        <w:trPr>
          <w:trHeight w:val="358"/>
        </w:trPr>
        <w:tc>
          <w:tcPr>
            <w:tcW w:w="9707" w:type="dxa"/>
            <w:gridSpan w:val="2"/>
          </w:tcPr>
          <w:p w14:paraId="20B7596E" w14:textId="5CF34E08" w:rsidR="00281EE8" w:rsidRPr="009C1AC5" w:rsidRDefault="00281EE8" w:rsidP="00AE1842">
            <w:pPr>
              <w:jc w:val="center"/>
              <w:rPr>
                <w:rFonts w:cstheme="minorHAnsi"/>
                <w:b/>
                <w:bCs/>
                <w:i/>
                <w:iCs/>
                <w:sz w:val="32"/>
                <w:szCs w:val="32"/>
              </w:rPr>
            </w:pPr>
            <w:r w:rsidRPr="009C1AC5">
              <w:rPr>
                <w:rFonts w:cstheme="minorHAnsi"/>
                <w:b/>
                <w:bCs/>
                <w:i/>
                <w:iCs/>
                <w:sz w:val="32"/>
                <w:szCs w:val="32"/>
              </w:rPr>
              <w:t>Instructional Supports</w:t>
            </w:r>
          </w:p>
        </w:tc>
      </w:tr>
      <w:tr w:rsidR="00281EE8" w14:paraId="17CE947C" w14:textId="77777777" w:rsidTr="00205B17">
        <w:trPr>
          <w:trHeight w:val="3128"/>
        </w:trPr>
        <w:tc>
          <w:tcPr>
            <w:tcW w:w="4852" w:type="dxa"/>
            <w:shd w:val="clear" w:color="auto" w:fill="FFF2CC" w:themeFill="accent4" w:themeFillTint="33"/>
          </w:tcPr>
          <w:p w14:paraId="68A6BBA7" w14:textId="6DB14F1C" w:rsidR="00281EE8" w:rsidRPr="00AB1731" w:rsidRDefault="00281EE8" w:rsidP="00EE7F2E">
            <w:pPr>
              <w:jc w:val="center"/>
              <w:rPr>
                <w:b/>
                <w:bCs/>
              </w:rPr>
            </w:pPr>
            <w:r w:rsidRPr="00AB1731">
              <w:rPr>
                <w:b/>
                <w:bCs/>
              </w:rPr>
              <w:t>Sensory Supports</w:t>
            </w:r>
          </w:p>
          <w:p w14:paraId="78C8D53C" w14:textId="77777777" w:rsidR="00AB1731" w:rsidRDefault="00AB1731" w:rsidP="00EE7F2E"/>
          <w:p w14:paraId="5E1F8B7C" w14:textId="49D12D6F" w:rsidR="00281EE8" w:rsidRPr="00AB1731" w:rsidRDefault="00281EE8" w:rsidP="00EE7F2E">
            <w:pPr>
              <w:rPr>
                <w:i/>
                <w:iCs/>
              </w:rPr>
            </w:pPr>
            <w:r w:rsidRPr="00AB1731">
              <w:rPr>
                <w:i/>
                <w:iCs/>
              </w:rPr>
              <w:t>Visual, Auditory, Taste, Touch, Smell, Movement</w:t>
            </w:r>
          </w:p>
          <w:p w14:paraId="3B8056D1" w14:textId="77777777" w:rsidR="00AB1731" w:rsidRDefault="00AB1731" w:rsidP="00AB1731">
            <w:pPr>
              <w:jc w:val="center"/>
            </w:pPr>
          </w:p>
          <w:p w14:paraId="5D7BF3E9" w14:textId="4BA95DCD" w:rsidR="00281EE8" w:rsidRDefault="00281EE8" w:rsidP="00AB1731">
            <w:pPr>
              <w:jc w:val="center"/>
            </w:pPr>
            <w:r>
              <w:t>Sensory supports provide alternative ways to process information, other than via written or oral language.</w:t>
            </w:r>
          </w:p>
          <w:p w14:paraId="4A0511CD" w14:textId="77777777" w:rsidR="00AE1842" w:rsidRDefault="00AE1842" w:rsidP="00281EE8">
            <w:pPr>
              <w:jc w:val="center"/>
            </w:pPr>
          </w:p>
          <w:p w14:paraId="7EAF943F" w14:textId="77777777" w:rsidR="00AE1842" w:rsidRDefault="00AE1842" w:rsidP="00281EE8">
            <w:pPr>
              <w:jc w:val="center"/>
            </w:pPr>
          </w:p>
          <w:p w14:paraId="4836E678" w14:textId="77777777" w:rsidR="00AE1842" w:rsidRDefault="00AE1842" w:rsidP="00281EE8">
            <w:pPr>
              <w:jc w:val="center"/>
            </w:pPr>
          </w:p>
          <w:p w14:paraId="22B53762" w14:textId="30D721C2" w:rsidR="00AE1842" w:rsidRDefault="00AE1842" w:rsidP="00281EE8">
            <w:pPr>
              <w:jc w:val="center"/>
            </w:pPr>
          </w:p>
        </w:tc>
        <w:tc>
          <w:tcPr>
            <w:tcW w:w="4854" w:type="dxa"/>
            <w:shd w:val="clear" w:color="auto" w:fill="FFF2CC" w:themeFill="accent4" w:themeFillTint="33"/>
          </w:tcPr>
          <w:p w14:paraId="4AF274AF" w14:textId="77777777" w:rsidR="00205B17" w:rsidRDefault="00205B17" w:rsidP="00205B17">
            <w:pPr>
              <w:ind w:left="720"/>
            </w:pPr>
          </w:p>
          <w:p w14:paraId="18FE9C57" w14:textId="4A8AD3F7" w:rsidR="00281EE8" w:rsidRDefault="00281EE8" w:rsidP="00205B17">
            <w:pPr>
              <w:ind w:left="720"/>
            </w:pPr>
            <w:r w:rsidRPr="00281EE8">
              <w:t>Real-life objects (realia)</w:t>
            </w:r>
          </w:p>
          <w:p w14:paraId="44DC41A9" w14:textId="5F556290" w:rsidR="00281EE8" w:rsidRDefault="00281EE8" w:rsidP="00205B17">
            <w:pPr>
              <w:ind w:left="720"/>
            </w:pPr>
            <w:r w:rsidRPr="00281EE8">
              <w:t>Manipulatives</w:t>
            </w:r>
          </w:p>
          <w:p w14:paraId="4DBF3AC8" w14:textId="69B30FDE" w:rsidR="00281EE8" w:rsidRDefault="00281EE8" w:rsidP="00205B17">
            <w:pPr>
              <w:ind w:left="720"/>
            </w:pPr>
            <w:r w:rsidRPr="00281EE8">
              <w:t>Pictures &amp; photographs</w:t>
            </w:r>
          </w:p>
          <w:p w14:paraId="5238802C" w14:textId="1574A486" w:rsidR="00281EE8" w:rsidRDefault="00281EE8" w:rsidP="00205B17">
            <w:pPr>
              <w:ind w:left="720"/>
            </w:pPr>
            <w:r w:rsidRPr="00281EE8">
              <w:t>Illustrations, diagrams, drawings</w:t>
            </w:r>
          </w:p>
          <w:p w14:paraId="1A436D4A" w14:textId="36D8593C" w:rsidR="00281EE8" w:rsidRDefault="00281EE8" w:rsidP="00205B17">
            <w:pPr>
              <w:ind w:left="720"/>
            </w:pPr>
            <w:r w:rsidRPr="00281EE8">
              <w:t>Magazines &amp; newspapers</w:t>
            </w:r>
          </w:p>
          <w:p w14:paraId="37FBA5DD" w14:textId="24E42140" w:rsidR="00281EE8" w:rsidRDefault="00281EE8" w:rsidP="00205B17">
            <w:pPr>
              <w:ind w:left="720"/>
            </w:pPr>
            <w:r w:rsidRPr="00281EE8">
              <w:t>Physical activities</w:t>
            </w:r>
          </w:p>
          <w:p w14:paraId="276A31BF" w14:textId="5EDC4E8B" w:rsidR="00281EE8" w:rsidRDefault="00281EE8" w:rsidP="00205B17">
            <w:pPr>
              <w:ind w:left="720"/>
            </w:pPr>
            <w:r w:rsidRPr="00281EE8">
              <w:t>Video &amp; films</w:t>
            </w:r>
          </w:p>
          <w:p w14:paraId="0448E32F" w14:textId="44BE1079" w:rsidR="00281EE8" w:rsidRDefault="00281EE8" w:rsidP="00205B17">
            <w:pPr>
              <w:ind w:left="720"/>
            </w:pPr>
            <w:r w:rsidRPr="00281EE8">
              <w:t>Broadcasts</w:t>
            </w:r>
          </w:p>
          <w:p w14:paraId="1D1A5F81" w14:textId="30032901" w:rsidR="00281EE8" w:rsidRDefault="00281EE8" w:rsidP="00205B17">
            <w:pPr>
              <w:ind w:left="720"/>
            </w:pPr>
            <w:r w:rsidRPr="00281EE8">
              <w:t>Models &amp; figures</w:t>
            </w:r>
          </w:p>
        </w:tc>
      </w:tr>
      <w:tr w:rsidR="00281EE8" w14:paraId="3C5189E3" w14:textId="77777777" w:rsidTr="00205B17">
        <w:trPr>
          <w:trHeight w:val="3117"/>
        </w:trPr>
        <w:tc>
          <w:tcPr>
            <w:tcW w:w="4852" w:type="dxa"/>
            <w:shd w:val="clear" w:color="auto" w:fill="FBE4D5" w:themeFill="accent2" w:themeFillTint="33"/>
          </w:tcPr>
          <w:p w14:paraId="4FD14CD6" w14:textId="458F657E" w:rsidR="00281EE8" w:rsidRPr="00AB1731" w:rsidRDefault="00281EE8" w:rsidP="00AB1731">
            <w:pPr>
              <w:jc w:val="center"/>
              <w:rPr>
                <w:b/>
                <w:bCs/>
              </w:rPr>
            </w:pPr>
            <w:r w:rsidRPr="00AB1731">
              <w:rPr>
                <w:b/>
                <w:bCs/>
              </w:rPr>
              <w:t>Graphic Supports</w:t>
            </w:r>
          </w:p>
          <w:p w14:paraId="1EA78FAF" w14:textId="77777777" w:rsidR="00AB1731" w:rsidRDefault="00AB1731" w:rsidP="00AB1731">
            <w:pPr>
              <w:jc w:val="center"/>
            </w:pPr>
          </w:p>
          <w:p w14:paraId="7E36C1A4" w14:textId="5D2990DE" w:rsidR="00281EE8" w:rsidRPr="00AB1731" w:rsidRDefault="00281EE8" w:rsidP="00AB1731">
            <w:pPr>
              <w:jc w:val="center"/>
              <w:rPr>
                <w:i/>
                <w:iCs/>
              </w:rPr>
            </w:pPr>
            <w:r w:rsidRPr="00AB1731">
              <w:rPr>
                <w:i/>
                <w:iCs/>
              </w:rPr>
              <w:t>Venn diagrams, T-charts, Cycles, Cause and effect flow charts, Semantic webs</w:t>
            </w:r>
          </w:p>
          <w:p w14:paraId="37F8D395" w14:textId="77777777" w:rsidR="00AB1731" w:rsidRDefault="00AB1731" w:rsidP="00281EE8"/>
          <w:p w14:paraId="5D2DD2A0" w14:textId="5FD9D5DE" w:rsidR="00281EE8" w:rsidRDefault="00281EE8" w:rsidP="00AB1731">
            <w:pPr>
              <w:jc w:val="center"/>
            </w:pPr>
            <w:r>
              <w:t>Graphic supports are pictorial representations used to organize or summarize information.</w:t>
            </w:r>
          </w:p>
          <w:p w14:paraId="1BCB48AE" w14:textId="77777777" w:rsidR="00AE1842" w:rsidRDefault="00AE1842" w:rsidP="00281EE8"/>
          <w:p w14:paraId="580E6B7D" w14:textId="77777777" w:rsidR="00AE1842" w:rsidRDefault="00AE1842" w:rsidP="00281EE8"/>
          <w:p w14:paraId="4434FEF4" w14:textId="77777777" w:rsidR="00AE1842" w:rsidRDefault="00AE1842" w:rsidP="00281EE8"/>
          <w:p w14:paraId="0183AA4B" w14:textId="3C3E7C58" w:rsidR="00AE1842" w:rsidRDefault="00AE1842" w:rsidP="00281EE8"/>
        </w:tc>
        <w:tc>
          <w:tcPr>
            <w:tcW w:w="4854" w:type="dxa"/>
            <w:shd w:val="clear" w:color="auto" w:fill="FBE4D5" w:themeFill="accent2" w:themeFillTint="33"/>
          </w:tcPr>
          <w:p w14:paraId="58C8A76D" w14:textId="77777777" w:rsidR="00205B17" w:rsidRDefault="00205B17" w:rsidP="00205B17">
            <w:pPr>
              <w:ind w:left="720"/>
            </w:pPr>
          </w:p>
          <w:p w14:paraId="1875C91F" w14:textId="77777777" w:rsidR="00205B17" w:rsidRDefault="00205B17" w:rsidP="00205B17">
            <w:pPr>
              <w:ind w:left="720"/>
            </w:pPr>
          </w:p>
          <w:p w14:paraId="394BC074" w14:textId="3E1DCE07" w:rsidR="00AE1842" w:rsidRDefault="00AE1842" w:rsidP="00205B17">
            <w:pPr>
              <w:ind w:left="720"/>
            </w:pPr>
            <w:r w:rsidRPr="00AE1842">
              <w:t>Charts</w:t>
            </w:r>
          </w:p>
          <w:p w14:paraId="1738AB40" w14:textId="2ABCBCB0" w:rsidR="00AE1842" w:rsidRDefault="00AE1842" w:rsidP="00205B17">
            <w:pPr>
              <w:ind w:left="720"/>
            </w:pPr>
            <w:r w:rsidRPr="00AE1842">
              <w:t>Graphic Organizers</w:t>
            </w:r>
          </w:p>
          <w:p w14:paraId="6BF74854" w14:textId="259F7778" w:rsidR="00AE1842" w:rsidRDefault="00AE1842" w:rsidP="00205B17">
            <w:pPr>
              <w:ind w:left="720"/>
            </w:pPr>
            <w:r w:rsidRPr="00AE1842">
              <w:t>Tables</w:t>
            </w:r>
          </w:p>
          <w:p w14:paraId="4C32B429" w14:textId="71B6EDAA" w:rsidR="00AE1842" w:rsidRDefault="00AE1842" w:rsidP="00205B17">
            <w:pPr>
              <w:ind w:left="720"/>
            </w:pPr>
            <w:r w:rsidRPr="00AE1842">
              <w:t>Graphs</w:t>
            </w:r>
          </w:p>
          <w:p w14:paraId="5225F014" w14:textId="11C88002" w:rsidR="00AE1842" w:rsidRDefault="00AE1842" w:rsidP="00205B17">
            <w:pPr>
              <w:ind w:left="720"/>
            </w:pPr>
            <w:r w:rsidRPr="00AE1842">
              <w:t>Timelines</w:t>
            </w:r>
          </w:p>
          <w:p w14:paraId="3328B918" w14:textId="5036674E" w:rsidR="00281EE8" w:rsidRDefault="00AE1842" w:rsidP="00205B17">
            <w:pPr>
              <w:ind w:left="720"/>
            </w:pPr>
            <w:r w:rsidRPr="00AE1842">
              <w:t>Number lines</w:t>
            </w:r>
          </w:p>
        </w:tc>
      </w:tr>
      <w:tr w:rsidR="00281EE8" w14:paraId="7916A479" w14:textId="77777777" w:rsidTr="00056276">
        <w:trPr>
          <w:trHeight w:val="4546"/>
        </w:trPr>
        <w:tc>
          <w:tcPr>
            <w:tcW w:w="4852" w:type="dxa"/>
            <w:shd w:val="clear" w:color="auto" w:fill="E2EFD9" w:themeFill="accent6" w:themeFillTint="33"/>
          </w:tcPr>
          <w:p w14:paraId="71FD6183" w14:textId="2FC7617A" w:rsidR="00281EE8" w:rsidRPr="00CB3064" w:rsidRDefault="00281EE8" w:rsidP="00CB3064">
            <w:pPr>
              <w:jc w:val="center"/>
              <w:rPr>
                <w:b/>
                <w:bCs/>
              </w:rPr>
            </w:pPr>
            <w:r w:rsidRPr="00CB3064">
              <w:rPr>
                <w:b/>
                <w:bCs/>
              </w:rPr>
              <w:t>Interactive Supports</w:t>
            </w:r>
          </w:p>
          <w:p w14:paraId="26485301" w14:textId="77777777" w:rsidR="00CB3064" w:rsidRDefault="00CB3064" w:rsidP="00CB3064">
            <w:pPr>
              <w:jc w:val="center"/>
              <w:rPr>
                <w:i/>
                <w:iCs/>
              </w:rPr>
            </w:pPr>
          </w:p>
          <w:p w14:paraId="7FE23C59" w14:textId="03CB38A2" w:rsidR="00281EE8" w:rsidRPr="00CB3064" w:rsidRDefault="00281EE8" w:rsidP="00CB3064">
            <w:pPr>
              <w:jc w:val="center"/>
              <w:rPr>
                <w:i/>
                <w:iCs/>
              </w:rPr>
            </w:pPr>
            <w:r w:rsidRPr="00CB3064">
              <w:rPr>
                <w:i/>
                <w:iCs/>
              </w:rPr>
              <w:t>Discussion, Exchange of ideas and information</w:t>
            </w:r>
          </w:p>
          <w:p w14:paraId="18E4277A" w14:textId="77777777" w:rsidR="00CB3064" w:rsidRDefault="00CB3064" w:rsidP="00281EE8"/>
          <w:p w14:paraId="253218DF" w14:textId="78501467" w:rsidR="00281EE8" w:rsidRDefault="00281EE8" w:rsidP="00CB3064">
            <w:pPr>
              <w:jc w:val="center"/>
            </w:pPr>
            <w:r>
              <w:t>Interactive supports promote comprehension and expose students to a variety of communication styles. Using students’ native languages, also known as first language or L1, can provide opportunities to clarify, recap, or extend meaning. Technology allows interaction beyond the classroom community.</w:t>
            </w:r>
          </w:p>
          <w:p w14:paraId="032956C1" w14:textId="63F1D2CC" w:rsidR="00AE1842" w:rsidRDefault="00AE1842" w:rsidP="00281EE8"/>
          <w:p w14:paraId="4F30CE27" w14:textId="1E618A2F" w:rsidR="00AE1842" w:rsidRDefault="00AE1842" w:rsidP="00281EE8"/>
          <w:p w14:paraId="1EFEE2A6" w14:textId="3349CF46" w:rsidR="00AE1842" w:rsidRDefault="00AE1842" w:rsidP="00281EE8"/>
          <w:p w14:paraId="31A18985" w14:textId="77777777" w:rsidR="00AE1842" w:rsidRDefault="00AE1842" w:rsidP="00281EE8"/>
          <w:p w14:paraId="16B0C5EE" w14:textId="33DE65BF" w:rsidR="00281EE8" w:rsidRDefault="00281EE8" w:rsidP="00281EE8"/>
        </w:tc>
        <w:tc>
          <w:tcPr>
            <w:tcW w:w="4854" w:type="dxa"/>
            <w:shd w:val="clear" w:color="auto" w:fill="E2EFD9" w:themeFill="accent6" w:themeFillTint="33"/>
          </w:tcPr>
          <w:p w14:paraId="606FB1E4" w14:textId="77777777" w:rsidR="00205B17" w:rsidRDefault="00205B17" w:rsidP="00205B17">
            <w:pPr>
              <w:ind w:left="720"/>
            </w:pPr>
          </w:p>
          <w:p w14:paraId="32ECB663" w14:textId="77777777" w:rsidR="00205B17" w:rsidRDefault="00205B17" w:rsidP="00205B17">
            <w:pPr>
              <w:ind w:left="720"/>
            </w:pPr>
          </w:p>
          <w:p w14:paraId="4479EB25" w14:textId="3808568A" w:rsidR="00AE1842" w:rsidRDefault="00281EE8" w:rsidP="00205B17">
            <w:pPr>
              <w:ind w:left="720"/>
            </w:pPr>
            <w:r w:rsidRPr="00281EE8">
              <w:t xml:space="preserve">In pairs or partners </w:t>
            </w:r>
          </w:p>
          <w:p w14:paraId="44AF8A57" w14:textId="77777777" w:rsidR="00AE1842" w:rsidRDefault="00281EE8" w:rsidP="00205B17">
            <w:pPr>
              <w:ind w:left="720"/>
            </w:pPr>
            <w:r w:rsidRPr="00281EE8">
              <w:t xml:space="preserve">In triads or small groups </w:t>
            </w:r>
          </w:p>
          <w:p w14:paraId="47FB1770" w14:textId="77777777" w:rsidR="00AE1842" w:rsidRDefault="00281EE8" w:rsidP="00205B17">
            <w:pPr>
              <w:ind w:left="720"/>
            </w:pPr>
            <w:r w:rsidRPr="00281EE8">
              <w:t xml:space="preserve">In a whole group </w:t>
            </w:r>
          </w:p>
          <w:p w14:paraId="6AA8F7D7" w14:textId="77777777" w:rsidR="00AE1842" w:rsidRDefault="00281EE8" w:rsidP="00205B17">
            <w:pPr>
              <w:ind w:left="720"/>
            </w:pPr>
            <w:r w:rsidRPr="00281EE8">
              <w:t xml:space="preserve">Using cooperative group structures </w:t>
            </w:r>
          </w:p>
          <w:p w14:paraId="3F7636EE" w14:textId="77777777" w:rsidR="00CB3064" w:rsidRDefault="00281EE8" w:rsidP="00205B17">
            <w:pPr>
              <w:ind w:left="720"/>
            </w:pPr>
            <w:r w:rsidRPr="00281EE8">
              <w:t>Using the Internet (websites) or software programs</w:t>
            </w:r>
          </w:p>
          <w:p w14:paraId="7ED34910" w14:textId="352613D7" w:rsidR="00CB3064" w:rsidRDefault="00281EE8" w:rsidP="00205B17">
            <w:pPr>
              <w:ind w:left="720"/>
            </w:pPr>
            <w:r w:rsidRPr="00281EE8">
              <w:t>In the native language (L1)</w:t>
            </w:r>
          </w:p>
          <w:p w14:paraId="16A5FE3A" w14:textId="10D3EE9C" w:rsidR="00281EE8" w:rsidRDefault="00281EE8" w:rsidP="00205B17">
            <w:pPr>
              <w:ind w:left="720"/>
            </w:pPr>
            <w:r w:rsidRPr="00281EE8">
              <w:t>With mentors</w:t>
            </w:r>
          </w:p>
        </w:tc>
      </w:tr>
      <w:tr w:rsidR="00281EE8" w14:paraId="1E74F63E" w14:textId="77777777" w:rsidTr="00205B17">
        <w:trPr>
          <w:trHeight w:val="610"/>
        </w:trPr>
        <w:tc>
          <w:tcPr>
            <w:tcW w:w="9707" w:type="dxa"/>
            <w:gridSpan w:val="2"/>
          </w:tcPr>
          <w:p w14:paraId="25E722AF" w14:textId="33054047" w:rsidR="00FC0C20" w:rsidRDefault="00281EE8" w:rsidP="00FC0C20">
            <w:pPr>
              <w:jc w:val="center"/>
              <w:rPr>
                <w:sz w:val="16"/>
                <w:szCs w:val="16"/>
              </w:rPr>
            </w:pPr>
            <w:bookmarkStart w:id="0" w:name="_GoBack"/>
            <w:r>
              <w:rPr>
                <w:noProof/>
              </w:rPr>
              <w:drawing>
                <wp:anchor distT="0" distB="0" distL="114300" distR="114300" simplePos="0" relativeHeight="251658240" behindDoc="1" locked="0" layoutInCell="1" allowOverlap="1" wp14:anchorId="688629E8" wp14:editId="3D129118">
                  <wp:simplePos x="0" y="0"/>
                  <wp:positionH relativeFrom="column">
                    <wp:posOffset>-1905</wp:posOffset>
                  </wp:positionH>
                  <wp:positionV relativeFrom="paragraph">
                    <wp:posOffset>0</wp:posOffset>
                  </wp:positionV>
                  <wp:extent cx="787400" cy="228600"/>
                  <wp:effectExtent l="0" t="0" r="0" b="0"/>
                  <wp:wrapThrough wrapText="bothSides">
                    <wp:wrapPolygon edited="0">
                      <wp:start x="1045" y="0"/>
                      <wp:lineTo x="0" y="3600"/>
                      <wp:lineTo x="0" y="16200"/>
                      <wp:lineTo x="1045" y="19800"/>
                      <wp:lineTo x="4181" y="19800"/>
                      <wp:lineTo x="20903" y="18000"/>
                      <wp:lineTo x="20903" y="1800"/>
                      <wp:lineTo x="4181" y="0"/>
                      <wp:lineTo x="1045"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228600"/>
                          </a:xfrm>
                          <a:prstGeom prst="rect">
                            <a:avLst/>
                          </a:prstGeom>
                          <a:noFill/>
                          <a:ln>
                            <a:noFill/>
                          </a:ln>
                        </pic:spPr>
                      </pic:pic>
                    </a:graphicData>
                  </a:graphic>
                </wp:anchor>
              </w:drawing>
            </w:r>
            <w:bookmarkEnd w:id="0"/>
            <w:r w:rsidR="007F6684">
              <w:rPr>
                <w:sz w:val="16"/>
                <w:szCs w:val="16"/>
              </w:rPr>
              <w:t xml:space="preserve">adapted from </w:t>
            </w:r>
            <w:proofErr w:type="gramStart"/>
            <w:r w:rsidRPr="00281EE8">
              <w:rPr>
                <w:sz w:val="16"/>
                <w:szCs w:val="16"/>
              </w:rPr>
              <w:t>Taking Action</w:t>
            </w:r>
            <w:proofErr w:type="gramEnd"/>
            <w:r w:rsidRPr="00281EE8">
              <w:rPr>
                <w:sz w:val="16"/>
                <w:szCs w:val="16"/>
              </w:rPr>
              <w:t xml:space="preserve"> for English Language Learners eLearning Series</w:t>
            </w:r>
          </w:p>
          <w:p w14:paraId="797187AF" w14:textId="77777777" w:rsidR="00281EE8" w:rsidRDefault="00FC0C20" w:rsidP="00FC0C20">
            <w:pPr>
              <w:jc w:val="center"/>
              <w:rPr>
                <w:sz w:val="16"/>
                <w:szCs w:val="16"/>
              </w:rPr>
            </w:pPr>
            <w:r>
              <w:rPr>
                <w:sz w:val="16"/>
                <w:szCs w:val="16"/>
              </w:rPr>
              <w:t xml:space="preserve">                                      </w:t>
            </w:r>
            <w:r w:rsidR="00281EE8" w:rsidRPr="00281EE8">
              <w:rPr>
                <w:sz w:val="16"/>
                <w:szCs w:val="16"/>
              </w:rPr>
              <w:t>© Copyright 2015 The Board of Regents of the University of Wisconsin System, on behalf of WIDA</w:t>
            </w:r>
          </w:p>
          <w:p w14:paraId="2AB5E091" w14:textId="47252902" w:rsidR="00AE1842" w:rsidRDefault="00AE1842" w:rsidP="00FC0C20">
            <w:pPr>
              <w:jc w:val="center"/>
            </w:pPr>
            <w:r>
              <w:rPr>
                <w:sz w:val="16"/>
                <w:szCs w:val="16"/>
              </w:rPr>
              <w:t>Used with permission</w:t>
            </w:r>
            <w:r w:rsidR="00D85B15">
              <w:rPr>
                <w:sz w:val="16"/>
                <w:szCs w:val="16"/>
              </w:rPr>
              <w:t xml:space="preserve"> 9.17.20</w:t>
            </w:r>
          </w:p>
        </w:tc>
      </w:tr>
    </w:tbl>
    <w:p w14:paraId="4BE0CBB4" w14:textId="77777777" w:rsidR="00281EE8" w:rsidRDefault="00281EE8"/>
    <w:sectPr w:rsidR="00281EE8" w:rsidSect="00205B17">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549E6"/>
    <w:multiLevelType w:val="hybridMultilevel"/>
    <w:tmpl w:val="97FC1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E8"/>
    <w:rsid w:val="00056276"/>
    <w:rsid w:val="00057A2E"/>
    <w:rsid w:val="00205B17"/>
    <w:rsid w:val="00281EE8"/>
    <w:rsid w:val="00481E74"/>
    <w:rsid w:val="00797DB2"/>
    <w:rsid w:val="007F6684"/>
    <w:rsid w:val="008F6AE4"/>
    <w:rsid w:val="009C1AC5"/>
    <w:rsid w:val="00AB1731"/>
    <w:rsid w:val="00AE1842"/>
    <w:rsid w:val="00B37CBE"/>
    <w:rsid w:val="00B77D00"/>
    <w:rsid w:val="00CB3064"/>
    <w:rsid w:val="00D85B15"/>
    <w:rsid w:val="00EE7F2E"/>
    <w:rsid w:val="00FC0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5BA"/>
  <w15:chartTrackingRefBased/>
  <w15:docId w15:val="{B9E85DEC-1326-43B1-9A42-E1C0ACF1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DESE-231-65857</_dlc_DocId>
    <_dlc_DocIdUrl xmlns="733efe1c-5bbe-4968-87dc-d400e65c879f">
      <Url>https://sharepoint.doemass.org/ese/webteam/cps/_layouts/DocIdRedir.aspx?ID=DESE-231-65857</Url>
      <Description>DESE-231-65857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F63E5-C0D7-4D46-B7DE-4E7099BB51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E96F3D2-694E-4D15-8CB4-D5E0B3B22F21}">
  <ds:schemaRefs>
    <ds:schemaRef ds:uri="http://schemas.microsoft.com/sharepoint/v3/contenttype/forms"/>
  </ds:schemaRefs>
</ds:datastoreItem>
</file>

<file path=customXml/itemProps3.xml><?xml version="1.0" encoding="utf-8"?>
<ds:datastoreItem xmlns:ds="http://schemas.openxmlformats.org/officeDocument/2006/customXml" ds:itemID="{07E20CF5-85B8-456E-B9B9-BCB086BB3805}">
  <ds:schemaRefs>
    <ds:schemaRef ds:uri="http://schemas.microsoft.com/sharepoint/events"/>
  </ds:schemaRefs>
</ds:datastoreItem>
</file>

<file path=customXml/itemProps4.xml><?xml version="1.0" encoding="utf-8"?>
<ds:datastoreItem xmlns:ds="http://schemas.openxmlformats.org/officeDocument/2006/customXml" ds:itemID="{01C5C76E-C857-4279-BB33-CFE32D10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WIDA Instructional Supports</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WIDA Instructional Supports</dc:title>
  <dc:subject/>
  <dc:creator>DESE</dc:creator>
  <cp:keywords/>
  <dc:description/>
  <cp:lastModifiedBy>Dong Zou</cp:lastModifiedBy>
  <cp:revision>4</cp:revision>
  <dcterms:created xsi:type="dcterms:W3CDTF">2020-11-09T18:57:00Z</dcterms:created>
  <dcterms:modified xsi:type="dcterms:W3CDTF">2020-11-18T21:08:00Z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2020</vt:lpwstr>
  </property>
</Properties>
</file>