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50093" w14:textId="052857EC" w:rsidR="00506577" w:rsidRDefault="00506577" w:rsidP="0079271F">
      <w:pPr>
        <w:spacing w:after="0" w:line="240" w:lineRule="auto"/>
        <w:rPr>
          <w:rFonts w:eastAsia="Times New Roman" w:cs="Times New Roman"/>
          <w:b/>
          <w:bCs/>
          <w:sz w:val="21"/>
          <w:szCs w:val="21"/>
        </w:rPr>
      </w:pPr>
      <w:r>
        <w:rPr>
          <w:noProof/>
        </w:rPr>
        <w:drawing>
          <wp:anchor distT="0" distB="0" distL="114300" distR="114300" simplePos="0" relativeHeight="251691520" behindDoc="0" locked="0" layoutInCell="1" allowOverlap="1" wp14:anchorId="5304223D" wp14:editId="09B93F69">
            <wp:simplePos x="0" y="0"/>
            <wp:positionH relativeFrom="column">
              <wp:posOffset>-571500</wp:posOffset>
            </wp:positionH>
            <wp:positionV relativeFrom="paragraph">
              <wp:posOffset>-517036</wp:posOffset>
            </wp:positionV>
            <wp:extent cx="1727554" cy="840402"/>
            <wp:effectExtent l="0" t="0" r="6350" b="0"/>
            <wp:wrapNone/>
            <wp:docPr id="3" name="Picture 3" descr="DESE logo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Text&#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554" cy="840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2080F" w14:textId="77777777" w:rsidR="00506577" w:rsidRDefault="00506577" w:rsidP="0079271F">
      <w:pPr>
        <w:spacing w:after="0" w:line="240" w:lineRule="auto"/>
        <w:rPr>
          <w:rFonts w:eastAsia="Times New Roman" w:cs="Times New Roman"/>
          <w:b/>
          <w:bCs/>
          <w:sz w:val="21"/>
          <w:szCs w:val="21"/>
        </w:rPr>
      </w:pPr>
    </w:p>
    <w:p w14:paraId="7AC28BE9" w14:textId="77C1BD24" w:rsidR="00191665" w:rsidRPr="00CB2635" w:rsidRDefault="00C87D56" w:rsidP="0079271F">
      <w:pPr>
        <w:spacing w:after="0" w:line="240" w:lineRule="auto"/>
        <w:rPr>
          <w:rFonts w:eastAsia="Times New Roman" w:cs="Times New Roman"/>
          <w:b/>
          <w:bCs/>
          <w:sz w:val="21"/>
          <w:szCs w:val="21"/>
        </w:rPr>
      </w:pPr>
      <w:r w:rsidRPr="00CB2635">
        <w:rPr>
          <w:rFonts w:eastAsia="Times New Roman" w:cs="Times New Roman"/>
          <w:b/>
          <w:bCs/>
          <w:sz w:val="21"/>
          <w:szCs w:val="21"/>
        </w:rPr>
        <w:t>What are Student Growth Percentiles (SGPs</w:t>
      </w:r>
      <w:r w:rsidR="00D27A8C" w:rsidRPr="00CB2635">
        <w:rPr>
          <w:rFonts w:eastAsia="Times New Roman" w:cs="Times New Roman"/>
          <w:b/>
          <w:bCs/>
          <w:sz w:val="21"/>
          <w:szCs w:val="21"/>
        </w:rPr>
        <w:t>)</w:t>
      </w:r>
      <w:r w:rsidR="002A6DBF" w:rsidRPr="00CB2635">
        <w:rPr>
          <w:rFonts w:eastAsia="Times New Roman" w:cs="Times New Roman"/>
          <w:b/>
          <w:bCs/>
          <w:sz w:val="21"/>
          <w:szCs w:val="21"/>
        </w:rPr>
        <w:t>, and how are they usually calculated</w:t>
      </w:r>
      <w:r w:rsidR="00D27A8C" w:rsidRPr="00CB2635">
        <w:rPr>
          <w:rFonts w:eastAsia="Times New Roman" w:cs="Times New Roman"/>
          <w:b/>
          <w:bCs/>
          <w:sz w:val="21"/>
          <w:szCs w:val="21"/>
        </w:rPr>
        <w:t xml:space="preserve">? </w:t>
      </w:r>
    </w:p>
    <w:p w14:paraId="636034EE" w14:textId="7CDB7CFA" w:rsidR="00191665" w:rsidRPr="00CB2635" w:rsidRDefault="00191665" w:rsidP="0079271F">
      <w:pPr>
        <w:spacing w:after="0" w:line="240" w:lineRule="auto"/>
        <w:rPr>
          <w:rFonts w:eastAsia="Times New Roman" w:cs="Times New Roman"/>
          <w:sz w:val="21"/>
          <w:szCs w:val="21"/>
        </w:rPr>
      </w:pPr>
    </w:p>
    <w:p w14:paraId="00F5F57C" w14:textId="7D5956F4" w:rsidR="00C87D56" w:rsidRPr="00CB2635" w:rsidRDefault="00C364A2" w:rsidP="00C87D56">
      <w:pPr>
        <w:spacing w:after="0" w:line="240" w:lineRule="auto"/>
        <w:rPr>
          <w:rFonts w:eastAsia="Times New Roman" w:cs="Times New Roman"/>
          <w:sz w:val="21"/>
          <w:szCs w:val="21"/>
        </w:rPr>
      </w:pPr>
      <w:r w:rsidRPr="00CB2635">
        <w:rPr>
          <w:rFonts w:eastAsia="Times New Roman" w:cs="Times New Roman"/>
          <w:noProof/>
          <w:sz w:val="21"/>
          <w:szCs w:val="21"/>
        </w:rPr>
        <mc:AlternateContent>
          <mc:Choice Requires="wps">
            <w:drawing>
              <wp:anchor distT="45720" distB="45720" distL="114300" distR="114300" simplePos="0" relativeHeight="251644416" behindDoc="1" locked="0" layoutInCell="1" allowOverlap="1" wp14:anchorId="1A7F8CC8" wp14:editId="70B3CFDF">
                <wp:simplePos x="0" y="0"/>
                <wp:positionH relativeFrom="column">
                  <wp:posOffset>2604211</wp:posOffset>
                </wp:positionH>
                <wp:positionV relativeFrom="paragraph">
                  <wp:posOffset>771983</wp:posOffset>
                </wp:positionV>
                <wp:extent cx="3519469" cy="288960"/>
                <wp:effectExtent l="0" t="0" r="5080" b="0"/>
                <wp:wrapTight wrapText="bothSides">
                  <wp:wrapPolygon edited="0">
                    <wp:start x="0" y="0"/>
                    <wp:lineTo x="0" y="19938"/>
                    <wp:lineTo x="21514" y="19938"/>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469" cy="288960"/>
                        </a:xfrm>
                        <a:prstGeom prst="rect">
                          <a:avLst/>
                        </a:prstGeom>
                        <a:solidFill>
                          <a:srgbClr val="FFFFFF"/>
                        </a:solidFill>
                        <a:ln w="9525">
                          <a:noFill/>
                          <a:miter lim="800000"/>
                          <a:headEnd/>
                          <a:tailEnd/>
                        </a:ln>
                      </wps:spPr>
                      <wps:txbx>
                        <w:txbxContent>
                          <w:p w14:paraId="7725C9C0" w14:textId="114C9C20" w:rsidR="00C87D56" w:rsidRDefault="00C87D56" w:rsidP="00C87D56">
                            <w:pPr>
                              <w:keepNext/>
                              <w:spacing w:after="0" w:line="240" w:lineRule="auto"/>
                              <w:jc w:val="center"/>
                              <w:rPr>
                                <w:rFonts w:eastAsia="Times New Roman" w:cs="Times New Roman"/>
                              </w:rPr>
                            </w:pPr>
                            <w:r>
                              <w:rPr>
                                <w:rFonts w:eastAsia="Times New Roman" w:cs="Times New Roman"/>
                              </w:rPr>
                              <w:t>Figure 1</w:t>
                            </w:r>
                            <w:r w:rsidR="00747923">
                              <w:rPr>
                                <w:rFonts w:eastAsia="Times New Roman" w:cs="Times New Roman"/>
                              </w:rPr>
                              <w:t xml:space="preserve">: 2019 SGP </w:t>
                            </w:r>
                            <w:r w:rsidR="00FB07D9">
                              <w:rPr>
                                <w:rFonts w:eastAsia="Times New Roman" w:cs="Times New Roman"/>
                              </w:rPr>
                              <w:t>Distribution</w:t>
                            </w:r>
                          </w:p>
                          <w:p w14:paraId="52972932" w14:textId="0A47B7E6" w:rsidR="00C87D56" w:rsidRDefault="00C87D56" w:rsidP="00C87D5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F8CC8" id="_x0000_t202" coordsize="21600,21600" o:spt="202" path="m,l,21600r21600,l21600,xe">
                <v:stroke joinstyle="miter"/>
                <v:path gradientshapeok="t" o:connecttype="rect"/>
              </v:shapetype>
              <v:shape id="Text Box 2" o:spid="_x0000_s1026" type="#_x0000_t202" style="position:absolute;margin-left:205.05pt;margin-top:60.8pt;width:277.1pt;height:22.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" stroked="f">
                <v:textbox>
                  <w:txbxContent>
                    <w:p w14:paraId="7725C9C0" w14:textId="114C9C20" w:rsidR="00C87D56" w:rsidRDefault="00C87D56" w:rsidP="00C87D56">
                      <w:pPr>
                        <w:keepNext/>
                        <w:spacing w:after="0" w:line="240" w:lineRule="auto"/>
                        <w:jc w:val="center"/>
                        <w:rPr>
                          <w:rFonts w:eastAsia="Times New Roman" w:cs="Times New Roman"/>
                        </w:rPr>
                      </w:pPr>
                      <w:r>
                        <w:rPr>
                          <w:rFonts w:eastAsia="Times New Roman" w:cs="Times New Roman"/>
                        </w:rPr>
                        <w:t>Figure 1</w:t>
                      </w:r>
                      <w:r w:rsidR="00747923">
                        <w:rPr>
                          <w:rFonts w:eastAsia="Times New Roman" w:cs="Times New Roman"/>
                        </w:rPr>
                        <w:t xml:space="preserve">: 2019 SGP </w:t>
                      </w:r>
                      <w:r w:rsidR="00FB07D9">
                        <w:rPr>
                          <w:rFonts w:eastAsia="Times New Roman" w:cs="Times New Roman"/>
                        </w:rPr>
                        <w:t>Distribution</w:t>
                      </w:r>
                    </w:p>
                    <w:p w14:paraId="52972932" w14:textId="0A47B7E6" w:rsidR="00C87D56" w:rsidRDefault="00C87D56" w:rsidP="00C87D56">
                      <w:pPr>
                        <w:jc w:val="center"/>
                      </w:pPr>
                    </w:p>
                  </w:txbxContent>
                </v:textbox>
                <w10:wrap type="tight"/>
              </v:shape>
            </w:pict>
          </mc:Fallback>
        </mc:AlternateContent>
      </w:r>
      <w:r w:rsidR="00C87D56" w:rsidRPr="00CB2635">
        <w:rPr>
          <w:rFonts w:eastAsia="Times New Roman" w:cs="Times New Roman"/>
          <w:sz w:val="21"/>
          <w:szCs w:val="21"/>
        </w:rPr>
        <w:t>Student Growth Percentiles (SGPs) provide a measure of the degree to which a student’s achievement has changed from the prior year(s) to the current year, in comparison to other students in the same grade who performed similarly in the past.  SGPs use students’ current and prior scores to assign an SGP that ranges from 1 to 99.  Students who have a current year’s score and a prior year’s score</w:t>
      </w:r>
      <w:r w:rsidR="00EC44EC" w:rsidRPr="00CB2635">
        <w:rPr>
          <w:rFonts w:eastAsia="Times New Roman" w:cs="Times New Roman"/>
          <w:sz w:val="21"/>
          <w:szCs w:val="21"/>
        </w:rPr>
        <w:t xml:space="preserve">—and </w:t>
      </w:r>
      <w:r w:rsidR="00C87D56" w:rsidRPr="00CB2635">
        <w:rPr>
          <w:rFonts w:eastAsia="Times New Roman" w:cs="Times New Roman"/>
          <w:sz w:val="21"/>
          <w:szCs w:val="21"/>
        </w:rPr>
        <w:t>have met the consecutive grade requirement</w:t>
      </w:r>
      <w:r w:rsidR="00EC44EC" w:rsidRPr="00CB2635">
        <w:rPr>
          <w:rFonts w:eastAsia="Times New Roman" w:cs="Times New Roman"/>
          <w:sz w:val="21"/>
          <w:szCs w:val="21"/>
        </w:rPr>
        <w:t>—are</w:t>
      </w:r>
      <w:r w:rsidR="00C87D56" w:rsidRPr="00CB2635">
        <w:rPr>
          <w:rFonts w:eastAsia="Times New Roman" w:cs="Times New Roman"/>
          <w:sz w:val="21"/>
          <w:szCs w:val="21"/>
        </w:rPr>
        <w:t xml:space="preserve"> issued an SGP.  </w:t>
      </w:r>
    </w:p>
    <w:p w14:paraId="40DD1470" w14:textId="6FED4ABE" w:rsidR="00C87D56" w:rsidRPr="00CB2635" w:rsidRDefault="00AF0388" w:rsidP="00C87D56">
      <w:pPr>
        <w:spacing w:after="0" w:line="240" w:lineRule="auto"/>
        <w:rPr>
          <w:rFonts w:eastAsia="Times New Roman" w:cs="Times New Roman"/>
          <w:sz w:val="21"/>
          <w:szCs w:val="21"/>
        </w:rPr>
      </w:pPr>
      <w:r w:rsidRPr="00CB2635">
        <w:rPr>
          <w:noProof/>
          <w:sz w:val="21"/>
          <w:szCs w:val="21"/>
        </w:rPr>
        <w:drawing>
          <wp:anchor distT="0" distB="0" distL="114300" distR="114300" simplePos="0" relativeHeight="251684352" behindDoc="0" locked="0" layoutInCell="1" allowOverlap="1" wp14:anchorId="3F8A6DF5" wp14:editId="72D42140">
            <wp:simplePos x="0" y="0"/>
            <wp:positionH relativeFrom="column">
              <wp:posOffset>2604212</wp:posOffset>
            </wp:positionH>
            <wp:positionV relativeFrom="paragraph">
              <wp:posOffset>109907</wp:posOffset>
            </wp:positionV>
            <wp:extent cx="3511296" cy="2106778"/>
            <wp:effectExtent l="0" t="0" r="13335" b="8255"/>
            <wp:wrapSquare wrapText="bothSides"/>
            <wp:docPr id="2" name="Chart 2" descr="2019 ELA SGPs by growth category">
              <a:extLst xmlns:a="http://schemas.openxmlformats.org/drawingml/2006/main">
                <a:ext uri="{FF2B5EF4-FFF2-40B4-BE49-F238E27FC236}">
                  <a16:creationId xmlns:a16="http://schemas.microsoft.com/office/drawing/2014/main" id="{E1A707D1-8723-4BBB-B111-E451561E5C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B416F9E" w14:textId="685FB7AD" w:rsidR="00385191" w:rsidRPr="00CB2635" w:rsidRDefault="00954CA8" w:rsidP="00C364A2">
      <w:pPr>
        <w:rPr>
          <w:sz w:val="21"/>
          <w:szCs w:val="21"/>
        </w:rPr>
      </w:pPr>
      <w:r w:rsidRPr="00CB2635">
        <w:rPr>
          <w:sz w:val="21"/>
          <w:szCs w:val="21"/>
        </w:rPr>
        <w:t xml:space="preserve">In prior years, student growth percentiles (SGPs) were calculated by comparing students’ current-year score to that of students with similar scores in their cohort. Each year, the cohort group changed (depending on the performance of the current year population), which resulted in a state average SGP of about 50. </w:t>
      </w:r>
      <w:r w:rsidR="00347CCE" w:rsidRPr="00CB2635">
        <w:rPr>
          <w:sz w:val="21"/>
          <w:szCs w:val="21"/>
        </w:rPr>
        <w:t xml:space="preserve">Since </w:t>
      </w:r>
      <w:r w:rsidR="00CB2635" w:rsidRPr="00CB2635">
        <w:rPr>
          <w:sz w:val="21"/>
          <w:szCs w:val="21"/>
        </w:rPr>
        <w:t>the</w:t>
      </w:r>
      <w:r w:rsidR="00C87D56" w:rsidRPr="00CB2635">
        <w:rPr>
          <w:rFonts w:eastAsia="Times New Roman" w:cs="Times New Roman"/>
          <w:sz w:val="21"/>
          <w:szCs w:val="21"/>
        </w:rPr>
        <w:t xml:space="preserve"> average SGP per grade and subject </w:t>
      </w:r>
      <w:r w:rsidR="00C017F2" w:rsidRPr="00CB2635">
        <w:rPr>
          <w:rFonts w:eastAsia="Times New Roman" w:cs="Times New Roman"/>
          <w:sz w:val="21"/>
          <w:szCs w:val="21"/>
        </w:rPr>
        <w:t>is</w:t>
      </w:r>
      <w:r w:rsidR="00C87D56" w:rsidRPr="00CB2635">
        <w:rPr>
          <w:rFonts w:eastAsia="Times New Roman" w:cs="Times New Roman"/>
          <w:sz w:val="21"/>
          <w:szCs w:val="21"/>
        </w:rPr>
        <w:t xml:space="preserve"> 50, the distribution </w:t>
      </w:r>
      <w:r w:rsidR="00C017F2" w:rsidRPr="00CB2635">
        <w:rPr>
          <w:rFonts w:eastAsia="Times New Roman" w:cs="Times New Roman"/>
          <w:sz w:val="21"/>
          <w:szCs w:val="21"/>
        </w:rPr>
        <w:t>is</w:t>
      </w:r>
      <w:r w:rsidR="00C87D56" w:rsidRPr="00CB2635">
        <w:rPr>
          <w:rFonts w:eastAsia="Times New Roman" w:cs="Times New Roman"/>
          <w:sz w:val="21"/>
          <w:szCs w:val="21"/>
        </w:rPr>
        <w:t xml:space="preserve"> flat </w:t>
      </w:r>
      <w:r w:rsidR="00CB2635" w:rsidRPr="00CB2635">
        <w:rPr>
          <w:rFonts w:eastAsia="Times New Roman" w:cs="Times New Roman"/>
          <w:sz w:val="21"/>
          <w:szCs w:val="21"/>
        </w:rPr>
        <w:t xml:space="preserve">and </w:t>
      </w:r>
      <w:r w:rsidR="00C87D56" w:rsidRPr="00CB2635">
        <w:rPr>
          <w:rFonts w:eastAsia="Times New Roman" w:cs="Times New Roman"/>
          <w:sz w:val="21"/>
          <w:szCs w:val="21"/>
        </w:rPr>
        <w:t xml:space="preserve">20% of students score in each SGP growth category, from very low growth to very high growth, as shown in Figure 1.  </w:t>
      </w:r>
    </w:p>
    <w:p w14:paraId="48BF678D" w14:textId="7C5349F4" w:rsidR="004B4FF8" w:rsidRPr="00CB2635" w:rsidRDefault="004B4FF8" w:rsidP="009E5ACC">
      <w:pPr>
        <w:keepNext/>
        <w:spacing w:after="0" w:line="240" w:lineRule="auto"/>
        <w:rPr>
          <w:sz w:val="21"/>
          <w:szCs w:val="21"/>
        </w:rPr>
      </w:pPr>
      <w:r w:rsidRPr="00CB2635">
        <w:rPr>
          <w:b/>
          <w:bCs/>
          <w:sz w:val="21"/>
          <w:szCs w:val="21"/>
        </w:rPr>
        <w:t xml:space="preserve">How did the pandemic affect our method for calculating SGPs? </w:t>
      </w:r>
    </w:p>
    <w:p w14:paraId="1A7E2974" w14:textId="3D9267C8" w:rsidR="009E5ACC" w:rsidRPr="00CB2635" w:rsidRDefault="00FB07D9" w:rsidP="009E5ACC">
      <w:pPr>
        <w:keepNext/>
        <w:spacing w:after="0" w:line="240" w:lineRule="auto"/>
        <w:rPr>
          <w:rFonts w:eastAsia="Times New Roman" w:cs="Times New Roman"/>
          <w:sz w:val="21"/>
          <w:szCs w:val="21"/>
        </w:rPr>
      </w:pPr>
      <w:r w:rsidRPr="00CB2635">
        <w:rPr>
          <w:rFonts w:eastAsia="Times New Roman" w:cs="Times New Roman"/>
          <w:noProof/>
          <w:sz w:val="21"/>
          <w:szCs w:val="21"/>
        </w:rPr>
        <mc:AlternateContent>
          <mc:Choice Requires="wps">
            <w:drawing>
              <wp:anchor distT="45720" distB="45720" distL="114300" distR="114300" simplePos="0" relativeHeight="251654656" behindDoc="1" locked="0" layoutInCell="1" allowOverlap="1" wp14:anchorId="7E99BE03" wp14:editId="55B99D4D">
                <wp:simplePos x="0" y="0"/>
                <wp:positionH relativeFrom="column">
                  <wp:posOffset>2449830</wp:posOffset>
                </wp:positionH>
                <wp:positionV relativeFrom="paragraph">
                  <wp:posOffset>788035</wp:posOffset>
                </wp:positionV>
                <wp:extent cx="3794125" cy="314325"/>
                <wp:effectExtent l="0" t="0" r="0" b="9525"/>
                <wp:wrapTight wrapText="bothSides">
                  <wp:wrapPolygon edited="0">
                    <wp:start x="0" y="0"/>
                    <wp:lineTo x="0" y="20945"/>
                    <wp:lineTo x="21473" y="20945"/>
                    <wp:lineTo x="2147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314325"/>
                        </a:xfrm>
                        <a:prstGeom prst="rect">
                          <a:avLst/>
                        </a:prstGeom>
                        <a:solidFill>
                          <a:srgbClr val="FFFFFF"/>
                        </a:solidFill>
                        <a:ln w="9525">
                          <a:noFill/>
                          <a:miter lim="800000"/>
                          <a:headEnd/>
                          <a:tailEnd/>
                        </a:ln>
                      </wps:spPr>
                      <wps:txbx>
                        <w:txbxContent>
                          <w:p w14:paraId="3081379D" w14:textId="43921999" w:rsidR="00D85505" w:rsidRDefault="00D85505" w:rsidP="00D85505">
                            <w:pPr>
                              <w:keepNext/>
                              <w:spacing w:after="0" w:line="240" w:lineRule="auto"/>
                              <w:jc w:val="center"/>
                              <w:rPr>
                                <w:rFonts w:eastAsia="Times New Roman" w:cs="Times New Roman"/>
                              </w:rPr>
                            </w:pPr>
                            <w:r>
                              <w:rPr>
                                <w:rFonts w:eastAsia="Times New Roman" w:cs="Times New Roman"/>
                              </w:rPr>
                              <w:t xml:space="preserve">Figure </w:t>
                            </w:r>
                            <w:r w:rsidR="008B399A">
                              <w:rPr>
                                <w:rFonts w:eastAsia="Times New Roman" w:cs="Times New Roman"/>
                              </w:rPr>
                              <w:t>2</w:t>
                            </w:r>
                            <w:r>
                              <w:rPr>
                                <w:rFonts w:eastAsia="Times New Roman" w:cs="Times New Roman"/>
                              </w:rPr>
                              <w:t>: Example of Baselined Growth</w:t>
                            </w:r>
                          </w:p>
                          <w:p w14:paraId="683F4CBD" w14:textId="77777777" w:rsidR="00D85505" w:rsidRDefault="00D85505" w:rsidP="00D855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9BE03" id="_x0000_s1027" type="#_x0000_t202" style="position:absolute;margin-left:192.9pt;margin-top:62.05pt;width:298.75pt;height:2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" stroked="f">
                <v:textbox>
                  <w:txbxContent>
                    <w:p w14:paraId="3081379D" w14:textId="43921999" w:rsidR="00D85505" w:rsidRDefault="00D85505" w:rsidP="00D85505">
                      <w:pPr>
                        <w:keepNext/>
                        <w:spacing w:after="0" w:line="240" w:lineRule="auto"/>
                        <w:jc w:val="center"/>
                        <w:rPr>
                          <w:rFonts w:eastAsia="Times New Roman" w:cs="Times New Roman"/>
                        </w:rPr>
                      </w:pPr>
                      <w:r>
                        <w:rPr>
                          <w:rFonts w:eastAsia="Times New Roman" w:cs="Times New Roman"/>
                        </w:rPr>
                        <w:t xml:space="preserve">Figure </w:t>
                      </w:r>
                      <w:r w:rsidR="008B399A">
                        <w:rPr>
                          <w:rFonts w:eastAsia="Times New Roman" w:cs="Times New Roman"/>
                        </w:rPr>
                        <w:t>2</w:t>
                      </w:r>
                      <w:r>
                        <w:rPr>
                          <w:rFonts w:eastAsia="Times New Roman" w:cs="Times New Roman"/>
                        </w:rPr>
                        <w:t>: Example of Baselined Growth</w:t>
                      </w:r>
                    </w:p>
                    <w:p w14:paraId="683F4CBD" w14:textId="77777777" w:rsidR="00D85505" w:rsidRDefault="00D85505" w:rsidP="00D85505">
                      <w:pPr>
                        <w:jc w:val="center"/>
                      </w:pPr>
                    </w:p>
                  </w:txbxContent>
                </v:textbox>
                <w10:wrap type="tight"/>
              </v:shape>
            </w:pict>
          </mc:Fallback>
        </mc:AlternateContent>
      </w:r>
      <w:r w:rsidR="009E5ACC" w:rsidRPr="00CB2635">
        <w:rPr>
          <w:sz w:val="21"/>
          <w:szCs w:val="21"/>
        </w:rPr>
        <w:t>The pandemic functioned as an academic headwind for most students, slowing their educational progress</w:t>
      </w:r>
      <w:r w:rsidR="004B4FF8" w:rsidRPr="00CB2635">
        <w:rPr>
          <w:sz w:val="21"/>
          <w:szCs w:val="21"/>
        </w:rPr>
        <w:t xml:space="preserve"> and </w:t>
      </w:r>
      <w:r w:rsidR="009E5ACC" w:rsidRPr="00CB2635">
        <w:rPr>
          <w:sz w:val="21"/>
          <w:szCs w:val="21"/>
        </w:rPr>
        <w:t>growth. The decreased educational progress</w:t>
      </w:r>
      <w:r w:rsidR="004B4FF8" w:rsidRPr="00CB2635">
        <w:rPr>
          <w:sz w:val="21"/>
          <w:szCs w:val="21"/>
        </w:rPr>
        <w:t xml:space="preserve"> and </w:t>
      </w:r>
      <w:r w:rsidR="009E5ACC" w:rsidRPr="00CB2635">
        <w:rPr>
          <w:sz w:val="21"/>
          <w:szCs w:val="21"/>
        </w:rPr>
        <w:t>growth yielded</w:t>
      </w:r>
      <w:r w:rsidR="008955E2" w:rsidRPr="00CB2635">
        <w:rPr>
          <w:sz w:val="21"/>
          <w:szCs w:val="21"/>
        </w:rPr>
        <w:t xml:space="preserve"> </w:t>
      </w:r>
      <w:r w:rsidR="009E5ACC" w:rsidRPr="00CB2635">
        <w:rPr>
          <w:sz w:val="21"/>
          <w:szCs w:val="21"/>
        </w:rPr>
        <w:t>lower 2021 academic attainment</w:t>
      </w:r>
      <w:r w:rsidR="00225111" w:rsidRPr="00CB2635">
        <w:rPr>
          <w:sz w:val="21"/>
          <w:szCs w:val="21"/>
        </w:rPr>
        <w:t>, and t</w:t>
      </w:r>
      <w:r w:rsidR="009E5ACC" w:rsidRPr="00CB2635">
        <w:rPr>
          <w:sz w:val="21"/>
          <w:szCs w:val="21"/>
        </w:rPr>
        <w:t xml:space="preserve">his was a </w:t>
      </w:r>
      <w:r w:rsidR="00274CF3" w:rsidRPr="00CB2635">
        <w:rPr>
          <w:sz w:val="21"/>
          <w:szCs w:val="21"/>
        </w:rPr>
        <w:t xml:space="preserve">significant </w:t>
      </w:r>
      <w:r w:rsidR="009E5ACC" w:rsidRPr="00CB2635">
        <w:rPr>
          <w:sz w:val="21"/>
          <w:szCs w:val="21"/>
        </w:rPr>
        <w:t xml:space="preserve">departure from the typical achievement and growth patterns in prior years. </w:t>
      </w:r>
      <w:r w:rsidR="006E03F5" w:rsidRPr="00CB2635">
        <w:rPr>
          <w:rFonts w:eastAsia="Times New Roman" w:cs="Times New Roman"/>
          <w:sz w:val="21"/>
          <w:szCs w:val="21"/>
        </w:rPr>
        <w:t xml:space="preserve">Score changes between 2019 to 2021 were </w:t>
      </w:r>
      <w:r w:rsidR="00F64964" w:rsidRPr="00CB2635">
        <w:rPr>
          <w:rFonts w:eastAsia="Times New Roman" w:cs="Times New Roman"/>
          <w:sz w:val="21"/>
          <w:szCs w:val="21"/>
        </w:rPr>
        <w:t xml:space="preserve">much </w:t>
      </w:r>
      <w:r w:rsidR="006E03F5" w:rsidRPr="00CB2635">
        <w:rPr>
          <w:rFonts w:eastAsia="Times New Roman" w:cs="Times New Roman"/>
          <w:sz w:val="21"/>
          <w:szCs w:val="21"/>
        </w:rPr>
        <w:t xml:space="preserve">larger than those seen between 2018 and 2019, and all </w:t>
      </w:r>
      <w:r w:rsidR="00274CF3" w:rsidRPr="00CB2635">
        <w:rPr>
          <w:rFonts w:eastAsia="Times New Roman" w:cs="Times New Roman"/>
          <w:sz w:val="21"/>
          <w:szCs w:val="21"/>
        </w:rPr>
        <w:t xml:space="preserve">the </w:t>
      </w:r>
      <w:r w:rsidR="006E03F5" w:rsidRPr="00CB2635">
        <w:rPr>
          <w:rFonts w:eastAsia="Times New Roman" w:cs="Times New Roman"/>
          <w:sz w:val="21"/>
          <w:szCs w:val="21"/>
        </w:rPr>
        <w:t xml:space="preserve">changes showed declines in grades 3-8. </w:t>
      </w:r>
    </w:p>
    <w:p w14:paraId="753B48CA" w14:textId="73E0DBB7" w:rsidR="009E5ACC" w:rsidRPr="00CB2635" w:rsidRDefault="009E5ACC" w:rsidP="009E5ACC">
      <w:pPr>
        <w:keepNext/>
        <w:spacing w:after="0" w:line="240" w:lineRule="auto"/>
        <w:rPr>
          <w:sz w:val="21"/>
          <w:szCs w:val="21"/>
        </w:rPr>
      </w:pPr>
    </w:p>
    <w:p w14:paraId="69179809" w14:textId="17F93BE8" w:rsidR="00CB2635" w:rsidRPr="00FB07D9" w:rsidRDefault="00FB07D9" w:rsidP="00CB2635">
      <w:pPr>
        <w:rPr>
          <w:sz w:val="21"/>
          <w:szCs w:val="21"/>
        </w:rPr>
      </w:pPr>
      <w:r w:rsidRPr="00CB2635">
        <w:rPr>
          <w:noProof/>
          <w:sz w:val="21"/>
          <w:szCs w:val="21"/>
        </w:rPr>
        <w:drawing>
          <wp:anchor distT="0" distB="0" distL="114300" distR="114300" simplePos="0" relativeHeight="251664896" behindDoc="0" locked="0" layoutInCell="1" allowOverlap="1" wp14:anchorId="2C52E442" wp14:editId="09B6B683">
            <wp:simplePos x="0" y="0"/>
            <wp:positionH relativeFrom="column">
              <wp:posOffset>2448284</wp:posOffset>
            </wp:positionH>
            <wp:positionV relativeFrom="paragraph">
              <wp:posOffset>75949</wp:posOffset>
            </wp:positionV>
            <wp:extent cx="3810000" cy="2286000"/>
            <wp:effectExtent l="0" t="0" r="0" b="0"/>
            <wp:wrapSquare wrapText="bothSides"/>
            <wp:docPr id="1" name="Chart 1" descr="2021 Math SGPs bu growth category">
              <a:extLst xmlns:a="http://schemas.openxmlformats.org/drawingml/2006/main">
                <a:ext uri="{FF2B5EF4-FFF2-40B4-BE49-F238E27FC236}">
                  <a16:creationId xmlns:a16="http://schemas.microsoft.com/office/drawing/2014/main" id="{AEE63130-9326-4C6D-ABDE-90D2655978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E5ACC" w:rsidRPr="00FB07D9">
        <w:rPr>
          <w:sz w:val="21"/>
          <w:szCs w:val="21"/>
        </w:rPr>
        <w:t xml:space="preserve">To </w:t>
      </w:r>
      <w:r w:rsidR="00935A00" w:rsidRPr="00FB07D9">
        <w:rPr>
          <w:sz w:val="21"/>
          <w:szCs w:val="21"/>
        </w:rPr>
        <w:t>accurately reflect</w:t>
      </w:r>
      <w:r w:rsidR="009E5ACC" w:rsidRPr="00FB07D9">
        <w:rPr>
          <w:sz w:val="21"/>
          <w:szCs w:val="21"/>
        </w:rPr>
        <w:t xml:space="preserve"> the extent to which education</w:t>
      </w:r>
      <w:r w:rsidR="00935A00" w:rsidRPr="00FB07D9">
        <w:rPr>
          <w:sz w:val="21"/>
          <w:szCs w:val="21"/>
        </w:rPr>
        <w:t>al</w:t>
      </w:r>
      <w:r w:rsidR="009E5ACC" w:rsidRPr="00FB07D9">
        <w:rPr>
          <w:sz w:val="21"/>
          <w:szCs w:val="21"/>
        </w:rPr>
        <w:t xml:space="preserve"> progress</w:t>
      </w:r>
      <w:r w:rsidR="00225111" w:rsidRPr="00FB07D9">
        <w:rPr>
          <w:sz w:val="21"/>
          <w:szCs w:val="21"/>
        </w:rPr>
        <w:t xml:space="preserve"> and </w:t>
      </w:r>
      <w:r w:rsidR="009E5ACC" w:rsidRPr="00FB07D9">
        <w:rPr>
          <w:sz w:val="21"/>
          <w:szCs w:val="21"/>
        </w:rPr>
        <w:t xml:space="preserve">growth slowed during the pandemic, </w:t>
      </w:r>
      <w:r w:rsidR="00225111" w:rsidRPr="00FB07D9">
        <w:rPr>
          <w:sz w:val="21"/>
          <w:szCs w:val="21"/>
        </w:rPr>
        <w:t xml:space="preserve">DESE </w:t>
      </w:r>
      <w:r w:rsidR="00046D03" w:rsidRPr="00FB07D9">
        <w:rPr>
          <w:sz w:val="21"/>
          <w:szCs w:val="21"/>
        </w:rPr>
        <w:t xml:space="preserve">adopted a slightly different method for calculating SGPs in 2021: </w:t>
      </w:r>
      <w:r w:rsidR="00CF1F97" w:rsidRPr="00FB07D9">
        <w:rPr>
          <w:sz w:val="21"/>
          <w:szCs w:val="21"/>
        </w:rPr>
        <w:t xml:space="preserve">baseline SGPs. In this method, </w:t>
      </w:r>
      <w:r w:rsidR="003B2910" w:rsidRPr="00FB07D9">
        <w:rPr>
          <w:sz w:val="21"/>
          <w:szCs w:val="21"/>
        </w:rPr>
        <w:t>a</w:t>
      </w:r>
      <w:r w:rsidR="00CF1F97" w:rsidRPr="00FB07D9">
        <w:rPr>
          <w:sz w:val="21"/>
          <w:szCs w:val="21"/>
        </w:rPr>
        <w:t xml:space="preserve"> historical peer group represents a “baseline” from which current progress can be measured over time. </w:t>
      </w:r>
    </w:p>
    <w:p w14:paraId="474906E3" w14:textId="0319B7E6" w:rsidR="00B564E3" w:rsidRDefault="00397B73" w:rsidP="00CB2635">
      <w:pPr>
        <w:rPr>
          <w:sz w:val="21"/>
          <w:szCs w:val="21"/>
        </w:rPr>
      </w:pPr>
      <w:r w:rsidRPr="00CB2635">
        <w:rPr>
          <w:rFonts w:eastAsia="Times New Roman" w:cs="Times New Roman"/>
          <w:sz w:val="21"/>
          <w:szCs w:val="21"/>
        </w:rPr>
        <w:t xml:space="preserve">The baseline SGPs are reported on the same scale as </w:t>
      </w:r>
      <w:r w:rsidR="00D44F3B">
        <w:rPr>
          <w:rFonts w:eastAsia="Times New Roman" w:cs="Times New Roman"/>
          <w:sz w:val="21"/>
          <w:szCs w:val="21"/>
        </w:rPr>
        <w:t xml:space="preserve">the </w:t>
      </w:r>
      <w:r w:rsidRPr="00CB2635">
        <w:rPr>
          <w:rFonts w:eastAsia="Times New Roman" w:cs="Times New Roman"/>
          <w:sz w:val="21"/>
          <w:szCs w:val="21"/>
        </w:rPr>
        <w:t>2019</w:t>
      </w:r>
      <w:r w:rsidR="00D44F3B">
        <w:rPr>
          <w:rFonts w:eastAsia="Times New Roman" w:cs="Times New Roman"/>
          <w:sz w:val="21"/>
          <w:szCs w:val="21"/>
        </w:rPr>
        <w:t xml:space="preserve"> results</w:t>
      </w:r>
      <w:r w:rsidRPr="00CB2635">
        <w:rPr>
          <w:rFonts w:eastAsia="Times New Roman" w:cs="Times New Roman"/>
          <w:sz w:val="21"/>
          <w:szCs w:val="21"/>
        </w:rPr>
        <w:t xml:space="preserve">, allowing for comparisons between SGPs in 2021 to SGPs in prior years. </w:t>
      </w:r>
      <w:r w:rsidR="00E94EAE" w:rsidRPr="00CB2635">
        <w:rPr>
          <w:sz w:val="21"/>
          <w:szCs w:val="21"/>
        </w:rPr>
        <w:t xml:space="preserve">Because student growth slowed due to the pandemic, the baseline MCAS SGPs </w:t>
      </w:r>
      <w:r w:rsidR="00631B8A" w:rsidRPr="00CB2635">
        <w:rPr>
          <w:sz w:val="21"/>
          <w:szCs w:val="21"/>
        </w:rPr>
        <w:t xml:space="preserve">in 2021 </w:t>
      </w:r>
      <w:r w:rsidR="00E94EAE" w:rsidRPr="00CB2635">
        <w:rPr>
          <w:sz w:val="21"/>
          <w:szCs w:val="21"/>
        </w:rPr>
        <w:t>show higher percentages of students in the lower growth categories, as shown in Figure 2.</w:t>
      </w:r>
      <w:r w:rsidR="00CF1F97" w:rsidRPr="00CB2635">
        <w:rPr>
          <w:sz w:val="21"/>
          <w:szCs w:val="21"/>
        </w:rPr>
        <w:t xml:space="preserve"> </w:t>
      </w:r>
    </w:p>
    <w:p w14:paraId="1B5DB99E" w14:textId="77777777" w:rsidR="00B564E3" w:rsidRDefault="00B564E3" w:rsidP="00B564E3">
      <w:pPr>
        <w:rPr>
          <w:color w:val="FF0000"/>
          <w:sz w:val="21"/>
          <w:szCs w:val="21"/>
        </w:rPr>
      </w:pPr>
    </w:p>
    <w:p w14:paraId="63E7F3B4" w14:textId="1148DA40" w:rsidR="00B564E3" w:rsidRPr="00C3396D" w:rsidRDefault="00B564E3" w:rsidP="00B564E3">
      <w:pPr>
        <w:rPr>
          <w:sz w:val="21"/>
          <w:szCs w:val="21"/>
        </w:rPr>
      </w:pPr>
      <w:r w:rsidRPr="00C3396D">
        <w:rPr>
          <w:sz w:val="21"/>
          <w:szCs w:val="21"/>
        </w:rPr>
        <w:lastRenderedPageBreak/>
        <w:t>The baseline method provides a more sensitive and realistic measure of student growth when a systemic event, such as the Covid-19 pandemic, has a significant, widespread impact on student performance and progress</w:t>
      </w:r>
      <w:r w:rsidR="00747923" w:rsidRPr="00C3396D">
        <w:rPr>
          <w:sz w:val="21"/>
          <w:szCs w:val="21"/>
        </w:rPr>
        <w:t xml:space="preserve">, as shown in the figures below. </w:t>
      </w:r>
    </w:p>
    <w:p w14:paraId="4B0A9852" w14:textId="2CCBF992" w:rsidR="0048211C" w:rsidRDefault="00B564E3" w:rsidP="00CB2635">
      <w:pPr>
        <w:rPr>
          <w:color w:val="FF0000"/>
          <w:sz w:val="21"/>
          <w:szCs w:val="21"/>
        </w:rPr>
      </w:pPr>
      <w:r w:rsidRPr="00AF0388">
        <w:rPr>
          <w:noProof/>
          <w:color w:val="FF0000"/>
          <w:sz w:val="21"/>
          <w:szCs w:val="21"/>
        </w:rPr>
        <w:drawing>
          <wp:anchor distT="0" distB="0" distL="114300" distR="114300" simplePos="0" relativeHeight="251688448" behindDoc="0" locked="0" layoutInCell="1" allowOverlap="1" wp14:anchorId="380CAB1F" wp14:editId="4B64D690">
            <wp:simplePos x="0" y="0"/>
            <wp:positionH relativeFrom="column">
              <wp:posOffset>3040260</wp:posOffset>
            </wp:positionH>
            <wp:positionV relativeFrom="paragraph">
              <wp:posOffset>206390</wp:posOffset>
            </wp:positionV>
            <wp:extent cx="3269411" cy="1889359"/>
            <wp:effectExtent l="0" t="0" r="7620" b="0"/>
            <wp:wrapSquare wrapText="bothSides"/>
            <wp:docPr id="18" name="Picture 17" descr="Diagram og student growth percentiles&#10;&#10;">
              <a:extLst xmlns:a="http://schemas.openxmlformats.org/drawingml/2006/main">
                <a:ext uri="{FF2B5EF4-FFF2-40B4-BE49-F238E27FC236}">
                  <a16:creationId xmlns:a16="http://schemas.microsoft.com/office/drawing/2014/main" id="{885304B8-D2A0-477B-9CB0-95CFA5C156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Diagram og student growth percentiles&#10;&#10;">
                      <a:extLst>
                        <a:ext uri="{FF2B5EF4-FFF2-40B4-BE49-F238E27FC236}">
                          <a16:creationId xmlns:a16="http://schemas.microsoft.com/office/drawing/2014/main" id="{885304B8-D2A0-477B-9CB0-95CFA5C156AF}"/>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69411" cy="1889359"/>
                    </a:xfrm>
                    <a:prstGeom prst="rect">
                      <a:avLst/>
                    </a:prstGeom>
                  </pic:spPr>
                </pic:pic>
              </a:graphicData>
            </a:graphic>
          </wp:anchor>
        </w:drawing>
      </w:r>
      <w:r w:rsidRPr="0048211C">
        <w:rPr>
          <w:noProof/>
          <w:color w:val="FF0000"/>
          <w:sz w:val="21"/>
          <w:szCs w:val="21"/>
        </w:rPr>
        <w:drawing>
          <wp:anchor distT="0" distB="0" distL="114300" distR="114300" simplePos="0" relativeHeight="251689472" behindDoc="0" locked="0" layoutInCell="1" allowOverlap="1" wp14:anchorId="7722355D" wp14:editId="286843BA">
            <wp:simplePos x="0" y="0"/>
            <wp:positionH relativeFrom="column">
              <wp:posOffset>-163902</wp:posOffset>
            </wp:positionH>
            <wp:positionV relativeFrom="paragraph">
              <wp:posOffset>301206</wp:posOffset>
            </wp:positionV>
            <wp:extent cx="3204692" cy="1703250"/>
            <wp:effectExtent l="0" t="0" r="0" b="0"/>
            <wp:wrapThrough wrapText="bothSides">
              <wp:wrapPolygon edited="0">
                <wp:start x="0" y="0"/>
                <wp:lineTo x="0" y="21262"/>
                <wp:lineTo x="21446" y="21262"/>
                <wp:lineTo x="21446" y="0"/>
                <wp:lineTo x="0" y="0"/>
              </wp:wrapPolygon>
            </wp:wrapThrough>
            <wp:docPr id="21" name="Picture 20" descr="2019 student growth percentiled">
              <a:extLst xmlns:a="http://schemas.openxmlformats.org/drawingml/2006/main">
                <a:ext uri="{FF2B5EF4-FFF2-40B4-BE49-F238E27FC236}">
                  <a16:creationId xmlns:a16="http://schemas.microsoft.com/office/drawing/2014/main" id="{E970A913-BA72-4F4F-AC13-66F34EF00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2019 student growth percentiled">
                      <a:extLst>
                        <a:ext uri="{FF2B5EF4-FFF2-40B4-BE49-F238E27FC236}">
                          <a16:creationId xmlns:a16="http://schemas.microsoft.com/office/drawing/2014/main" id="{E970A913-BA72-4F4F-AC13-66F34EF00B07}"/>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04692" cy="1703250"/>
                    </a:xfrm>
                    <a:prstGeom prst="rect">
                      <a:avLst/>
                    </a:prstGeom>
                  </pic:spPr>
                </pic:pic>
              </a:graphicData>
            </a:graphic>
            <wp14:sizeRelV relativeFrom="margin">
              <wp14:pctHeight>0</wp14:pctHeight>
            </wp14:sizeRelV>
          </wp:anchor>
        </w:drawing>
      </w:r>
    </w:p>
    <w:p w14:paraId="482B2966" w14:textId="6D155E9E" w:rsidR="00AF0388" w:rsidRPr="00CB2635" w:rsidRDefault="00AF0388" w:rsidP="00CB2635">
      <w:pPr>
        <w:rPr>
          <w:color w:val="FF0000"/>
          <w:sz w:val="21"/>
          <w:szCs w:val="21"/>
        </w:rPr>
      </w:pPr>
    </w:p>
    <w:p w14:paraId="25460FE7" w14:textId="62739FCC" w:rsidR="004D6356" w:rsidRDefault="004D6356" w:rsidP="000949D7">
      <w:pPr>
        <w:keepNext/>
        <w:spacing w:after="0" w:line="240" w:lineRule="auto"/>
        <w:rPr>
          <w:rFonts w:eastAsia="Times New Roman" w:cs="Times New Roman"/>
        </w:rPr>
      </w:pPr>
    </w:p>
    <w:p w14:paraId="7BCE76A3" w14:textId="4D606C60" w:rsidR="00B345BC" w:rsidRPr="00CB2635" w:rsidRDefault="00B345BC" w:rsidP="00B345BC">
      <w:pPr>
        <w:rPr>
          <w:sz w:val="21"/>
          <w:szCs w:val="21"/>
        </w:rPr>
      </w:pPr>
      <w:r w:rsidRPr="00CB2635">
        <w:rPr>
          <w:sz w:val="21"/>
          <w:szCs w:val="21"/>
        </w:rPr>
        <w:t xml:space="preserve">DESE made the decision to report growth using the baseline model after consultation with a number of experts and stakeholders, including the MCAS technical advisory committee as well as experts at the </w:t>
      </w:r>
      <w:hyperlink r:id="rId15" w:history="1">
        <w:r w:rsidRPr="00CB2635">
          <w:rPr>
            <w:rStyle w:val="Hyperlink"/>
            <w:color w:val="auto"/>
            <w:sz w:val="21"/>
            <w:szCs w:val="21"/>
          </w:rPr>
          <w:t>Center for Assessment</w:t>
        </w:r>
      </w:hyperlink>
      <w:r w:rsidRPr="00CB2635">
        <w:rPr>
          <w:sz w:val="21"/>
          <w:szCs w:val="21"/>
        </w:rPr>
        <w:t xml:space="preserve">. </w:t>
      </w:r>
    </w:p>
    <w:p w14:paraId="2E8ED59B" w14:textId="5A665EEB" w:rsidR="00853061" w:rsidRDefault="00853061" w:rsidP="00853061">
      <w:pPr>
        <w:keepNext/>
        <w:spacing w:after="0" w:line="240" w:lineRule="auto"/>
      </w:pPr>
    </w:p>
    <w:sectPr w:rsidR="00853061" w:rsidSect="000949D7">
      <w:headerReference w:type="default" r:id="rId16"/>
      <w:footerReference w:type="default" r:id="rId17"/>
      <w:pgSz w:w="12240" w:h="15840"/>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03A50" w14:textId="77777777" w:rsidR="00B77DA0" w:rsidRDefault="00B77DA0" w:rsidP="0079271F">
      <w:pPr>
        <w:spacing w:after="0" w:line="240" w:lineRule="auto"/>
      </w:pPr>
      <w:r>
        <w:separator/>
      </w:r>
    </w:p>
  </w:endnote>
  <w:endnote w:type="continuationSeparator" w:id="0">
    <w:p w14:paraId="6CCBC74B" w14:textId="77777777" w:rsidR="00B77DA0" w:rsidRDefault="00B77DA0" w:rsidP="0079271F">
      <w:pPr>
        <w:spacing w:after="0" w:line="240" w:lineRule="auto"/>
      </w:pPr>
      <w:r>
        <w:continuationSeparator/>
      </w:r>
    </w:p>
  </w:endnote>
  <w:endnote w:type="continuationNotice" w:id="1">
    <w:p w14:paraId="62DBD5D6" w14:textId="77777777" w:rsidR="00B77DA0" w:rsidRDefault="00B77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808307"/>
      <w:docPartObj>
        <w:docPartGallery w:val="Page Numbers (Bottom of Page)"/>
        <w:docPartUnique/>
      </w:docPartObj>
    </w:sdtPr>
    <w:sdtEndPr>
      <w:rPr>
        <w:noProof/>
      </w:rPr>
    </w:sdtEndPr>
    <w:sdtContent>
      <w:p w14:paraId="0F306AC8" w14:textId="11F20DEC" w:rsidR="00A057CA" w:rsidRDefault="00A057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C874F" w14:textId="77777777" w:rsidR="00A057CA" w:rsidRDefault="00A0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B348B" w14:textId="77777777" w:rsidR="00B77DA0" w:rsidRDefault="00B77DA0" w:rsidP="0079271F">
      <w:pPr>
        <w:spacing w:after="0" w:line="240" w:lineRule="auto"/>
      </w:pPr>
      <w:r>
        <w:separator/>
      </w:r>
    </w:p>
  </w:footnote>
  <w:footnote w:type="continuationSeparator" w:id="0">
    <w:p w14:paraId="0F86E533" w14:textId="77777777" w:rsidR="00B77DA0" w:rsidRDefault="00B77DA0" w:rsidP="0079271F">
      <w:pPr>
        <w:spacing w:after="0" w:line="240" w:lineRule="auto"/>
      </w:pPr>
      <w:r>
        <w:continuationSeparator/>
      </w:r>
    </w:p>
  </w:footnote>
  <w:footnote w:type="continuationNotice" w:id="1">
    <w:p w14:paraId="183F8B44" w14:textId="77777777" w:rsidR="00B77DA0" w:rsidRDefault="00B77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B1BDB" w14:textId="37BA5D75" w:rsidR="00506577" w:rsidRDefault="00506577">
    <w:pPr>
      <w:pStyle w:val="Header"/>
    </w:pPr>
    <w:r>
      <w:tab/>
    </w:r>
    <w:r>
      <w:tab/>
      <w:t>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874FC"/>
    <w:multiLevelType w:val="hybridMultilevel"/>
    <w:tmpl w:val="798EB3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1F"/>
    <w:rsid w:val="00046D03"/>
    <w:rsid w:val="00070A4E"/>
    <w:rsid w:val="000949D7"/>
    <w:rsid w:val="000C05B1"/>
    <w:rsid w:val="000D269B"/>
    <w:rsid w:val="00135F99"/>
    <w:rsid w:val="00167882"/>
    <w:rsid w:val="00191665"/>
    <w:rsid w:val="001A0535"/>
    <w:rsid w:val="001C52F1"/>
    <w:rsid w:val="001C5CD4"/>
    <w:rsid w:val="001F48C5"/>
    <w:rsid w:val="00204B66"/>
    <w:rsid w:val="00211816"/>
    <w:rsid w:val="00225111"/>
    <w:rsid w:val="00242829"/>
    <w:rsid w:val="002639FA"/>
    <w:rsid w:val="00274CF3"/>
    <w:rsid w:val="00291520"/>
    <w:rsid w:val="002915E2"/>
    <w:rsid w:val="00297EBA"/>
    <w:rsid w:val="002A6DBF"/>
    <w:rsid w:val="002A7503"/>
    <w:rsid w:val="002E6FCF"/>
    <w:rsid w:val="00313C7F"/>
    <w:rsid w:val="00325667"/>
    <w:rsid w:val="00327B5C"/>
    <w:rsid w:val="00347CCE"/>
    <w:rsid w:val="0036210C"/>
    <w:rsid w:val="00365A1F"/>
    <w:rsid w:val="00366CE6"/>
    <w:rsid w:val="00385191"/>
    <w:rsid w:val="00397B73"/>
    <w:rsid w:val="003B2910"/>
    <w:rsid w:val="003F3D1E"/>
    <w:rsid w:val="003F5E94"/>
    <w:rsid w:val="00421C66"/>
    <w:rsid w:val="004407F7"/>
    <w:rsid w:val="00480503"/>
    <w:rsid w:val="0048211C"/>
    <w:rsid w:val="004B4FF8"/>
    <w:rsid w:val="004B6834"/>
    <w:rsid w:val="004D6356"/>
    <w:rsid w:val="004E170A"/>
    <w:rsid w:val="004F69D1"/>
    <w:rsid w:val="00506577"/>
    <w:rsid w:val="00520C59"/>
    <w:rsid w:val="00555FF6"/>
    <w:rsid w:val="005A02A2"/>
    <w:rsid w:val="005A554A"/>
    <w:rsid w:val="005B2612"/>
    <w:rsid w:val="006214FC"/>
    <w:rsid w:val="00631B8A"/>
    <w:rsid w:val="00651420"/>
    <w:rsid w:val="00697EBB"/>
    <w:rsid w:val="006A36FE"/>
    <w:rsid w:val="006E03F5"/>
    <w:rsid w:val="006E6B30"/>
    <w:rsid w:val="00747923"/>
    <w:rsid w:val="00767314"/>
    <w:rsid w:val="007816C4"/>
    <w:rsid w:val="0079271F"/>
    <w:rsid w:val="007B20D0"/>
    <w:rsid w:val="007D2E86"/>
    <w:rsid w:val="008310AA"/>
    <w:rsid w:val="00853061"/>
    <w:rsid w:val="008955E2"/>
    <w:rsid w:val="008A63ED"/>
    <w:rsid w:val="008B399A"/>
    <w:rsid w:val="008E2C34"/>
    <w:rsid w:val="008F47B5"/>
    <w:rsid w:val="00935A00"/>
    <w:rsid w:val="00954CA8"/>
    <w:rsid w:val="009C716F"/>
    <w:rsid w:val="009D5654"/>
    <w:rsid w:val="009D7722"/>
    <w:rsid w:val="009E5ACC"/>
    <w:rsid w:val="009F053C"/>
    <w:rsid w:val="009F44E0"/>
    <w:rsid w:val="00A057CA"/>
    <w:rsid w:val="00A12CFC"/>
    <w:rsid w:val="00A13D42"/>
    <w:rsid w:val="00A3028D"/>
    <w:rsid w:val="00A901DD"/>
    <w:rsid w:val="00AA7BFE"/>
    <w:rsid w:val="00AC1CD6"/>
    <w:rsid w:val="00AD3D73"/>
    <w:rsid w:val="00AF0388"/>
    <w:rsid w:val="00AF4024"/>
    <w:rsid w:val="00B345BC"/>
    <w:rsid w:val="00B421D7"/>
    <w:rsid w:val="00B44178"/>
    <w:rsid w:val="00B5193B"/>
    <w:rsid w:val="00B564E3"/>
    <w:rsid w:val="00B64328"/>
    <w:rsid w:val="00B77DA0"/>
    <w:rsid w:val="00B77F63"/>
    <w:rsid w:val="00BD04AC"/>
    <w:rsid w:val="00C017F2"/>
    <w:rsid w:val="00C3396D"/>
    <w:rsid w:val="00C364A2"/>
    <w:rsid w:val="00C40DA7"/>
    <w:rsid w:val="00C45F45"/>
    <w:rsid w:val="00C46E67"/>
    <w:rsid w:val="00C87D56"/>
    <w:rsid w:val="00CB0BA3"/>
    <w:rsid w:val="00CB2635"/>
    <w:rsid w:val="00CF1F97"/>
    <w:rsid w:val="00D046C6"/>
    <w:rsid w:val="00D10C7F"/>
    <w:rsid w:val="00D27A8C"/>
    <w:rsid w:val="00D44F3B"/>
    <w:rsid w:val="00D85505"/>
    <w:rsid w:val="00D903F6"/>
    <w:rsid w:val="00E94EAE"/>
    <w:rsid w:val="00E96C76"/>
    <w:rsid w:val="00EB559F"/>
    <w:rsid w:val="00EC44EC"/>
    <w:rsid w:val="00F338B0"/>
    <w:rsid w:val="00F37F7E"/>
    <w:rsid w:val="00F64964"/>
    <w:rsid w:val="00F8326A"/>
    <w:rsid w:val="00FB07D9"/>
    <w:rsid w:val="00FB1056"/>
    <w:rsid w:val="00FD4026"/>
    <w:rsid w:val="00FE1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1E847"/>
  <w15:chartTrackingRefBased/>
  <w15:docId w15:val="{EA745D08-02A8-48A0-A58A-CB72892D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271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79271F"/>
    <w:rPr>
      <w:rFonts w:eastAsia="Times New Roman" w:cs="Times New Roman"/>
      <w:sz w:val="20"/>
      <w:szCs w:val="20"/>
    </w:rPr>
  </w:style>
  <w:style w:type="character" w:styleId="FootnoteReference">
    <w:name w:val="footnote reference"/>
    <w:basedOn w:val="DefaultParagraphFont"/>
    <w:uiPriority w:val="99"/>
    <w:semiHidden/>
    <w:unhideWhenUsed/>
    <w:rsid w:val="0079271F"/>
    <w:rPr>
      <w:rFonts w:cs="Times New Roman"/>
      <w:vertAlign w:val="superscript"/>
    </w:rPr>
  </w:style>
  <w:style w:type="paragraph" w:styleId="ListParagraph">
    <w:name w:val="List Paragraph"/>
    <w:basedOn w:val="Normal"/>
    <w:uiPriority w:val="34"/>
    <w:qFormat/>
    <w:rsid w:val="0079271F"/>
    <w:pPr>
      <w:ind w:left="720"/>
      <w:contextualSpacing/>
    </w:pPr>
    <w:rPr>
      <w:rFonts w:eastAsia="Times New Roman" w:cs="Times New Roman"/>
    </w:rPr>
  </w:style>
  <w:style w:type="paragraph" w:styleId="Header">
    <w:name w:val="header"/>
    <w:basedOn w:val="Normal"/>
    <w:link w:val="HeaderChar"/>
    <w:uiPriority w:val="99"/>
    <w:unhideWhenUsed/>
    <w:rsid w:val="00A05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CA"/>
  </w:style>
  <w:style w:type="paragraph" w:styleId="Footer">
    <w:name w:val="footer"/>
    <w:basedOn w:val="Normal"/>
    <w:link w:val="FooterChar"/>
    <w:uiPriority w:val="99"/>
    <w:unhideWhenUsed/>
    <w:rsid w:val="00A05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7CA"/>
  </w:style>
  <w:style w:type="character" w:styleId="Hyperlink">
    <w:name w:val="Hyperlink"/>
    <w:basedOn w:val="DefaultParagraphFont"/>
    <w:uiPriority w:val="99"/>
    <w:unhideWhenUsed/>
    <w:rsid w:val="00A30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670300">
      <w:bodyDiv w:val="1"/>
      <w:marLeft w:val="0"/>
      <w:marRight w:val="0"/>
      <w:marTop w:val="0"/>
      <w:marBottom w:val="0"/>
      <w:divBdr>
        <w:top w:val="none" w:sz="0" w:space="0" w:color="auto"/>
        <w:left w:val="none" w:sz="0" w:space="0" w:color="auto"/>
        <w:bottom w:val="none" w:sz="0" w:space="0" w:color="auto"/>
        <w:right w:val="none" w:sz="0" w:space="0" w:color="auto"/>
      </w:divBdr>
    </w:div>
    <w:div w:id="8051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yperlink" Target="http://www.nciea.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ms\AppData\Local\Microsoft\Windows\INetCache\Content.Outlook\9M7L7T7Q\Tables%20for%20SOE.8.31.2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2019 ELA</a:t>
            </a:r>
            <a:r>
              <a:rPr lang="en-US" baseline="0"/>
              <a:t> SGPs, by Growth Category</a:t>
            </a:r>
            <a:endParaRPr lang="en-US"/>
          </a:p>
        </c:rich>
      </c:tx>
      <c:overlay val="0"/>
      <c:spPr>
        <a:noFill/>
        <a:ln>
          <a:noFill/>
        </a:ln>
        <a:effectLst/>
      </c:spPr>
    </c:title>
    <c:autoTitleDeleted val="0"/>
    <c:plotArea>
      <c:layout/>
      <c:barChart>
        <c:barDir val="col"/>
        <c:grouping val="stacked"/>
        <c:varyColors val="0"/>
        <c:ser>
          <c:idx val="5"/>
          <c:order val="0"/>
          <c:tx>
            <c:strRef>
              <c:f>BaselinevsNR!$K$14</c:f>
              <c:strCache>
                <c:ptCount val="1"/>
                <c:pt idx="0">
                  <c:v>Very Low</c:v>
                </c:pt>
              </c:strCache>
            </c:strRef>
          </c:tx>
          <c:spPr>
            <a:solidFill>
              <a:srgbClr val="C00000"/>
            </a:solidFill>
            <a:ln>
              <a:noFill/>
            </a:ln>
            <a:effectLst/>
          </c:spPr>
          <c:invertIfNegative val="0"/>
          <c:dLbls>
            <c:spPr>
              <a:noFill/>
              <a:ln>
                <a:noFill/>
              </a:ln>
              <a:effectLst/>
            </c:spPr>
            <c:txPr>
              <a:bodyPr wrap="square" lIns="38100" tIns="19050" rIns="38100" bIns="19050" anchor="ctr">
                <a:spAutoFit/>
              </a:bodyPr>
              <a:lstStyle/>
              <a:p>
                <a:pPr>
                  <a:defRPr sz="800" b="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BaselinevsNR!$J$15:$J$20</c:f>
              <c:strCache>
                <c:ptCount val="6"/>
                <c:pt idx="0">
                  <c:v>grade 4</c:v>
                </c:pt>
                <c:pt idx="1">
                  <c:v>grade 5</c:v>
                </c:pt>
                <c:pt idx="2">
                  <c:v>grade 6</c:v>
                </c:pt>
                <c:pt idx="3">
                  <c:v>grade 7</c:v>
                </c:pt>
                <c:pt idx="4">
                  <c:v>grade 8</c:v>
                </c:pt>
                <c:pt idx="5">
                  <c:v>grade 10</c:v>
                </c:pt>
              </c:strCache>
            </c:strRef>
          </c:cat>
          <c:val>
            <c:numRef>
              <c:f>BaselinevsNR!$K$15:$K$20</c:f>
              <c:numCache>
                <c:formatCode>0%</c:formatCode>
                <c:ptCount val="6"/>
                <c:pt idx="0">
                  <c:v>0.1970942400436774</c:v>
                </c:pt>
                <c:pt idx="1">
                  <c:v>0.19591076431159155</c:v>
                </c:pt>
                <c:pt idx="2">
                  <c:v>0.19588293941704299</c:v>
                </c:pt>
                <c:pt idx="3">
                  <c:v>0.19599498252844727</c:v>
                </c:pt>
                <c:pt idx="4">
                  <c:v>0.19639260618538246</c:v>
                </c:pt>
                <c:pt idx="5">
                  <c:v>0.20048110298509872</c:v>
                </c:pt>
              </c:numCache>
            </c:numRef>
          </c:val>
          <c:extLst>
            <c:ext xmlns:c16="http://schemas.microsoft.com/office/drawing/2014/chart" uri="{C3380CC4-5D6E-409C-BE32-E72D297353CC}">
              <c16:uniqueId val="{00000000-7697-40F2-96FA-E9C4A31708C0}"/>
            </c:ext>
          </c:extLst>
        </c:ser>
        <c:ser>
          <c:idx val="6"/>
          <c:order val="1"/>
          <c:tx>
            <c:strRef>
              <c:f>BaselinevsNR!$L$14</c:f>
              <c:strCache>
                <c:ptCount val="1"/>
                <c:pt idx="0">
                  <c:v>Low</c:v>
                </c:pt>
              </c:strCache>
            </c:strRef>
          </c:tx>
          <c:spPr>
            <a:solidFill>
              <a:schemeClr val="accent2"/>
            </a:solidFill>
            <a:ln>
              <a:noFill/>
            </a:ln>
            <a:effectLst/>
          </c:spPr>
          <c:invertIfNegative val="0"/>
          <c:dLbls>
            <c:spPr>
              <a:noFill/>
              <a:ln>
                <a:noFill/>
              </a:ln>
              <a:effectLst/>
            </c:spPr>
            <c:txPr>
              <a:bodyPr wrap="square" lIns="38100" tIns="19050" rIns="38100" bIns="19050" anchor="ctr">
                <a:spAutoFit/>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BaselinevsNR!$J$15:$J$20</c:f>
              <c:strCache>
                <c:ptCount val="6"/>
                <c:pt idx="0">
                  <c:v>grade 4</c:v>
                </c:pt>
                <c:pt idx="1">
                  <c:v>grade 5</c:v>
                </c:pt>
                <c:pt idx="2">
                  <c:v>grade 6</c:v>
                </c:pt>
                <c:pt idx="3">
                  <c:v>grade 7</c:v>
                </c:pt>
                <c:pt idx="4">
                  <c:v>grade 8</c:v>
                </c:pt>
                <c:pt idx="5">
                  <c:v>grade 10</c:v>
                </c:pt>
              </c:strCache>
            </c:strRef>
          </c:cat>
          <c:val>
            <c:numRef>
              <c:f>BaselinevsNR!$L$15:$L$20</c:f>
              <c:numCache>
                <c:formatCode>0%</c:formatCode>
                <c:ptCount val="6"/>
                <c:pt idx="0">
                  <c:v>0.20495010464375626</c:v>
                </c:pt>
                <c:pt idx="1">
                  <c:v>0.20004693527332462</c:v>
                </c:pt>
                <c:pt idx="2">
                  <c:v>0.19970969444607353</c:v>
                </c:pt>
                <c:pt idx="3">
                  <c:v>0.2002658065286862</c:v>
                </c:pt>
                <c:pt idx="4">
                  <c:v>0.20001790269883185</c:v>
                </c:pt>
                <c:pt idx="5">
                  <c:v>0.20261216318754943</c:v>
                </c:pt>
              </c:numCache>
            </c:numRef>
          </c:val>
          <c:extLst>
            <c:ext xmlns:c16="http://schemas.microsoft.com/office/drawing/2014/chart" uri="{C3380CC4-5D6E-409C-BE32-E72D297353CC}">
              <c16:uniqueId val="{00000001-7697-40F2-96FA-E9C4A31708C0}"/>
            </c:ext>
          </c:extLst>
        </c:ser>
        <c:ser>
          <c:idx val="7"/>
          <c:order val="2"/>
          <c:tx>
            <c:strRef>
              <c:f>BaselinevsNR!$M$14</c:f>
              <c:strCache>
                <c:ptCount val="1"/>
                <c:pt idx="0">
                  <c:v>Moderate</c:v>
                </c:pt>
              </c:strCache>
            </c:strRef>
          </c:tx>
          <c:spPr>
            <a:solidFill>
              <a:schemeClr val="accent3"/>
            </a:solidFill>
            <a:ln>
              <a:noFill/>
            </a:ln>
            <a:effectLst/>
          </c:spPr>
          <c:invertIfNegative val="0"/>
          <c:dLbls>
            <c:spPr>
              <a:noFill/>
              <a:ln>
                <a:noFill/>
              </a:ln>
              <a:effectLst/>
            </c:spPr>
            <c:txPr>
              <a:bodyPr wrap="square" lIns="38100" tIns="19050" rIns="38100" bIns="19050" anchor="ctr">
                <a:spAutoFit/>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BaselinevsNR!$J$15:$J$20</c:f>
              <c:strCache>
                <c:ptCount val="6"/>
                <c:pt idx="0">
                  <c:v>grade 4</c:v>
                </c:pt>
                <c:pt idx="1">
                  <c:v>grade 5</c:v>
                </c:pt>
                <c:pt idx="2">
                  <c:v>grade 6</c:v>
                </c:pt>
                <c:pt idx="3">
                  <c:v>grade 7</c:v>
                </c:pt>
                <c:pt idx="4">
                  <c:v>grade 8</c:v>
                </c:pt>
                <c:pt idx="5">
                  <c:v>grade 10</c:v>
                </c:pt>
              </c:strCache>
            </c:strRef>
          </c:cat>
          <c:val>
            <c:numRef>
              <c:f>BaselinevsNR!$M$15:$M$20</c:f>
              <c:numCache>
                <c:formatCode>0%</c:formatCode>
                <c:ptCount val="6"/>
                <c:pt idx="0">
                  <c:v>0.1970942400436774</c:v>
                </c:pt>
                <c:pt idx="1">
                  <c:v>0.19929890435471334</c:v>
                </c:pt>
                <c:pt idx="2">
                  <c:v>0.19922585185619612</c:v>
                </c:pt>
                <c:pt idx="3">
                  <c:v>0.19902637159155392</c:v>
                </c:pt>
                <c:pt idx="4">
                  <c:v>0.19943606498679675</c:v>
                </c:pt>
                <c:pt idx="5">
                  <c:v>0.19944786167481959</c:v>
                </c:pt>
              </c:numCache>
            </c:numRef>
          </c:val>
          <c:extLst>
            <c:ext xmlns:c16="http://schemas.microsoft.com/office/drawing/2014/chart" uri="{C3380CC4-5D6E-409C-BE32-E72D297353CC}">
              <c16:uniqueId val="{00000002-7697-40F2-96FA-E9C4A31708C0}"/>
            </c:ext>
          </c:extLst>
        </c:ser>
        <c:ser>
          <c:idx val="8"/>
          <c:order val="3"/>
          <c:tx>
            <c:strRef>
              <c:f>BaselinevsNR!$N$14</c:f>
              <c:strCache>
                <c:ptCount val="1"/>
                <c:pt idx="0">
                  <c:v>High</c:v>
                </c:pt>
              </c:strCache>
            </c:strRef>
          </c:tx>
          <c:spPr>
            <a:solidFill>
              <a:schemeClr val="accent6">
                <a:lumMod val="60000"/>
                <a:lumOff val="40000"/>
              </a:schemeClr>
            </a:solidFill>
            <a:ln>
              <a:noFill/>
            </a:ln>
            <a:effectLst/>
          </c:spPr>
          <c:invertIfNegative val="0"/>
          <c:dLbls>
            <c:spPr>
              <a:noFill/>
              <a:ln>
                <a:noFill/>
              </a:ln>
              <a:effectLst/>
            </c:spPr>
            <c:txPr>
              <a:bodyPr wrap="square" lIns="38100" tIns="19050" rIns="38100" bIns="19050" anchor="ctr">
                <a:spAutoFit/>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BaselinevsNR!$J$15:$J$20</c:f>
              <c:strCache>
                <c:ptCount val="6"/>
                <c:pt idx="0">
                  <c:v>grade 4</c:v>
                </c:pt>
                <c:pt idx="1">
                  <c:v>grade 5</c:v>
                </c:pt>
                <c:pt idx="2">
                  <c:v>grade 6</c:v>
                </c:pt>
                <c:pt idx="3">
                  <c:v>grade 7</c:v>
                </c:pt>
                <c:pt idx="4">
                  <c:v>grade 8</c:v>
                </c:pt>
                <c:pt idx="5">
                  <c:v>grade 10</c:v>
                </c:pt>
              </c:strCache>
            </c:strRef>
          </c:cat>
          <c:val>
            <c:numRef>
              <c:f>BaselinevsNR!$N$15:$N$20</c:f>
              <c:numCache>
                <c:formatCode>0%</c:formatCode>
                <c:ptCount val="6"/>
                <c:pt idx="0">
                  <c:v>0.19850465588886529</c:v>
                </c:pt>
                <c:pt idx="1">
                  <c:v>0.20014960618372227</c:v>
                </c:pt>
                <c:pt idx="2">
                  <c:v>0.20023752272593984</c:v>
                </c:pt>
                <c:pt idx="3">
                  <c:v>0.19947436012304751</c:v>
                </c:pt>
                <c:pt idx="4">
                  <c:v>0.19948082173387638</c:v>
                </c:pt>
                <c:pt idx="5">
                  <c:v>0.20078784649908785</c:v>
                </c:pt>
              </c:numCache>
            </c:numRef>
          </c:val>
          <c:extLst>
            <c:ext xmlns:c16="http://schemas.microsoft.com/office/drawing/2014/chart" uri="{C3380CC4-5D6E-409C-BE32-E72D297353CC}">
              <c16:uniqueId val="{00000003-7697-40F2-96FA-E9C4A31708C0}"/>
            </c:ext>
          </c:extLst>
        </c:ser>
        <c:ser>
          <c:idx val="9"/>
          <c:order val="4"/>
          <c:tx>
            <c:strRef>
              <c:f>BaselinevsNR!$O$14</c:f>
              <c:strCache>
                <c:ptCount val="1"/>
                <c:pt idx="0">
                  <c:v>Very High</c:v>
                </c:pt>
              </c:strCache>
            </c:strRef>
          </c:tx>
          <c:spPr>
            <a:solidFill>
              <a:schemeClr val="accent6">
                <a:lumMod val="50000"/>
              </a:schemeClr>
            </a:solidFill>
            <a:ln>
              <a:noFill/>
            </a:ln>
            <a:effectLst/>
          </c:spPr>
          <c:invertIfNegative val="0"/>
          <c:dLbls>
            <c:spPr>
              <a:noFill/>
              <a:ln>
                <a:noFill/>
              </a:ln>
              <a:effectLst/>
            </c:spPr>
            <c:txPr>
              <a:bodyPr wrap="square" lIns="38100" tIns="19050" rIns="38100" bIns="19050" anchor="ctr">
                <a:spAutoFit/>
              </a:bodyPr>
              <a:lstStyle/>
              <a:p>
                <a:pPr>
                  <a:defRPr sz="800" b="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BaselinevsNR!$J$15:$J$20</c:f>
              <c:strCache>
                <c:ptCount val="6"/>
                <c:pt idx="0">
                  <c:v>grade 4</c:v>
                </c:pt>
                <c:pt idx="1">
                  <c:v>grade 5</c:v>
                </c:pt>
                <c:pt idx="2">
                  <c:v>grade 6</c:v>
                </c:pt>
                <c:pt idx="3">
                  <c:v>grade 7</c:v>
                </c:pt>
                <c:pt idx="4">
                  <c:v>grade 8</c:v>
                </c:pt>
                <c:pt idx="5">
                  <c:v>grade 10</c:v>
                </c:pt>
              </c:strCache>
            </c:strRef>
          </c:cat>
          <c:val>
            <c:numRef>
              <c:f>BaselinevsNR!$O$15:$O$20</c:f>
              <c:numCache>
                <c:formatCode>0%</c:formatCode>
                <c:ptCount val="6"/>
                <c:pt idx="0">
                  <c:v>0.20235675938002365</c:v>
                </c:pt>
                <c:pt idx="1">
                  <c:v>0.20459378987664822</c:v>
                </c:pt>
                <c:pt idx="2">
                  <c:v>0.20494399155474752</c:v>
                </c:pt>
                <c:pt idx="3">
                  <c:v>0.2052384792282651</c:v>
                </c:pt>
                <c:pt idx="4">
                  <c:v>0.20467260439511256</c:v>
                </c:pt>
                <c:pt idx="5">
                  <c:v>0.19667102565344441</c:v>
                </c:pt>
              </c:numCache>
            </c:numRef>
          </c:val>
          <c:extLst>
            <c:ext xmlns:c16="http://schemas.microsoft.com/office/drawing/2014/chart" uri="{C3380CC4-5D6E-409C-BE32-E72D297353CC}">
              <c16:uniqueId val="{00000004-7697-40F2-96FA-E9C4A31708C0}"/>
            </c:ext>
          </c:extLst>
        </c:ser>
        <c:dLbls>
          <c:showLegendKey val="0"/>
          <c:showVal val="0"/>
          <c:showCatName val="0"/>
          <c:showSerName val="0"/>
          <c:showPercent val="0"/>
          <c:showBubbleSize val="0"/>
        </c:dLbls>
        <c:gapWidth val="150"/>
        <c:overlap val="100"/>
        <c:axId val="649699760"/>
        <c:axId val="649689320"/>
        <c:extLst>
          <c:ext xmlns:c15="http://schemas.microsoft.com/office/drawing/2012/chart" uri="{02D57815-91ED-43cb-92C2-25804820EDAC}">
            <c15:filteredBarSeries>
              <c15:ser>
                <c:idx val="0"/>
                <c:order val="5"/>
                <c:tx>
                  <c:strRef>
                    <c:extLst>
                      <c:ext uri="{02D57815-91ED-43cb-92C2-25804820EDAC}">
                        <c15:formulaRef>
                          <c15:sqref>BaselinevsNR!$K$4</c15:sqref>
                        </c15:formulaRef>
                      </c:ext>
                    </c:extLst>
                    <c:strCache>
                      <c:ptCount val="1"/>
                      <c:pt idx="0">
                        <c:v>Very Low</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BaselinevsNR!$J$5:$J$10</c15:sqref>
                        </c15:formulaRef>
                      </c:ext>
                    </c:extLst>
                    <c:strCache>
                      <c:ptCount val="6"/>
                      <c:pt idx="0">
                        <c:v>grade 4</c:v>
                      </c:pt>
                      <c:pt idx="1">
                        <c:v>grade 5</c:v>
                      </c:pt>
                      <c:pt idx="2">
                        <c:v>grade 6</c:v>
                      </c:pt>
                      <c:pt idx="3">
                        <c:v>grade 7</c:v>
                      </c:pt>
                      <c:pt idx="4">
                        <c:v>grade 8</c:v>
                      </c:pt>
                      <c:pt idx="5">
                        <c:v>grade 10</c:v>
                      </c:pt>
                    </c:strCache>
                  </c:strRef>
                </c:cat>
                <c:val>
                  <c:numRef>
                    <c:extLst>
                      <c:ext uri="{02D57815-91ED-43cb-92C2-25804820EDAC}">
                        <c15:formulaRef>
                          <c15:sqref>BaselinevsNR!$K$5:$K$10</c15:sqref>
                        </c15:formulaRef>
                      </c:ext>
                    </c:extLst>
                    <c:numCache>
                      <c:formatCode>0%</c:formatCode>
                      <c:ptCount val="6"/>
                      <c:pt idx="0">
                        <c:v>0.19442345585729737</c:v>
                      </c:pt>
                      <c:pt idx="1">
                        <c:v>0.19545434498169684</c:v>
                      </c:pt>
                      <c:pt idx="2">
                        <c:v>0.19529206625980819</c:v>
                      </c:pt>
                      <c:pt idx="3">
                        <c:v>0.19733703692521362</c:v>
                      </c:pt>
                      <c:pt idx="4">
                        <c:v>0.19600541638456331</c:v>
                      </c:pt>
                      <c:pt idx="5">
                        <c:v>0.1967374213836478</c:v>
                      </c:pt>
                    </c:numCache>
                  </c:numRef>
                </c:val>
                <c:extLst>
                  <c:ext xmlns:c16="http://schemas.microsoft.com/office/drawing/2014/chart" uri="{C3380CC4-5D6E-409C-BE32-E72D297353CC}">
                    <c16:uniqueId val="{00000005-7697-40F2-96FA-E9C4A31708C0}"/>
                  </c:ext>
                </c:extLst>
              </c15:ser>
            </c15:filteredBarSeries>
            <c15:filteredBarSeries>
              <c15:ser>
                <c:idx val="1"/>
                <c:order val="6"/>
                <c:tx>
                  <c:strRef>
                    <c:extLst xmlns:c15="http://schemas.microsoft.com/office/drawing/2012/chart">
                      <c:ext xmlns:c15="http://schemas.microsoft.com/office/drawing/2012/chart" uri="{02D57815-91ED-43cb-92C2-25804820EDAC}">
                        <c15:formulaRef>
                          <c15:sqref>BaselinevsNR!$L$4</c15:sqref>
                        </c15:formulaRef>
                      </c:ext>
                    </c:extLst>
                    <c:strCache>
                      <c:ptCount val="1"/>
                      <c:pt idx="0">
                        <c:v>Low</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BaselinevsNR!$J$5:$J$10</c15:sqref>
                        </c15:formulaRef>
                      </c:ext>
                    </c:extLst>
                    <c:strCache>
                      <c:ptCount val="6"/>
                      <c:pt idx="0">
                        <c:v>grade 4</c:v>
                      </c:pt>
                      <c:pt idx="1">
                        <c:v>grade 5</c:v>
                      </c:pt>
                      <c:pt idx="2">
                        <c:v>grade 6</c:v>
                      </c:pt>
                      <c:pt idx="3">
                        <c:v>grade 7</c:v>
                      </c:pt>
                      <c:pt idx="4">
                        <c:v>grade 8</c:v>
                      </c:pt>
                      <c:pt idx="5">
                        <c:v>grade 10</c:v>
                      </c:pt>
                    </c:strCache>
                  </c:strRef>
                </c:cat>
                <c:val>
                  <c:numRef>
                    <c:extLst xmlns:c15="http://schemas.microsoft.com/office/drawing/2012/chart">
                      <c:ext xmlns:c15="http://schemas.microsoft.com/office/drawing/2012/chart" uri="{02D57815-91ED-43cb-92C2-25804820EDAC}">
                        <c15:formulaRef>
                          <c15:sqref>BaselinevsNR!$L$5:$L$10</c15:sqref>
                        </c15:formulaRef>
                      </c:ext>
                    </c:extLst>
                    <c:numCache>
                      <c:formatCode>0%</c:formatCode>
                      <c:ptCount val="6"/>
                      <c:pt idx="0">
                        <c:v>0.20011259759693023</c:v>
                      </c:pt>
                      <c:pt idx="1">
                        <c:v>0.19973243557136766</c:v>
                      </c:pt>
                      <c:pt idx="2">
                        <c:v>0.20064335748429185</c:v>
                      </c:pt>
                      <c:pt idx="3">
                        <c:v>0.19946559584553605</c:v>
                      </c:pt>
                      <c:pt idx="4">
                        <c:v>0.20046510258750111</c:v>
                      </c:pt>
                      <c:pt idx="5">
                        <c:v>0.20038980607966456</c:v>
                      </c:pt>
                    </c:numCache>
                  </c:numRef>
                </c:val>
                <c:extLst xmlns:c15="http://schemas.microsoft.com/office/drawing/2012/chart">
                  <c:ext xmlns:c16="http://schemas.microsoft.com/office/drawing/2014/chart" uri="{C3380CC4-5D6E-409C-BE32-E72D297353CC}">
                    <c16:uniqueId val="{00000006-7697-40F2-96FA-E9C4A31708C0}"/>
                  </c:ext>
                </c:extLst>
              </c15:ser>
            </c15:filteredBarSeries>
            <c15:filteredBarSeries>
              <c15:ser>
                <c:idx val="2"/>
                <c:order val="7"/>
                <c:tx>
                  <c:strRef>
                    <c:extLst xmlns:c15="http://schemas.microsoft.com/office/drawing/2012/chart">
                      <c:ext xmlns:c15="http://schemas.microsoft.com/office/drawing/2012/chart" uri="{02D57815-91ED-43cb-92C2-25804820EDAC}">
                        <c15:formulaRef>
                          <c15:sqref>BaselinevsNR!$M$4</c15:sqref>
                        </c15:formulaRef>
                      </c:ext>
                    </c:extLst>
                    <c:strCache>
                      <c:ptCount val="1"/>
                      <c:pt idx="0">
                        <c:v>Moderate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BaselinevsNR!$J$5:$J$10</c15:sqref>
                        </c15:formulaRef>
                      </c:ext>
                    </c:extLst>
                    <c:strCache>
                      <c:ptCount val="6"/>
                      <c:pt idx="0">
                        <c:v>grade 4</c:v>
                      </c:pt>
                      <c:pt idx="1">
                        <c:v>grade 5</c:v>
                      </c:pt>
                      <c:pt idx="2">
                        <c:v>grade 6</c:v>
                      </c:pt>
                      <c:pt idx="3">
                        <c:v>grade 7</c:v>
                      </c:pt>
                      <c:pt idx="4">
                        <c:v>grade 8</c:v>
                      </c:pt>
                      <c:pt idx="5">
                        <c:v>grade 10</c:v>
                      </c:pt>
                    </c:strCache>
                  </c:strRef>
                </c:cat>
                <c:val>
                  <c:numRef>
                    <c:extLst xmlns:c15="http://schemas.microsoft.com/office/drawing/2012/chart">
                      <c:ext xmlns:c15="http://schemas.microsoft.com/office/drawing/2012/chart" uri="{02D57815-91ED-43cb-92C2-25804820EDAC}">
                        <c15:formulaRef>
                          <c15:sqref>BaselinevsNR!$M$5:$M$10</c15:sqref>
                        </c15:formulaRef>
                      </c:ext>
                    </c:extLst>
                    <c:numCache>
                      <c:formatCode>0%</c:formatCode>
                      <c:ptCount val="6"/>
                      <c:pt idx="0">
                        <c:v>0.19691245536838675</c:v>
                      </c:pt>
                      <c:pt idx="1">
                        <c:v>0.2001587744961115</c:v>
                      </c:pt>
                      <c:pt idx="2">
                        <c:v>0.19957610558277966</c:v>
                      </c:pt>
                      <c:pt idx="3">
                        <c:v>0.19948069200809154</c:v>
                      </c:pt>
                      <c:pt idx="4">
                        <c:v>0.19900797739248183</c:v>
                      </c:pt>
                      <c:pt idx="5">
                        <c:v>0.19901401991614256</c:v>
                      </c:pt>
                    </c:numCache>
                  </c:numRef>
                </c:val>
                <c:extLst xmlns:c15="http://schemas.microsoft.com/office/drawing/2012/chart">
                  <c:ext xmlns:c16="http://schemas.microsoft.com/office/drawing/2014/chart" uri="{C3380CC4-5D6E-409C-BE32-E72D297353CC}">
                    <c16:uniqueId val="{00000007-7697-40F2-96FA-E9C4A31708C0}"/>
                  </c:ext>
                </c:extLst>
              </c15:ser>
            </c15:filteredBarSeries>
            <c15:filteredBarSeries>
              <c15:ser>
                <c:idx val="3"/>
                <c:order val="8"/>
                <c:tx>
                  <c:strRef>
                    <c:extLst xmlns:c15="http://schemas.microsoft.com/office/drawing/2012/chart">
                      <c:ext xmlns:c15="http://schemas.microsoft.com/office/drawing/2012/chart" uri="{02D57815-91ED-43cb-92C2-25804820EDAC}">
                        <c15:formulaRef>
                          <c15:sqref>BaselinevsNR!$N$4</c15:sqref>
                        </c15:formulaRef>
                      </c:ext>
                    </c:extLst>
                    <c:strCache>
                      <c:ptCount val="1"/>
                      <c:pt idx="0">
                        <c:v>High</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BaselinevsNR!$J$5:$J$10</c15:sqref>
                        </c15:formulaRef>
                      </c:ext>
                    </c:extLst>
                    <c:strCache>
                      <c:ptCount val="6"/>
                      <c:pt idx="0">
                        <c:v>grade 4</c:v>
                      </c:pt>
                      <c:pt idx="1">
                        <c:v>grade 5</c:v>
                      </c:pt>
                      <c:pt idx="2">
                        <c:v>grade 6</c:v>
                      </c:pt>
                      <c:pt idx="3">
                        <c:v>grade 7</c:v>
                      </c:pt>
                      <c:pt idx="4">
                        <c:v>grade 8</c:v>
                      </c:pt>
                      <c:pt idx="5">
                        <c:v>grade 10</c:v>
                      </c:pt>
                    </c:strCache>
                  </c:strRef>
                </c:cat>
                <c:val>
                  <c:numRef>
                    <c:extLst xmlns:c15="http://schemas.microsoft.com/office/drawing/2012/chart">
                      <c:ext xmlns:c15="http://schemas.microsoft.com/office/drawing/2012/chart" uri="{02D57815-91ED-43cb-92C2-25804820EDAC}">
                        <c15:formulaRef>
                          <c15:sqref>BaselinevsNR!$N$5:$N$10</c15:sqref>
                        </c15:formulaRef>
                      </c:ext>
                    </c:extLst>
                    <c:numCache>
                      <c:formatCode>0%</c:formatCode>
                      <c:ptCount val="6"/>
                      <c:pt idx="0">
                        <c:v>0.20549061439767694</c:v>
                      </c:pt>
                      <c:pt idx="1">
                        <c:v>0.19912968053983329</c:v>
                      </c:pt>
                      <c:pt idx="2">
                        <c:v>0.19912515407509845</c:v>
                      </c:pt>
                      <c:pt idx="3">
                        <c:v>0.19904290329398266</c:v>
                      </c:pt>
                      <c:pt idx="4">
                        <c:v>0.19986164669865472</c:v>
                      </c:pt>
                      <c:pt idx="5">
                        <c:v>0.19981656184486374</c:v>
                      </c:pt>
                    </c:numCache>
                  </c:numRef>
                </c:val>
                <c:extLst xmlns:c15="http://schemas.microsoft.com/office/drawing/2012/chart">
                  <c:ext xmlns:c16="http://schemas.microsoft.com/office/drawing/2014/chart" uri="{C3380CC4-5D6E-409C-BE32-E72D297353CC}">
                    <c16:uniqueId val="{00000008-7697-40F2-96FA-E9C4A31708C0}"/>
                  </c:ext>
                </c:extLst>
              </c15:ser>
            </c15:filteredBarSeries>
            <c15:filteredBarSeries>
              <c15:ser>
                <c:idx val="4"/>
                <c:order val="9"/>
                <c:tx>
                  <c:strRef>
                    <c:extLst xmlns:c15="http://schemas.microsoft.com/office/drawing/2012/chart">
                      <c:ext xmlns:c15="http://schemas.microsoft.com/office/drawing/2012/chart" uri="{02D57815-91ED-43cb-92C2-25804820EDAC}">
                        <c15:formulaRef>
                          <c15:sqref>BaselinevsNR!$O$4</c15:sqref>
                        </c15:formulaRef>
                      </c:ext>
                    </c:extLst>
                    <c:strCache>
                      <c:ptCount val="1"/>
                      <c:pt idx="0">
                        <c:v>Very High</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BaselinevsNR!$J$5:$J$10</c15:sqref>
                        </c15:formulaRef>
                      </c:ext>
                    </c:extLst>
                    <c:strCache>
                      <c:ptCount val="6"/>
                      <c:pt idx="0">
                        <c:v>grade 4</c:v>
                      </c:pt>
                      <c:pt idx="1">
                        <c:v>grade 5</c:v>
                      </c:pt>
                      <c:pt idx="2">
                        <c:v>grade 6</c:v>
                      </c:pt>
                      <c:pt idx="3">
                        <c:v>grade 7</c:v>
                      </c:pt>
                      <c:pt idx="4">
                        <c:v>grade 8</c:v>
                      </c:pt>
                      <c:pt idx="5">
                        <c:v>grade 10</c:v>
                      </c:pt>
                    </c:strCache>
                  </c:strRef>
                </c:cat>
                <c:val>
                  <c:numRef>
                    <c:extLst xmlns:c15="http://schemas.microsoft.com/office/drawing/2012/chart">
                      <c:ext xmlns:c15="http://schemas.microsoft.com/office/drawing/2012/chart" uri="{02D57815-91ED-43cb-92C2-25804820EDAC}">
                        <c15:formulaRef>
                          <c15:sqref>BaselinevsNR!$O$5:$O$10</c15:sqref>
                        </c15:formulaRef>
                      </c:ext>
                    </c:extLst>
                    <c:numCache>
                      <c:formatCode>0%</c:formatCode>
                      <c:ptCount val="6"/>
                      <c:pt idx="0">
                        <c:v>0.20306087677970872</c:v>
                      </c:pt>
                      <c:pt idx="1">
                        <c:v>0.20552476441099071</c:v>
                      </c:pt>
                      <c:pt idx="2">
                        <c:v>0.20536331659802182</c:v>
                      </c:pt>
                      <c:pt idx="3">
                        <c:v>0.20467377192717612</c:v>
                      </c:pt>
                      <c:pt idx="4">
                        <c:v>0.20465985693679903</c:v>
                      </c:pt>
                      <c:pt idx="5">
                        <c:v>0.20404219077568134</c:v>
                      </c:pt>
                    </c:numCache>
                  </c:numRef>
                </c:val>
                <c:extLst xmlns:c15="http://schemas.microsoft.com/office/drawing/2012/chart">
                  <c:ext xmlns:c16="http://schemas.microsoft.com/office/drawing/2014/chart" uri="{C3380CC4-5D6E-409C-BE32-E72D297353CC}">
                    <c16:uniqueId val="{00000009-7697-40F2-96FA-E9C4A31708C0}"/>
                  </c:ext>
                </c:extLst>
              </c15:ser>
            </c15:filteredBarSeries>
          </c:ext>
        </c:extLst>
      </c:barChart>
      <c:catAx>
        <c:axId val="64969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689320"/>
        <c:crosses val="autoZero"/>
        <c:auto val="1"/>
        <c:lblAlgn val="ctr"/>
        <c:lblOffset val="100"/>
        <c:noMultiLvlLbl val="0"/>
      </c:catAx>
      <c:valAx>
        <c:axId val="649689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699760"/>
        <c:crosses val="autoZero"/>
        <c:crossBetween val="between"/>
        <c:majorUnit val="0.2"/>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 Math SGPs, by Growth Category</a:t>
            </a:r>
          </a:p>
        </c:rich>
      </c:tx>
      <c:overlay val="0"/>
      <c:spPr>
        <a:noFill/>
        <a:ln>
          <a:noFill/>
        </a:ln>
        <a:effectLst/>
      </c:spPr>
    </c:title>
    <c:autoTitleDeleted val="0"/>
    <c:plotArea>
      <c:layout/>
      <c:barChart>
        <c:barDir val="col"/>
        <c:grouping val="stacked"/>
        <c:varyColors val="0"/>
        <c:ser>
          <c:idx val="5"/>
          <c:order val="0"/>
          <c:tx>
            <c:strRef>
              <c:f>BaselinevsNR!$K$33</c:f>
              <c:strCache>
                <c:ptCount val="1"/>
                <c:pt idx="0">
                  <c:v>Very Low</c:v>
                </c:pt>
              </c:strCache>
            </c:strRef>
          </c:tx>
          <c:spPr>
            <a:solidFill>
              <a:srgbClr val="C00000"/>
            </a:solidFill>
          </c:spPr>
          <c:invertIfNegative val="0"/>
          <c:dLbls>
            <c:spPr>
              <a:noFill/>
              <a:ln>
                <a:noFill/>
              </a:ln>
              <a:effectLst/>
            </c:spPr>
            <c:txPr>
              <a:bodyPr wrap="square" lIns="38100" tIns="19050" rIns="38100" bIns="19050" anchor="ctr">
                <a:spAutoFit/>
              </a:bodyPr>
              <a:lstStyle/>
              <a:p>
                <a:pPr>
                  <a:defRPr sz="800" b="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BaselinevsNR!$J$34:$J$38</c:f>
              <c:strCache>
                <c:ptCount val="5"/>
                <c:pt idx="0">
                  <c:v>grade 5</c:v>
                </c:pt>
                <c:pt idx="1">
                  <c:v>grade 6</c:v>
                </c:pt>
                <c:pt idx="2">
                  <c:v>grade 7</c:v>
                </c:pt>
                <c:pt idx="3">
                  <c:v>grade 8</c:v>
                </c:pt>
                <c:pt idx="4">
                  <c:v>grade 10</c:v>
                </c:pt>
              </c:strCache>
            </c:strRef>
          </c:cat>
          <c:val>
            <c:numRef>
              <c:f>BaselinevsNR!$K$34:$K$38</c:f>
              <c:numCache>
                <c:formatCode>0%</c:formatCode>
                <c:ptCount val="5"/>
                <c:pt idx="0">
                  <c:v>0.44571561215015254</c:v>
                </c:pt>
                <c:pt idx="1">
                  <c:v>0.54335950278050371</c:v>
                </c:pt>
                <c:pt idx="2">
                  <c:v>0.38227191442058289</c:v>
                </c:pt>
                <c:pt idx="3">
                  <c:v>0.53488670646382952</c:v>
                </c:pt>
                <c:pt idx="4">
                  <c:v>0.35268510134429198</c:v>
                </c:pt>
              </c:numCache>
            </c:numRef>
          </c:val>
          <c:extLst>
            <c:ext xmlns:c16="http://schemas.microsoft.com/office/drawing/2014/chart" uri="{C3380CC4-5D6E-409C-BE32-E72D297353CC}">
              <c16:uniqueId val="{00000000-6577-4B08-887F-41566B9706AA}"/>
            </c:ext>
          </c:extLst>
        </c:ser>
        <c:ser>
          <c:idx val="6"/>
          <c:order val="1"/>
          <c:tx>
            <c:strRef>
              <c:f>BaselinevsNR!$L$33</c:f>
              <c:strCache>
                <c:ptCount val="1"/>
                <c:pt idx="0">
                  <c:v>Low</c:v>
                </c:pt>
              </c:strCache>
            </c:strRef>
          </c:tx>
          <c:spPr>
            <a:solidFill>
              <a:schemeClr val="accent2"/>
            </a:solidFill>
          </c:spPr>
          <c:invertIfNegative val="0"/>
          <c:dLbls>
            <c:spPr>
              <a:noFill/>
              <a:ln>
                <a:noFill/>
              </a:ln>
              <a:effectLst/>
            </c:spPr>
            <c:txPr>
              <a:bodyPr wrap="square" lIns="38100" tIns="19050" rIns="38100" bIns="19050" anchor="ctr">
                <a:spAutoFit/>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BaselinevsNR!$J$34:$J$38</c:f>
              <c:strCache>
                <c:ptCount val="5"/>
                <c:pt idx="0">
                  <c:v>grade 5</c:v>
                </c:pt>
                <c:pt idx="1">
                  <c:v>grade 6</c:v>
                </c:pt>
                <c:pt idx="2">
                  <c:v>grade 7</c:v>
                </c:pt>
                <c:pt idx="3">
                  <c:v>grade 8</c:v>
                </c:pt>
                <c:pt idx="4">
                  <c:v>grade 10</c:v>
                </c:pt>
              </c:strCache>
            </c:strRef>
          </c:cat>
          <c:val>
            <c:numRef>
              <c:f>BaselinevsNR!$L$34:$L$38</c:f>
              <c:numCache>
                <c:formatCode>0%</c:formatCode>
                <c:ptCount val="5"/>
                <c:pt idx="0">
                  <c:v>0.21456758190741479</c:v>
                </c:pt>
                <c:pt idx="1">
                  <c:v>0.19084069349035002</c:v>
                </c:pt>
                <c:pt idx="2">
                  <c:v>0.22185883907138598</c:v>
                </c:pt>
                <c:pt idx="3">
                  <c:v>0.1835162719044868</c:v>
                </c:pt>
                <c:pt idx="4">
                  <c:v>0.23821132548582574</c:v>
                </c:pt>
              </c:numCache>
            </c:numRef>
          </c:val>
          <c:extLst>
            <c:ext xmlns:c16="http://schemas.microsoft.com/office/drawing/2014/chart" uri="{C3380CC4-5D6E-409C-BE32-E72D297353CC}">
              <c16:uniqueId val="{00000001-6577-4B08-887F-41566B9706AA}"/>
            </c:ext>
          </c:extLst>
        </c:ser>
        <c:ser>
          <c:idx val="7"/>
          <c:order val="2"/>
          <c:tx>
            <c:strRef>
              <c:f>BaselinevsNR!$M$33</c:f>
              <c:strCache>
                <c:ptCount val="1"/>
                <c:pt idx="0">
                  <c:v>Moderate</c:v>
                </c:pt>
              </c:strCache>
            </c:strRef>
          </c:tx>
          <c:spPr>
            <a:solidFill>
              <a:schemeClr val="bg1">
                <a:lumMod val="65000"/>
              </a:schemeClr>
            </a:solidFill>
          </c:spPr>
          <c:invertIfNegative val="0"/>
          <c:dLbls>
            <c:spPr>
              <a:noFill/>
              <a:ln>
                <a:noFill/>
              </a:ln>
              <a:effectLst/>
            </c:spPr>
            <c:txPr>
              <a:bodyPr wrap="square" lIns="38100" tIns="19050" rIns="38100" bIns="19050" anchor="ctr">
                <a:spAutoFit/>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BaselinevsNR!$J$34:$J$38</c:f>
              <c:strCache>
                <c:ptCount val="5"/>
                <c:pt idx="0">
                  <c:v>grade 5</c:v>
                </c:pt>
                <c:pt idx="1">
                  <c:v>grade 6</c:v>
                </c:pt>
                <c:pt idx="2">
                  <c:v>grade 7</c:v>
                </c:pt>
                <c:pt idx="3">
                  <c:v>grade 8</c:v>
                </c:pt>
                <c:pt idx="4">
                  <c:v>grade 10</c:v>
                </c:pt>
              </c:strCache>
            </c:strRef>
          </c:cat>
          <c:val>
            <c:numRef>
              <c:f>BaselinevsNR!$M$34:$M$38</c:f>
              <c:numCache>
                <c:formatCode>0%</c:formatCode>
                <c:ptCount val="5"/>
                <c:pt idx="0">
                  <c:v>0.14592452579917761</c:v>
                </c:pt>
                <c:pt idx="1">
                  <c:v>0.12033038927052667</c:v>
                </c:pt>
                <c:pt idx="2">
                  <c:v>0.16411850944885695</c:v>
                </c:pt>
                <c:pt idx="3">
                  <c:v>0.12024199242570126</c:v>
                </c:pt>
                <c:pt idx="4">
                  <c:v>0.17679529149543777</c:v>
                </c:pt>
              </c:numCache>
            </c:numRef>
          </c:val>
          <c:extLst>
            <c:ext xmlns:c16="http://schemas.microsoft.com/office/drawing/2014/chart" uri="{C3380CC4-5D6E-409C-BE32-E72D297353CC}">
              <c16:uniqueId val="{00000002-6577-4B08-887F-41566B9706AA}"/>
            </c:ext>
          </c:extLst>
        </c:ser>
        <c:ser>
          <c:idx val="8"/>
          <c:order val="3"/>
          <c:tx>
            <c:strRef>
              <c:f>BaselinevsNR!$N$33</c:f>
              <c:strCache>
                <c:ptCount val="1"/>
                <c:pt idx="0">
                  <c:v>High</c:v>
                </c:pt>
              </c:strCache>
            </c:strRef>
          </c:tx>
          <c:spPr>
            <a:solidFill>
              <a:schemeClr val="accent6">
                <a:lumMod val="60000"/>
                <a:lumOff val="40000"/>
              </a:schemeClr>
            </a:solidFill>
          </c:spPr>
          <c:invertIfNegative val="0"/>
          <c:dLbls>
            <c:spPr>
              <a:noFill/>
              <a:ln>
                <a:noFill/>
              </a:ln>
              <a:effectLst/>
            </c:spPr>
            <c:txPr>
              <a:bodyPr wrap="square" lIns="38100" tIns="19050" rIns="38100" bIns="19050" anchor="ctr">
                <a:spAutoFit/>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BaselinevsNR!$J$34:$J$38</c:f>
              <c:strCache>
                <c:ptCount val="5"/>
                <c:pt idx="0">
                  <c:v>grade 5</c:v>
                </c:pt>
                <c:pt idx="1">
                  <c:v>grade 6</c:v>
                </c:pt>
                <c:pt idx="2">
                  <c:v>grade 7</c:v>
                </c:pt>
                <c:pt idx="3">
                  <c:v>grade 8</c:v>
                </c:pt>
                <c:pt idx="4">
                  <c:v>grade 10</c:v>
                </c:pt>
              </c:strCache>
            </c:strRef>
          </c:cat>
          <c:val>
            <c:numRef>
              <c:f>BaselinevsNR!$N$34:$N$38</c:f>
              <c:numCache>
                <c:formatCode>0%</c:formatCode>
                <c:ptCount val="5"/>
                <c:pt idx="0">
                  <c:v>0.10439050271919352</c:v>
                </c:pt>
                <c:pt idx="1">
                  <c:v>8.3774942754334308E-2</c:v>
                </c:pt>
                <c:pt idx="2">
                  <c:v>0.12775692352306231</c:v>
                </c:pt>
                <c:pt idx="3">
                  <c:v>8.4841774183195329E-2</c:v>
                </c:pt>
                <c:pt idx="4">
                  <c:v>0.13618792226788326</c:v>
                </c:pt>
              </c:numCache>
            </c:numRef>
          </c:val>
          <c:extLst>
            <c:ext xmlns:c16="http://schemas.microsoft.com/office/drawing/2014/chart" uri="{C3380CC4-5D6E-409C-BE32-E72D297353CC}">
              <c16:uniqueId val="{00000003-6577-4B08-887F-41566B9706AA}"/>
            </c:ext>
          </c:extLst>
        </c:ser>
        <c:ser>
          <c:idx val="9"/>
          <c:order val="4"/>
          <c:tx>
            <c:strRef>
              <c:f>BaselinevsNR!$O$33</c:f>
              <c:strCache>
                <c:ptCount val="1"/>
                <c:pt idx="0">
                  <c:v>Very High</c:v>
                </c:pt>
              </c:strCache>
            </c:strRef>
          </c:tx>
          <c:spPr>
            <a:solidFill>
              <a:schemeClr val="accent6">
                <a:lumMod val="50000"/>
              </a:schemeClr>
            </a:solidFill>
          </c:spPr>
          <c:invertIfNegative val="0"/>
          <c:dLbls>
            <c:spPr>
              <a:noFill/>
              <a:ln>
                <a:noFill/>
              </a:ln>
              <a:effectLst/>
            </c:spPr>
            <c:txPr>
              <a:bodyPr wrap="square" lIns="38100" tIns="19050" rIns="38100" bIns="19050" anchor="ctr">
                <a:spAutoFit/>
              </a:bodyPr>
              <a:lstStyle/>
              <a:p>
                <a:pPr>
                  <a:defRPr sz="800" b="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BaselinevsNR!$J$34:$J$38</c:f>
              <c:strCache>
                <c:ptCount val="5"/>
                <c:pt idx="0">
                  <c:v>grade 5</c:v>
                </c:pt>
                <c:pt idx="1">
                  <c:v>grade 6</c:v>
                </c:pt>
                <c:pt idx="2">
                  <c:v>grade 7</c:v>
                </c:pt>
                <c:pt idx="3">
                  <c:v>grade 8</c:v>
                </c:pt>
                <c:pt idx="4">
                  <c:v>grade 10</c:v>
                </c:pt>
              </c:strCache>
            </c:strRef>
          </c:cat>
          <c:val>
            <c:numRef>
              <c:f>BaselinevsNR!$O$34:$O$38</c:f>
              <c:numCache>
                <c:formatCode>0%</c:formatCode>
                <c:ptCount val="5"/>
                <c:pt idx="0">
                  <c:v>8.9401777424061551E-2</c:v>
                </c:pt>
                <c:pt idx="1">
                  <c:v>6.1694471704285249E-2</c:v>
                </c:pt>
                <c:pt idx="2">
                  <c:v>0.10399381353611187</c:v>
                </c:pt>
                <c:pt idx="3">
                  <c:v>7.651325502278708E-2</c:v>
                </c:pt>
                <c:pt idx="4">
                  <c:v>9.6120359406561259E-2</c:v>
                </c:pt>
              </c:numCache>
            </c:numRef>
          </c:val>
          <c:extLst>
            <c:ext xmlns:c16="http://schemas.microsoft.com/office/drawing/2014/chart" uri="{C3380CC4-5D6E-409C-BE32-E72D297353CC}">
              <c16:uniqueId val="{00000004-6577-4B08-887F-41566B9706AA}"/>
            </c:ext>
          </c:extLst>
        </c:ser>
        <c:dLbls>
          <c:showLegendKey val="0"/>
          <c:showVal val="0"/>
          <c:showCatName val="0"/>
          <c:showSerName val="0"/>
          <c:showPercent val="0"/>
          <c:showBubbleSize val="0"/>
        </c:dLbls>
        <c:gapWidth val="150"/>
        <c:overlap val="100"/>
        <c:axId val="649699760"/>
        <c:axId val="649689320"/>
        <c:extLst/>
      </c:barChart>
      <c:catAx>
        <c:axId val="64969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689320"/>
        <c:crosses val="autoZero"/>
        <c:auto val="1"/>
        <c:lblAlgn val="ctr"/>
        <c:lblOffset val="100"/>
        <c:noMultiLvlLbl val="0"/>
      </c:catAx>
      <c:valAx>
        <c:axId val="649689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699760"/>
        <c:crosses val="autoZero"/>
        <c:crossBetween val="between"/>
        <c:majorUnit val="0.2"/>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745ee3fce538edd1535a668905cc3a11">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5fb25cd6d3c7b75585e0b83c2251869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27DF46-5F1E-440C-843D-C5E18614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32A9C-D52D-4FBB-A49A-B5F0F6DBE400}">
  <ds:schemaRefs>
    <ds:schemaRef ds:uri="http://schemas.microsoft.com/sharepoint/v3/contenttype/forms"/>
  </ds:schemaRefs>
</ds:datastoreItem>
</file>

<file path=customXml/itemProps3.xml><?xml version="1.0" encoding="utf-8"?>
<ds:datastoreItem xmlns:ds="http://schemas.openxmlformats.org/officeDocument/2006/customXml" ds:itemID="{6D59A324-F2F8-478E-B870-9547CF7634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MCAS 2021 Student Growth Percentile Calculation</vt:lpstr>
    </vt:vector>
  </TitlesOfParts>
  <Company/>
  <LinksUpToDate>false</LinksUpToDate>
  <CharactersWithSpaces>2707</CharactersWithSpaces>
  <SharedDoc>false</SharedDoc>
  <HLinks>
    <vt:vector size="6" baseType="variant">
      <vt:variant>
        <vt:i4>4521994</vt:i4>
      </vt:variant>
      <vt:variant>
        <vt:i4>0</vt:i4>
      </vt:variant>
      <vt:variant>
        <vt:i4>0</vt:i4>
      </vt:variant>
      <vt:variant>
        <vt:i4>5</vt:i4>
      </vt:variant>
      <vt:variant>
        <vt:lpwstr>http://www.nciea.org/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2021 Student Growth Percentile Calculation</dc:title>
  <dc:subject/>
  <dc:creator>DESE</dc:creator>
  <cp:keywords/>
  <dc:description/>
  <cp:lastModifiedBy>Zou, Dong (EOE)</cp:lastModifiedBy>
  <cp:revision>5</cp:revision>
  <cp:lastPrinted>2021-09-20T19:47:00Z</cp:lastPrinted>
  <dcterms:created xsi:type="dcterms:W3CDTF">2021-09-21T19:38:00Z</dcterms:created>
  <dcterms:modified xsi:type="dcterms:W3CDTF">2021-09-27T20:03:00Z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2021</vt:lpwstr>
  </property>
</Properties>
</file>