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51" w:rsidRDefault="004A1D51" w:rsidP="002C0CE7">
      <w:pPr>
        <w:pStyle w:val="Heading2"/>
        <w:rPr>
          <w:sz w:val="24"/>
          <w:u w:val="single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59B86248" wp14:editId="1EF045E7">
            <wp:simplePos x="0" y="0"/>
            <wp:positionH relativeFrom="column">
              <wp:posOffset>-139776</wp:posOffset>
            </wp:positionH>
            <wp:positionV relativeFrom="paragraph">
              <wp:posOffset>-736543</wp:posOffset>
            </wp:positionV>
            <wp:extent cx="2019300" cy="982345"/>
            <wp:effectExtent l="0" t="0" r="0" b="8255"/>
            <wp:wrapNone/>
            <wp:docPr id="6" name="Picture 6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e.mass.edu/nmg/logo/ESELogo/Full%20Logo/695x338/Master-Logo_695x338_c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BD1" w:rsidRPr="00730FD6" w:rsidRDefault="00E50BD1" w:rsidP="00730FD6">
      <w:pPr>
        <w:pStyle w:val="Title"/>
      </w:pPr>
      <w:r w:rsidRPr="00730FD6">
        <w:t>Draft White Paper</w:t>
      </w:r>
    </w:p>
    <w:p w:rsidR="00BC5766" w:rsidRPr="00730FD6" w:rsidRDefault="005B509C" w:rsidP="00730FD6">
      <w:pPr>
        <w:pStyle w:val="Title"/>
      </w:pPr>
      <w:r w:rsidRPr="00730FD6">
        <w:t xml:space="preserve">Replacing Medians with Means </w:t>
      </w:r>
      <w:r w:rsidR="004A1D51" w:rsidRPr="00730FD6">
        <w:t xml:space="preserve">When Summarizing </w:t>
      </w:r>
      <w:r w:rsidR="002171D2" w:rsidRPr="00730FD6">
        <w:t xml:space="preserve">MCAS </w:t>
      </w:r>
      <w:r w:rsidR="004A1D51" w:rsidRPr="00730FD6">
        <w:t>Student Growth Percentiles</w:t>
      </w:r>
    </w:p>
    <w:p w:rsidR="005B3B1F" w:rsidRDefault="005B3B1F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u w:val="single"/>
        </w:rPr>
      </w:pPr>
    </w:p>
    <w:p w:rsidR="005B509C" w:rsidRDefault="005B509C">
      <w:pPr>
        <w:pStyle w:val="BodyTextIndent2"/>
        <w:ind w:left="0"/>
        <w:rPr>
          <w:rFonts w:ascii="Times New Roman" w:hAnsi="Times New Roman" w:cs="Times New Roman"/>
          <w:sz w:val="24"/>
        </w:rPr>
      </w:pPr>
      <w:bookmarkStart w:id="0" w:name="OLE_LINK3"/>
      <w:bookmarkStart w:id="1" w:name="OLE_LINK4"/>
      <w:r>
        <w:rPr>
          <w:rFonts w:ascii="Times New Roman" w:hAnsi="Times New Roman" w:cs="Times New Roman"/>
          <w:sz w:val="24"/>
        </w:rPr>
        <w:t xml:space="preserve">Beginning </w:t>
      </w:r>
      <w:r w:rsidR="00B50235">
        <w:rPr>
          <w:rFonts w:ascii="Times New Roman" w:hAnsi="Times New Roman" w:cs="Times New Roman"/>
          <w:sz w:val="24"/>
        </w:rPr>
        <w:t>in 2018</w:t>
      </w:r>
      <w:r w:rsidR="00C22D2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the </w:t>
      </w:r>
      <w:r w:rsidRPr="00137D3B">
        <w:rPr>
          <w:rFonts w:ascii="Times New Roman" w:hAnsi="Times New Roman" w:cs="Times New Roman"/>
          <w:sz w:val="24"/>
        </w:rPr>
        <w:t>Massachusetts Department of</w:t>
      </w:r>
      <w:r>
        <w:rPr>
          <w:rFonts w:ascii="Times New Roman" w:hAnsi="Times New Roman" w:cs="Times New Roman"/>
          <w:sz w:val="24"/>
        </w:rPr>
        <w:t xml:space="preserve"> Elementary and Secondary</w:t>
      </w:r>
      <w:r w:rsidRPr="00137D3B">
        <w:rPr>
          <w:rFonts w:ascii="Times New Roman" w:hAnsi="Times New Roman" w:cs="Times New Roman"/>
          <w:sz w:val="24"/>
        </w:rPr>
        <w:t xml:space="preserve"> Education</w:t>
      </w:r>
      <w:r>
        <w:rPr>
          <w:rFonts w:ascii="Times New Roman" w:hAnsi="Times New Roman" w:cs="Times New Roman"/>
          <w:sz w:val="24"/>
        </w:rPr>
        <w:t xml:space="preserve"> (</w:t>
      </w:r>
      <w:r w:rsidR="00C22D24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ESE) will switch to using means </w:t>
      </w:r>
      <w:r w:rsidR="004A1D51">
        <w:rPr>
          <w:rFonts w:ascii="Times New Roman" w:hAnsi="Times New Roman" w:cs="Times New Roman"/>
          <w:sz w:val="24"/>
        </w:rPr>
        <w:t xml:space="preserve">(averages) instead of medians </w:t>
      </w:r>
      <w:r>
        <w:rPr>
          <w:rFonts w:ascii="Times New Roman" w:hAnsi="Times New Roman" w:cs="Times New Roman"/>
          <w:sz w:val="24"/>
        </w:rPr>
        <w:t xml:space="preserve">for official summaries of </w:t>
      </w:r>
      <w:r w:rsidR="00D8431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tudent </w:t>
      </w:r>
      <w:r w:rsidR="00D84316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rowth </w:t>
      </w:r>
      <w:r w:rsidR="00D84316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ercentiles. This white paper </w:t>
      </w:r>
      <w:r w:rsidR="004A1D51">
        <w:rPr>
          <w:rFonts w:ascii="Times New Roman" w:hAnsi="Times New Roman" w:cs="Times New Roman"/>
          <w:sz w:val="24"/>
        </w:rPr>
        <w:t xml:space="preserve">discusses the reasons for and notable effects of this change. </w:t>
      </w:r>
    </w:p>
    <w:p w:rsidR="005B509C" w:rsidRDefault="005B509C">
      <w:pPr>
        <w:pStyle w:val="BodyTextIndent2"/>
        <w:ind w:left="0"/>
        <w:rPr>
          <w:rFonts w:ascii="Times New Roman" w:hAnsi="Times New Roman" w:cs="Times New Roman"/>
          <w:sz w:val="24"/>
        </w:rPr>
      </w:pPr>
    </w:p>
    <w:p w:rsidR="005B509C" w:rsidRPr="00730FD6" w:rsidRDefault="005B509C" w:rsidP="00730FD6">
      <w:pPr>
        <w:pStyle w:val="Heading1"/>
      </w:pPr>
      <w:r w:rsidRPr="00730FD6">
        <w:t>Background</w:t>
      </w:r>
    </w:p>
    <w:p w:rsidR="005B509C" w:rsidRDefault="005B509C">
      <w:pPr>
        <w:pStyle w:val="BodyTextIndent2"/>
        <w:ind w:left="0"/>
        <w:rPr>
          <w:rFonts w:ascii="Times New Roman" w:hAnsi="Times New Roman" w:cs="Times New Roman"/>
          <w:sz w:val="24"/>
        </w:rPr>
      </w:pPr>
    </w:p>
    <w:p w:rsidR="00BC5766" w:rsidRDefault="00C22D24">
      <w:pPr>
        <w:pStyle w:val="BodyTextIndent2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5B509C">
        <w:rPr>
          <w:rFonts w:ascii="Times New Roman" w:hAnsi="Times New Roman" w:cs="Times New Roman"/>
          <w:sz w:val="24"/>
        </w:rPr>
        <w:t xml:space="preserve">ESE annually aggregates a wide variety of student performance variables at the state, district, school, </w:t>
      </w:r>
      <w:r w:rsidR="00A0476E">
        <w:rPr>
          <w:rFonts w:ascii="Times New Roman" w:hAnsi="Times New Roman" w:cs="Times New Roman"/>
          <w:sz w:val="24"/>
        </w:rPr>
        <w:t xml:space="preserve">and </w:t>
      </w:r>
      <w:r w:rsidR="005B509C">
        <w:rPr>
          <w:rFonts w:ascii="Times New Roman" w:hAnsi="Times New Roman" w:cs="Times New Roman"/>
          <w:sz w:val="24"/>
        </w:rPr>
        <w:t>subgroup</w:t>
      </w:r>
      <w:r w:rsidR="00A0476E">
        <w:rPr>
          <w:rFonts w:ascii="Times New Roman" w:hAnsi="Times New Roman" w:cs="Times New Roman"/>
          <w:sz w:val="24"/>
        </w:rPr>
        <w:t xml:space="preserve"> levels</w:t>
      </w:r>
      <w:r w:rsidR="005B509C">
        <w:rPr>
          <w:rFonts w:ascii="Times New Roman" w:hAnsi="Times New Roman" w:cs="Times New Roman"/>
          <w:sz w:val="24"/>
        </w:rPr>
        <w:t xml:space="preserve"> for use </w:t>
      </w:r>
      <w:r>
        <w:rPr>
          <w:rFonts w:ascii="Times New Roman" w:hAnsi="Times New Roman" w:cs="Times New Roman"/>
          <w:sz w:val="24"/>
        </w:rPr>
        <w:t>i</w:t>
      </w:r>
      <w:r w:rsidR="005B509C">
        <w:rPr>
          <w:rFonts w:ascii="Times New Roman" w:hAnsi="Times New Roman" w:cs="Times New Roman"/>
          <w:sz w:val="24"/>
        </w:rPr>
        <w:t xml:space="preserve">n the </w:t>
      </w:r>
      <w:hyperlink r:id="rId13" w:history="1">
        <w:r w:rsidR="005B509C" w:rsidRPr="004A1D51">
          <w:rPr>
            <w:rStyle w:val="Hyperlink"/>
            <w:rFonts w:ascii="Times New Roman" w:hAnsi="Times New Roman" w:cs="Times New Roman"/>
            <w:sz w:val="24"/>
          </w:rPr>
          <w:t>School and District Profiles</w:t>
        </w:r>
      </w:hyperlink>
      <w:r w:rsidR="004A1D51">
        <w:rPr>
          <w:rFonts w:ascii="Times New Roman" w:hAnsi="Times New Roman" w:cs="Times New Roman"/>
          <w:sz w:val="24"/>
        </w:rPr>
        <w:t xml:space="preserve">. </w:t>
      </w:r>
      <w:r w:rsidR="00F37E5D">
        <w:rPr>
          <w:rFonts w:ascii="Times New Roman" w:hAnsi="Times New Roman" w:cs="Times New Roman"/>
          <w:sz w:val="24"/>
        </w:rPr>
        <w:t>(DESE also</w:t>
      </w:r>
      <w:r w:rsidR="005B509C">
        <w:rPr>
          <w:rFonts w:ascii="Times New Roman" w:hAnsi="Times New Roman" w:cs="Times New Roman"/>
          <w:sz w:val="24"/>
        </w:rPr>
        <w:t xml:space="preserve"> aggregat</w:t>
      </w:r>
      <w:r w:rsidR="00F37E5D">
        <w:rPr>
          <w:rFonts w:ascii="Times New Roman" w:hAnsi="Times New Roman" w:cs="Times New Roman"/>
          <w:sz w:val="24"/>
        </w:rPr>
        <w:t>es</w:t>
      </w:r>
      <w:r w:rsidR="005B509C">
        <w:rPr>
          <w:rFonts w:ascii="Times New Roman" w:hAnsi="Times New Roman" w:cs="Times New Roman"/>
          <w:sz w:val="24"/>
        </w:rPr>
        <w:t xml:space="preserve"> reports at the classroom level on its secure Edwin Analytics website.</w:t>
      </w:r>
      <w:r w:rsidR="00F37E5D">
        <w:rPr>
          <w:rFonts w:ascii="Times New Roman" w:hAnsi="Times New Roman" w:cs="Times New Roman"/>
          <w:sz w:val="24"/>
        </w:rPr>
        <w:t>)</w:t>
      </w:r>
      <w:r w:rsidR="005B509C">
        <w:rPr>
          <w:rFonts w:ascii="Times New Roman" w:hAnsi="Times New Roman" w:cs="Times New Roman"/>
          <w:sz w:val="24"/>
        </w:rPr>
        <w:t xml:space="preserve"> </w:t>
      </w:r>
      <w:r w:rsidR="00EB0453">
        <w:rPr>
          <w:rFonts w:ascii="Times New Roman" w:hAnsi="Times New Roman" w:cs="Times New Roman"/>
          <w:sz w:val="24"/>
        </w:rPr>
        <w:t xml:space="preserve">These </w:t>
      </w:r>
      <w:r w:rsidR="005B509C">
        <w:rPr>
          <w:rFonts w:ascii="Times New Roman" w:hAnsi="Times New Roman" w:cs="Times New Roman"/>
          <w:sz w:val="24"/>
        </w:rPr>
        <w:t xml:space="preserve">aggregations </w:t>
      </w:r>
      <w:r w:rsidR="00EB0453">
        <w:rPr>
          <w:rFonts w:ascii="Times New Roman" w:hAnsi="Times New Roman" w:cs="Times New Roman"/>
          <w:sz w:val="24"/>
        </w:rPr>
        <w:t>support</w:t>
      </w:r>
      <w:r w:rsidR="005B509C">
        <w:rPr>
          <w:rFonts w:ascii="Times New Roman" w:hAnsi="Times New Roman" w:cs="Times New Roman"/>
          <w:sz w:val="24"/>
        </w:rPr>
        <w:t xml:space="preserve"> state and federal </w:t>
      </w:r>
      <w:r w:rsidR="00EB0453">
        <w:rPr>
          <w:rFonts w:ascii="Times New Roman" w:hAnsi="Times New Roman" w:cs="Times New Roman"/>
          <w:sz w:val="24"/>
        </w:rPr>
        <w:t>reporting requirements,</w:t>
      </w:r>
      <w:r w:rsidR="005B509C">
        <w:rPr>
          <w:rFonts w:ascii="Times New Roman" w:hAnsi="Times New Roman" w:cs="Times New Roman"/>
          <w:sz w:val="24"/>
        </w:rPr>
        <w:t xml:space="preserve"> </w:t>
      </w:r>
      <w:r w:rsidR="00F909B5">
        <w:rPr>
          <w:rFonts w:ascii="Times New Roman" w:hAnsi="Times New Roman" w:cs="Times New Roman"/>
          <w:sz w:val="24"/>
        </w:rPr>
        <w:t xml:space="preserve">provide </w:t>
      </w:r>
      <w:r w:rsidR="00EB0453">
        <w:rPr>
          <w:rFonts w:ascii="Times New Roman" w:hAnsi="Times New Roman" w:cs="Times New Roman"/>
          <w:sz w:val="24"/>
        </w:rPr>
        <w:t xml:space="preserve">public </w:t>
      </w:r>
      <w:r w:rsidR="00F909B5">
        <w:rPr>
          <w:rFonts w:ascii="Times New Roman" w:hAnsi="Times New Roman" w:cs="Times New Roman"/>
          <w:sz w:val="24"/>
        </w:rPr>
        <w:t xml:space="preserve">feedback and </w:t>
      </w:r>
      <w:r w:rsidR="00EF6ADB">
        <w:rPr>
          <w:rFonts w:ascii="Times New Roman" w:hAnsi="Times New Roman" w:cs="Times New Roman"/>
          <w:sz w:val="24"/>
        </w:rPr>
        <w:t>support school improvement planning</w:t>
      </w:r>
      <w:r w:rsidR="00BC5766" w:rsidRPr="00AF50C6">
        <w:rPr>
          <w:rFonts w:ascii="Times New Roman" w:hAnsi="Times New Roman" w:cs="Times New Roman"/>
          <w:sz w:val="24"/>
        </w:rPr>
        <w:t xml:space="preserve"> for all student</w:t>
      </w:r>
      <w:r w:rsidR="00BD6F9C" w:rsidRPr="00AF50C6">
        <w:rPr>
          <w:rFonts w:ascii="Times New Roman" w:hAnsi="Times New Roman" w:cs="Times New Roman"/>
          <w:sz w:val="24"/>
        </w:rPr>
        <w:t>s.</w:t>
      </w:r>
      <w:r w:rsidR="00AA1AE8">
        <w:rPr>
          <w:rFonts w:ascii="Times New Roman" w:hAnsi="Times New Roman" w:cs="Times New Roman"/>
          <w:sz w:val="24"/>
        </w:rPr>
        <w:t xml:space="preserve"> </w:t>
      </w:r>
      <w:r w:rsidR="002171D2">
        <w:rPr>
          <w:rFonts w:ascii="Times New Roman" w:hAnsi="Times New Roman" w:cs="Times New Roman"/>
          <w:sz w:val="24"/>
        </w:rPr>
        <w:t>As part of th</w:t>
      </w:r>
      <w:r w:rsidR="00F909B5">
        <w:rPr>
          <w:rFonts w:ascii="Times New Roman" w:hAnsi="Times New Roman" w:cs="Times New Roman"/>
          <w:sz w:val="24"/>
        </w:rPr>
        <w:t>ese</w:t>
      </w:r>
      <w:r w:rsidR="002171D2">
        <w:rPr>
          <w:rFonts w:ascii="Times New Roman" w:hAnsi="Times New Roman" w:cs="Times New Roman"/>
          <w:sz w:val="24"/>
        </w:rPr>
        <w:t xml:space="preserve"> effort</w:t>
      </w:r>
      <w:r w:rsidR="00F909B5">
        <w:rPr>
          <w:rFonts w:ascii="Times New Roman" w:hAnsi="Times New Roman" w:cs="Times New Roman"/>
          <w:sz w:val="24"/>
        </w:rPr>
        <w:t>s</w:t>
      </w:r>
      <w:r w:rsidR="002171D2">
        <w:rPr>
          <w:rFonts w:ascii="Times New Roman" w:hAnsi="Times New Roman" w:cs="Times New Roman"/>
          <w:sz w:val="24"/>
        </w:rPr>
        <w:t>, t</w:t>
      </w:r>
      <w:r w:rsidR="00486820">
        <w:rPr>
          <w:rFonts w:ascii="Times New Roman" w:hAnsi="Times New Roman" w:cs="Times New Roman"/>
          <w:sz w:val="24"/>
        </w:rPr>
        <w:t xml:space="preserve">he Department </w:t>
      </w:r>
      <w:r w:rsidR="000B08F7">
        <w:rPr>
          <w:rFonts w:ascii="Times New Roman" w:hAnsi="Times New Roman" w:cs="Times New Roman"/>
          <w:sz w:val="24"/>
        </w:rPr>
        <w:t xml:space="preserve">summarizes changes in MCAS scores at the student level with </w:t>
      </w:r>
      <w:r w:rsidR="002171D2">
        <w:rPr>
          <w:rFonts w:ascii="Times New Roman" w:hAnsi="Times New Roman" w:cs="Times New Roman"/>
          <w:sz w:val="24"/>
        </w:rPr>
        <w:t>student growth percentiles (</w:t>
      </w:r>
      <w:r w:rsidR="00E13663">
        <w:rPr>
          <w:rFonts w:ascii="Times New Roman" w:hAnsi="Times New Roman" w:cs="Times New Roman"/>
          <w:sz w:val="24"/>
        </w:rPr>
        <w:t>SGP</w:t>
      </w:r>
      <w:r w:rsidR="00F909B5">
        <w:rPr>
          <w:rFonts w:ascii="Times New Roman" w:hAnsi="Times New Roman" w:cs="Times New Roman"/>
          <w:sz w:val="24"/>
        </w:rPr>
        <w:t>s</w:t>
      </w:r>
      <w:r w:rsidR="002171D2">
        <w:rPr>
          <w:rFonts w:ascii="Times New Roman" w:hAnsi="Times New Roman" w:cs="Times New Roman"/>
          <w:sz w:val="24"/>
        </w:rPr>
        <w:t>)</w:t>
      </w:r>
      <w:r w:rsidR="000B08F7">
        <w:rPr>
          <w:rFonts w:ascii="Times New Roman" w:hAnsi="Times New Roman" w:cs="Times New Roman"/>
          <w:sz w:val="24"/>
        </w:rPr>
        <w:t xml:space="preserve"> rolled up to the group level</w:t>
      </w:r>
      <w:r w:rsidR="00F909B5">
        <w:rPr>
          <w:rFonts w:ascii="Times New Roman" w:hAnsi="Times New Roman" w:cs="Times New Roman"/>
          <w:sz w:val="24"/>
        </w:rPr>
        <w:t>.</w:t>
      </w:r>
    </w:p>
    <w:p w:rsidR="00486820" w:rsidRDefault="00486820">
      <w:pPr>
        <w:pStyle w:val="BodyTextIndent2"/>
        <w:ind w:left="0"/>
        <w:rPr>
          <w:rFonts w:ascii="Times New Roman" w:hAnsi="Times New Roman" w:cs="Times New Roman"/>
          <w:sz w:val="24"/>
        </w:rPr>
      </w:pPr>
    </w:p>
    <w:p w:rsidR="00486820" w:rsidRPr="00137D3B" w:rsidRDefault="004900EC">
      <w:pPr>
        <w:pStyle w:val="BodyTextIndent2"/>
        <w:ind w:left="0"/>
        <w:rPr>
          <w:rFonts w:ascii="Times New Roman" w:hAnsi="Times New Roman" w:cs="Times New Roman"/>
          <w:sz w:val="24"/>
        </w:rPr>
      </w:pPr>
      <w:r w:rsidRPr="00950E2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i/>
          <w:sz w:val="24"/>
        </w:rPr>
        <w:t xml:space="preserve"> s</w:t>
      </w:r>
      <w:r w:rsidR="00486820" w:rsidRPr="00486820">
        <w:rPr>
          <w:rFonts w:ascii="Times New Roman" w:hAnsi="Times New Roman" w:cs="Times New Roman"/>
          <w:i/>
          <w:sz w:val="24"/>
        </w:rPr>
        <w:t>tudent growth percentile</w:t>
      </w:r>
      <w:r w:rsidR="00486820" w:rsidRPr="00486820">
        <w:rPr>
          <w:rFonts w:ascii="Times New Roman" w:hAnsi="Times New Roman" w:cs="Times New Roman"/>
          <w:sz w:val="24"/>
        </w:rPr>
        <w:t xml:space="preserve"> measure</w:t>
      </w:r>
      <w:r>
        <w:rPr>
          <w:rFonts w:ascii="Times New Roman" w:hAnsi="Times New Roman" w:cs="Times New Roman"/>
          <w:sz w:val="24"/>
        </w:rPr>
        <w:t>s</w:t>
      </w:r>
      <w:r w:rsidR="00486820" w:rsidRPr="004868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</w:t>
      </w:r>
      <w:r w:rsidR="00F909B5">
        <w:rPr>
          <w:rFonts w:ascii="Times New Roman" w:hAnsi="Times New Roman" w:cs="Times New Roman"/>
          <w:sz w:val="24"/>
        </w:rPr>
        <w:t>student</w:t>
      </w:r>
      <w:r>
        <w:rPr>
          <w:rFonts w:ascii="Times New Roman" w:hAnsi="Times New Roman" w:cs="Times New Roman"/>
          <w:sz w:val="24"/>
        </w:rPr>
        <w:t>’</w:t>
      </w:r>
      <w:r w:rsidR="00F909B5">
        <w:rPr>
          <w:rFonts w:ascii="Times New Roman" w:hAnsi="Times New Roman" w:cs="Times New Roman"/>
          <w:sz w:val="24"/>
        </w:rPr>
        <w:t>s</w:t>
      </w:r>
      <w:r w:rsidR="00486820" w:rsidRPr="00486820">
        <w:rPr>
          <w:rFonts w:ascii="Times New Roman" w:hAnsi="Times New Roman" w:cs="Times New Roman"/>
          <w:sz w:val="24"/>
        </w:rPr>
        <w:t xml:space="preserve"> progress </w:t>
      </w:r>
      <w:r w:rsidR="00F909B5">
        <w:rPr>
          <w:rFonts w:ascii="Times New Roman" w:hAnsi="Times New Roman" w:cs="Times New Roman"/>
          <w:sz w:val="24"/>
        </w:rPr>
        <w:t xml:space="preserve">on MCAS </w:t>
      </w:r>
      <w:r w:rsidR="00032D3E">
        <w:rPr>
          <w:rFonts w:ascii="Times New Roman" w:hAnsi="Times New Roman" w:cs="Times New Roman"/>
          <w:sz w:val="24"/>
        </w:rPr>
        <w:t xml:space="preserve">compared </w:t>
      </w:r>
      <w:r w:rsidR="00486820" w:rsidRPr="00486820">
        <w:rPr>
          <w:rFonts w:ascii="Times New Roman" w:hAnsi="Times New Roman" w:cs="Times New Roman"/>
          <w:sz w:val="24"/>
        </w:rPr>
        <w:t xml:space="preserve">to the progress of other students with similar MCAS performance histories. </w:t>
      </w:r>
      <w:r w:rsidR="008E680B">
        <w:rPr>
          <w:rFonts w:ascii="Times New Roman" w:hAnsi="Times New Roman" w:cs="Times New Roman"/>
          <w:sz w:val="24"/>
        </w:rPr>
        <w:t xml:space="preserve">SGPs range from </w:t>
      </w:r>
      <w:proofErr w:type="gramStart"/>
      <w:r w:rsidR="008E680B">
        <w:rPr>
          <w:rFonts w:ascii="Times New Roman" w:hAnsi="Times New Roman" w:cs="Times New Roman"/>
          <w:sz w:val="24"/>
        </w:rPr>
        <w:t>1</w:t>
      </w:r>
      <w:proofErr w:type="gramEnd"/>
      <w:r w:rsidR="008E680B">
        <w:rPr>
          <w:rFonts w:ascii="Times New Roman" w:hAnsi="Times New Roman" w:cs="Times New Roman"/>
          <w:sz w:val="24"/>
        </w:rPr>
        <w:t xml:space="preserve"> to 99, where high</w:t>
      </w:r>
      <w:r>
        <w:rPr>
          <w:rFonts w:ascii="Times New Roman" w:hAnsi="Times New Roman" w:cs="Times New Roman"/>
          <w:sz w:val="24"/>
        </w:rPr>
        <w:t>er</w:t>
      </w:r>
      <w:r w:rsidR="008E680B">
        <w:rPr>
          <w:rFonts w:ascii="Times New Roman" w:hAnsi="Times New Roman" w:cs="Times New Roman"/>
          <w:sz w:val="24"/>
        </w:rPr>
        <w:t xml:space="preserve"> numbers represent higher </w:t>
      </w:r>
      <w:r w:rsidR="000B08F7">
        <w:rPr>
          <w:rFonts w:ascii="Times New Roman" w:hAnsi="Times New Roman" w:cs="Times New Roman"/>
          <w:sz w:val="24"/>
        </w:rPr>
        <w:t xml:space="preserve">relative </w:t>
      </w:r>
      <w:r w:rsidR="008E680B">
        <w:rPr>
          <w:rFonts w:ascii="Times New Roman" w:hAnsi="Times New Roman" w:cs="Times New Roman"/>
          <w:sz w:val="24"/>
        </w:rPr>
        <w:t>growth and lower numbers represent lower growth.</w:t>
      </w:r>
      <w:r w:rsidR="00FF748D">
        <w:rPr>
          <w:rFonts w:ascii="Times New Roman" w:hAnsi="Times New Roman" w:cs="Times New Roman"/>
          <w:sz w:val="24"/>
        </w:rPr>
        <w:t xml:space="preserve"> </w:t>
      </w:r>
      <w:r w:rsidR="00FF748D" w:rsidRPr="00FF748D">
        <w:rPr>
          <w:rFonts w:ascii="Times New Roman" w:hAnsi="Times New Roman" w:cs="Times New Roman"/>
          <w:sz w:val="24"/>
        </w:rPr>
        <w:t>A student who grew at the 90</w:t>
      </w:r>
      <w:r w:rsidR="00D85504" w:rsidRPr="00950E25">
        <w:rPr>
          <w:rFonts w:ascii="Times New Roman" w:hAnsi="Times New Roman" w:cs="Times New Roman"/>
          <w:sz w:val="24"/>
          <w:vertAlign w:val="superscript"/>
        </w:rPr>
        <w:t>th</w:t>
      </w:r>
      <w:r w:rsidR="00D85504">
        <w:rPr>
          <w:rFonts w:ascii="Times New Roman" w:hAnsi="Times New Roman" w:cs="Times New Roman"/>
          <w:sz w:val="24"/>
        </w:rPr>
        <w:t xml:space="preserve"> </w:t>
      </w:r>
      <w:r w:rsidR="00FF748D" w:rsidRPr="00FF748D">
        <w:rPr>
          <w:rFonts w:ascii="Times New Roman" w:hAnsi="Times New Roman" w:cs="Times New Roman"/>
          <w:sz w:val="24"/>
        </w:rPr>
        <w:t>percentile h</w:t>
      </w:r>
      <w:r w:rsidR="00BD4564">
        <w:rPr>
          <w:rFonts w:ascii="Times New Roman" w:hAnsi="Times New Roman" w:cs="Times New Roman"/>
          <w:sz w:val="24"/>
        </w:rPr>
        <w:t>ad a higher</w:t>
      </w:r>
      <w:r w:rsidR="00FF748D">
        <w:rPr>
          <w:rFonts w:ascii="Times New Roman" w:hAnsi="Times New Roman" w:cs="Times New Roman"/>
          <w:sz w:val="24"/>
        </w:rPr>
        <w:t xml:space="preserve"> MCAS score </w:t>
      </w:r>
      <w:r w:rsidR="00FF748D" w:rsidRPr="00FF748D">
        <w:rPr>
          <w:rFonts w:ascii="Times New Roman" w:hAnsi="Times New Roman" w:cs="Times New Roman"/>
          <w:sz w:val="24"/>
        </w:rPr>
        <w:t xml:space="preserve">than </w:t>
      </w:r>
      <w:r>
        <w:rPr>
          <w:rFonts w:ascii="Times New Roman" w:hAnsi="Times New Roman" w:cs="Times New Roman"/>
          <w:sz w:val="24"/>
        </w:rPr>
        <w:t>90% of the students who perform</w:t>
      </w:r>
      <w:r w:rsidR="00FF748D" w:rsidRPr="00FF748D">
        <w:rPr>
          <w:rFonts w:ascii="Times New Roman" w:hAnsi="Times New Roman" w:cs="Times New Roman"/>
          <w:sz w:val="24"/>
        </w:rPr>
        <w:t>ed like him or her in the past.</w:t>
      </w:r>
    </w:p>
    <w:bookmarkEnd w:id="0"/>
    <w:bookmarkEnd w:id="1"/>
    <w:p w:rsidR="00AA1AE8" w:rsidRDefault="00AA1AE8"/>
    <w:p w:rsidR="00BC5766" w:rsidRPr="00137D3B" w:rsidRDefault="00BD4564" w:rsidP="004900EC">
      <w:r>
        <w:t xml:space="preserve">Individual SGPs </w:t>
      </w:r>
      <w:proofErr w:type="gramStart"/>
      <w:r w:rsidR="000B08F7">
        <w:t xml:space="preserve">are </w:t>
      </w:r>
      <w:r>
        <w:t>aggregated</w:t>
      </w:r>
      <w:proofErr w:type="gramEnd"/>
      <w:r>
        <w:t xml:space="preserve"> t</w:t>
      </w:r>
      <w:r w:rsidR="004900EC">
        <w:t xml:space="preserve">o summarize </w:t>
      </w:r>
      <w:r w:rsidR="000B08F7">
        <w:t xml:space="preserve">the </w:t>
      </w:r>
      <w:r w:rsidR="004900EC">
        <w:t xml:space="preserve">growth </w:t>
      </w:r>
      <w:r w:rsidR="000B08F7">
        <w:t xml:space="preserve">of </w:t>
      </w:r>
      <w:r w:rsidR="004900EC">
        <w:t>subgroup</w:t>
      </w:r>
      <w:r w:rsidR="000B08F7">
        <w:t>s</w:t>
      </w:r>
      <w:r w:rsidR="004900EC">
        <w:t xml:space="preserve">, </w:t>
      </w:r>
      <w:r w:rsidR="000B08F7">
        <w:t xml:space="preserve">classes, </w:t>
      </w:r>
      <w:r w:rsidR="004900EC">
        <w:t>school</w:t>
      </w:r>
      <w:r w:rsidR="000B08F7">
        <w:t>s</w:t>
      </w:r>
      <w:r w:rsidR="004900EC">
        <w:t xml:space="preserve">, </w:t>
      </w:r>
      <w:r w:rsidR="000B08F7">
        <w:t xml:space="preserve">and </w:t>
      </w:r>
      <w:r w:rsidR="004900EC">
        <w:t>district</w:t>
      </w:r>
      <w:r w:rsidR="000B08F7">
        <w:t>s</w:t>
      </w:r>
      <w:r w:rsidR="004900EC">
        <w:t xml:space="preserve">. </w:t>
      </w:r>
      <w:r w:rsidR="005A47BC">
        <w:t>Since the introduction of student growth as a</w:t>
      </w:r>
      <w:r w:rsidR="000B08F7">
        <w:t>n assessment metric in 2008, median SGPs have been the main statistic used for these summaries representing the</w:t>
      </w:r>
      <w:r w:rsidR="00F909B5">
        <w:t xml:space="preserve"> middle </w:t>
      </w:r>
      <w:r w:rsidR="006662A7">
        <w:t>value</w:t>
      </w:r>
      <w:r w:rsidR="00F909B5">
        <w:t xml:space="preserve"> of each group</w:t>
      </w:r>
      <w:r w:rsidR="006662A7">
        <w:t xml:space="preserve">. </w:t>
      </w:r>
      <w:r w:rsidR="00BC4256">
        <w:t xml:space="preserve">This paper presents </w:t>
      </w:r>
      <w:r w:rsidR="006662A7">
        <w:t xml:space="preserve">a rationale for changing the </w:t>
      </w:r>
      <w:r w:rsidR="000B08F7">
        <w:t xml:space="preserve">primary summary tool for </w:t>
      </w:r>
      <w:r w:rsidR="006662A7">
        <w:t>SGP</w:t>
      </w:r>
      <w:r w:rsidR="00D85504">
        <w:t>s</w:t>
      </w:r>
      <w:r w:rsidR="006662A7">
        <w:t xml:space="preserve"> to mean</w:t>
      </w:r>
      <w:r w:rsidR="000B08F7">
        <w:t>s</w:t>
      </w:r>
      <w:r w:rsidR="006662A7">
        <w:t>.</w:t>
      </w:r>
    </w:p>
    <w:p w:rsidR="008C04BF" w:rsidRDefault="008C04BF"/>
    <w:p w:rsidR="008C04BF" w:rsidRDefault="008C04BF" w:rsidP="008C04BF">
      <w:r>
        <w:t>C</w:t>
      </w:r>
      <w:r w:rsidRPr="008C04BF">
        <w:t xml:space="preserve">ritical findings </w:t>
      </w:r>
      <w:r>
        <w:t xml:space="preserve">and recommendations </w:t>
      </w:r>
      <w:r w:rsidRPr="008C04BF">
        <w:t xml:space="preserve">of </w:t>
      </w:r>
      <w:r>
        <w:t xml:space="preserve">this </w:t>
      </w:r>
      <w:r w:rsidRPr="008C04BF">
        <w:t>report include</w:t>
      </w:r>
      <w:r w:rsidR="00B50235">
        <w:t xml:space="preserve"> the following</w:t>
      </w:r>
      <w:r w:rsidRPr="008C04BF">
        <w:t>:</w:t>
      </w:r>
    </w:p>
    <w:p w:rsidR="008C04BF" w:rsidRDefault="00B50235" w:rsidP="008C04BF">
      <w:pPr>
        <w:pStyle w:val="ListParagraph"/>
        <w:numPr>
          <w:ilvl w:val="0"/>
          <w:numId w:val="4"/>
        </w:numPr>
      </w:pPr>
      <w:r>
        <w:t>M</w:t>
      </w:r>
      <w:r w:rsidRPr="008C04BF">
        <w:t xml:space="preserve">eans </w:t>
      </w:r>
      <w:r w:rsidR="00EF6ADB">
        <w:t xml:space="preserve">are </w:t>
      </w:r>
      <w:r w:rsidR="008C04BF" w:rsidRPr="008C04BF">
        <w:t xml:space="preserve">more sensitive and </w:t>
      </w:r>
      <w:r w:rsidR="00EF6ADB">
        <w:t>representative than medians in describing group performance, according to recent research</w:t>
      </w:r>
    </w:p>
    <w:p w:rsidR="008C04BF" w:rsidRDefault="00B50235" w:rsidP="008C04BF">
      <w:pPr>
        <w:pStyle w:val="ListParagraph"/>
        <w:numPr>
          <w:ilvl w:val="0"/>
          <w:numId w:val="4"/>
        </w:numPr>
      </w:pPr>
      <w:r>
        <w:t>M</w:t>
      </w:r>
      <w:r w:rsidR="008C04BF" w:rsidRPr="008C04BF">
        <w:t xml:space="preserve">eans align better with the Department’s </w:t>
      </w:r>
      <w:r w:rsidR="008C04BF">
        <w:t xml:space="preserve">guiding </w:t>
      </w:r>
      <w:r w:rsidR="008C04BF" w:rsidRPr="008C04BF">
        <w:t>philosoph</w:t>
      </w:r>
      <w:r w:rsidR="008C04BF">
        <w:t>y that all students contribute to accountability results</w:t>
      </w:r>
      <w:r>
        <w:t>.</w:t>
      </w:r>
    </w:p>
    <w:p w:rsidR="008C04BF" w:rsidRPr="008C04BF" w:rsidRDefault="008C04BF" w:rsidP="008C04BF">
      <w:pPr>
        <w:pStyle w:val="ListParagraph"/>
        <w:numPr>
          <w:ilvl w:val="0"/>
          <w:numId w:val="4"/>
        </w:numPr>
      </w:pPr>
      <w:r>
        <w:t xml:space="preserve">The opportune time </w:t>
      </w:r>
      <w:r w:rsidR="00BC4256">
        <w:t>for the change</w:t>
      </w:r>
      <w:r>
        <w:t xml:space="preserve"> is now, </w:t>
      </w:r>
      <w:r w:rsidR="00B50235">
        <w:t xml:space="preserve">as </w:t>
      </w:r>
      <w:r>
        <w:t xml:space="preserve">the Department transitions to the </w:t>
      </w:r>
      <w:r w:rsidR="00DA1779">
        <w:t>n</w:t>
      </w:r>
      <w:r>
        <w:t>ext</w:t>
      </w:r>
      <w:r w:rsidR="00B50235">
        <w:t>-</w:t>
      </w:r>
      <w:r w:rsidR="00DA1779">
        <w:t>g</w:t>
      </w:r>
      <w:r>
        <w:t>eneration MCAS assessments.</w:t>
      </w:r>
    </w:p>
    <w:p w:rsidR="008C04BF" w:rsidRPr="00137D3B" w:rsidRDefault="008C04BF"/>
    <w:p w:rsidR="00FD468C" w:rsidRPr="004C1805" w:rsidRDefault="0049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How </w:t>
      </w:r>
      <w:r w:rsidR="004C1805" w:rsidRPr="004C1805">
        <w:rPr>
          <w:b/>
        </w:rPr>
        <w:t>SGPs</w:t>
      </w:r>
      <w:r>
        <w:rPr>
          <w:b/>
        </w:rPr>
        <w:t xml:space="preserve"> </w:t>
      </w:r>
      <w:r w:rsidR="00BC4256">
        <w:rPr>
          <w:b/>
        </w:rPr>
        <w:t>A</w:t>
      </w:r>
      <w:r>
        <w:rPr>
          <w:b/>
        </w:rPr>
        <w:t xml:space="preserve">re </w:t>
      </w:r>
      <w:r w:rsidR="00BC4256">
        <w:rPr>
          <w:b/>
        </w:rPr>
        <w:t>C</w:t>
      </w:r>
      <w:r>
        <w:rPr>
          <w:b/>
        </w:rPr>
        <w:t>alculated</w:t>
      </w:r>
      <w:r w:rsidR="00BC4256">
        <w:rPr>
          <w:b/>
        </w:rPr>
        <w:t xml:space="preserve"> for MCAS</w:t>
      </w:r>
    </w:p>
    <w:p w:rsidR="002E4876" w:rsidRDefault="009B6313" w:rsidP="009B6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DESE calculates growth percentiles in ELA and mathematics for</w:t>
      </w:r>
      <w:r w:rsidR="00EB6A55">
        <w:t xml:space="preserve"> students in grades 4 through 8 and</w:t>
      </w:r>
      <w:r>
        <w:t xml:space="preserve"> grade 10. </w:t>
      </w:r>
      <w:r w:rsidR="00A67DAD">
        <w:t>A</w:t>
      </w:r>
      <w:r>
        <w:t xml:space="preserve">n SGP </w:t>
      </w:r>
      <w:proofErr w:type="gramStart"/>
      <w:r>
        <w:t>is</w:t>
      </w:r>
      <w:r w:rsidR="000679F8">
        <w:t xml:space="preserve"> </w:t>
      </w:r>
      <w:r w:rsidR="00BD4564">
        <w:t>provided</w:t>
      </w:r>
      <w:proofErr w:type="gramEnd"/>
      <w:r>
        <w:t xml:space="preserve"> </w:t>
      </w:r>
      <w:r w:rsidR="00A67DAD">
        <w:t>for each student with</w:t>
      </w:r>
      <w:r>
        <w:t xml:space="preserve"> a</w:t>
      </w:r>
      <w:r w:rsidR="00A67DAD">
        <w:t xml:space="preserve"> valid score from the prior grade-level test</w:t>
      </w:r>
      <w:r w:rsidR="004C1805">
        <w:t xml:space="preserve">. When available, </w:t>
      </w:r>
      <w:r w:rsidR="008F690E">
        <w:t xml:space="preserve">the </w:t>
      </w:r>
      <w:r w:rsidR="004C1805">
        <w:t xml:space="preserve">two </w:t>
      </w:r>
      <w:r w:rsidR="008F690E">
        <w:t xml:space="preserve">most recent </w:t>
      </w:r>
      <w:r w:rsidR="004C1805">
        <w:t xml:space="preserve">years of prior test data are used. </w:t>
      </w:r>
      <w:r w:rsidR="00BD4564">
        <w:t xml:space="preserve">Because there are no MCAS tests at grade 9, </w:t>
      </w:r>
      <w:r w:rsidR="004C1805">
        <w:t xml:space="preserve">SGPs for </w:t>
      </w:r>
      <w:r w:rsidR="00BD4564">
        <w:t>g</w:t>
      </w:r>
      <w:r w:rsidR="004C1805">
        <w:t>rade 10 students compare 10</w:t>
      </w:r>
      <w:r w:rsidR="004C1805" w:rsidRPr="004C1805">
        <w:rPr>
          <w:vertAlign w:val="superscript"/>
        </w:rPr>
        <w:t>th</w:t>
      </w:r>
      <w:r w:rsidR="004C1805">
        <w:t xml:space="preserve"> grade</w:t>
      </w:r>
      <w:r w:rsidR="008F690E">
        <w:t xml:space="preserve"> test</w:t>
      </w:r>
      <w:r w:rsidR="004C1805">
        <w:t xml:space="preserve"> scores </w:t>
      </w:r>
      <w:r w:rsidR="008F690E">
        <w:t>with</w:t>
      </w:r>
      <w:r w:rsidR="004C1805">
        <w:t xml:space="preserve"> 8</w:t>
      </w:r>
      <w:r w:rsidR="004C1805" w:rsidRPr="004C1805">
        <w:rPr>
          <w:vertAlign w:val="superscript"/>
        </w:rPr>
        <w:t>th</w:t>
      </w:r>
      <w:r w:rsidR="004C1805">
        <w:t xml:space="preserve"> grade test</w:t>
      </w:r>
      <w:r w:rsidR="008F690E">
        <w:t xml:space="preserve"> scores</w:t>
      </w:r>
      <w:r w:rsidR="004C1805">
        <w:t xml:space="preserve"> in each subject.</w:t>
      </w:r>
      <w:r>
        <w:t xml:space="preserve"> </w:t>
      </w:r>
      <w:r w:rsidR="00BD4564">
        <w:t>No growth percentiles are calculated</w:t>
      </w:r>
      <w:r>
        <w:t xml:space="preserve"> for grade 3 (the first grade</w:t>
      </w:r>
      <w:r w:rsidR="00BD4564">
        <w:t xml:space="preserve"> </w:t>
      </w:r>
      <w:r>
        <w:t>of MCAS testing) or for science (because sci</w:t>
      </w:r>
      <w:r w:rsidR="009D49FE">
        <w:t>ence is tested only in grades 5 and 8</w:t>
      </w:r>
      <w:r>
        <w:t xml:space="preserve"> and</w:t>
      </w:r>
      <w:r w:rsidR="00BD4564">
        <w:t xml:space="preserve"> </w:t>
      </w:r>
      <w:r w:rsidR="009D49FE">
        <w:t xml:space="preserve">in </w:t>
      </w:r>
      <w:r>
        <w:t>high school).</w:t>
      </w:r>
    </w:p>
    <w:p w:rsidR="00BD4564" w:rsidRDefault="00BD4564" w:rsidP="009B6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5766" w:rsidRPr="00137D3B" w:rsidRDefault="002E4876" w:rsidP="000D1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lastRenderedPageBreak/>
        <w:t xml:space="preserve">SGPs </w:t>
      </w:r>
      <w:proofErr w:type="gramStart"/>
      <w:r>
        <w:t>are calculated</w:t>
      </w:r>
      <w:proofErr w:type="gramEnd"/>
      <w:r>
        <w:t xml:space="preserve"> using a specialized form of statistical regression called quantile regression with B-spline adjustments</w:t>
      </w:r>
      <w:r w:rsidR="00BD4564">
        <w:t>. This method</w:t>
      </w:r>
      <w:r>
        <w:t xml:space="preserve"> ensure</w:t>
      </w:r>
      <w:r w:rsidR="00BD4564">
        <w:t>s</w:t>
      </w:r>
      <w:r>
        <w:t xml:space="preserve"> that</w:t>
      </w:r>
      <w:r w:rsidR="009A3AD4">
        <w:t>,</w:t>
      </w:r>
      <w:r>
        <w:t xml:space="preserve"> no matter what </w:t>
      </w:r>
      <w:r w:rsidR="00AF6757">
        <w:t xml:space="preserve">past </w:t>
      </w:r>
      <w:r>
        <w:t>score</w:t>
      </w:r>
      <w:r w:rsidR="009A3AD4">
        <w:t>s</w:t>
      </w:r>
      <w:r>
        <w:t xml:space="preserve"> students have</w:t>
      </w:r>
      <w:r w:rsidR="009A3AD4">
        <w:t>,</w:t>
      </w:r>
      <w:r>
        <w:t xml:space="preserve"> they </w:t>
      </w:r>
      <w:r w:rsidR="008F690E">
        <w:t xml:space="preserve">each </w:t>
      </w:r>
      <w:r>
        <w:t xml:space="preserve">have </w:t>
      </w:r>
      <w:r w:rsidR="008F690E">
        <w:t xml:space="preserve">an </w:t>
      </w:r>
      <w:r>
        <w:t>equal opportunity to grow at a high or low percentile.</w:t>
      </w:r>
      <w:r w:rsidR="004174E1">
        <w:rPr>
          <w:rStyle w:val="FootnoteReference"/>
        </w:rPr>
        <w:footnoteReference w:id="1"/>
      </w:r>
    </w:p>
    <w:p w:rsidR="00BC5766" w:rsidRDefault="00BC5766">
      <w:pPr>
        <w:rPr>
          <w:rFonts w:ascii="Arial" w:hAnsi="Arial" w:cs="Arial"/>
          <w:sz w:val="20"/>
        </w:rPr>
      </w:pPr>
    </w:p>
    <w:p w:rsidR="00DF4785" w:rsidRDefault="00DF4785" w:rsidP="00730FD6">
      <w:pPr>
        <w:pStyle w:val="Heading1"/>
      </w:pPr>
      <w:r w:rsidRPr="00950E25">
        <w:t>Reasons for th</w:t>
      </w:r>
      <w:r w:rsidR="00BC4256">
        <w:t>e Change</w:t>
      </w:r>
    </w:p>
    <w:p w:rsidR="00DF4785" w:rsidRPr="00950E25" w:rsidRDefault="00DF4785" w:rsidP="00950E25">
      <w:pPr>
        <w:keepNext/>
        <w:rPr>
          <w:b/>
        </w:rPr>
      </w:pPr>
    </w:p>
    <w:p w:rsidR="008342F1" w:rsidRDefault="008C04BF" w:rsidP="00950E25">
      <w:pPr>
        <w:keepNext/>
      </w:pPr>
      <w:r>
        <w:t xml:space="preserve">The </w:t>
      </w:r>
      <w:r w:rsidR="00F93B73">
        <w:t xml:space="preserve">Department is making </w:t>
      </w:r>
      <w:r w:rsidR="008F690E">
        <w:t xml:space="preserve">this </w:t>
      </w:r>
      <w:r w:rsidR="00F93B73">
        <w:t xml:space="preserve">change, beginning </w:t>
      </w:r>
      <w:r w:rsidR="004567D5">
        <w:t>in</w:t>
      </w:r>
      <w:r w:rsidR="00F93B73">
        <w:t xml:space="preserve"> 2018</w:t>
      </w:r>
      <w:r w:rsidR="00B50235">
        <w:t>,</w:t>
      </w:r>
      <w:r w:rsidR="00F93B73">
        <w:t xml:space="preserve"> for the following reasons:</w:t>
      </w:r>
    </w:p>
    <w:p w:rsidR="008342F1" w:rsidRDefault="008342F1" w:rsidP="008342F1">
      <w:pPr>
        <w:rPr>
          <w:color w:val="FF0000"/>
        </w:rPr>
      </w:pPr>
    </w:p>
    <w:p w:rsidR="004E5AF8" w:rsidRDefault="008C04BF" w:rsidP="008C04BF">
      <w:r w:rsidRPr="008C04BF">
        <w:t>1.</w:t>
      </w:r>
      <w:r w:rsidR="00713537">
        <w:t xml:space="preserve"> </w:t>
      </w:r>
      <w:r w:rsidRPr="008C04BF">
        <w:t xml:space="preserve">Studies conducted by Katherine Castellano and Andrew Ho </w:t>
      </w:r>
      <w:r w:rsidR="007B52D0">
        <w:t xml:space="preserve">reveal </w:t>
      </w:r>
      <w:r w:rsidRPr="008C04BF">
        <w:t xml:space="preserve">that means are </w:t>
      </w:r>
      <w:r w:rsidR="007B52D0">
        <w:t xml:space="preserve">significantly </w:t>
      </w:r>
      <w:r w:rsidRPr="008C04BF">
        <w:t>more sensitive and accurate</w:t>
      </w:r>
      <w:r w:rsidR="007B52D0">
        <w:t xml:space="preserve"> than m</w:t>
      </w:r>
      <w:r w:rsidRPr="008C04BF">
        <w:t>edians.</w:t>
      </w:r>
      <w:r w:rsidR="00713537">
        <w:rPr>
          <w:rStyle w:val="FootnoteReference"/>
        </w:rPr>
        <w:footnoteReference w:id="2"/>
      </w:r>
      <w:r w:rsidR="00713537" w:rsidRPr="008C04BF">
        <w:t xml:space="preserve"> </w:t>
      </w:r>
      <w:r w:rsidRPr="008C04BF">
        <w:t xml:space="preserve"> Castellano and Ho (who was influential in guiding Massachusetts to the </w:t>
      </w:r>
      <w:r w:rsidR="009D49FE">
        <w:t>s</w:t>
      </w:r>
      <w:r w:rsidRPr="008C04BF">
        <w:t xml:space="preserve">tudent </w:t>
      </w:r>
      <w:r w:rsidR="009D49FE">
        <w:t>g</w:t>
      </w:r>
      <w:r w:rsidRPr="008C04BF">
        <w:t xml:space="preserve">rowth </w:t>
      </w:r>
      <w:r w:rsidR="009D49FE">
        <w:t>p</w:t>
      </w:r>
      <w:r w:rsidRPr="008C04BF">
        <w:t xml:space="preserve">ercentile </w:t>
      </w:r>
      <w:r w:rsidR="007B52D0">
        <w:t>m</w:t>
      </w:r>
      <w:r w:rsidRPr="008C04BF">
        <w:t>etric</w:t>
      </w:r>
      <w:r w:rsidR="007B52D0">
        <w:t xml:space="preserve"> in </w:t>
      </w:r>
      <w:r w:rsidR="00950E25">
        <w:t xml:space="preserve">2007 </w:t>
      </w:r>
      <w:r w:rsidR="007B52D0">
        <w:t xml:space="preserve">when the state was </w:t>
      </w:r>
      <w:r w:rsidR="00713537">
        <w:t>developing its</w:t>
      </w:r>
      <w:r w:rsidR="007B52D0">
        <w:t xml:space="preserve"> value</w:t>
      </w:r>
      <w:r w:rsidR="00AF6757">
        <w:t>-</w:t>
      </w:r>
      <w:r w:rsidR="007B52D0">
        <w:t>added measure</w:t>
      </w:r>
      <w:r w:rsidRPr="008C04BF">
        <w:t>) have written a series of papers comparing the measurement qualities of various growth models</w:t>
      </w:r>
      <w:r w:rsidR="00713537">
        <w:t>.</w:t>
      </w:r>
      <w:r w:rsidRPr="008C04BF">
        <w:t xml:space="preserve"> </w:t>
      </w:r>
      <w:proofErr w:type="gramStart"/>
      <w:r w:rsidRPr="008C04BF">
        <w:t xml:space="preserve">The authors used simulated data as well as operational data from two states to compare </w:t>
      </w:r>
      <w:r w:rsidR="00950E25">
        <w:t>the aggregations of several value</w:t>
      </w:r>
      <w:r w:rsidR="008C0B65">
        <w:t>-</w:t>
      </w:r>
      <w:r w:rsidR="00950E25">
        <w:t>added models</w:t>
      </w:r>
      <w:r w:rsidR="00F3299D">
        <w:t>,</w:t>
      </w:r>
      <w:r w:rsidR="00950E25">
        <w:t xml:space="preserve"> including SGPs</w:t>
      </w:r>
      <w:r w:rsidR="0034042D">
        <w:t>. C</w:t>
      </w:r>
      <w:r w:rsidR="00950E25">
        <w:t xml:space="preserve">astellano and Ho evaluated each </w:t>
      </w:r>
      <w:r w:rsidR="00F3299D">
        <w:t>model’s</w:t>
      </w:r>
      <w:r w:rsidR="00F3299D" w:rsidRPr="008C04BF">
        <w:t xml:space="preserve"> </w:t>
      </w:r>
      <w:r w:rsidRPr="008C04BF">
        <w:t>ability to recover estimates of growth in a large population and concluded that</w:t>
      </w:r>
      <w:r w:rsidR="00713537">
        <w:t>,</w:t>
      </w:r>
      <w:r w:rsidRPr="008C04BF">
        <w:t xml:space="preserve"> </w:t>
      </w:r>
      <w:r w:rsidR="00950E25">
        <w:t>in all instances</w:t>
      </w:r>
      <w:r w:rsidR="00713537">
        <w:t>,</w:t>
      </w:r>
      <w:r w:rsidR="00950E25">
        <w:t xml:space="preserve"> </w:t>
      </w:r>
      <w:r w:rsidRPr="008C04BF">
        <w:t>means are substantially more efficient and accurate than medians</w:t>
      </w:r>
      <w:r w:rsidR="00950E25">
        <w:t xml:space="preserve"> and </w:t>
      </w:r>
      <w:r w:rsidR="00BC6CFF">
        <w:t xml:space="preserve">that </w:t>
      </w:r>
      <w:r w:rsidRPr="008C04BF">
        <w:t xml:space="preserve">the difference between means and medians </w:t>
      </w:r>
      <w:r w:rsidR="00BC6CFF">
        <w:t>was</w:t>
      </w:r>
      <w:r w:rsidR="00BC6CFF" w:rsidRPr="008C04BF">
        <w:t xml:space="preserve"> </w:t>
      </w:r>
      <w:r w:rsidRPr="008C04BF">
        <w:t>greater than the differences between any of the different models commonly used by states.</w:t>
      </w:r>
      <w:proofErr w:type="gramEnd"/>
      <w:r w:rsidRPr="008C04BF">
        <w:t xml:space="preserve"> Importantly</w:t>
      </w:r>
      <w:r w:rsidR="00B40F9A">
        <w:t>,</w:t>
      </w:r>
      <w:r w:rsidR="00323AD2">
        <w:t xml:space="preserve"> </w:t>
      </w:r>
      <w:r w:rsidRPr="008C04BF">
        <w:t xml:space="preserve">means were </w:t>
      </w:r>
      <w:r w:rsidR="00950E25">
        <w:t>more accurate</w:t>
      </w:r>
      <w:r w:rsidR="00F3299D">
        <w:t xml:space="preserve"> than medians</w:t>
      </w:r>
      <w:r w:rsidR="00950E25">
        <w:t xml:space="preserve"> when there were</w:t>
      </w:r>
      <w:r w:rsidRPr="008C04BF">
        <w:t xml:space="preserve"> changes in the underlying test scale</w:t>
      </w:r>
      <w:r w:rsidR="00DB5E58">
        <w:t xml:space="preserve"> or test program</w:t>
      </w:r>
      <w:r w:rsidRPr="008C04BF">
        <w:t xml:space="preserve">, which is a factor in </w:t>
      </w:r>
      <w:r w:rsidR="00EA1A45">
        <w:t>the MCAS</w:t>
      </w:r>
      <w:r w:rsidR="00EA1A45" w:rsidRPr="008C04BF">
        <w:t xml:space="preserve"> </w:t>
      </w:r>
      <w:r w:rsidRPr="008C04BF">
        <w:t>program. Ho and</w:t>
      </w:r>
      <w:r w:rsidR="00713537">
        <w:t xml:space="preserve"> </w:t>
      </w:r>
      <w:proofErr w:type="spellStart"/>
      <w:r w:rsidRPr="008C04BF">
        <w:t>Betebenner</w:t>
      </w:r>
      <w:proofErr w:type="spellEnd"/>
      <w:r w:rsidR="0034042D">
        <w:t xml:space="preserve"> - who devised t</w:t>
      </w:r>
      <w:r w:rsidRPr="008C04BF">
        <w:t xml:space="preserve">he </w:t>
      </w:r>
      <w:proofErr w:type="gramStart"/>
      <w:r w:rsidR="0005644E">
        <w:t>s</w:t>
      </w:r>
      <w:r w:rsidRPr="008C04BF">
        <w:t xml:space="preserve">tudent </w:t>
      </w:r>
      <w:r w:rsidR="0005644E">
        <w:t>g</w:t>
      </w:r>
      <w:r w:rsidRPr="008C04BF">
        <w:t xml:space="preserve">rowth </w:t>
      </w:r>
      <w:r w:rsidR="0005644E">
        <w:t>p</w:t>
      </w:r>
      <w:r w:rsidRPr="008C04BF">
        <w:t>ercentile model</w:t>
      </w:r>
      <w:proofErr w:type="gramEnd"/>
      <w:r w:rsidR="0034042D">
        <w:t xml:space="preserve"> -</w:t>
      </w:r>
      <w:r w:rsidRPr="008C04BF">
        <w:t xml:space="preserve"> have both </w:t>
      </w:r>
      <w:r w:rsidR="0034042D">
        <w:t>re</w:t>
      </w:r>
      <w:r w:rsidRPr="008C04BF">
        <w:t xml:space="preserve">commended that the Department make the switch to improve </w:t>
      </w:r>
      <w:r w:rsidR="00B40F9A">
        <w:t xml:space="preserve">the </w:t>
      </w:r>
      <w:r w:rsidRPr="008C04BF">
        <w:t>accuracy and interpretability of the results.</w:t>
      </w:r>
    </w:p>
    <w:p w:rsidR="003F142C" w:rsidRDefault="003F142C" w:rsidP="000A7DD9"/>
    <w:p w:rsidR="008C04BF" w:rsidRDefault="008C04BF" w:rsidP="000A7DD9">
      <w:r w:rsidRPr="008C04BF">
        <w:t>2.</w:t>
      </w:r>
      <w:r w:rsidR="00713537">
        <w:t xml:space="preserve"> </w:t>
      </w:r>
      <w:r w:rsidRPr="008C04BF">
        <w:t>Means align better with the Department’s philosophy that the performance of all students should contribute to accountability results. W</w:t>
      </w:r>
      <w:r w:rsidR="00FA277E">
        <w:t>hen aggregating</w:t>
      </w:r>
      <w:r w:rsidR="004E5AF8">
        <w:t xml:space="preserve"> growth</w:t>
      </w:r>
      <w:r w:rsidR="00FA277E">
        <w:t xml:space="preserve"> w</w:t>
      </w:r>
      <w:r w:rsidRPr="008C04BF">
        <w:t xml:space="preserve">ith medians, the scores in the middle of the distribution </w:t>
      </w:r>
      <w:r w:rsidR="00347D1F">
        <w:t xml:space="preserve">have the greatest </w:t>
      </w:r>
      <w:r w:rsidRPr="008C04BF">
        <w:t>influence</w:t>
      </w:r>
      <w:r w:rsidR="00347D1F">
        <w:t xml:space="preserve"> on</w:t>
      </w:r>
      <w:r w:rsidRPr="008C04BF">
        <w:t xml:space="preserve"> the result. Consider </w:t>
      </w:r>
      <w:r w:rsidR="005F4BFB">
        <w:t>Table 1</w:t>
      </w:r>
      <w:r w:rsidR="00713537">
        <w:t xml:space="preserve">, which shows </w:t>
      </w:r>
    </w:p>
    <w:p w:rsidR="00713537" w:rsidRDefault="00713537" w:rsidP="00713537">
      <w:proofErr w:type="gramStart"/>
      <w:r w:rsidRPr="00C44175">
        <w:t>two</w:t>
      </w:r>
      <w:proofErr w:type="gramEnd"/>
      <w:r w:rsidRPr="00C44175">
        <w:t xml:space="preserve"> schools with</w:t>
      </w:r>
      <w:r w:rsidR="009B2697">
        <w:t xml:space="preserve"> test results for</w:t>
      </w:r>
      <w:r w:rsidRPr="00C44175">
        <w:t xml:space="preserve"> 10 students apiece</w:t>
      </w:r>
      <w:r>
        <w:t>,</w:t>
      </w:r>
      <w:r w:rsidRPr="00C44175">
        <w:t xml:space="preserve"> created to illustrate the differences that</w:t>
      </w:r>
      <w:r w:rsidR="009B2697">
        <w:t xml:space="preserve"> can</w:t>
      </w:r>
      <w:r w:rsidRPr="00C44175">
        <w:t xml:space="preserve"> arise </w:t>
      </w:r>
      <w:r w:rsidR="009B2697">
        <w:t>when calculating</w:t>
      </w:r>
      <w:r w:rsidRPr="00C44175">
        <w:t xml:space="preserve"> means and medians</w:t>
      </w:r>
      <w:r>
        <w:t xml:space="preserve">. </w:t>
      </w:r>
    </w:p>
    <w:p w:rsidR="009B2697" w:rsidRDefault="009B2697" w:rsidP="00713537"/>
    <w:p w:rsidR="00713537" w:rsidRPr="001D6EF8" w:rsidRDefault="005F4BFB" w:rsidP="00713537">
      <w:pPr>
        <w:rPr>
          <w:b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4FA07C" wp14:editId="24550F4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822575" cy="3506470"/>
                <wp:effectExtent l="0" t="0" r="0" b="0"/>
                <wp:wrapTight wrapText="bothSides">
                  <wp:wrapPolygon edited="0">
                    <wp:start x="0" y="0"/>
                    <wp:lineTo x="0" y="21475"/>
                    <wp:lineTo x="21430" y="21475"/>
                    <wp:lineTo x="2143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50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130" w:rsidRDefault="008B2130">
                            <w:r w:rsidRPr="00324C2E">
                              <w:rPr>
                                <w:b/>
                              </w:rPr>
                              <w:t>Table 1. A comparison of means and medians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7"/>
                              <w:gridCol w:w="850"/>
                              <w:gridCol w:w="1017"/>
                              <w:gridCol w:w="850"/>
                            </w:tblGrid>
                            <w:tr w:rsidR="008B2130" w:rsidTr="008B2130">
                              <w:trPr>
                                <w:cantSplit/>
                                <w:trHeight w:val="328"/>
                              </w:trPr>
                              <w:tc>
                                <w:tcPr>
                                  <w:tcW w:w="1867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solid" w:color="80008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  <w:t>School 1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solid" w:color="800080" w:fill="FFFFFF"/>
                                  <w:vAlign w:val="center"/>
                                </w:tcPr>
                                <w:p w:rsidR="008B2130" w:rsidRPr="00BB7A95" w:rsidRDefault="008B2130" w:rsidP="005F4BFB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BB7A95">
                                    <w:rPr>
                                      <w:b/>
                                      <w:color w:val="FFFFFF"/>
                                    </w:rPr>
                                    <w:t>School 2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328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Score (1-9)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  <w:shd w:val="pct25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 xml:space="preserve">Student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Score (1-9)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328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  <w:shd w:val="pct25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328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  <w:shd w:val="pct25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328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  <w:shd w:val="pct25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328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  <w:shd w:val="pct25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  <w:shd w:val="pct25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  <w:shd w:val="pct25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  <w:shd w:val="pct25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  <w:shd w:val="pct25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  <w:shd w:val="pct25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  <w:shd w:val="pct25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Mean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Default="008B2130" w:rsidP="005F4BFB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6.6</w:t>
                                  </w:r>
                                </w:p>
                              </w:tc>
                            </w:tr>
                            <w:tr w:rsidR="008B2130" w:rsidTr="008B2130">
                              <w:trPr>
                                <w:cantSplit/>
                                <w:trHeight w:val="456"/>
                              </w:trPr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solid" w:color="C0C0C0" w:fill="FFFFFF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60DC">
                                    <w:rPr>
                                      <w:b/>
                                      <w:bCs/>
                                    </w:rPr>
                                    <w:t>Median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2130" w:rsidRPr="001060DC" w:rsidRDefault="008B2130" w:rsidP="005F4BFB">
                                  <w:pPr>
                                    <w:rPr>
                                      <w:b/>
                                    </w:rPr>
                                  </w:pPr>
                                  <w:r w:rsidRPr="001060DC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8B2130" w:rsidRDefault="008B21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FA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222.25pt;height:276.1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" stroked="f">
                <v:textbox>
                  <w:txbxContent>
                    <w:p w:rsidR="008B2130" w:rsidRDefault="008B2130">
                      <w:r w:rsidRPr="00324C2E">
                        <w:rPr>
                          <w:b/>
                        </w:rPr>
                        <w:t>Table 1. A comparison of means and medians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7"/>
                        <w:gridCol w:w="850"/>
                        <w:gridCol w:w="1017"/>
                        <w:gridCol w:w="850"/>
                      </w:tblGrid>
                      <w:tr w:rsidR="008B2130" w:rsidTr="008B2130">
                        <w:trPr>
                          <w:cantSplit/>
                          <w:trHeight w:val="328"/>
                        </w:trPr>
                        <w:tc>
                          <w:tcPr>
                            <w:tcW w:w="1867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solid" w:color="80008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  <w:color w:val="FFFFFF"/>
                              </w:rPr>
                              <w:t>School 1</w:t>
                            </w:r>
                          </w:p>
                        </w:tc>
                        <w:tc>
                          <w:tcPr>
                            <w:tcW w:w="1867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solid" w:color="800080" w:fill="FFFFFF"/>
                            <w:vAlign w:val="center"/>
                          </w:tcPr>
                          <w:p w:rsidR="008B2130" w:rsidRPr="00BB7A95" w:rsidRDefault="008B2130" w:rsidP="005F4BFB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BB7A95">
                              <w:rPr>
                                <w:b/>
                                <w:color w:val="FFFFFF"/>
                              </w:rPr>
                              <w:t>School 2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328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Score (1-9)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  <w:shd w:val="pct25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 xml:space="preserve">Student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Score (1-9)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328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  <w:shd w:val="pct25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328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  <w:shd w:val="pct25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328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  <w:shd w:val="pct25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328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  <w:shd w:val="pct25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166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  <w:shd w:val="pct25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166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  <w:shd w:val="pct25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166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  <w:shd w:val="pct25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9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166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  <w:shd w:val="pct25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9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166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  <w:shd w:val="pct25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9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166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  <w:shd w:val="pct25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>
                            <w:r>
                              <w:t>9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166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Mean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Default="008B2130" w:rsidP="005F4BFB"/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6.6</w:t>
                            </w:r>
                          </w:p>
                        </w:tc>
                      </w:tr>
                      <w:tr w:rsidR="008B2130" w:rsidTr="008B2130">
                        <w:trPr>
                          <w:cantSplit/>
                          <w:trHeight w:val="456"/>
                        </w:trPr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solid" w:color="C0C0C0" w:fill="FFFFFF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0DC">
                              <w:rPr>
                                <w:b/>
                                <w:bCs/>
                              </w:rPr>
                              <w:t>Median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B2130" w:rsidRPr="001060DC" w:rsidRDefault="008B2130" w:rsidP="005F4BFB">
                            <w:pPr>
                              <w:rPr>
                                <w:b/>
                              </w:rPr>
                            </w:pPr>
                            <w:r w:rsidRPr="001060DC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8B2130" w:rsidRDefault="008B2130"/>
                  </w:txbxContent>
                </v:textbox>
                <w10:wrap type="tight" anchorx="margin"/>
              </v:shape>
            </w:pict>
          </mc:Fallback>
        </mc:AlternateContent>
      </w:r>
      <w:r w:rsidRPr="005F4BFB">
        <w:rPr>
          <w:b/>
        </w:rPr>
        <w:t xml:space="preserve"> </w:t>
      </w:r>
    </w:p>
    <w:p w:rsidR="000B2B9C" w:rsidRPr="00C44175" w:rsidRDefault="00713537" w:rsidP="000B2B9C">
      <w:r w:rsidRPr="00C44175">
        <w:t xml:space="preserve">The students in </w:t>
      </w:r>
      <w:r>
        <w:t>S</w:t>
      </w:r>
      <w:r w:rsidRPr="00C44175">
        <w:t xml:space="preserve">chool 2 </w:t>
      </w:r>
      <w:r>
        <w:t xml:space="preserve">collectively </w:t>
      </w:r>
      <w:r w:rsidRPr="00C44175">
        <w:t>scored almost twice as many points on the test as the students in School 1</w:t>
      </w:r>
      <w:r>
        <w:t>,</w:t>
      </w:r>
      <w:r w:rsidRPr="00C44175">
        <w:t xml:space="preserve"> but because the students</w:t>
      </w:r>
      <w:r>
        <w:t xml:space="preserve"> at the middle of the distribution</w:t>
      </w:r>
      <w:r w:rsidRPr="00C44175">
        <w:t xml:space="preserve"> in both schools had the same score</w:t>
      </w:r>
      <w:r>
        <w:t>,</w:t>
      </w:r>
      <w:r w:rsidRPr="00C44175">
        <w:t xml:space="preserve"> both schools had the same median score of </w:t>
      </w:r>
      <w:proofErr w:type="gramStart"/>
      <w:r w:rsidRPr="00C44175">
        <w:t>5</w:t>
      </w:r>
      <w:proofErr w:type="gramEnd"/>
      <w:r w:rsidRPr="00C44175">
        <w:t>.</w:t>
      </w:r>
      <w:r w:rsidR="000B2B9C">
        <w:t xml:space="preserve"> </w:t>
      </w:r>
    </w:p>
    <w:p w:rsidR="00713537" w:rsidRPr="00C44175" w:rsidRDefault="00713537" w:rsidP="00713537"/>
    <w:p w:rsidR="00713537" w:rsidRPr="00C44175" w:rsidRDefault="00713537" w:rsidP="00713537">
      <w:r w:rsidRPr="00C44175">
        <w:t xml:space="preserve">In this example, </w:t>
      </w:r>
      <w:r w:rsidR="009B2697">
        <w:t xml:space="preserve">the scores for </w:t>
      </w:r>
      <w:r w:rsidRPr="00C44175">
        <w:t>students A, B, C</w:t>
      </w:r>
      <w:r>
        <w:t>,</w:t>
      </w:r>
      <w:r w:rsidRPr="00C44175">
        <w:t xml:space="preserve"> and D </w:t>
      </w:r>
      <w:r w:rsidR="009B2697">
        <w:t>do not have an effect on the median score for their school; only the scores of students E, F,</w:t>
      </w:r>
      <w:r w:rsidR="000B2B9C">
        <w:t xml:space="preserve"> </w:t>
      </w:r>
      <w:r w:rsidR="009B2697">
        <w:t xml:space="preserve">G, H, </w:t>
      </w:r>
      <w:proofErr w:type="gramStart"/>
      <w:r w:rsidR="009B2697">
        <w:t>I, and J</w:t>
      </w:r>
      <w:proofErr w:type="gramEnd"/>
      <w:r w:rsidR="009B2697">
        <w:t xml:space="preserve"> are contributing to the median. </w:t>
      </w:r>
      <w:r w:rsidR="000B2B9C">
        <w:t xml:space="preserve">Every </w:t>
      </w:r>
      <w:r w:rsidR="000B2B9C" w:rsidRPr="00BF02C0">
        <w:t>student score influences the mean</w:t>
      </w:r>
      <w:r w:rsidR="000B2B9C">
        <w:t xml:space="preserve">, while only the middle values </w:t>
      </w:r>
      <w:proofErr w:type="gramStart"/>
      <w:r w:rsidR="000B2B9C">
        <w:t>are represented</w:t>
      </w:r>
      <w:proofErr w:type="gramEnd"/>
      <w:r w:rsidR="000B2B9C">
        <w:t xml:space="preserve"> in a median</w:t>
      </w:r>
      <w:r w:rsidR="000B2B9C" w:rsidRPr="00BF02C0">
        <w:t>.</w:t>
      </w:r>
    </w:p>
    <w:p w:rsidR="00713537" w:rsidRPr="00C44175" w:rsidRDefault="00713537" w:rsidP="00713537"/>
    <w:p w:rsidR="00713537" w:rsidRDefault="00713537" w:rsidP="00713537">
      <w:r w:rsidRPr="00C44175">
        <w:t>SGPs</w:t>
      </w:r>
      <w:r>
        <w:t xml:space="preserve">, </w:t>
      </w:r>
      <w:r w:rsidRPr="00C44175">
        <w:t>like the test scores in this example</w:t>
      </w:r>
      <w:r>
        <w:t>,</w:t>
      </w:r>
      <w:r w:rsidRPr="00C44175">
        <w:t xml:space="preserve"> are restricted. No matter how much a student learns and how many more questions </w:t>
      </w:r>
      <w:r>
        <w:t>he or she</w:t>
      </w:r>
      <w:r w:rsidRPr="00C44175">
        <w:t xml:space="preserve"> </w:t>
      </w:r>
      <w:r>
        <w:t xml:space="preserve">correctly </w:t>
      </w:r>
      <w:r w:rsidRPr="00C44175">
        <w:t>answer</w:t>
      </w:r>
      <w:r>
        <w:t>s</w:t>
      </w:r>
      <w:r w:rsidRPr="00C44175">
        <w:t xml:space="preserve"> on the MCAS</w:t>
      </w:r>
      <w:r>
        <w:t xml:space="preserve"> test</w:t>
      </w:r>
      <w:r w:rsidRPr="00C44175">
        <w:t>, the highest obtainable SGP is 99 and the lowest</w:t>
      </w:r>
      <w:r>
        <w:t xml:space="preserve"> is</w:t>
      </w:r>
      <w:r w:rsidRPr="00C44175">
        <w:t xml:space="preserve"> </w:t>
      </w:r>
      <w:proofErr w:type="gramStart"/>
      <w:r w:rsidRPr="00C44175">
        <w:t>1</w:t>
      </w:r>
      <w:proofErr w:type="gramEnd"/>
      <w:r w:rsidRPr="00C44175">
        <w:t>. In a school with the minimum number of 20 students</w:t>
      </w:r>
      <w:r>
        <w:t>,</w:t>
      </w:r>
      <w:r w:rsidRPr="00C44175">
        <w:t xml:space="preserve"> that means </w:t>
      </w:r>
      <w:r w:rsidR="00A114CE">
        <w:t xml:space="preserve">that while </w:t>
      </w:r>
      <w:r w:rsidRPr="00C44175">
        <w:t xml:space="preserve">no student can influence the mean by more than 5 points, every student </w:t>
      </w:r>
      <w:r w:rsidR="00A114CE">
        <w:t>does have</w:t>
      </w:r>
      <w:r w:rsidRPr="00C44175">
        <w:t xml:space="preserve"> an influence on the mean.</w:t>
      </w:r>
    </w:p>
    <w:p w:rsidR="008C04BF" w:rsidRDefault="008C04BF" w:rsidP="000A7DD9"/>
    <w:p w:rsidR="005F4BFB" w:rsidRDefault="00C44175" w:rsidP="00C44175">
      <w:r>
        <w:t>3.</w:t>
      </w:r>
      <w:r w:rsidR="005F4BFB">
        <w:t xml:space="preserve"> </w:t>
      </w:r>
      <w:r w:rsidR="00F909B5">
        <w:t xml:space="preserve">This year is an opportune time to introduce the change </w:t>
      </w:r>
      <w:r>
        <w:t xml:space="preserve">as the Department </w:t>
      </w:r>
      <w:r w:rsidR="00C145FD">
        <w:t>calculates its first growth percentiles based on two years of</w:t>
      </w:r>
      <w:r>
        <w:t xml:space="preserve"> </w:t>
      </w:r>
      <w:r w:rsidR="00B60614">
        <w:t>n</w:t>
      </w:r>
      <w:r>
        <w:t>ext</w:t>
      </w:r>
      <w:r w:rsidR="00B40F9A">
        <w:t>-</w:t>
      </w:r>
      <w:r w:rsidR="00B60614">
        <w:t>g</w:t>
      </w:r>
      <w:r>
        <w:t xml:space="preserve">eneration </w:t>
      </w:r>
      <w:r w:rsidR="00C145FD">
        <w:t xml:space="preserve">results </w:t>
      </w:r>
      <w:r>
        <w:t xml:space="preserve">and introduces its new </w:t>
      </w:r>
      <w:r w:rsidR="00950E25">
        <w:t xml:space="preserve">school </w:t>
      </w:r>
      <w:r>
        <w:t xml:space="preserve">and </w:t>
      </w:r>
      <w:r w:rsidR="00950E25">
        <w:t xml:space="preserve">district accountability system </w:t>
      </w:r>
      <w:r>
        <w:t xml:space="preserve">under ESSA. </w:t>
      </w:r>
    </w:p>
    <w:p w:rsidR="005F4BFB" w:rsidRDefault="005F4BFB" w:rsidP="00C44175"/>
    <w:p w:rsidR="00C44175" w:rsidRDefault="00C44175" w:rsidP="00C44175">
      <w:r>
        <w:t>In 2018</w:t>
      </w:r>
      <w:r w:rsidR="00B40F9A">
        <w:t>,</w:t>
      </w:r>
      <w:r>
        <w:t xml:space="preserve"> students in grades 4 through 8 will receive the first </w:t>
      </w:r>
      <w:r w:rsidR="0005644E">
        <w:t>SGPs</w:t>
      </w:r>
      <w:r>
        <w:t xml:space="preserve"> based on both baseline and comparison scores from the </w:t>
      </w:r>
      <w:r w:rsidR="0005644E">
        <w:t>n</w:t>
      </w:r>
      <w:r>
        <w:t>ext-</w:t>
      </w:r>
      <w:r w:rsidR="0005644E">
        <w:t>g</w:t>
      </w:r>
      <w:r>
        <w:t xml:space="preserve">eneration tests introduced in 2017. </w:t>
      </w:r>
      <w:r w:rsidR="00B40F9A">
        <w:t>C</w:t>
      </w:r>
      <w:r>
        <w:t xml:space="preserve">hanging the method for aggregating growth </w:t>
      </w:r>
      <w:r w:rsidR="00950E25">
        <w:t xml:space="preserve">in 2018 </w:t>
      </w:r>
      <w:r>
        <w:t xml:space="preserve">will underscore the fact that </w:t>
      </w:r>
      <w:r w:rsidR="00950E25">
        <w:t xml:space="preserve">growth from the legacy and transition years </w:t>
      </w:r>
      <w:proofErr w:type="gramStart"/>
      <w:r w:rsidR="00950E25">
        <w:t>should not be</w:t>
      </w:r>
      <w:r>
        <w:t xml:space="preserve"> directly compared</w:t>
      </w:r>
      <w:proofErr w:type="gramEnd"/>
      <w:r>
        <w:t xml:space="preserve"> to </w:t>
      </w:r>
      <w:r w:rsidR="00063F0E">
        <w:t>n</w:t>
      </w:r>
      <w:r>
        <w:t>ext-</w:t>
      </w:r>
      <w:r w:rsidR="00063F0E">
        <w:t>g</w:t>
      </w:r>
      <w:r>
        <w:t>eneration results</w:t>
      </w:r>
      <w:r w:rsidR="00A41CBF">
        <w:t xml:space="preserve"> </w:t>
      </w:r>
      <w:r>
        <w:t xml:space="preserve">without employing statistical transformations and controls. </w:t>
      </w:r>
    </w:p>
    <w:p w:rsidR="00C44175" w:rsidRDefault="00C44175" w:rsidP="00C44175"/>
    <w:p w:rsidR="00C44175" w:rsidRDefault="00C44175" w:rsidP="00FB3DA3">
      <w:r>
        <w:t>In 2018</w:t>
      </w:r>
      <w:r w:rsidR="00B40F9A">
        <w:t>,</w:t>
      </w:r>
      <w:r>
        <w:t xml:space="preserve"> the Department also plans to </w:t>
      </w:r>
      <w:r w:rsidR="00C145FD">
        <w:t>revise</w:t>
      </w:r>
      <w:r>
        <w:t xml:space="preserve"> its school and district accountability system. The old Progress and Performance Index, based in part upon median growth scores, </w:t>
      </w:r>
      <w:proofErr w:type="gramStart"/>
      <w:r>
        <w:t>will be replaced</w:t>
      </w:r>
      <w:proofErr w:type="gramEnd"/>
      <w:r>
        <w:t xml:space="preserve"> with a new system with new weights for growth and achievement. Mean growth results </w:t>
      </w:r>
      <w:proofErr w:type="gramStart"/>
      <w:r>
        <w:t>can be incorporated</w:t>
      </w:r>
      <w:proofErr w:type="gramEnd"/>
      <w:r>
        <w:t xml:space="preserve"> into the new system in 2018 without a complicated transition.</w:t>
      </w:r>
    </w:p>
    <w:p w:rsidR="00840052" w:rsidRDefault="00840052" w:rsidP="00FB3DA3"/>
    <w:p w:rsidR="00D84316" w:rsidRDefault="00C44175" w:rsidP="00730FD6">
      <w:pPr>
        <w:pStyle w:val="Heading1"/>
      </w:pPr>
      <w:r>
        <w:t>Implication</w:t>
      </w:r>
      <w:r w:rsidR="00D84316">
        <w:t>s of the change</w:t>
      </w:r>
    </w:p>
    <w:p w:rsidR="00D84316" w:rsidRDefault="00D84316" w:rsidP="00C44175">
      <w:pPr>
        <w:rPr>
          <w:b/>
          <w:bCs/>
        </w:rPr>
      </w:pPr>
    </w:p>
    <w:p w:rsidR="00C44175" w:rsidRDefault="00DE1E3E" w:rsidP="00C44175">
      <w:pPr>
        <w:rPr>
          <w:bCs/>
          <w:i/>
        </w:rPr>
      </w:pPr>
      <w:r w:rsidRPr="00950E25">
        <w:rPr>
          <w:bCs/>
          <w:i/>
        </w:rPr>
        <w:t>Implication</w:t>
      </w:r>
      <w:r w:rsidR="00C44175" w:rsidRPr="00950E25">
        <w:rPr>
          <w:bCs/>
          <w:i/>
        </w:rPr>
        <w:t xml:space="preserve"> </w:t>
      </w:r>
      <w:r w:rsidR="00C145FD" w:rsidRPr="00950E25">
        <w:rPr>
          <w:bCs/>
          <w:i/>
        </w:rPr>
        <w:t>#</w:t>
      </w:r>
      <w:r w:rsidR="00C44175" w:rsidRPr="00950E25">
        <w:rPr>
          <w:bCs/>
          <w:i/>
        </w:rPr>
        <w:t xml:space="preserve">1: </w:t>
      </w:r>
      <w:r w:rsidR="00616D61">
        <w:rPr>
          <w:bCs/>
          <w:i/>
        </w:rPr>
        <w:t xml:space="preserve">Means will be less volatile than medians </w:t>
      </w:r>
      <w:r w:rsidR="00636B4A">
        <w:rPr>
          <w:bCs/>
          <w:i/>
        </w:rPr>
        <w:t>from year-to-year;</w:t>
      </w:r>
      <w:r w:rsidR="00616D61">
        <w:rPr>
          <w:bCs/>
          <w:i/>
        </w:rPr>
        <w:t xml:space="preserve"> </w:t>
      </w:r>
      <w:r w:rsidR="00636B4A">
        <w:rPr>
          <w:bCs/>
          <w:i/>
        </w:rPr>
        <w:t>groups</w:t>
      </w:r>
      <w:r w:rsidR="00D27B68">
        <w:rPr>
          <w:bCs/>
          <w:i/>
        </w:rPr>
        <w:t xml:space="preserve"> </w:t>
      </w:r>
      <w:r w:rsidR="00616D61">
        <w:rPr>
          <w:bCs/>
          <w:i/>
        </w:rPr>
        <w:t xml:space="preserve">will be less likely to fluctuate in and out of </w:t>
      </w:r>
      <w:r w:rsidR="00C44175" w:rsidRPr="00950E25">
        <w:rPr>
          <w:bCs/>
          <w:i/>
        </w:rPr>
        <w:t>the moderate growth range</w:t>
      </w:r>
    </w:p>
    <w:p w:rsidR="009C271B" w:rsidRDefault="009C271B" w:rsidP="00C44175">
      <w:pPr>
        <w:rPr>
          <w:bCs/>
          <w:i/>
        </w:rPr>
      </w:pPr>
    </w:p>
    <w:p w:rsidR="009C271B" w:rsidRDefault="009C271B" w:rsidP="003F6DC5">
      <w:pPr>
        <w:rPr>
          <w:bCs/>
        </w:rPr>
      </w:pPr>
      <w:r>
        <w:rPr>
          <w:bCs/>
        </w:rPr>
        <w:t xml:space="preserve">School-level mean SGPs vary less from year to year than the medians summarizing the same groups. </w:t>
      </w:r>
      <w:proofErr w:type="gramStart"/>
      <w:r>
        <w:rPr>
          <w:bCs/>
        </w:rPr>
        <w:t xml:space="preserve">Comparing 2013 school-level math growth to </w:t>
      </w:r>
      <w:r w:rsidR="005742EB">
        <w:rPr>
          <w:bCs/>
        </w:rPr>
        <w:t xml:space="preserve">2014, </w:t>
      </w:r>
      <w:r>
        <w:rPr>
          <w:bCs/>
        </w:rPr>
        <w:t xml:space="preserve">there were 1,583 schools that received 20 </w:t>
      </w:r>
      <w:r w:rsidR="00B81E65">
        <w:rPr>
          <w:bCs/>
        </w:rPr>
        <w:t>or more SGPs in both</w:t>
      </w:r>
      <w:r w:rsidR="00636B4A">
        <w:rPr>
          <w:bCs/>
        </w:rPr>
        <w:t xml:space="preserve"> years</w:t>
      </w:r>
      <w:r w:rsidR="003F6DC5">
        <w:rPr>
          <w:bCs/>
        </w:rPr>
        <w:t>.</w:t>
      </w:r>
      <w:proofErr w:type="gramEnd"/>
      <w:r w:rsidR="003F6DC5">
        <w:rPr>
          <w:bCs/>
        </w:rPr>
        <w:t xml:space="preserve"> The standard deviation of school means was 7.6 points and the standard deviation of school medians was 10.9 points</w:t>
      </w:r>
      <w:r w:rsidR="008F2A06">
        <w:rPr>
          <w:bCs/>
        </w:rPr>
        <w:t xml:space="preserve"> using the same student results</w:t>
      </w:r>
      <w:r w:rsidR="003F6DC5">
        <w:rPr>
          <w:bCs/>
        </w:rPr>
        <w:t>. Standard deviations m</w:t>
      </w:r>
      <w:r w:rsidR="008F2A06">
        <w:rPr>
          <w:bCs/>
        </w:rPr>
        <w:t xml:space="preserve">easure the </w:t>
      </w:r>
      <w:r w:rsidR="008F2A06">
        <w:rPr>
          <w:bCs/>
        </w:rPr>
        <w:lastRenderedPageBreak/>
        <w:t>dispersion around an average</w:t>
      </w:r>
      <w:r w:rsidR="005742EB">
        <w:rPr>
          <w:bCs/>
        </w:rPr>
        <w:t>,</w:t>
      </w:r>
      <w:r w:rsidR="008F2A06">
        <w:rPr>
          <w:bCs/>
        </w:rPr>
        <w:t xml:space="preserve"> so it</w:t>
      </w:r>
      <w:r w:rsidR="005742EB">
        <w:rPr>
          <w:bCs/>
        </w:rPr>
        <w:t xml:space="preserve"> i</w:t>
      </w:r>
      <w:r w:rsidR="008F2A06">
        <w:rPr>
          <w:bCs/>
        </w:rPr>
        <w:t>s reasonable to interpret the smaller standard deviations as evidence of less volatility in means than medians.</w:t>
      </w:r>
    </w:p>
    <w:p w:rsidR="008F2A06" w:rsidRDefault="008F2A06" w:rsidP="003F6DC5">
      <w:pPr>
        <w:rPr>
          <w:bCs/>
        </w:rPr>
      </w:pPr>
    </w:p>
    <w:p w:rsidR="008F2A06" w:rsidRPr="009C271B" w:rsidRDefault="008F2A06" w:rsidP="003F6DC5">
      <w:pPr>
        <w:rPr>
          <w:bCs/>
        </w:rPr>
      </w:pPr>
      <w:r>
        <w:rPr>
          <w:bCs/>
        </w:rPr>
        <w:t>In another analysis, the Department compared means to medians using 2017 4</w:t>
      </w:r>
      <w:r w:rsidRPr="008F2A06">
        <w:rPr>
          <w:bCs/>
          <w:vertAlign w:val="superscript"/>
        </w:rPr>
        <w:t>th</w:t>
      </w:r>
      <w:r>
        <w:rPr>
          <w:bCs/>
        </w:rPr>
        <w:t xml:space="preserve"> grade math SGPs. </w:t>
      </w:r>
    </w:p>
    <w:p w:rsidR="00C44175" w:rsidRDefault="00C44175">
      <w:pPr>
        <w:rPr>
          <w:b/>
          <w:bCs/>
        </w:rPr>
      </w:pPr>
    </w:p>
    <w:p w:rsidR="00C44175" w:rsidRDefault="005F4BFB" w:rsidP="00C44175">
      <w:pPr>
        <w:rPr>
          <w:bCs/>
        </w:rPr>
      </w:pPr>
      <w:r>
        <w:rPr>
          <w:bCs/>
        </w:rPr>
        <w:t xml:space="preserve">One of the notable effects </w:t>
      </w:r>
      <w:r w:rsidR="000B6EE5">
        <w:rPr>
          <w:bCs/>
        </w:rPr>
        <w:t>of</w:t>
      </w:r>
      <w:r w:rsidR="00C44175" w:rsidRPr="00C44175">
        <w:rPr>
          <w:bCs/>
        </w:rPr>
        <w:t xml:space="preserve"> aggregating with means instead of medians </w:t>
      </w:r>
      <w:r w:rsidR="008F2A06">
        <w:rPr>
          <w:bCs/>
        </w:rPr>
        <w:t>in this and other analys</w:t>
      </w:r>
      <w:r w:rsidR="005742EB">
        <w:rPr>
          <w:bCs/>
        </w:rPr>
        <w:t>e</w:t>
      </w:r>
      <w:r w:rsidR="008F2A06">
        <w:rPr>
          <w:bCs/>
        </w:rPr>
        <w:t>s is</w:t>
      </w:r>
      <w:r w:rsidR="00C44175" w:rsidRPr="00C44175">
        <w:rPr>
          <w:bCs/>
        </w:rPr>
        <w:t xml:space="preserve"> that school (or group) averages tend to be closer </w:t>
      </w:r>
      <w:r w:rsidR="00CF4FA5">
        <w:rPr>
          <w:bCs/>
        </w:rPr>
        <w:t xml:space="preserve">to </w:t>
      </w:r>
      <w:r w:rsidR="00C44175" w:rsidRPr="00C44175">
        <w:rPr>
          <w:bCs/>
        </w:rPr>
        <w:t>50</w:t>
      </w:r>
      <w:r w:rsidR="00CF4FA5">
        <w:rPr>
          <w:bCs/>
        </w:rPr>
        <w:t>,</w:t>
      </w:r>
      <w:r w:rsidR="00C44175" w:rsidRPr="00C44175">
        <w:rPr>
          <w:bCs/>
        </w:rPr>
        <w:t xml:space="preserve"> whereas medians are more </w:t>
      </w:r>
      <w:r w:rsidR="001A02F4">
        <w:rPr>
          <w:bCs/>
        </w:rPr>
        <w:t>widely distributed</w:t>
      </w:r>
      <w:r w:rsidR="00C44175" w:rsidRPr="00C44175">
        <w:rPr>
          <w:bCs/>
        </w:rPr>
        <w:t xml:space="preserve">. </w:t>
      </w:r>
      <w:r w:rsidR="001A02F4">
        <w:rPr>
          <w:bCs/>
        </w:rPr>
        <w:t>In recent years</w:t>
      </w:r>
      <w:r w:rsidR="00950E25">
        <w:rPr>
          <w:bCs/>
        </w:rPr>
        <w:t>,</w:t>
      </w:r>
      <w:r w:rsidR="00C44175" w:rsidRPr="00C44175">
        <w:rPr>
          <w:bCs/>
        </w:rPr>
        <w:t xml:space="preserve"> roughly 20% of schools hav</w:t>
      </w:r>
      <w:r w:rsidR="00A51CF0">
        <w:rPr>
          <w:bCs/>
        </w:rPr>
        <w:t>e</w:t>
      </w:r>
      <w:r w:rsidR="00C44175" w:rsidRPr="00C44175">
        <w:rPr>
          <w:bCs/>
        </w:rPr>
        <w:t xml:space="preserve"> mean SGPs above 60 or below 40</w:t>
      </w:r>
      <w:r w:rsidR="00A114CE">
        <w:rPr>
          <w:bCs/>
        </w:rPr>
        <w:t xml:space="preserve">, </w:t>
      </w:r>
      <w:r w:rsidR="00C44175" w:rsidRPr="00C44175">
        <w:rPr>
          <w:bCs/>
        </w:rPr>
        <w:t>compared to 25% with median</w:t>
      </w:r>
      <w:r w:rsidR="00A114CE">
        <w:rPr>
          <w:bCs/>
        </w:rPr>
        <w:t xml:space="preserve"> SGPs</w:t>
      </w:r>
      <w:r w:rsidR="00C44175" w:rsidRPr="00C44175">
        <w:rPr>
          <w:bCs/>
        </w:rPr>
        <w:t xml:space="preserve"> above 60 or below 40. </w:t>
      </w:r>
    </w:p>
    <w:p w:rsidR="000B2B9C" w:rsidRPr="00C44175" w:rsidRDefault="000B2B9C" w:rsidP="00C44175">
      <w:pPr>
        <w:rPr>
          <w:bCs/>
        </w:rPr>
      </w:pPr>
    </w:p>
    <w:p w:rsidR="000B2B9C" w:rsidRDefault="005F4BFB" w:rsidP="00C44175">
      <w:pPr>
        <w:rPr>
          <w:bCs/>
        </w:rPr>
      </w:pPr>
      <w:r>
        <w:rPr>
          <w:bCs/>
        </w:rPr>
        <w:t xml:space="preserve">Figure 1 compares school SGP distributions </w:t>
      </w:r>
      <w:r w:rsidR="000B2B9C">
        <w:rPr>
          <w:bCs/>
        </w:rPr>
        <w:t>in two ways: on the left</w:t>
      </w:r>
      <w:r>
        <w:rPr>
          <w:bCs/>
        </w:rPr>
        <w:t xml:space="preserve"> using </w:t>
      </w:r>
      <w:r w:rsidR="000B2B9C">
        <w:rPr>
          <w:bCs/>
        </w:rPr>
        <w:t>medians and on</w:t>
      </w:r>
      <w:r>
        <w:rPr>
          <w:bCs/>
        </w:rPr>
        <w:t xml:space="preserve"> the </w:t>
      </w:r>
      <w:r w:rsidR="000B2B9C">
        <w:rPr>
          <w:bCs/>
        </w:rPr>
        <w:t xml:space="preserve">right </w:t>
      </w:r>
      <w:r>
        <w:rPr>
          <w:bCs/>
        </w:rPr>
        <w:t>using mean</w:t>
      </w:r>
      <w:r w:rsidR="000B2B9C">
        <w:rPr>
          <w:bCs/>
        </w:rPr>
        <w:t>s</w:t>
      </w:r>
      <w:r>
        <w:rPr>
          <w:bCs/>
        </w:rPr>
        <w:t xml:space="preserve">. </w:t>
      </w:r>
      <w:r w:rsidR="00C44175" w:rsidRPr="00C44175">
        <w:rPr>
          <w:bCs/>
        </w:rPr>
        <w:t>The standard deviation for school means is almost four points smaller than the standard deviation for school medians.</w:t>
      </w:r>
    </w:p>
    <w:p w:rsidR="000B2B9C" w:rsidRDefault="000B2B9C" w:rsidP="00C44175">
      <w:pPr>
        <w:rPr>
          <w:bCs/>
        </w:rPr>
      </w:pPr>
    </w:p>
    <w:p w:rsidR="000B2B9C" w:rsidRDefault="000B2B9C" w:rsidP="000B2B9C">
      <w:pPr>
        <w:rPr>
          <w:bCs/>
        </w:rPr>
      </w:pPr>
    </w:p>
    <w:p w:rsidR="008A6F7D" w:rsidRPr="001D6EF8" w:rsidRDefault="000B2B9C" w:rsidP="00C44175">
      <w:pPr>
        <w:rPr>
          <w:b/>
        </w:rPr>
      </w:pPr>
      <w:r w:rsidRPr="001D6EF8">
        <w:rPr>
          <w:b/>
          <w:bCs/>
        </w:rPr>
        <w:t xml:space="preserve">Figure 1: </w:t>
      </w:r>
      <w:r w:rsidR="008F2A06">
        <w:rPr>
          <w:b/>
          <w:bCs/>
        </w:rPr>
        <w:t xml:space="preserve">2017 Grade 4 </w:t>
      </w:r>
      <w:r w:rsidRPr="001D6EF8">
        <w:rPr>
          <w:b/>
          <w:bCs/>
        </w:rPr>
        <w:t>School median and mean SGP distributions with standard deviations</w:t>
      </w:r>
    </w:p>
    <w:p w:rsidR="00BF02C0" w:rsidRPr="00BF02C0" w:rsidRDefault="000B2B9C" w:rsidP="00730FD6">
      <w:r>
        <w:rPr>
          <w:noProof/>
          <w:lang w:eastAsia="zh-CN"/>
        </w:rPr>
        <w:drawing>
          <wp:inline distT="0" distB="0" distL="0" distR="0" wp14:anchorId="2662E92C" wp14:editId="53CA9AC5">
            <wp:extent cx="6400800" cy="2943860"/>
            <wp:effectExtent l="0" t="0" r="0" b="8890"/>
            <wp:docPr id="3" name="Picture 3" descr="Graphs showing 2017 Grade 4 School median and mean SGP distributions with standard deviations.&#10;&#10;Chart 1:&#10;msgp median ranges from approximately 5-95 with a &#10;frequency of approximately 2 -78.     &#10;Mean=50.54, Standard Deviation+ = 16.289. N=903&#10;&#10;Chart 2:&#10;msgp mean ranges from approximately 15-88 with a frequency of approximately 2-84.&#10;Mean= 50.18, Standard Deviation=12.33, N=903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4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C0" w:rsidRDefault="00BF02C0" w:rsidP="00730FD6">
      <w:r w:rsidRPr="00BF02C0">
        <w:t xml:space="preserve">One way to think about this difference is to recall that 68% of the scores will be within a standard deviation of the mean. </w:t>
      </w:r>
      <w:proofErr w:type="gramStart"/>
      <w:r w:rsidRPr="00BF02C0">
        <w:t>So</w:t>
      </w:r>
      <w:proofErr w:type="gramEnd"/>
      <w:r w:rsidR="001A6EE1">
        <w:t>,</w:t>
      </w:r>
      <w:r w:rsidRPr="00BF02C0">
        <w:t xml:space="preserve"> for SGPs, 68% of the school means will be between 37.9 and </w:t>
      </w:r>
      <w:r w:rsidR="00950E25">
        <w:t>6</w:t>
      </w:r>
      <w:r w:rsidR="00950E25" w:rsidRPr="00BF02C0">
        <w:t>2</w:t>
      </w:r>
      <w:r w:rsidRPr="00BF02C0">
        <w:t xml:space="preserve">.5 (50.18 +/-12.33 points) whereas 68% of the medians </w:t>
      </w:r>
      <w:r w:rsidR="00093D7F">
        <w:t>will be</w:t>
      </w:r>
      <w:r w:rsidR="00093D7F" w:rsidRPr="00BF02C0">
        <w:t xml:space="preserve"> </w:t>
      </w:r>
      <w:r w:rsidRPr="00BF02C0">
        <w:t>between 34.</w:t>
      </w:r>
      <w:r w:rsidR="000D117E">
        <w:t>3</w:t>
      </w:r>
      <w:r w:rsidRPr="00BF02C0">
        <w:t xml:space="preserve"> and 66.8 (50.54</w:t>
      </w:r>
      <w:r w:rsidR="001A6EE1">
        <w:t xml:space="preserve"> </w:t>
      </w:r>
      <w:r w:rsidRPr="00BF02C0">
        <w:t>+/-</w:t>
      </w:r>
      <w:r w:rsidR="001A6EE1">
        <w:t xml:space="preserve"> </w:t>
      </w:r>
      <w:r w:rsidRPr="00BF02C0">
        <w:t>16.28 points).</w:t>
      </w:r>
    </w:p>
    <w:p w:rsidR="00BF02C0" w:rsidRPr="00BF02C0" w:rsidRDefault="00BF02C0" w:rsidP="00730FD6"/>
    <w:p w:rsidR="000B2B9C" w:rsidRDefault="000B2B9C" w:rsidP="00730FD6"/>
    <w:p w:rsidR="00730FD6" w:rsidRDefault="00730FD6">
      <w:pPr>
        <w:rPr>
          <w:i/>
        </w:rPr>
      </w:pPr>
      <w:r>
        <w:rPr>
          <w:i/>
        </w:rPr>
        <w:br w:type="page"/>
      </w:r>
    </w:p>
    <w:p w:rsidR="00BF02C0" w:rsidRPr="00730FD6" w:rsidRDefault="00BF02C0" w:rsidP="00730FD6">
      <w:pPr>
        <w:rPr>
          <w:b/>
          <w:i/>
        </w:rPr>
      </w:pPr>
      <w:r w:rsidRPr="00730FD6">
        <w:rPr>
          <w:i/>
        </w:rPr>
        <w:lastRenderedPageBreak/>
        <w:t xml:space="preserve">Implication </w:t>
      </w:r>
      <w:r w:rsidR="00C145FD" w:rsidRPr="00730FD6">
        <w:rPr>
          <w:i/>
        </w:rPr>
        <w:t>#</w:t>
      </w:r>
      <w:r w:rsidRPr="00730FD6">
        <w:rPr>
          <w:i/>
        </w:rPr>
        <w:t xml:space="preserve">2: </w:t>
      </w:r>
      <w:r w:rsidR="001A02F4" w:rsidRPr="00730FD6">
        <w:rPr>
          <w:i/>
        </w:rPr>
        <w:t>Schools with higher medians will have higher means and schools with lower medians will have lower means</w:t>
      </w:r>
    </w:p>
    <w:p w:rsidR="005742EB" w:rsidRDefault="005742EB" w:rsidP="00730FD6"/>
    <w:p w:rsidR="00BF02C0" w:rsidRDefault="00BF02C0" w:rsidP="00730FD6">
      <w:r w:rsidRPr="00BF02C0">
        <w:t xml:space="preserve">Overall, </w:t>
      </w:r>
      <w:r w:rsidR="00932DD3">
        <w:t xml:space="preserve">for MCAS SGPs, </w:t>
      </w:r>
      <w:r w:rsidRPr="00BF02C0">
        <w:t>school means and medians are very highly correlated</w:t>
      </w:r>
      <w:r w:rsidR="009A3AD4">
        <w:t>,</w:t>
      </w:r>
      <w:r w:rsidRPr="00BF02C0">
        <w:t xml:space="preserve"> with an R-</w:t>
      </w:r>
      <w:r w:rsidR="000B2B9C">
        <w:t>s</w:t>
      </w:r>
      <w:r w:rsidRPr="00BF02C0">
        <w:t>quared</w:t>
      </w:r>
      <w:r w:rsidR="009A3AD4">
        <w:t xml:space="preserve"> value</w:t>
      </w:r>
      <w:r w:rsidRPr="00BF02C0">
        <w:t xml:space="preserve"> of 97. This means</w:t>
      </w:r>
      <w:r w:rsidR="009A3AD4">
        <w:t xml:space="preserve"> that,</w:t>
      </w:r>
      <w:r w:rsidRPr="00BF02C0">
        <w:t xml:space="preserve"> if you graph them together</w:t>
      </w:r>
      <w:r w:rsidR="009A3AD4">
        <w:t>,</w:t>
      </w:r>
      <w:r w:rsidRPr="00BF02C0">
        <w:t xml:space="preserve"> 97% of the variation in school medians is directly proportional to the variation in school means.</w:t>
      </w:r>
      <w:r>
        <w:t xml:space="preserve"> </w:t>
      </w:r>
    </w:p>
    <w:p w:rsidR="00BF02C0" w:rsidRPr="00BF02C0" w:rsidRDefault="00BF02C0" w:rsidP="00730FD6">
      <w:pPr>
        <w:rPr>
          <w:b/>
        </w:rPr>
      </w:pPr>
    </w:p>
    <w:p w:rsidR="00BF02C0" w:rsidRPr="00730FD6" w:rsidRDefault="00BF02C0" w:rsidP="00730FD6">
      <w:pPr>
        <w:rPr>
          <w:b/>
        </w:rPr>
      </w:pPr>
      <w:r w:rsidRPr="00730FD6">
        <w:rPr>
          <w:b/>
        </w:rPr>
        <w:t>Figure 2: School means graphed against school medians</w:t>
      </w:r>
    </w:p>
    <w:p w:rsidR="00BF02C0" w:rsidRDefault="00BF02C0" w:rsidP="00730FD6">
      <w:pPr>
        <w:rPr>
          <w:b/>
        </w:rPr>
      </w:pPr>
    </w:p>
    <w:p w:rsidR="00BF02C0" w:rsidRDefault="00BF02C0" w:rsidP="00730FD6">
      <w:r>
        <w:rPr>
          <w:noProof/>
          <w:lang w:eastAsia="zh-CN"/>
        </w:rPr>
        <w:drawing>
          <wp:inline distT="0" distB="0" distL="0" distR="0" wp14:anchorId="50C29913" wp14:editId="54774AE3">
            <wp:extent cx="4791075" cy="3838575"/>
            <wp:effectExtent l="0" t="0" r="9525" b="9525"/>
            <wp:docPr id="7" name="Picture 7" descr="School means graphed against school medians:&#10;&#10;R squared Linear = 0.966&#10;y=12.59+0.74*x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C0" w:rsidRPr="00BF02C0" w:rsidRDefault="00BF02C0" w:rsidP="00730FD6">
      <w:pPr>
        <w:rPr>
          <w:b/>
        </w:rPr>
      </w:pPr>
    </w:p>
    <w:p w:rsidR="00E4614F" w:rsidRDefault="00BF02C0" w:rsidP="00730FD6">
      <w:pPr>
        <w:rPr>
          <w:b/>
        </w:rPr>
      </w:pPr>
      <w:r w:rsidRPr="00BF02C0">
        <w:t>The most extreme differences between medians and means occur when medians are either exceptionally high or exceptionally low</w:t>
      </w:r>
      <w:r w:rsidR="002E3544">
        <w:t>.</w:t>
      </w:r>
      <w:r w:rsidRPr="00BF02C0">
        <w:t xml:space="preserve"> </w:t>
      </w:r>
      <w:r w:rsidR="002E3544">
        <w:t>(M</w:t>
      </w:r>
      <w:r w:rsidRPr="00BF02C0">
        <w:t xml:space="preserve">ore </w:t>
      </w:r>
      <w:r w:rsidR="00602CAB">
        <w:t xml:space="preserve">information </w:t>
      </w:r>
      <w:proofErr w:type="gramStart"/>
      <w:r w:rsidR="00602CAB">
        <w:t>is provided</w:t>
      </w:r>
      <w:proofErr w:type="gramEnd"/>
      <w:r w:rsidR="00602CAB">
        <w:t xml:space="preserve"> above </w:t>
      </w:r>
      <w:r w:rsidRPr="00BF02C0">
        <w:t>about the tendency for means to be closer to 50</w:t>
      </w:r>
      <w:r w:rsidR="002E3544">
        <w:t>.</w:t>
      </w:r>
      <w:r w:rsidRPr="00BF02C0">
        <w:t xml:space="preserve">) Of the 903 schools serving 20 or more </w:t>
      </w:r>
      <w:proofErr w:type="gramStart"/>
      <w:r w:rsidRPr="00BF02C0">
        <w:t>4</w:t>
      </w:r>
      <w:r w:rsidRPr="00BF02C0">
        <w:rPr>
          <w:vertAlign w:val="superscript"/>
        </w:rPr>
        <w:t>th</w:t>
      </w:r>
      <w:proofErr w:type="gramEnd"/>
      <w:r w:rsidRPr="00BF02C0">
        <w:t xml:space="preserve"> grade students in 2017, 21 (2.3%</w:t>
      </w:r>
      <w:r w:rsidR="00E4614F">
        <w:t>)</w:t>
      </w:r>
      <w:r w:rsidRPr="00BF02C0">
        <w:t xml:space="preserve"> had a</w:t>
      </w:r>
      <w:r w:rsidR="009A3AD4">
        <w:t xml:space="preserve"> point difference of</w:t>
      </w:r>
      <w:r w:rsidRPr="00BF02C0">
        <w:t xml:space="preserve"> 10 or more between </w:t>
      </w:r>
      <w:r w:rsidR="00E4614F">
        <w:t xml:space="preserve">school </w:t>
      </w:r>
      <w:r w:rsidRPr="00BF02C0">
        <w:t xml:space="preserve">means and medians. Figure </w:t>
      </w:r>
      <w:proofErr w:type="gramStart"/>
      <w:r w:rsidRPr="00BF02C0">
        <w:t>3</w:t>
      </w:r>
      <w:proofErr w:type="gramEnd"/>
      <w:r w:rsidRPr="00BF02C0">
        <w:t xml:space="preserve"> shows that 31% of school means and school medians were within two points of each other</w:t>
      </w:r>
      <w:r w:rsidR="002E3544">
        <w:t>,</w:t>
      </w:r>
      <w:r w:rsidRPr="00BF02C0">
        <w:t xml:space="preserve"> and 57% were within four points. These differences mean </w:t>
      </w:r>
      <w:r w:rsidR="009337A2">
        <w:t xml:space="preserve">that </w:t>
      </w:r>
      <w:r w:rsidRPr="00BF02C0">
        <w:t xml:space="preserve">some schools would be identified as having high growth using medians but moderate growth using means, or vice versa. There are no cases in 2017 where a school </w:t>
      </w:r>
      <w:proofErr w:type="gramStart"/>
      <w:r w:rsidRPr="00BF02C0">
        <w:t>would have</w:t>
      </w:r>
      <w:r w:rsidR="005742EB">
        <w:t xml:space="preserve"> b</w:t>
      </w:r>
      <w:r w:rsidRPr="00BF02C0">
        <w:t>een identified</w:t>
      </w:r>
      <w:proofErr w:type="gramEnd"/>
      <w:r w:rsidRPr="00BF02C0">
        <w:t xml:space="preserve"> </w:t>
      </w:r>
      <w:r w:rsidR="00A02767">
        <w:t>as</w:t>
      </w:r>
      <w:r w:rsidR="00A02767" w:rsidRPr="00BF02C0">
        <w:t xml:space="preserve"> </w:t>
      </w:r>
      <w:r w:rsidRPr="00BF02C0">
        <w:t>high growth using one aggregation and low growth using the other. (</w:t>
      </w:r>
      <w:proofErr w:type="gramStart"/>
      <w:r w:rsidRPr="00BF02C0">
        <w:t>Moderate growth is defined by the Department as ranging from 40</w:t>
      </w:r>
      <w:r w:rsidR="009A3AD4">
        <w:t xml:space="preserve"> to </w:t>
      </w:r>
      <w:r w:rsidRPr="00BF02C0">
        <w:t>59.5</w:t>
      </w:r>
      <w:proofErr w:type="gramEnd"/>
      <w:r w:rsidRPr="00BF02C0">
        <w:t>.)</w:t>
      </w:r>
    </w:p>
    <w:p w:rsidR="00E4614F" w:rsidRDefault="00E4614F" w:rsidP="00730FD6">
      <w:pPr>
        <w:rPr>
          <w:b/>
        </w:rPr>
      </w:pPr>
    </w:p>
    <w:p w:rsidR="00730FD6" w:rsidRDefault="00730FD6" w:rsidP="00730FD6">
      <w:pPr>
        <w:rPr>
          <w:b/>
        </w:rPr>
      </w:pPr>
      <w:r>
        <w:rPr>
          <w:b/>
        </w:rPr>
        <w:br w:type="page"/>
      </w:r>
    </w:p>
    <w:p w:rsidR="00BF02C0" w:rsidRPr="00730FD6" w:rsidRDefault="00BF02C0" w:rsidP="00730FD6">
      <w:pPr>
        <w:rPr>
          <w:b/>
        </w:rPr>
      </w:pPr>
      <w:r w:rsidRPr="00730FD6">
        <w:rPr>
          <w:b/>
        </w:rPr>
        <w:lastRenderedPageBreak/>
        <w:t xml:space="preserve">Figure 3: Differences between </w:t>
      </w:r>
      <w:r w:rsidR="00F14544" w:rsidRPr="00730FD6">
        <w:rPr>
          <w:b/>
        </w:rPr>
        <w:t xml:space="preserve">school medians </w:t>
      </w:r>
      <w:r w:rsidRPr="00730FD6">
        <w:rPr>
          <w:b/>
        </w:rPr>
        <w:t xml:space="preserve">and </w:t>
      </w:r>
      <w:r w:rsidR="00F14544" w:rsidRPr="00730FD6">
        <w:rPr>
          <w:b/>
        </w:rPr>
        <w:t>school means</w:t>
      </w:r>
      <w:r w:rsidR="000D117E" w:rsidRPr="00730FD6">
        <w:rPr>
          <w:b/>
        </w:rPr>
        <w:t xml:space="preserve"> among grade 4 schools in 2017</w:t>
      </w:r>
    </w:p>
    <w:p w:rsidR="00BF02C0" w:rsidRDefault="00BF02C0" w:rsidP="00730FD6"/>
    <w:p w:rsidR="00BF02C0" w:rsidRDefault="00BF02C0" w:rsidP="00730FD6">
      <w:r>
        <w:rPr>
          <w:noProof/>
          <w:lang w:eastAsia="zh-CN"/>
        </w:rPr>
        <w:drawing>
          <wp:inline distT="0" distB="0" distL="0" distR="0" wp14:anchorId="4191973D" wp14:editId="0963DED9">
            <wp:extent cx="6529958" cy="2800350"/>
            <wp:effectExtent l="0" t="0" r="4445" b="0"/>
            <wp:docPr id="10" name="Picture 10" descr="Bar graph: Differences between school medians and school means among grade 4 schools in 2017.&#10;&#10;Median-minus-mean approximatete range: -14-17. Frequency approximate range: 1-90.&#10;Mean = .36, Standard Deviation = 4.758, N=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849" cy="280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C0" w:rsidRDefault="00BF02C0" w:rsidP="00BF02C0">
      <w:pPr>
        <w:pStyle w:val="Heading6"/>
      </w:pPr>
    </w:p>
    <w:p w:rsidR="00BF02C0" w:rsidRPr="00730FD6" w:rsidRDefault="00BF02C0" w:rsidP="00730FD6">
      <w:pPr>
        <w:rPr>
          <w:b/>
          <w:i/>
        </w:rPr>
      </w:pPr>
      <w:r w:rsidRPr="00730FD6">
        <w:rPr>
          <w:i/>
        </w:rPr>
        <w:t xml:space="preserve">Implication </w:t>
      </w:r>
      <w:r w:rsidR="00DE1E3E" w:rsidRPr="00730FD6">
        <w:rPr>
          <w:i/>
        </w:rPr>
        <w:t>#</w:t>
      </w:r>
      <w:r w:rsidRPr="00730FD6">
        <w:rPr>
          <w:i/>
        </w:rPr>
        <w:t xml:space="preserve">3: </w:t>
      </w:r>
      <w:r w:rsidR="009337A2" w:rsidRPr="00730FD6">
        <w:rPr>
          <w:i/>
        </w:rPr>
        <w:t>S</w:t>
      </w:r>
      <w:r w:rsidR="00950E25" w:rsidRPr="00730FD6">
        <w:rPr>
          <w:i/>
        </w:rPr>
        <w:t>chools and classrooms</w:t>
      </w:r>
      <w:r w:rsidR="009337A2" w:rsidRPr="00730FD6">
        <w:rPr>
          <w:i/>
        </w:rPr>
        <w:t xml:space="preserve"> with very high or very low </w:t>
      </w:r>
      <w:r w:rsidR="00624050" w:rsidRPr="00730FD6">
        <w:rPr>
          <w:i/>
        </w:rPr>
        <w:t xml:space="preserve">median </w:t>
      </w:r>
      <w:r w:rsidR="009337A2" w:rsidRPr="00730FD6">
        <w:rPr>
          <w:i/>
        </w:rPr>
        <w:t>growth</w:t>
      </w:r>
      <w:r w:rsidR="00950E25" w:rsidRPr="00730FD6">
        <w:rPr>
          <w:i/>
        </w:rPr>
        <w:t xml:space="preserve"> will </w:t>
      </w:r>
      <w:r w:rsidR="00624050" w:rsidRPr="00730FD6">
        <w:rPr>
          <w:i/>
        </w:rPr>
        <w:t xml:space="preserve">have more moderate mean growth if they have students </w:t>
      </w:r>
      <w:r w:rsidR="00950E25" w:rsidRPr="00730FD6">
        <w:rPr>
          <w:i/>
        </w:rPr>
        <w:t>whose growth is at the other extreme</w:t>
      </w:r>
    </w:p>
    <w:p w:rsidR="00950E25" w:rsidRDefault="00950E25" w:rsidP="00C665FF"/>
    <w:p w:rsidR="00950E25" w:rsidRDefault="00950E25" w:rsidP="00C665FF">
      <w:r>
        <w:t xml:space="preserve">Historically, schools and classrooms with extremely high or low </w:t>
      </w:r>
      <w:r w:rsidR="00624050">
        <w:t>medians</w:t>
      </w:r>
      <w:r>
        <w:t xml:space="preserve"> have </w:t>
      </w:r>
      <w:r w:rsidR="00624050">
        <w:t xml:space="preserve">also had significantly </w:t>
      </w:r>
      <w:r>
        <w:t xml:space="preserve">more students at the other extreme than one would </w:t>
      </w:r>
      <w:r w:rsidR="00624050">
        <w:t>expect</w:t>
      </w:r>
      <w:r>
        <w:t xml:space="preserve"> under a normal distribution. In other words, teachers or schools with very high classroom growth</w:t>
      </w:r>
      <w:r w:rsidR="000D117E">
        <w:t xml:space="preserve"> tend to</w:t>
      </w:r>
      <w:r>
        <w:t xml:space="preserve"> have an unusually large number of students with very low growth</w:t>
      </w:r>
      <w:r w:rsidR="009337A2">
        <w:t>,</w:t>
      </w:r>
      <w:r>
        <w:t xml:space="preserve"> and vice</w:t>
      </w:r>
      <w:r w:rsidR="009337A2">
        <w:t xml:space="preserve"> </w:t>
      </w:r>
      <w:r>
        <w:t>versa.</w:t>
      </w:r>
    </w:p>
    <w:p w:rsidR="00950E25" w:rsidRDefault="00950E25" w:rsidP="00C665FF"/>
    <w:p w:rsidR="009337A2" w:rsidRDefault="00950E25" w:rsidP="00C665FF">
      <w:r>
        <w:t xml:space="preserve">There are two </w:t>
      </w:r>
      <w:r w:rsidR="009337A2">
        <w:t>scenarios where</w:t>
      </w:r>
      <w:r>
        <w:t xml:space="preserve"> this phenomenon</w:t>
      </w:r>
      <w:r w:rsidR="009337A2">
        <w:t xml:space="preserve"> is most likely to </w:t>
      </w:r>
      <w:proofErr w:type="gramStart"/>
      <w:r w:rsidR="009337A2">
        <w:t>be observed</w:t>
      </w:r>
      <w:proofErr w:type="gramEnd"/>
      <w:r w:rsidR="009337A2">
        <w:t>. Being aware of these scenarios</w:t>
      </w:r>
      <w:r>
        <w:t xml:space="preserve"> may be </w:t>
      </w:r>
      <w:r w:rsidR="009337A2">
        <w:t>helpful</w:t>
      </w:r>
      <w:r>
        <w:t xml:space="preserve"> for those trying to understand and intervene with programs where very high or very low </w:t>
      </w:r>
      <w:r w:rsidRPr="000D117E">
        <w:rPr>
          <w:i/>
        </w:rPr>
        <w:t xml:space="preserve">median </w:t>
      </w:r>
      <w:r>
        <w:t xml:space="preserve">growth </w:t>
      </w:r>
      <w:proofErr w:type="gramStart"/>
      <w:r>
        <w:t>has been moderated</w:t>
      </w:r>
      <w:proofErr w:type="gramEnd"/>
      <w:r>
        <w:t xml:space="preserve"> by the switch to means.</w:t>
      </w:r>
    </w:p>
    <w:p w:rsidR="00950E25" w:rsidRDefault="00950E25" w:rsidP="00C665FF"/>
    <w:p w:rsidR="00950E25" w:rsidRDefault="00950E25" w:rsidP="00C665FF">
      <w:pPr>
        <w:pStyle w:val="ListParagraph"/>
        <w:numPr>
          <w:ilvl w:val="0"/>
          <w:numId w:val="5"/>
        </w:numPr>
      </w:pPr>
      <w:r w:rsidRPr="000D117E">
        <w:rPr>
          <w:i/>
        </w:rPr>
        <w:t xml:space="preserve">Accelerated programs where a small but significant number of students </w:t>
      </w:r>
      <w:proofErr w:type="gramStart"/>
      <w:r w:rsidRPr="000D117E">
        <w:rPr>
          <w:i/>
        </w:rPr>
        <w:t>can’t</w:t>
      </w:r>
      <w:proofErr w:type="gramEnd"/>
      <w:r w:rsidRPr="000D117E">
        <w:rPr>
          <w:i/>
        </w:rPr>
        <w:t xml:space="preserve"> keep pace.</w:t>
      </w:r>
      <w:r w:rsidR="00B71265">
        <w:rPr>
          <w:i/>
        </w:rPr>
        <w:t xml:space="preserve"> </w:t>
      </w:r>
      <w:r w:rsidR="00523635">
        <w:t xml:space="preserve">When SGPs are aggregated using </w:t>
      </w:r>
      <w:r w:rsidR="00B71265">
        <w:t>the</w:t>
      </w:r>
      <w:r>
        <w:t xml:space="preserve"> median, a program’s score is defined by the middle student</w:t>
      </w:r>
      <w:r w:rsidR="00B71265">
        <w:t>.</w:t>
      </w:r>
      <w:r>
        <w:t xml:space="preserve"> </w:t>
      </w:r>
      <w:r w:rsidR="00B71265">
        <w:t>As</w:t>
      </w:r>
      <w:r>
        <w:t xml:space="preserve"> long as half of the class keeps up, growth scores </w:t>
      </w:r>
      <w:proofErr w:type="gramStart"/>
      <w:r>
        <w:t>are not influenced</w:t>
      </w:r>
      <w:proofErr w:type="gramEnd"/>
      <w:r>
        <w:t xml:space="preserve"> by a small handful of students who not only fall behind th</w:t>
      </w:r>
      <w:r w:rsidR="000D117E">
        <w:t xml:space="preserve">e rapidly progressing students </w:t>
      </w:r>
      <w:r>
        <w:t xml:space="preserve">in the class, but </w:t>
      </w:r>
      <w:r w:rsidR="00523635">
        <w:t xml:space="preserve">also </w:t>
      </w:r>
      <w:r>
        <w:t xml:space="preserve">fall behind students across the state who started the year with similar </w:t>
      </w:r>
      <w:r w:rsidR="000D117E">
        <w:t>knowledge, skills and ability</w:t>
      </w:r>
      <w:r>
        <w:t xml:space="preserve">. In rough terms, </w:t>
      </w:r>
      <w:r w:rsidR="00523635">
        <w:t xml:space="preserve">a </w:t>
      </w:r>
      <w:r>
        <w:t>program</w:t>
      </w:r>
      <w:r w:rsidR="00523635">
        <w:t xml:space="preserve"> fits into this category</w:t>
      </w:r>
      <w:r>
        <w:t xml:space="preserve"> </w:t>
      </w:r>
      <w:r w:rsidR="00523635">
        <w:t>if</w:t>
      </w:r>
      <w:r>
        <w:t xml:space="preserve"> 5% of students </w:t>
      </w:r>
      <w:r w:rsidR="00523635">
        <w:t>have SGPs that are</w:t>
      </w:r>
      <w:r>
        <w:t xml:space="preserve"> 50 </w:t>
      </w:r>
      <w:r w:rsidR="00523635">
        <w:t xml:space="preserve">points </w:t>
      </w:r>
      <w:r>
        <w:t xml:space="preserve">or more below </w:t>
      </w:r>
      <w:r w:rsidR="00523635">
        <w:t xml:space="preserve">the </w:t>
      </w:r>
      <w:r>
        <w:t>class median</w:t>
      </w:r>
      <w:r w:rsidR="00523635">
        <w:t xml:space="preserve">. </w:t>
      </w:r>
      <w:r w:rsidR="00624050">
        <w:t>In programs that formerly had very high medians, but now have moderate means</w:t>
      </w:r>
      <w:r w:rsidR="00523635">
        <w:t>, educators</w:t>
      </w:r>
      <w:r>
        <w:t xml:space="preserve"> should consider an approach that benefits the students who are struggling to keep pace with the students who are growing at extremely high rates.</w:t>
      </w:r>
    </w:p>
    <w:p w:rsidR="00950E25" w:rsidRDefault="00950E25" w:rsidP="00C665FF">
      <w:pPr>
        <w:ind w:left="1440"/>
      </w:pPr>
    </w:p>
    <w:p w:rsidR="00550252" w:rsidRDefault="00950E25" w:rsidP="00550252">
      <w:pPr>
        <w:pStyle w:val="ListParagraph"/>
        <w:numPr>
          <w:ilvl w:val="0"/>
          <w:numId w:val="5"/>
        </w:numPr>
      </w:pPr>
      <w:r w:rsidRPr="00C665FF">
        <w:rPr>
          <w:i/>
        </w:rPr>
        <w:t>Programs that are extremely effective for a small proportion of students, but do not engage the majority</w:t>
      </w:r>
      <w:r>
        <w:t>.</w:t>
      </w:r>
      <w:r w:rsidR="00081505">
        <w:t xml:space="preserve"> This scenario (t</w:t>
      </w:r>
      <w:r>
        <w:t>he opposite of</w:t>
      </w:r>
      <w:r w:rsidR="00081505">
        <w:t xml:space="preserve"> the one described above)</w:t>
      </w:r>
      <w:r w:rsidR="002B74F3">
        <w:t xml:space="preserve"> </w:t>
      </w:r>
      <w:r w:rsidR="008B2130">
        <w:t>is also evident in the data, though less common. An analysis of 4</w:t>
      </w:r>
      <w:r w:rsidR="008B2130" w:rsidRPr="008B2130">
        <w:rPr>
          <w:vertAlign w:val="superscript"/>
        </w:rPr>
        <w:t>th</w:t>
      </w:r>
      <w:r w:rsidR="008B2130">
        <w:t xml:space="preserve"> grade students taking the MCAS in 2010 showed 2,012 students attended schools with median growth below the 25</w:t>
      </w:r>
      <w:r w:rsidR="008B2130" w:rsidRPr="008B2130">
        <w:rPr>
          <w:vertAlign w:val="superscript"/>
        </w:rPr>
        <w:t>th</w:t>
      </w:r>
      <w:r w:rsidR="008B2130">
        <w:t xml:space="preserve"> percentile and 152 (7%) had individual growth percentiles higher than 75. The students with the high growth in low growth schools had lower average scaled scores th</w:t>
      </w:r>
      <w:r w:rsidR="00064416">
        <w:t xml:space="preserve">e year before than the other students in the class (3.2 points; p=0.04). This pattern suggests that some of these programs were effective for the small </w:t>
      </w:r>
      <w:r w:rsidR="00064416">
        <w:lastRenderedPageBreak/>
        <w:t>minority of students needing remediation, but did not keep pace with the average needs of the majority of their students</w:t>
      </w:r>
      <w:r w:rsidR="005742EB">
        <w:t>.</w:t>
      </w:r>
    </w:p>
    <w:p w:rsidR="00550252" w:rsidRDefault="00550252" w:rsidP="00550252"/>
    <w:p w:rsidR="00950E25" w:rsidRDefault="00950E25" w:rsidP="00730FD6"/>
    <w:p w:rsidR="00BF02C0" w:rsidRDefault="00950E25" w:rsidP="00730FD6">
      <w:pPr>
        <w:rPr>
          <w:b/>
        </w:rPr>
      </w:pPr>
      <w:r>
        <w:t xml:space="preserve">Figure 4 </w:t>
      </w:r>
      <w:r w:rsidR="00064416">
        <w:t>illustrates the situation described in scenario 1 using 2017 4</w:t>
      </w:r>
      <w:r w:rsidR="00064416" w:rsidRPr="00064416">
        <w:rPr>
          <w:vertAlign w:val="superscript"/>
        </w:rPr>
        <w:t>th</w:t>
      </w:r>
      <w:r w:rsidR="00064416">
        <w:t xml:space="preserve"> grade math results</w:t>
      </w:r>
      <w:r>
        <w:t>. The graphic displays the SGPs of all students in schools where median SGPs were 75 or higher</w:t>
      </w:r>
      <w:r w:rsidR="00314D47">
        <w:t xml:space="preserve">. (Such schools are </w:t>
      </w:r>
      <w:r>
        <w:t>in the top 1% in the state.</w:t>
      </w:r>
      <w:r w:rsidR="00314D47">
        <w:t>)</w:t>
      </w:r>
      <w:r w:rsidR="00064416">
        <w:t xml:space="preserve"> The average SGP of the students in these schools was 72.02, which is lower than the median in any of their schools. The average is lower is because there is a larger than normal number of students in these schools with very low growth (on the left side of the chart.)</w:t>
      </w:r>
    </w:p>
    <w:p w:rsidR="00950E25" w:rsidRDefault="00950E25" w:rsidP="00C665FF"/>
    <w:p w:rsidR="00344DE5" w:rsidRDefault="00950E25" w:rsidP="00C665FF">
      <w:r>
        <w:t xml:space="preserve">By the definition of a normal distribution, we would expect </w:t>
      </w:r>
      <w:r w:rsidR="00C665FF">
        <w:t>2.5%</w:t>
      </w:r>
      <w:r>
        <w:t xml:space="preserve"> of the students to be </w:t>
      </w:r>
      <w:r w:rsidR="00C665FF">
        <w:t xml:space="preserve">more than </w:t>
      </w:r>
      <w:r>
        <w:t>two standard deviations (~50 SGP points)</w:t>
      </w:r>
      <w:r w:rsidR="00C665FF">
        <w:t xml:space="preserve"> below </w:t>
      </w:r>
      <w:r>
        <w:t>the mean or median,</w:t>
      </w:r>
      <w:r w:rsidR="00C665FF">
        <w:t xml:space="preserve"> </w:t>
      </w:r>
      <w:r>
        <w:t>but statewide 7% of the students</w:t>
      </w:r>
      <w:r w:rsidR="00314D47">
        <w:t xml:space="preserve"> in </w:t>
      </w:r>
      <w:bookmarkStart w:id="2" w:name="_GoBack"/>
      <w:bookmarkEnd w:id="2"/>
      <w:r w:rsidR="00314D47">
        <w:t>these schools</w:t>
      </w:r>
      <w:r>
        <w:t xml:space="preserve"> were more than two standard deviations below their school medians.</w:t>
      </w:r>
    </w:p>
    <w:p w:rsidR="00344DE5" w:rsidRDefault="00344DE5" w:rsidP="00C665FF"/>
    <w:p w:rsidR="00950E25" w:rsidRDefault="00950E25" w:rsidP="00C665FF"/>
    <w:p w:rsidR="005742EB" w:rsidRDefault="00950E25" w:rsidP="00950E25">
      <w:pPr>
        <w:pStyle w:val="Heading6"/>
        <w:rPr>
          <w:rFonts w:ascii="Times New Roman" w:hAnsi="Times New Roman" w:cs="Times New Roman"/>
          <w:b w:val="0"/>
          <w:sz w:val="24"/>
        </w:rPr>
      </w:pPr>
      <w:r w:rsidRPr="005742EB">
        <w:rPr>
          <w:rFonts w:ascii="Times New Roman" w:hAnsi="Times New Roman" w:cs="Times New Roman"/>
          <w:sz w:val="24"/>
        </w:rPr>
        <w:t>Figure 4: State-level student growth percentiles in schools with median SGPs above</w:t>
      </w:r>
      <w:r w:rsidR="00344DE5" w:rsidRPr="005742EB">
        <w:rPr>
          <w:rFonts w:ascii="Times New Roman" w:hAnsi="Times New Roman" w:cs="Times New Roman"/>
          <w:sz w:val="24"/>
        </w:rPr>
        <w:t xml:space="preserve"> 75</w:t>
      </w:r>
      <w:r w:rsidR="00344DE5">
        <w:rPr>
          <w:rFonts w:ascii="Times New Roman" w:hAnsi="Times New Roman" w:cs="Times New Roman"/>
          <w:b w:val="0"/>
          <w:sz w:val="24"/>
        </w:rPr>
        <w:t xml:space="preserve"> </w:t>
      </w:r>
    </w:p>
    <w:p w:rsidR="00950E25" w:rsidRDefault="00950E25" w:rsidP="00730FD6"/>
    <w:p w:rsidR="00950E25" w:rsidRDefault="00950E25" w:rsidP="00730FD6">
      <w:pPr>
        <w:rPr>
          <w:b/>
        </w:rPr>
      </w:pPr>
      <w:r>
        <w:rPr>
          <w:noProof/>
          <w:lang w:eastAsia="zh-CN"/>
        </w:rPr>
        <w:drawing>
          <wp:inline distT="0" distB="0" distL="0" distR="0" wp14:anchorId="5768DC95" wp14:editId="6CE33158">
            <wp:extent cx="6713143" cy="2962103"/>
            <wp:effectExtent l="0" t="0" r="0" b="0"/>
            <wp:docPr id="1" name="Picture 1" descr="Bar graph: Grade  4 Math state-level student growth percentiles in schools with median SGPs above 75.&#10;&#10;Mean=72.02, Standard Deviation=24.918, N=3,045.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939" cy="296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E25" w:rsidRDefault="00950E25" w:rsidP="00C665FF"/>
    <w:p w:rsidR="00BC5766" w:rsidRDefault="00BC5766"/>
    <w:p w:rsidR="005742EB" w:rsidRDefault="005742EB" w:rsidP="00730FD6">
      <w:pPr>
        <w:rPr>
          <w:b/>
        </w:rPr>
      </w:pPr>
      <w:r>
        <w:t xml:space="preserve">The reference line shows a normal distribution centered </w:t>
      </w:r>
      <w:proofErr w:type="gramStart"/>
      <w:r>
        <w:t>around</w:t>
      </w:r>
      <w:proofErr w:type="gramEnd"/>
      <w:r>
        <w:t xml:space="preserve"> the mean of all students in these schools. The distribution of students is not normal, however</w:t>
      </w:r>
      <w:r w:rsidR="00CB7EEE">
        <w:t>,</w:t>
      </w:r>
      <w:r>
        <w:t xml:space="preserve"> as many more students than expected (~7%) in these high growth schools are showing very low growth while hundreds of other students showed growth in the 80s and 90s in these high growth schools.</w:t>
      </w:r>
    </w:p>
    <w:p w:rsidR="00DE32FD" w:rsidRDefault="00DE32FD"/>
    <w:p w:rsidR="00DE32FD" w:rsidRDefault="00DE32FD"/>
    <w:sectPr w:rsidR="00DE32FD" w:rsidSect="001D6EF8">
      <w:headerReference w:type="default" r:id="rId18"/>
      <w:footerReference w:type="default" r:id="rId19"/>
      <w:pgSz w:w="12240" w:h="15840"/>
      <w:pgMar w:top="1440" w:right="1080" w:bottom="1170" w:left="1080" w:header="720" w:footer="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17" w:rsidRDefault="006E2217">
      <w:r>
        <w:separator/>
      </w:r>
    </w:p>
  </w:endnote>
  <w:endnote w:type="continuationSeparator" w:id="0">
    <w:p w:rsidR="006E2217" w:rsidRDefault="006E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130" w:rsidRDefault="008B213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0FD6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17" w:rsidRDefault="006E2217">
      <w:r>
        <w:separator/>
      </w:r>
    </w:p>
  </w:footnote>
  <w:footnote w:type="continuationSeparator" w:id="0">
    <w:p w:rsidR="006E2217" w:rsidRDefault="006E2217">
      <w:r>
        <w:continuationSeparator/>
      </w:r>
    </w:p>
  </w:footnote>
  <w:footnote w:id="1">
    <w:p w:rsidR="008B2130" w:rsidRDefault="008B21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174E1">
        <w:t>Betebenner</w:t>
      </w:r>
      <w:proofErr w:type="spellEnd"/>
      <w:r w:rsidRPr="004174E1">
        <w:t xml:space="preserve">, D. W. 2009. “Norm- and criterion-referenced student growth.” </w:t>
      </w:r>
      <w:r w:rsidRPr="00C665FF">
        <w:rPr>
          <w:i/>
        </w:rPr>
        <w:t>Educational Measurement: Issues and Practice</w:t>
      </w:r>
      <w:r w:rsidRPr="004174E1">
        <w:t xml:space="preserve"> 28 (4), 42–51.</w:t>
      </w:r>
    </w:p>
  </w:footnote>
  <w:footnote w:id="2">
    <w:p w:rsidR="008B2130" w:rsidRDefault="008B2130" w:rsidP="00713537">
      <w:pPr>
        <w:pStyle w:val="FootnoteText"/>
      </w:pPr>
      <w:r>
        <w:rPr>
          <w:rStyle w:val="FootnoteReference"/>
        </w:rPr>
        <w:footnoteRef/>
      </w:r>
      <w:r>
        <w:t xml:space="preserve"> Castellano, K. E., and A. D. Ho. 2015. “Practical differences among aggregate-level conditional status metrics: From median student growth percentiles to value-added models.” </w:t>
      </w:r>
      <w:r w:rsidRPr="00C665FF">
        <w:rPr>
          <w:i/>
        </w:rPr>
        <w:t>Journal of Educational and Behavioral Statistics</w:t>
      </w:r>
      <w:r>
        <w:t xml:space="preserve"> 40 (1): 35-68.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130" w:rsidRDefault="008B2130" w:rsidP="00137D3B">
    <w:pPr>
      <w:pStyle w:val="Header"/>
      <w:tabs>
        <w:tab w:val="clear" w:pos="8640"/>
        <w:tab w:val="right" w:pos="9360"/>
      </w:tabs>
      <w:ind w:left="-720"/>
      <w:jc w:val="right"/>
    </w:pPr>
    <w:r>
      <w:tab/>
    </w:r>
  </w:p>
  <w:p w:rsidR="008B2130" w:rsidRDefault="00AE00F4" w:rsidP="00137D3B">
    <w:pPr>
      <w:pStyle w:val="Header"/>
      <w:tabs>
        <w:tab w:val="clear" w:pos="8640"/>
        <w:tab w:val="right" w:pos="9360"/>
      </w:tabs>
      <w:ind w:left="-720"/>
      <w:jc w:val="right"/>
    </w:pPr>
    <w:r>
      <w:rPr>
        <w:i/>
        <w:iCs/>
        <w:sz w:val="20"/>
      </w:rPr>
      <w:t>June</w:t>
    </w:r>
    <w:r w:rsidR="008B2130">
      <w:rPr>
        <w:i/>
        <w:iCs/>
        <w:sz w:val="20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19B"/>
    <w:multiLevelType w:val="hybridMultilevel"/>
    <w:tmpl w:val="EA1A6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3DCA"/>
    <w:multiLevelType w:val="hybridMultilevel"/>
    <w:tmpl w:val="75665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C8"/>
    <w:multiLevelType w:val="hybridMultilevel"/>
    <w:tmpl w:val="C924EF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0EE7BE3"/>
    <w:multiLevelType w:val="hybridMultilevel"/>
    <w:tmpl w:val="7FC07DA8"/>
    <w:lvl w:ilvl="0" w:tplc="D130A65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80FA9"/>
    <w:multiLevelType w:val="hybridMultilevel"/>
    <w:tmpl w:val="0896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3B"/>
    <w:rsid w:val="00006616"/>
    <w:rsid w:val="00011EBA"/>
    <w:rsid w:val="000171E8"/>
    <w:rsid w:val="0001786F"/>
    <w:rsid w:val="00017EF5"/>
    <w:rsid w:val="00032D3E"/>
    <w:rsid w:val="0003552E"/>
    <w:rsid w:val="000374BF"/>
    <w:rsid w:val="00041B99"/>
    <w:rsid w:val="00043F31"/>
    <w:rsid w:val="00045854"/>
    <w:rsid w:val="00047F98"/>
    <w:rsid w:val="00054F1F"/>
    <w:rsid w:val="0005644E"/>
    <w:rsid w:val="00056556"/>
    <w:rsid w:val="00063AE8"/>
    <w:rsid w:val="00063F0E"/>
    <w:rsid w:val="00064416"/>
    <w:rsid w:val="00066BF1"/>
    <w:rsid w:val="000679F8"/>
    <w:rsid w:val="00081505"/>
    <w:rsid w:val="00083907"/>
    <w:rsid w:val="000923A9"/>
    <w:rsid w:val="00093D7F"/>
    <w:rsid w:val="00095868"/>
    <w:rsid w:val="000A2331"/>
    <w:rsid w:val="000A6EBC"/>
    <w:rsid w:val="000A7086"/>
    <w:rsid w:val="000A7DD9"/>
    <w:rsid w:val="000B08F7"/>
    <w:rsid w:val="000B2B9C"/>
    <w:rsid w:val="000B4C60"/>
    <w:rsid w:val="000B6EE5"/>
    <w:rsid w:val="000D117E"/>
    <w:rsid w:val="000D2799"/>
    <w:rsid w:val="000D31EA"/>
    <w:rsid w:val="000E5493"/>
    <w:rsid w:val="000E5DE2"/>
    <w:rsid w:val="000F0EEE"/>
    <w:rsid w:val="000F2270"/>
    <w:rsid w:val="000F73FB"/>
    <w:rsid w:val="00102508"/>
    <w:rsid w:val="001039F1"/>
    <w:rsid w:val="00110546"/>
    <w:rsid w:val="00116E0A"/>
    <w:rsid w:val="001237A6"/>
    <w:rsid w:val="0012550F"/>
    <w:rsid w:val="00125C00"/>
    <w:rsid w:val="00131A64"/>
    <w:rsid w:val="00131B24"/>
    <w:rsid w:val="00132E46"/>
    <w:rsid w:val="00135F45"/>
    <w:rsid w:val="00137D3B"/>
    <w:rsid w:val="0014248C"/>
    <w:rsid w:val="001433F9"/>
    <w:rsid w:val="0014709E"/>
    <w:rsid w:val="00152745"/>
    <w:rsid w:val="001539AC"/>
    <w:rsid w:val="00155E3B"/>
    <w:rsid w:val="00157DAF"/>
    <w:rsid w:val="0016246E"/>
    <w:rsid w:val="00165B9E"/>
    <w:rsid w:val="00166A2A"/>
    <w:rsid w:val="00167B72"/>
    <w:rsid w:val="00174A1E"/>
    <w:rsid w:val="00177081"/>
    <w:rsid w:val="0018502A"/>
    <w:rsid w:val="00192BAD"/>
    <w:rsid w:val="001952B2"/>
    <w:rsid w:val="00196590"/>
    <w:rsid w:val="00197A6A"/>
    <w:rsid w:val="001A02F4"/>
    <w:rsid w:val="001A1301"/>
    <w:rsid w:val="001A44BF"/>
    <w:rsid w:val="001A6EE1"/>
    <w:rsid w:val="001D070B"/>
    <w:rsid w:val="001D332C"/>
    <w:rsid w:val="001D6EF8"/>
    <w:rsid w:val="00207775"/>
    <w:rsid w:val="00214A6C"/>
    <w:rsid w:val="00216D4B"/>
    <w:rsid w:val="002171D2"/>
    <w:rsid w:val="002178EF"/>
    <w:rsid w:val="00217B7E"/>
    <w:rsid w:val="00220C93"/>
    <w:rsid w:val="0022618F"/>
    <w:rsid w:val="00226926"/>
    <w:rsid w:val="00227D28"/>
    <w:rsid w:val="0023100D"/>
    <w:rsid w:val="002364CB"/>
    <w:rsid w:val="00240456"/>
    <w:rsid w:val="00251732"/>
    <w:rsid w:val="00261E77"/>
    <w:rsid w:val="00267FE7"/>
    <w:rsid w:val="002723AE"/>
    <w:rsid w:val="00274BE7"/>
    <w:rsid w:val="00276BF8"/>
    <w:rsid w:val="00281CC1"/>
    <w:rsid w:val="00282CF1"/>
    <w:rsid w:val="00283F9E"/>
    <w:rsid w:val="00291A70"/>
    <w:rsid w:val="002B2419"/>
    <w:rsid w:val="002B5FD8"/>
    <w:rsid w:val="002B74F3"/>
    <w:rsid w:val="002C0CE7"/>
    <w:rsid w:val="002C3B95"/>
    <w:rsid w:val="002E3544"/>
    <w:rsid w:val="002E4876"/>
    <w:rsid w:val="002E6783"/>
    <w:rsid w:val="002F2569"/>
    <w:rsid w:val="002F403E"/>
    <w:rsid w:val="00300B93"/>
    <w:rsid w:val="00313B0A"/>
    <w:rsid w:val="00313D3D"/>
    <w:rsid w:val="00314D47"/>
    <w:rsid w:val="00322A56"/>
    <w:rsid w:val="00323AD2"/>
    <w:rsid w:val="00333679"/>
    <w:rsid w:val="003337ED"/>
    <w:rsid w:val="00336829"/>
    <w:rsid w:val="0034042D"/>
    <w:rsid w:val="00340A63"/>
    <w:rsid w:val="00341A19"/>
    <w:rsid w:val="00343FA4"/>
    <w:rsid w:val="00344DE5"/>
    <w:rsid w:val="00347D1F"/>
    <w:rsid w:val="00351D12"/>
    <w:rsid w:val="003537EE"/>
    <w:rsid w:val="003556DF"/>
    <w:rsid w:val="00355B9D"/>
    <w:rsid w:val="00357768"/>
    <w:rsid w:val="00361D94"/>
    <w:rsid w:val="0036735F"/>
    <w:rsid w:val="0037014C"/>
    <w:rsid w:val="003720F6"/>
    <w:rsid w:val="00374B0B"/>
    <w:rsid w:val="00375232"/>
    <w:rsid w:val="003852B8"/>
    <w:rsid w:val="00391087"/>
    <w:rsid w:val="003924A8"/>
    <w:rsid w:val="003926A6"/>
    <w:rsid w:val="003937CD"/>
    <w:rsid w:val="003950B9"/>
    <w:rsid w:val="00397133"/>
    <w:rsid w:val="003A24F8"/>
    <w:rsid w:val="003A4B27"/>
    <w:rsid w:val="003A5EC0"/>
    <w:rsid w:val="003B1580"/>
    <w:rsid w:val="003B2492"/>
    <w:rsid w:val="003B4739"/>
    <w:rsid w:val="003C4445"/>
    <w:rsid w:val="003D7A52"/>
    <w:rsid w:val="003E595B"/>
    <w:rsid w:val="003F142C"/>
    <w:rsid w:val="003F2264"/>
    <w:rsid w:val="003F3DEB"/>
    <w:rsid w:val="003F6DC5"/>
    <w:rsid w:val="003F73A5"/>
    <w:rsid w:val="00404A9B"/>
    <w:rsid w:val="00406964"/>
    <w:rsid w:val="004111D0"/>
    <w:rsid w:val="004172F2"/>
    <w:rsid w:val="004174E1"/>
    <w:rsid w:val="0042106B"/>
    <w:rsid w:val="0042133B"/>
    <w:rsid w:val="00423B72"/>
    <w:rsid w:val="0042462F"/>
    <w:rsid w:val="004262EC"/>
    <w:rsid w:val="004266A9"/>
    <w:rsid w:val="0043337A"/>
    <w:rsid w:val="00434F12"/>
    <w:rsid w:val="00436D30"/>
    <w:rsid w:val="00441F10"/>
    <w:rsid w:val="00451429"/>
    <w:rsid w:val="004567D5"/>
    <w:rsid w:val="00460499"/>
    <w:rsid w:val="00460C36"/>
    <w:rsid w:val="004616B3"/>
    <w:rsid w:val="004658B5"/>
    <w:rsid w:val="00476758"/>
    <w:rsid w:val="00486820"/>
    <w:rsid w:val="00487A4B"/>
    <w:rsid w:val="004900EC"/>
    <w:rsid w:val="00493C82"/>
    <w:rsid w:val="004954BA"/>
    <w:rsid w:val="00496D0A"/>
    <w:rsid w:val="004A1D51"/>
    <w:rsid w:val="004A1F5C"/>
    <w:rsid w:val="004A57E3"/>
    <w:rsid w:val="004B199E"/>
    <w:rsid w:val="004B6B84"/>
    <w:rsid w:val="004B6C5B"/>
    <w:rsid w:val="004C0569"/>
    <w:rsid w:val="004C1805"/>
    <w:rsid w:val="004C1A32"/>
    <w:rsid w:val="004C21A5"/>
    <w:rsid w:val="004C3BE5"/>
    <w:rsid w:val="004D7479"/>
    <w:rsid w:val="004D7ABA"/>
    <w:rsid w:val="004E5AF8"/>
    <w:rsid w:val="004E7E03"/>
    <w:rsid w:val="004F2354"/>
    <w:rsid w:val="004F7175"/>
    <w:rsid w:val="00504083"/>
    <w:rsid w:val="005112DE"/>
    <w:rsid w:val="0051783B"/>
    <w:rsid w:val="0052154E"/>
    <w:rsid w:val="00521FC7"/>
    <w:rsid w:val="00523635"/>
    <w:rsid w:val="00527451"/>
    <w:rsid w:val="0053507C"/>
    <w:rsid w:val="00542A8A"/>
    <w:rsid w:val="005431C9"/>
    <w:rsid w:val="00545497"/>
    <w:rsid w:val="00550252"/>
    <w:rsid w:val="0055136B"/>
    <w:rsid w:val="00553DD9"/>
    <w:rsid w:val="00554585"/>
    <w:rsid w:val="0055799E"/>
    <w:rsid w:val="00560770"/>
    <w:rsid w:val="005629E1"/>
    <w:rsid w:val="005638CE"/>
    <w:rsid w:val="005640A4"/>
    <w:rsid w:val="005659FA"/>
    <w:rsid w:val="00565B13"/>
    <w:rsid w:val="005742EB"/>
    <w:rsid w:val="00575159"/>
    <w:rsid w:val="00575793"/>
    <w:rsid w:val="00580201"/>
    <w:rsid w:val="00594AA1"/>
    <w:rsid w:val="005A3D9A"/>
    <w:rsid w:val="005A47BC"/>
    <w:rsid w:val="005B1879"/>
    <w:rsid w:val="005B3A73"/>
    <w:rsid w:val="005B3B1F"/>
    <w:rsid w:val="005B509C"/>
    <w:rsid w:val="005C0D95"/>
    <w:rsid w:val="005C4F3A"/>
    <w:rsid w:val="005C53DE"/>
    <w:rsid w:val="005D3065"/>
    <w:rsid w:val="005E2AB2"/>
    <w:rsid w:val="005E2B4D"/>
    <w:rsid w:val="005E301D"/>
    <w:rsid w:val="005F2BDD"/>
    <w:rsid w:val="005F4BFB"/>
    <w:rsid w:val="00602CAB"/>
    <w:rsid w:val="0060416E"/>
    <w:rsid w:val="0060425E"/>
    <w:rsid w:val="00606118"/>
    <w:rsid w:val="00611A62"/>
    <w:rsid w:val="006129D4"/>
    <w:rsid w:val="00612EC0"/>
    <w:rsid w:val="00612FF9"/>
    <w:rsid w:val="00616D61"/>
    <w:rsid w:val="006178F8"/>
    <w:rsid w:val="00617C74"/>
    <w:rsid w:val="00624050"/>
    <w:rsid w:val="00625708"/>
    <w:rsid w:val="00632416"/>
    <w:rsid w:val="0063506E"/>
    <w:rsid w:val="00636B4A"/>
    <w:rsid w:val="0064730F"/>
    <w:rsid w:val="00647BF0"/>
    <w:rsid w:val="00650F40"/>
    <w:rsid w:val="00661FA1"/>
    <w:rsid w:val="00664E36"/>
    <w:rsid w:val="00665492"/>
    <w:rsid w:val="006662A7"/>
    <w:rsid w:val="00670282"/>
    <w:rsid w:val="0067133E"/>
    <w:rsid w:val="00673628"/>
    <w:rsid w:val="00674086"/>
    <w:rsid w:val="00674A8D"/>
    <w:rsid w:val="00677C4E"/>
    <w:rsid w:val="00681F53"/>
    <w:rsid w:val="0069475A"/>
    <w:rsid w:val="0069491C"/>
    <w:rsid w:val="006B0150"/>
    <w:rsid w:val="006B2B9A"/>
    <w:rsid w:val="006B75DF"/>
    <w:rsid w:val="006D0D57"/>
    <w:rsid w:val="006D1171"/>
    <w:rsid w:val="006D786E"/>
    <w:rsid w:val="006E2217"/>
    <w:rsid w:val="006E4C30"/>
    <w:rsid w:val="0070053F"/>
    <w:rsid w:val="0070056C"/>
    <w:rsid w:val="00707158"/>
    <w:rsid w:val="00710941"/>
    <w:rsid w:val="007115CB"/>
    <w:rsid w:val="00713433"/>
    <w:rsid w:val="00713537"/>
    <w:rsid w:val="00720D40"/>
    <w:rsid w:val="0072267E"/>
    <w:rsid w:val="00723317"/>
    <w:rsid w:val="00730FD6"/>
    <w:rsid w:val="00732564"/>
    <w:rsid w:val="00736E68"/>
    <w:rsid w:val="0074226C"/>
    <w:rsid w:val="007440FC"/>
    <w:rsid w:val="007450BB"/>
    <w:rsid w:val="00747346"/>
    <w:rsid w:val="00747737"/>
    <w:rsid w:val="00750D63"/>
    <w:rsid w:val="00762A44"/>
    <w:rsid w:val="00762F71"/>
    <w:rsid w:val="007630ED"/>
    <w:rsid w:val="00763A13"/>
    <w:rsid w:val="007654CD"/>
    <w:rsid w:val="00774A1C"/>
    <w:rsid w:val="007766D6"/>
    <w:rsid w:val="00776D93"/>
    <w:rsid w:val="00777FA0"/>
    <w:rsid w:val="00781E83"/>
    <w:rsid w:val="0078419A"/>
    <w:rsid w:val="00791C21"/>
    <w:rsid w:val="00794779"/>
    <w:rsid w:val="007A01AD"/>
    <w:rsid w:val="007A10BE"/>
    <w:rsid w:val="007B5029"/>
    <w:rsid w:val="007B52D0"/>
    <w:rsid w:val="007C0FD8"/>
    <w:rsid w:val="007C27C6"/>
    <w:rsid w:val="007C2B7E"/>
    <w:rsid w:val="007C4EE1"/>
    <w:rsid w:val="007C781C"/>
    <w:rsid w:val="007D01D9"/>
    <w:rsid w:val="007E00E9"/>
    <w:rsid w:val="007E1DC5"/>
    <w:rsid w:val="007E2021"/>
    <w:rsid w:val="007E2E3C"/>
    <w:rsid w:val="007F1EB5"/>
    <w:rsid w:val="007F2E94"/>
    <w:rsid w:val="007F3443"/>
    <w:rsid w:val="007F5FC4"/>
    <w:rsid w:val="008056C9"/>
    <w:rsid w:val="00812850"/>
    <w:rsid w:val="00816A61"/>
    <w:rsid w:val="00820FB2"/>
    <w:rsid w:val="008233A0"/>
    <w:rsid w:val="00823FE8"/>
    <w:rsid w:val="00826D8E"/>
    <w:rsid w:val="00833B10"/>
    <w:rsid w:val="008342F1"/>
    <w:rsid w:val="0083743A"/>
    <w:rsid w:val="00840052"/>
    <w:rsid w:val="008423DE"/>
    <w:rsid w:val="0084421C"/>
    <w:rsid w:val="0085151D"/>
    <w:rsid w:val="00855F26"/>
    <w:rsid w:val="0085723A"/>
    <w:rsid w:val="00860565"/>
    <w:rsid w:val="0086104E"/>
    <w:rsid w:val="00864DD1"/>
    <w:rsid w:val="00876DB2"/>
    <w:rsid w:val="00886376"/>
    <w:rsid w:val="00887F83"/>
    <w:rsid w:val="0089597A"/>
    <w:rsid w:val="008A268E"/>
    <w:rsid w:val="008A3D28"/>
    <w:rsid w:val="008A6B62"/>
    <w:rsid w:val="008A6F7D"/>
    <w:rsid w:val="008A7459"/>
    <w:rsid w:val="008B1DAA"/>
    <w:rsid w:val="008B2130"/>
    <w:rsid w:val="008C04BF"/>
    <w:rsid w:val="008C0B65"/>
    <w:rsid w:val="008C137C"/>
    <w:rsid w:val="008C50C4"/>
    <w:rsid w:val="008C62DA"/>
    <w:rsid w:val="008D3D48"/>
    <w:rsid w:val="008E0062"/>
    <w:rsid w:val="008E680B"/>
    <w:rsid w:val="008F2A06"/>
    <w:rsid w:val="008F690E"/>
    <w:rsid w:val="00905947"/>
    <w:rsid w:val="00910584"/>
    <w:rsid w:val="00916020"/>
    <w:rsid w:val="0092071A"/>
    <w:rsid w:val="009237BC"/>
    <w:rsid w:val="009249AC"/>
    <w:rsid w:val="009267CB"/>
    <w:rsid w:val="00926F77"/>
    <w:rsid w:val="00931AB7"/>
    <w:rsid w:val="00932DD3"/>
    <w:rsid w:val="009337A2"/>
    <w:rsid w:val="009433DF"/>
    <w:rsid w:val="00944F55"/>
    <w:rsid w:val="00946620"/>
    <w:rsid w:val="00950E25"/>
    <w:rsid w:val="00954268"/>
    <w:rsid w:val="00960B91"/>
    <w:rsid w:val="009731AE"/>
    <w:rsid w:val="0097522F"/>
    <w:rsid w:val="00981FC0"/>
    <w:rsid w:val="00982BCA"/>
    <w:rsid w:val="009A3AD4"/>
    <w:rsid w:val="009A5A2D"/>
    <w:rsid w:val="009B2697"/>
    <w:rsid w:val="009B4D17"/>
    <w:rsid w:val="009B6313"/>
    <w:rsid w:val="009B7374"/>
    <w:rsid w:val="009C064C"/>
    <w:rsid w:val="009C271B"/>
    <w:rsid w:val="009C481B"/>
    <w:rsid w:val="009C5EFD"/>
    <w:rsid w:val="009D3CF6"/>
    <w:rsid w:val="009D49FE"/>
    <w:rsid w:val="009D5255"/>
    <w:rsid w:val="009D5522"/>
    <w:rsid w:val="009E49D5"/>
    <w:rsid w:val="009E7215"/>
    <w:rsid w:val="009F257E"/>
    <w:rsid w:val="009F6259"/>
    <w:rsid w:val="009F6671"/>
    <w:rsid w:val="009F7FC5"/>
    <w:rsid w:val="00A00002"/>
    <w:rsid w:val="00A02767"/>
    <w:rsid w:val="00A0476E"/>
    <w:rsid w:val="00A0729C"/>
    <w:rsid w:val="00A114CE"/>
    <w:rsid w:val="00A15447"/>
    <w:rsid w:val="00A16102"/>
    <w:rsid w:val="00A17CB4"/>
    <w:rsid w:val="00A17F9B"/>
    <w:rsid w:val="00A2165A"/>
    <w:rsid w:val="00A234AD"/>
    <w:rsid w:val="00A23D5B"/>
    <w:rsid w:val="00A30B24"/>
    <w:rsid w:val="00A32361"/>
    <w:rsid w:val="00A41CBF"/>
    <w:rsid w:val="00A477C3"/>
    <w:rsid w:val="00A51CF0"/>
    <w:rsid w:val="00A52F80"/>
    <w:rsid w:val="00A57DB8"/>
    <w:rsid w:val="00A6369E"/>
    <w:rsid w:val="00A65681"/>
    <w:rsid w:val="00A67DAD"/>
    <w:rsid w:val="00A71CF1"/>
    <w:rsid w:val="00A859B2"/>
    <w:rsid w:val="00A8737A"/>
    <w:rsid w:val="00A9490D"/>
    <w:rsid w:val="00AA1AE8"/>
    <w:rsid w:val="00AA5B01"/>
    <w:rsid w:val="00AA6DAC"/>
    <w:rsid w:val="00AB0848"/>
    <w:rsid w:val="00AC144E"/>
    <w:rsid w:val="00AD2DDA"/>
    <w:rsid w:val="00AD3FB3"/>
    <w:rsid w:val="00AE00F4"/>
    <w:rsid w:val="00AE1332"/>
    <w:rsid w:val="00AF1AC1"/>
    <w:rsid w:val="00AF4CC4"/>
    <w:rsid w:val="00AF50C6"/>
    <w:rsid w:val="00AF5F32"/>
    <w:rsid w:val="00AF6757"/>
    <w:rsid w:val="00B119DD"/>
    <w:rsid w:val="00B130DE"/>
    <w:rsid w:val="00B156D4"/>
    <w:rsid w:val="00B1613F"/>
    <w:rsid w:val="00B1737B"/>
    <w:rsid w:val="00B215C8"/>
    <w:rsid w:val="00B235F2"/>
    <w:rsid w:val="00B26C71"/>
    <w:rsid w:val="00B32A6A"/>
    <w:rsid w:val="00B40F9A"/>
    <w:rsid w:val="00B43A64"/>
    <w:rsid w:val="00B46165"/>
    <w:rsid w:val="00B50235"/>
    <w:rsid w:val="00B54A3C"/>
    <w:rsid w:val="00B60614"/>
    <w:rsid w:val="00B65180"/>
    <w:rsid w:val="00B71265"/>
    <w:rsid w:val="00B81E65"/>
    <w:rsid w:val="00B8391A"/>
    <w:rsid w:val="00B83955"/>
    <w:rsid w:val="00B85560"/>
    <w:rsid w:val="00B94F6D"/>
    <w:rsid w:val="00B97C57"/>
    <w:rsid w:val="00BA3298"/>
    <w:rsid w:val="00BA63DC"/>
    <w:rsid w:val="00BA67DE"/>
    <w:rsid w:val="00BB1B81"/>
    <w:rsid w:val="00BC0C00"/>
    <w:rsid w:val="00BC4256"/>
    <w:rsid w:val="00BC5766"/>
    <w:rsid w:val="00BC6CFF"/>
    <w:rsid w:val="00BD0EBA"/>
    <w:rsid w:val="00BD4564"/>
    <w:rsid w:val="00BD53AF"/>
    <w:rsid w:val="00BD6F9C"/>
    <w:rsid w:val="00BE01B6"/>
    <w:rsid w:val="00BE752E"/>
    <w:rsid w:val="00BF02C0"/>
    <w:rsid w:val="00C04291"/>
    <w:rsid w:val="00C120AB"/>
    <w:rsid w:val="00C145FD"/>
    <w:rsid w:val="00C1744D"/>
    <w:rsid w:val="00C17831"/>
    <w:rsid w:val="00C22D24"/>
    <w:rsid w:val="00C24236"/>
    <w:rsid w:val="00C27BCA"/>
    <w:rsid w:val="00C350E2"/>
    <w:rsid w:val="00C352AA"/>
    <w:rsid w:val="00C36857"/>
    <w:rsid w:val="00C41CF8"/>
    <w:rsid w:val="00C44175"/>
    <w:rsid w:val="00C477F3"/>
    <w:rsid w:val="00C47A7C"/>
    <w:rsid w:val="00C665FF"/>
    <w:rsid w:val="00C67C06"/>
    <w:rsid w:val="00C7078E"/>
    <w:rsid w:val="00C74FB6"/>
    <w:rsid w:val="00C806EF"/>
    <w:rsid w:val="00C8219E"/>
    <w:rsid w:val="00C83931"/>
    <w:rsid w:val="00C874A8"/>
    <w:rsid w:val="00C90B14"/>
    <w:rsid w:val="00C93489"/>
    <w:rsid w:val="00C96BED"/>
    <w:rsid w:val="00CA1B79"/>
    <w:rsid w:val="00CA44B4"/>
    <w:rsid w:val="00CA6A0B"/>
    <w:rsid w:val="00CB2D3F"/>
    <w:rsid w:val="00CB6840"/>
    <w:rsid w:val="00CB7EEE"/>
    <w:rsid w:val="00CC176F"/>
    <w:rsid w:val="00CC3D0E"/>
    <w:rsid w:val="00CC7970"/>
    <w:rsid w:val="00CE02C2"/>
    <w:rsid w:val="00CE099A"/>
    <w:rsid w:val="00CF02DB"/>
    <w:rsid w:val="00CF4FA5"/>
    <w:rsid w:val="00CF6731"/>
    <w:rsid w:val="00D013B3"/>
    <w:rsid w:val="00D01E0C"/>
    <w:rsid w:val="00D053CC"/>
    <w:rsid w:val="00D05D91"/>
    <w:rsid w:val="00D17399"/>
    <w:rsid w:val="00D17D49"/>
    <w:rsid w:val="00D22371"/>
    <w:rsid w:val="00D22F63"/>
    <w:rsid w:val="00D24743"/>
    <w:rsid w:val="00D27868"/>
    <w:rsid w:val="00D27B0C"/>
    <w:rsid w:val="00D27B68"/>
    <w:rsid w:val="00D3260F"/>
    <w:rsid w:val="00D35AEB"/>
    <w:rsid w:val="00D35E8F"/>
    <w:rsid w:val="00D47F97"/>
    <w:rsid w:val="00D54D03"/>
    <w:rsid w:val="00D64A49"/>
    <w:rsid w:val="00D64F6D"/>
    <w:rsid w:val="00D73F08"/>
    <w:rsid w:val="00D7494B"/>
    <w:rsid w:val="00D76336"/>
    <w:rsid w:val="00D82137"/>
    <w:rsid w:val="00D83A5C"/>
    <w:rsid w:val="00D84316"/>
    <w:rsid w:val="00D84ECD"/>
    <w:rsid w:val="00D85504"/>
    <w:rsid w:val="00D94F49"/>
    <w:rsid w:val="00DA1779"/>
    <w:rsid w:val="00DA27A7"/>
    <w:rsid w:val="00DA4104"/>
    <w:rsid w:val="00DA77BE"/>
    <w:rsid w:val="00DA7892"/>
    <w:rsid w:val="00DB5E58"/>
    <w:rsid w:val="00DB6C1B"/>
    <w:rsid w:val="00DB70FA"/>
    <w:rsid w:val="00DC238B"/>
    <w:rsid w:val="00DC2C37"/>
    <w:rsid w:val="00DD4712"/>
    <w:rsid w:val="00DE0AAC"/>
    <w:rsid w:val="00DE1E3E"/>
    <w:rsid w:val="00DE32FD"/>
    <w:rsid w:val="00DE4C0C"/>
    <w:rsid w:val="00DE7EC3"/>
    <w:rsid w:val="00DF4785"/>
    <w:rsid w:val="00DF69F1"/>
    <w:rsid w:val="00E01240"/>
    <w:rsid w:val="00E053D9"/>
    <w:rsid w:val="00E11DA8"/>
    <w:rsid w:val="00E1337F"/>
    <w:rsid w:val="00E13663"/>
    <w:rsid w:val="00E13918"/>
    <w:rsid w:val="00E32449"/>
    <w:rsid w:val="00E33CEF"/>
    <w:rsid w:val="00E36F7E"/>
    <w:rsid w:val="00E4614F"/>
    <w:rsid w:val="00E50BD1"/>
    <w:rsid w:val="00E50FB9"/>
    <w:rsid w:val="00E65958"/>
    <w:rsid w:val="00E67B43"/>
    <w:rsid w:val="00E85C7B"/>
    <w:rsid w:val="00E90B65"/>
    <w:rsid w:val="00E9681D"/>
    <w:rsid w:val="00E9681E"/>
    <w:rsid w:val="00EA1A45"/>
    <w:rsid w:val="00EA21EE"/>
    <w:rsid w:val="00EA522D"/>
    <w:rsid w:val="00EA596B"/>
    <w:rsid w:val="00EB0453"/>
    <w:rsid w:val="00EB0D97"/>
    <w:rsid w:val="00EB41D3"/>
    <w:rsid w:val="00EB46D5"/>
    <w:rsid w:val="00EB6A55"/>
    <w:rsid w:val="00EC295A"/>
    <w:rsid w:val="00EC7B46"/>
    <w:rsid w:val="00ED1249"/>
    <w:rsid w:val="00ED143A"/>
    <w:rsid w:val="00ED3DDC"/>
    <w:rsid w:val="00ED5712"/>
    <w:rsid w:val="00EE3BAC"/>
    <w:rsid w:val="00EE78E7"/>
    <w:rsid w:val="00EF6ADB"/>
    <w:rsid w:val="00EF7E49"/>
    <w:rsid w:val="00F046F6"/>
    <w:rsid w:val="00F13E0E"/>
    <w:rsid w:val="00F14544"/>
    <w:rsid w:val="00F3299D"/>
    <w:rsid w:val="00F37938"/>
    <w:rsid w:val="00F37E5D"/>
    <w:rsid w:val="00F408D2"/>
    <w:rsid w:val="00F41664"/>
    <w:rsid w:val="00F43302"/>
    <w:rsid w:val="00F45D71"/>
    <w:rsid w:val="00F460B4"/>
    <w:rsid w:val="00F46C34"/>
    <w:rsid w:val="00F61E2A"/>
    <w:rsid w:val="00F71199"/>
    <w:rsid w:val="00F72F58"/>
    <w:rsid w:val="00F74437"/>
    <w:rsid w:val="00F81E47"/>
    <w:rsid w:val="00F850AF"/>
    <w:rsid w:val="00F85A4C"/>
    <w:rsid w:val="00F909B5"/>
    <w:rsid w:val="00F91BB1"/>
    <w:rsid w:val="00F93B73"/>
    <w:rsid w:val="00F93BBA"/>
    <w:rsid w:val="00F94D5E"/>
    <w:rsid w:val="00F95A51"/>
    <w:rsid w:val="00F96673"/>
    <w:rsid w:val="00FA277E"/>
    <w:rsid w:val="00FA2BC5"/>
    <w:rsid w:val="00FA47B9"/>
    <w:rsid w:val="00FA5CA8"/>
    <w:rsid w:val="00FB3DA3"/>
    <w:rsid w:val="00FC3ECE"/>
    <w:rsid w:val="00FC78B1"/>
    <w:rsid w:val="00FD0643"/>
    <w:rsid w:val="00FD1DF2"/>
    <w:rsid w:val="00FD2FE8"/>
    <w:rsid w:val="00FD468C"/>
    <w:rsid w:val="00FE0ED1"/>
    <w:rsid w:val="00FE458C"/>
    <w:rsid w:val="00FE7882"/>
    <w:rsid w:val="00FF5517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35EFB"/>
  <w15:docId w15:val="{7594F742-6DC9-4F3F-8AF5-175E988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43"/>
    <w:rPr>
      <w:sz w:val="24"/>
      <w:szCs w:val="24"/>
    </w:rPr>
  </w:style>
  <w:style w:type="paragraph" w:styleId="Heading1">
    <w:name w:val="heading 1"/>
    <w:basedOn w:val="BodyTextIndent2"/>
    <w:next w:val="Normal"/>
    <w:qFormat/>
    <w:rsid w:val="00730FD6"/>
    <w:pPr>
      <w:ind w:left="0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qFormat/>
    <w:rsid w:val="00D24743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24743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D24743"/>
    <w:pPr>
      <w:keepNext/>
      <w:ind w:right="72"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D24743"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D24743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47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474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24743"/>
    <w:pPr>
      <w:ind w:left="-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D24743"/>
    <w:pPr>
      <w:ind w:left="-720"/>
    </w:pPr>
    <w:rPr>
      <w:rFonts w:ascii="Arial" w:hAnsi="Arial" w:cs="Arial"/>
      <w:sz w:val="22"/>
    </w:rPr>
  </w:style>
  <w:style w:type="character" w:customStyle="1" w:styleId="bold">
    <w:name w:val="bold"/>
    <w:basedOn w:val="DefaultParagraphFont"/>
    <w:rsid w:val="00D24743"/>
  </w:style>
  <w:style w:type="paragraph" w:styleId="BodyText">
    <w:name w:val="Body Text"/>
    <w:basedOn w:val="Normal"/>
    <w:rsid w:val="00D24743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rsid w:val="00D24743"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Normal"/>
    <w:rsid w:val="00D24743"/>
    <w:pPr>
      <w:ind w:left="-54" w:right="72"/>
      <w:jc w:val="right"/>
    </w:pPr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D24743"/>
  </w:style>
  <w:style w:type="paragraph" w:styleId="FootnoteText">
    <w:name w:val="footnote text"/>
    <w:basedOn w:val="Normal"/>
    <w:semiHidden/>
    <w:rsid w:val="0056077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60770"/>
    <w:rPr>
      <w:vertAlign w:val="superscript"/>
    </w:rPr>
  </w:style>
  <w:style w:type="paragraph" w:styleId="BalloonText">
    <w:name w:val="Balloon Text"/>
    <w:basedOn w:val="Normal"/>
    <w:semiHidden/>
    <w:rsid w:val="00355B9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EA59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A596B"/>
  </w:style>
  <w:style w:type="character" w:styleId="EndnoteReference">
    <w:name w:val="endnote reference"/>
    <w:basedOn w:val="DefaultParagraphFont"/>
    <w:rsid w:val="00EA59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04BF"/>
    <w:pPr>
      <w:ind w:left="720"/>
      <w:contextualSpacing/>
    </w:pPr>
  </w:style>
  <w:style w:type="table" w:styleId="TableGrid">
    <w:name w:val="Table Grid"/>
    <w:basedOn w:val="TableNormal"/>
    <w:rsid w:val="008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B52D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F67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67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675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6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675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AF675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6CFF"/>
    <w:rPr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950E25"/>
    <w:rPr>
      <w:i/>
      <w:iCs/>
    </w:rPr>
  </w:style>
  <w:style w:type="paragraph" w:styleId="Title">
    <w:name w:val="Title"/>
    <w:basedOn w:val="Heading2"/>
    <w:next w:val="Normal"/>
    <w:link w:val="TitleChar"/>
    <w:qFormat/>
    <w:rsid w:val="00730FD6"/>
    <w:rPr>
      <w:sz w:val="24"/>
    </w:rPr>
  </w:style>
  <w:style w:type="character" w:customStyle="1" w:styleId="TitleChar">
    <w:name w:val="Title Char"/>
    <w:basedOn w:val="DefaultParagraphFont"/>
    <w:link w:val="Title"/>
    <w:rsid w:val="00730FD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rofiles.doe.mass.ed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DESE-231-42403</_dlc_DocId>
    <_dlc_DocIdUrl xmlns="733efe1c-5bbe-4968-87dc-d400e65c879f">
      <Url>https://sharepoint.doemass.org/ese/webteam/cps/_layouts/DocIdRedir.aspx?ID=DESE-231-42403</Url>
      <Description>DESE-231-42403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1F811-5AB2-4084-B297-C0F5EFD6D2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E2A065-1C72-48B1-892D-7DE6C2CF2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62305-2092-4843-BBD3-FEA6AA09221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7B4DE45-7D5A-4070-8AB3-6E846B3C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EA1690-47CD-4366-BBDC-1290ACD3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Replacing Medians with Means When Summarizing MCAS Student Growth Percentiles Draft White Paper</vt:lpstr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Replacing Medians with Means When Summarizing MCAS Student Growth Percentiles Draft White Paper</dc:title>
  <dc:creator>DESE</dc:creator>
  <cp:lastModifiedBy>Zou, Dong</cp:lastModifiedBy>
  <cp:revision>8</cp:revision>
  <cp:lastPrinted>2018-05-04T18:12:00Z</cp:lastPrinted>
  <dcterms:created xsi:type="dcterms:W3CDTF">2018-06-07T21:01:00Z</dcterms:created>
  <dcterms:modified xsi:type="dcterms:W3CDTF">2018-06-11T20:24:00Z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2018</vt:lpwstr>
  </property>
</Properties>
</file>