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30" w:rsidRDefault="004A1C30">
      <w:pPr>
        <w:pStyle w:val="BodyText"/>
        <w:spacing w:before="1"/>
        <w:rPr>
          <w:rFonts w:ascii="Times New Roman"/>
          <w:sz w:val="24"/>
        </w:rPr>
      </w:pPr>
    </w:p>
    <w:p w:rsidR="004A1C30" w:rsidRDefault="00DC64B5">
      <w:pPr>
        <w:spacing w:before="110" w:line="442" w:lineRule="exact"/>
        <w:ind w:left="2220" w:right="1780" w:firstLine="110"/>
        <w:rPr>
          <w:rFonts w:ascii="Arial"/>
          <w:b/>
          <w:i/>
          <w:sz w:val="40"/>
        </w:rPr>
      </w:pPr>
      <w:r>
        <w:pict>
          <v:line id="_x0000_s1033" alt="horizontal line" style="position:absolute;left:0;text-align:left;z-index:251657728;mso-wrap-distance-left:0;mso-wrap-distance-right:0;mso-position-horizontal-relative:page" from="139.9pt,54.65pt" to="538.8pt,54.65pt" strokeweight="1pt">
            <w10:wrap type="topAndBottom" anchorx="page"/>
          </v:line>
        </w:pict>
      </w:r>
      <w:r w:rsidR="00102530">
        <w:rPr>
          <w:noProof/>
          <w:lang w:eastAsia="zh-CN"/>
        </w:rPr>
        <w:drawing>
          <wp:anchor distT="0" distB="0" distL="0" distR="0" simplePos="0" relativeHeight="251655680" behindDoc="0" locked="0" layoutInCell="1" allowOverlap="1">
            <wp:simplePos x="0" y="0"/>
            <wp:positionH relativeFrom="page">
              <wp:posOffset>411480</wp:posOffset>
            </wp:positionH>
            <wp:positionV relativeFrom="paragraph">
              <wp:posOffset>-170688</wp:posOffset>
            </wp:positionV>
            <wp:extent cx="1090930" cy="1371600"/>
            <wp:effectExtent l="19050" t="0" r="0" b="0"/>
            <wp:wrapNone/>
            <wp:docPr id="1" name="image1.png"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90930" cy="1371600"/>
                    </a:xfrm>
                    <a:prstGeom prst="rect">
                      <a:avLst/>
                    </a:prstGeom>
                  </pic:spPr>
                </pic:pic>
              </a:graphicData>
            </a:graphic>
          </wp:anchor>
        </w:drawing>
      </w:r>
      <w:r w:rsidR="00102530">
        <w:rPr>
          <w:rFonts w:ascii="Arial"/>
          <w:b/>
          <w:i/>
          <w:sz w:val="40"/>
        </w:rPr>
        <w:t>Massachusetts Department of Elementary and Secondary Education</w:t>
      </w:r>
    </w:p>
    <w:p w:rsidR="004A1C30" w:rsidRDefault="00102530">
      <w:pPr>
        <w:tabs>
          <w:tab w:val="left" w:pos="7621"/>
        </w:tabs>
        <w:spacing w:before="131"/>
        <w:ind w:left="2220"/>
        <w:rPr>
          <w:rFonts w:ascii="Arial"/>
          <w:i/>
          <w:sz w:val="16"/>
        </w:rPr>
      </w:pPr>
      <w:r>
        <w:rPr>
          <w:rFonts w:ascii="Arial"/>
          <w:i/>
          <w:sz w:val="16"/>
        </w:rPr>
        <w:t>75 Pleasant Street, Malden,</w:t>
      </w:r>
      <w:r>
        <w:rPr>
          <w:rFonts w:ascii="Arial"/>
          <w:i/>
          <w:spacing w:val="-11"/>
          <w:sz w:val="16"/>
        </w:rPr>
        <w:t xml:space="preserve"> </w:t>
      </w:r>
      <w:r>
        <w:rPr>
          <w:rFonts w:ascii="Arial"/>
          <w:i/>
          <w:sz w:val="16"/>
        </w:rPr>
        <w:t>Massachusetts</w:t>
      </w:r>
      <w:r>
        <w:rPr>
          <w:rFonts w:ascii="Arial"/>
          <w:i/>
          <w:spacing w:val="-1"/>
          <w:sz w:val="16"/>
        </w:rPr>
        <w:t xml:space="preserve"> </w:t>
      </w:r>
      <w:r>
        <w:rPr>
          <w:rFonts w:ascii="Arial"/>
          <w:i/>
          <w:sz w:val="16"/>
        </w:rPr>
        <w:t>02148-4906</w:t>
      </w:r>
      <w:r>
        <w:rPr>
          <w:rFonts w:ascii="Arial"/>
          <w:i/>
          <w:sz w:val="16"/>
        </w:rPr>
        <w:tab/>
        <w:t>Telephone: (781)</w:t>
      </w:r>
      <w:r>
        <w:rPr>
          <w:rFonts w:ascii="Arial"/>
          <w:i/>
          <w:spacing w:val="-8"/>
          <w:sz w:val="16"/>
        </w:rPr>
        <w:t xml:space="preserve"> </w:t>
      </w:r>
      <w:r>
        <w:rPr>
          <w:rFonts w:ascii="Arial"/>
          <w:i/>
          <w:sz w:val="16"/>
        </w:rPr>
        <w:t>338-3000</w:t>
      </w:r>
    </w:p>
    <w:p w:rsidR="004A1C30" w:rsidRDefault="00102530">
      <w:pPr>
        <w:ind w:left="7247"/>
        <w:rPr>
          <w:rFonts w:ascii="Arial"/>
          <w:i/>
          <w:sz w:val="16"/>
        </w:rPr>
      </w:pPr>
      <w:r>
        <w:rPr>
          <w:rFonts w:ascii="Arial"/>
          <w:i/>
          <w:sz w:val="16"/>
        </w:rPr>
        <w:t>TTY: N.E.T. Relay 1-800-439-2370</w:t>
      </w:r>
    </w:p>
    <w:p w:rsidR="004A1C30" w:rsidRDefault="004A1C30">
      <w:pPr>
        <w:pStyle w:val="BodyText"/>
        <w:spacing w:before="4"/>
        <w:rPr>
          <w:rFonts w:ascii="Arial"/>
          <w:i/>
          <w:sz w:val="25"/>
        </w:rPr>
      </w:pPr>
    </w:p>
    <w:p w:rsidR="004A1C30" w:rsidRDefault="00102530">
      <w:pPr>
        <w:pStyle w:val="BodyText"/>
        <w:tabs>
          <w:tab w:val="left" w:pos="2340"/>
        </w:tabs>
        <w:spacing w:before="101"/>
        <w:ind w:left="2340" w:right="1716" w:hanging="1440"/>
      </w:pPr>
      <w:r>
        <w:t>To:</w:t>
      </w:r>
      <w:r>
        <w:tab/>
        <w:t>Administrators of Special Education, Directors of</w:t>
      </w:r>
      <w:r>
        <w:rPr>
          <w:spacing w:val="-33"/>
        </w:rPr>
        <w:t xml:space="preserve"> </w:t>
      </w:r>
      <w:r>
        <w:t>Educational</w:t>
      </w:r>
      <w:r>
        <w:rPr>
          <w:spacing w:val="-6"/>
        </w:rPr>
        <w:t xml:space="preserve"> </w:t>
      </w:r>
      <w:r>
        <w:t>Collaboratives and Interested</w:t>
      </w:r>
      <w:r>
        <w:rPr>
          <w:spacing w:val="-11"/>
        </w:rPr>
        <w:t xml:space="preserve"> </w:t>
      </w:r>
      <w:r>
        <w:t>Parties</w:t>
      </w:r>
    </w:p>
    <w:p w:rsidR="004A1C30" w:rsidRDefault="004A1C30">
      <w:pPr>
        <w:pStyle w:val="BodyText"/>
        <w:spacing w:before="11"/>
        <w:rPr>
          <w:sz w:val="21"/>
        </w:rPr>
      </w:pPr>
    </w:p>
    <w:p w:rsidR="004A1C30" w:rsidRDefault="00102530">
      <w:pPr>
        <w:pStyle w:val="BodyText"/>
        <w:tabs>
          <w:tab w:val="left" w:pos="2340"/>
        </w:tabs>
        <w:spacing w:line="480" w:lineRule="auto"/>
        <w:ind w:left="900" w:right="2653"/>
      </w:pPr>
      <w:r>
        <w:t>From:</w:t>
      </w:r>
      <w:r>
        <w:tab/>
        <w:t>Russell Johnston, Senior Associate Commissioner,</w:t>
      </w:r>
      <w:r>
        <w:rPr>
          <w:spacing w:val="-25"/>
        </w:rPr>
        <w:t xml:space="preserve"> </w:t>
      </w:r>
      <w:r>
        <w:t>District</w:t>
      </w:r>
      <w:r>
        <w:rPr>
          <w:spacing w:val="-8"/>
        </w:rPr>
        <w:t xml:space="preserve"> </w:t>
      </w:r>
      <w:r>
        <w:t>Support</w:t>
      </w:r>
      <w:r>
        <w:rPr>
          <w:spacing w:val="-1"/>
        </w:rPr>
        <w:t xml:space="preserve"> </w:t>
      </w:r>
      <w:r>
        <w:t>Date:</w:t>
      </w:r>
      <w:r>
        <w:tab/>
        <w:t>September 5,</w:t>
      </w:r>
      <w:r>
        <w:rPr>
          <w:spacing w:val="-2"/>
        </w:rPr>
        <w:t xml:space="preserve"> </w:t>
      </w:r>
      <w:r>
        <w:t>2017</w:t>
      </w:r>
    </w:p>
    <w:p w:rsidR="004A1C30" w:rsidRDefault="00102530">
      <w:pPr>
        <w:pStyle w:val="BodyText"/>
        <w:tabs>
          <w:tab w:val="left" w:pos="2340"/>
        </w:tabs>
        <w:spacing w:line="256" w:lineRule="exact"/>
        <w:ind w:left="900"/>
      </w:pPr>
      <w:r>
        <w:t>Subject:</w:t>
      </w:r>
      <w:r>
        <w:tab/>
        <w:t>Revised Procedures for Special Education Public Day School</w:t>
      </w:r>
      <w:r>
        <w:rPr>
          <w:spacing w:val="-27"/>
        </w:rPr>
        <w:t xml:space="preserve"> </w:t>
      </w:r>
      <w:r>
        <w:t>Programs</w:t>
      </w:r>
    </w:p>
    <w:p w:rsidR="004A1C30" w:rsidRDefault="00DC64B5">
      <w:pPr>
        <w:pStyle w:val="BodyText"/>
        <w:spacing w:before="4"/>
        <w:rPr>
          <w:sz w:val="11"/>
        </w:rPr>
      </w:pPr>
      <w:r>
        <w:pict>
          <v:line id="_x0000_s1032" alt="dotted horizontal line" style="position:absolute;z-index:251658752;mso-wrap-distance-left:0;mso-wrap-distance-right:0;mso-position-horizontal-relative:page" from="73.2pt,10.15pt" to="580.2pt,10.15pt" strokeweight="3pt">
            <v:stroke dashstyle="dash"/>
            <w10:wrap type="topAndBottom" anchorx="page"/>
          </v:line>
        </w:pict>
      </w:r>
    </w:p>
    <w:p w:rsidR="004A1C30" w:rsidRDefault="004A1C30">
      <w:pPr>
        <w:pStyle w:val="BodyText"/>
        <w:spacing w:before="5"/>
        <w:rPr>
          <w:sz w:val="23"/>
        </w:rPr>
      </w:pPr>
    </w:p>
    <w:p w:rsidR="004A1C30" w:rsidRDefault="00102530">
      <w:pPr>
        <w:pStyle w:val="BodyText"/>
        <w:ind w:left="900" w:right="1010"/>
      </w:pPr>
      <w:r>
        <w:t>The Department of Elementary and Secondary Education recently completed a review and revision of the procedures for public day programs as required under 603 CMR 28.00.</w:t>
      </w:r>
    </w:p>
    <w:p w:rsidR="004A1C30" w:rsidRDefault="004A1C30">
      <w:pPr>
        <w:pStyle w:val="BodyText"/>
        <w:spacing w:before="11"/>
        <w:rPr>
          <w:sz w:val="21"/>
        </w:rPr>
      </w:pPr>
    </w:p>
    <w:p w:rsidR="004A1C30" w:rsidRDefault="00102530">
      <w:pPr>
        <w:pStyle w:val="BodyText"/>
        <w:ind w:left="900" w:right="1213"/>
      </w:pPr>
      <w:r>
        <w:rPr>
          <w:b/>
        </w:rPr>
        <w:t xml:space="preserve">Summary: </w:t>
      </w:r>
      <w:r>
        <w:t>The Department has determined that public day schools will no longer be required to seek annual reapproval for operation.</w:t>
      </w:r>
    </w:p>
    <w:p w:rsidR="004A1C30" w:rsidRDefault="004A1C30">
      <w:pPr>
        <w:pStyle w:val="BodyText"/>
        <w:spacing w:before="11"/>
        <w:rPr>
          <w:sz w:val="21"/>
        </w:rPr>
      </w:pPr>
    </w:p>
    <w:p w:rsidR="004A1C30" w:rsidRDefault="00102530">
      <w:pPr>
        <w:pStyle w:val="BodyText"/>
        <w:ind w:left="900" w:right="1034"/>
      </w:pPr>
      <w:r>
        <w:t>Henceforth, once a public day school is approved to operate by the Department at its inception, the school will remain in an approved status thereafter until and unless the Department takes further action in regard to that status. Public day school compliance with regulatory standards will be continue to be reviewed on an ongoing basis as it presently is with all other publically funded educational programs in the State: through the Department’s Public School Monitoring process.</w:t>
      </w:r>
    </w:p>
    <w:p w:rsidR="004A1C30" w:rsidRDefault="004A1C30">
      <w:pPr>
        <w:pStyle w:val="BodyText"/>
        <w:spacing w:before="11"/>
        <w:rPr>
          <w:sz w:val="21"/>
        </w:rPr>
      </w:pPr>
    </w:p>
    <w:p w:rsidR="004A1C30" w:rsidRDefault="00102530">
      <w:pPr>
        <w:pStyle w:val="BodyText"/>
        <w:ind w:left="900"/>
      </w:pPr>
      <w:r>
        <w:t>Public day schools continue to have the following ongoing duties:</w:t>
      </w:r>
    </w:p>
    <w:p w:rsidR="004A1C30" w:rsidRDefault="004A1C30">
      <w:pPr>
        <w:pStyle w:val="BodyText"/>
        <w:spacing w:before="9"/>
        <w:rPr>
          <w:sz w:val="21"/>
        </w:rPr>
      </w:pPr>
    </w:p>
    <w:p w:rsidR="004A1C30" w:rsidRDefault="00102530">
      <w:pPr>
        <w:pStyle w:val="ListParagraph"/>
        <w:numPr>
          <w:ilvl w:val="0"/>
          <w:numId w:val="2"/>
        </w:numPr>
        <w:tabs>
          <w:tab w:val="left" w:pos="1620"/>
          <w:tab w:val="left" w:pos="1621"/>
        </w:tabs>
      </w:pPr>
      <w:r>
        <w:t>Ensure</w:t>
      </w:r>
      <w:r>
        <w:rPr>
          <w:spacing w:val="-3"/>
        </w:rPr>
        <w:t xml:space="preserve"> </w:t>
      </w:r>
      <w:r>
        <w:t>that</w:t>
      </w:r>
      <w:r>
        <w:rPr>
          <w:spacing w:val="-4"/>
        </w:rPr>
        <w:t xml:space="preserve"> </w:t>
      </w:r>
      <w:r>
        <w:t>all</w:t>
      </w:r>
      <w:r>
        <w:rPr>
          <w:spacing w:val="-3"/>
        </w:rPr>
        <w:t xml:space="preserve"> </w:t>
      </w:r>
      <w:r>
        <w:t>required</w:t>
      </w:r>
      <w:r>
        <w:rPr>
          <w:spacing w:val="-4"/>
        </w:rPr>
        <w:t xml:space="preserve"> </w:t>
      </w:r>
      <w:r>
        <w:t>health</w:t>
      </w:r>
      <w:r>
        <w:rPr>
          <w:spacing w:val="-3"/>
        </w:rPr>
        <w:t xml:space="preserve"> </w:t>
      </w:r>
      <w:r>
        <w:t>and</w:t>
      </w:r>
      <w:r>
        <w:rPr>
          <w:spacing w:val="-4"/>
        </w:rPr>
        <w:t xml:space="preserve"> </w:t>
      </w:r>
      <w:r>
        <w:t>safety</w:t>
      </w:r>
      <w:r>
        <w:rPr>
          <w:spacing w:val="-4"/>
        </w:rPr>
        <w:t xml:space="preserve"> </w:t>
      </w:r>
      <w:r>
        <w:t>inspections</w:t>
      </w:r>
      <w:r>
        <w:rPr>
          <w:spacing w:val="-2"/>
        </w:rPr>
        <w:t xml:space="preserve"> </w:t>
      </w:r>
      <w:r>
        <w:t>are</w:t>
      </w:r>
      <w:r>
        <w:rPr>
          <w:spacing w:val="-4"/>
        </w:rPr>
        <w:t xml:space="preserve"> </w:t>
      </w:r>
      <w:r>
        <w:t>conducted</w:t>
      </w:r>
      <w:r>
        <w:rPr>
          <w:spacing w:val="-1"/>
        </w:rPr>
        <w:t xml:space="preserve"> </w:t>
      </w:r>
      <w:r>
        <w:t>in</w:t>
      </w:r>
      <w:r>
        <w:rPr>
          <w:spacing w:val="-4"/>
        </w:rPr>
        <w:t xml:space="preserve"> </w:t>
      </w:r>
      <w:r>
        <w:t>a</w:t>
      </w:r>
      <w:r>
        <w:rPr>
          <w:spacing w:val="-4"/>
        </w:rPr>
        <w:t xml:space="preserve"> </w:t>
      </w:r>
      <w:r>
        <w:t>timely</w:t>
      </w:r>
      <w:r>
        <w:rPr>
          <w:spacing w:val="-5"/>
        </w:rPr>
        <w:t xml:space="preserve"> </w:t>
      </w:r>
      <w:r>
        <w:t>manner</w:t>
      </w:r>
    </w:p>
    <w:p w:rsidR="004A1C30" w:rsidRDefault="004A1C30">
      <w:pPr>
        <w:pStyle w:val="BodyText"/>
        <w:rPr>
          <w:sz w:val="20"/>
        </w:rPr>
      </w:pPr>
    </w:p>
    <w:p w:rsidR="004A1C30" w:rsidRDefault="004A1C30">
      <w:pPr>
        <w:pStyle w:val="BodyText"/>
        <w:spacing w:before="9"/>
        <w:rPr>
          <w:sz w:val="10"/>
        </w:rPr>
      </w:pP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3"/>
      </w:tblGrid>
      <w:tr w:rsidR="004A1C30">
        <w:trPr>
          <w:trHeight w:hRule="exact" w:val="4136"/>
        </w:trPr>
        <w:tc>
          <w:tcPr>
            <w:tcW w:w="3193" w:type="dxa"/>
          </w:tcPr>
          <w:p w:rsidR="004A1C30" w:rsidRDefault="004A1C30">
            <w:pPr>
              <w:pStyle w:val="TableParagraph"/>
              <w:spacing w:before="10"/>
              <w:ind w:left="0"/>
              <w:rPr>
                <w:sz w:val="15"/>
                <w:u w:val="none"/>
              </w:rPr>
            </w:pPr>
          </w:p>
          <w:p w:rsidR="004A1C30" w:rsidRDefault="00102530">
            <w:pPr>
              <w:pStyle w:val="TableParagraph"/>
              <w:ind w:left="103" w:right="517"/>
              <w:rPr>
                <w:b/>
                <w:sz w:val="16"/>
                <w:u w:val="none"/>
              </w:rPr>
            </w:pPr>
            <w:r>
              <w:rPr>
                <w:b/>
                <w:sz w:val="16"/>
                <w:u w:val="none"/>
              </w:rPr>
              <w:t>Approvals, Licenses, Certificates of Inspection</w:t>
            </w:r>
          </w:p>
          <w:p w:rsidR="004A1C30" w:rsidRDefault="004A1C30">
            <w:pPr>
              <w:pStyle w:val="TableParagraph"/>
              <w:spacing w:before="10"/>
              <w:ind w:left="0"/>
              <w:rPr>
                <w:sz w:val="15"/>
                <w:u w:val="none"/>
              </w:rPr>
            </w:pPr>
          </w:p>
          <w:p w:rsidR="004A1C30" w:rsidRDefault="00102530">
            <w:pPr>
              <w:pStyle w:val="TableParagraph"/>
              <w:ind w:left="103"/>
              <w:rPr>
                <w:sz w:val="16"/>
                <w:u w:val="none"/>
              </w:rPr>
            </w:pPr>
            <w:r>
              <w:rPr>
                <w:sz w:val="16"/>
                <w:u w:val="none"/>
              </w:rPr>
              <w:t>18.04(1); 28.09(2)(b)(5); 28.09(5) (b);</w:t>
            </w:r>
          </w:p>
          <w:p w:rsidR="004A1C30" w:rsidRDefault="00102530">
            <w:pPr>
              <w:pStyle w:val="TableParagraph"/>
              <w:spacing w:before="1"/>
              <w:ind w:left="103"/>
              <w:rPr>
                <w:sz w:val="16"/>
                <w:u w:val="none"/>
              </w:rPr>
            </w:pPr>
            <w:r>
              <w:rPr>
                <w:sz w:val="16"/>
                <w:u w:val="none"/>
              </w:rPr>
              <w:t>28.09(6) (b, c)</w:t>
            </w:r>
          </w:p>
        </w:tc>
        <w:tc>
          <w:tcPr>
            <w:tcW w:w="3192" w:type="dxa"/>
          </w:tcPr>
          <w:p w:rsidR="004A1C30" w:rsidRDefault="004A1C30">
            <w:pPr>
              <w:pStyle w:val="TableParagraph"/>
              <w:spacing w:before="10"/>
              <w:ind w:left="0"/>
              <w:rPr>
                <w:sz w:val="15"/>
                <w:u w:val="none"/>
              </w:rPr>
            </w:pPr>
          </w:p>
          <w:p w:rsidR="004A1C30" w:rsidRDefault="00102530">
            <w:pPr>
              <w:pStyle w:val="TableParagraph"/>
              <w:ind w:right="163"/>
              <w:rPr>
                <w:sz w:val="16"/>
                <w:u w:val="none"/>
              </w:rPr>
            </w:pPr>
            <w:r>
              <w:rPr>
                <w:sz w:val="16"/>
                <w:u w:val="none"/>
              </w:rPr>
              <w:t>The program has current approvals, and certificates of inspection by state and local agencies, including:</w:t>
            </w:r>
          </w:p>
          <w:p w:rsidR="004A1C30" w:rsidRDefault="00102530">
            <w:pPr>
              <w:pStyle w:val="TableParagraph"/>
              <w:ind w:right="243"/>
              <w:rPr>
                <w:sz w:val="16"/>
                <w:u w:val="none"/>
              </w:rPr>
            </w:pPr>
            <w:r>
              <w:rPr>
                <w:sz w:val="16"/>
              </w:rPr>
              <w:t>Safety Inspection</w:t>
            </w:r>
            <w:r>
              <w:rPr>
                <w:sz w:val="16"/>
                <w:u w:val="none"/>
              </w:rPr>
              <w:t>. The school shall have an appropriate certificate of inspection from the Department of Public Safety or the local building inspector for each building to which students have access;</w:t>
            </w:r>
          </w:p>
          <w:p w:rsidR="004A1C30" w:rsidRDefault="00102530">
            <w:pPr>
              <w:pStyle w:val="TableParagraph"/>
              <w:spacing w:before="1"/>
              <w:ind w:right="118"/>
              <w:rPr>
                <w:sz w:val="16"/>
                <w:u w:val="none"/>
              </w:rPr>
            </w:pPr>
            <w:r>
              <w:rPr>
                <w:sz w:val="16"/>
              </w:rPr>
              <w:t>Fire Inspection</w:t>
            </w:r>
            <w:r>
              <w:rPr>
                <w:sz w:val="16"/>
                <w:u w:val="none"/>
              </w:rPr>
              <w:t xml:space="preserve">. The school shall obtain a written report of an annual fire inspection from the local fire department;                                and </w:t>
            </w:r>
            <w:r>
              <w:rPr>
                <w:sz w:val="16"/>
              </w:rPr>
              <w:t xml:space="preserve">Local Board of Health permit </w:t>
            </w:r>
            <w:r>
              <w:rPr>
                <w:sz w:val="16"/>
                <w:u w:val="none"/>
              </w:rPr>
              <w:t>for food services. (USDA regulations require all national school lunch program funds recipients to obtain an inspection from the local Board of Health twice annually, even if they</w:t>
            </w:r>
            <w:r>
              <w:rPr>
                <w:spacing w:val="-19"/>
                <w:sz w:val="16"/>
                <w:u w:val="none"/>
              </w:rPr>
              <w:t xml:space="preserve"> </w:t>
            </w:r>
            <w:r>
              <w:rPr>
                <w:sz w:val="16"/>
                <w:u w:val="none"/>
              </w:rPr>
              <w:t>are only “serve-only”</w:t>
            </w:r>
            <w:r>
              <w:rPr>
                <w:spacing w:val="-8"/>
                <w:sz w:val="16"/>
                <w:u w:val="none"/>
              </w:rPr>
              <w:t xml:space="preserve"> </w:t>
            </w:r>
            <w:r>
              <w:rPr>
                <w:sz w:val="16"/>
                <w:u w:val="none"/>
              </w:rPr>
              <w:t>sites.)</w:t>
            </w:r>
          </w:p>
        </w:tc>
        <w:tc>
          <w:tcPr>
            <w:tcW w:w="3193" w:type="dxa"/>
          </w:tcPr>
          <w:p w:rsidR="004A1C30" w:rsidRDefault="004A1C30">
            <w:pPr>
              <w:pStyle w:val="TableParagraph"/>
              <w:spacing w:before="10"/>
              <w:ind w:left="0"/>
              <w:rPr>
                <w:sz w:val="15"/>
                <w:u w:val="none"/>
              </w:rPr>
            </w:pPr>
          </w:p>
          <w:p w:rsidR="004A1C30" w:rsidRDefault="00102530">
            <w:pPr>
              <w:pStyle w:val="TableParagraph"/>
              <w:spacing w:line="187" w:lineRule="exact"/>
              <w:rPr>
                <w:sz w:val="16"/>
                <w:u w:val="none"/>
              </w:rPr>
            </w:pPr>
            <w:r>
              <w:rPr>
                <w:sz w:val="16"/>
              </w:rPr>
              <w:t>Documentation:</w:t>
            </w:r>
          </w:p>
          <w:p w:rsidR="004A1C30" w:rsidRDefault="00102530">
            <w:pPr>
              <w:pStyle w:val="TableParagraph"/>
              <w:ind w:right="197"/>
              <w:rPr>
                <w:sz w:val="16"/>
                <w:u w:val="none"/>
              </w:rPr>
            </w:pPr>
            <w:r>
              <w:rPr>
                <w:sz w:val="16"/>
                <w:u w:val="none"/>
              </w:rPr>
              <w:t>Obtain and keep available for review current licenses, approvals, and certificates of inspection</w:t>
            </w:r>
          </w:p>
        </w:tc>
      </w:tr>
    </w:tbl>
    <w:p w:rsidR="004A1C30" w:rsidRDefault="004A1C30">
      <w:pPr>
        <w:rPr>
          <w:sz w:val="16"/>
        </w:rPr>
        <w:sectPr w:rsidR="004A1C30">
          <w:footerReference w:type="default" r:id="rId12"/>
          <w:type w:val="continuous"/>
          <w:pgSz w:w="12240" w:h="15840"/>
          <w:pgMar w:top="1000" w:right="500" w:bottom="1320" w:left="540" w:header="720" w:footer="1125" w:gutter="0"/>
          <w:pgNumType w:start="1"/>
          <w:cols w:space="720"/>
        </w:sectPr>
      </w:pPr>
    </w:p>
    <w:p w:rsidR="004A1C30" w:rsidRDefault="004A1C30">
      <w:pPr>
        <w:pStyle w:val="BodyText"/>
        <w:spacing w:before="2"/>
        <w:rPr>
          <w:sz w:val="10"/>
        </w:rPr>
      </w:pPr>
    </w:p>
    <w:p w:rsidR="004A1C30" w:rsidRDefault="00102530">
      <w:pPr>
        <w:pStyle w:val="ListParagraph"/>
        <w:numPr>
          <w:ilvl w:val="0"/>
          <w:numId w:val="1"/>
        </w:numPr>
        <w:tabs>
          <w:tab w:val="left" w:pos="880"/>
          <w:tab w:val="left" w:pos="881"/>
        </w:tabs>
        <w:spacing w:before="101" w:line="276" w:lineRule="auto"/>
        <w:ind w:right="515"/>
      </w:pPr>
      <w:r>
        <w:t xml:space="preserve">Notify the Department in the event of a </w:t>
      </w:r>
      <w:r>
        <w:rPr>
          <w:b/>
        </w:rPr>
        <w:t xml:space="preserve">significant program change </w:t>
      </w:r>
      <w:r>
        <w:t xml:space="preserve">(Form 1) , or in the event of a serious incident (Form 2)  (See: </w:t>
      </w:r>
      <w:hyperlink r:id="rId13">
        <w:r>
          <w:rPr>
            <w:color w:val="0000FF"/>
            <w:u w:val="single" w:color="0000FF"/>
          </w:rPr>
          <w:t>http://www.doe.mass.edu/pqa/sa_nr/</w:t>
        </w:r>
        <w:r>
          <w:rPr>
            <w:color w:val="0000FF"/>
            <w:spacing w:val="-26"/>
            <w:u w:val="single" w:color="0000FF"/>
          </w:rPr>
          <w:t xml:space="preserve"> </w:t>
        </w:r>
      </w:hyperlink>
      <w:r>
        <w:t>)</w:t>
      </w:r>
    </w:p>
    <w:p w:rsidR="004A1C30" w:rsidRDefault="00102530">
      <w:pPr>
        <w:pStyle w:val="ListParagraph"/>
        <w:numPr>
          <w:ilvl w:val="0"/>
          <w:numId w:val="1"/>
        </w:numPr>
        <w:tabs>
          <w:tab w:val="left" w:pos="880"/>
          <w:tab w:val="left" w:pos="881"/>
        </w:tabs>
        <w:spacing w:line="276" w:lineRule="auto"/>
        <w:ind w:right="574"/>
      </w:pPr>
      <w:r>
        <w:t xml:space="preserve">Request </w:t>
      </w:r>
      <w:r>
        <w:rPr>
          <w:b/>
        </w:rPr>
        <w:t xml:space="preserve">waivers for class size or age span exemptions </w:t>
      </w:r>
      <w:r>
        <w:t xml:space="preserve">as required by the regulations (See: </w:t>
      </w:r>
      <w:hyperlink r:id="rId14">
        <w:r>
          <w:rPr>
            <w:color w:val="0000FF"/>
            <w:u w:val="single" w:color="0000FF"/>
          </w:rPr>
          <w:t>http://www.doe.mass.edu/pqa/sa_nr/</w:t>
        </w:r>
        <w:r>
          <w:rPr>
            <w:color w:val="0000FF"/>
            <w:spacing w:val="-11"/>
            <w:u w:val="single" w:color="0000FF"/>
          </w:rPr>
          <w:t xml:space="preserve"> </w:t>
        </w:r>
      </w:hyperlink>
      <w:r>
        <w:t>)</w:t>
      </w:r>
    </w:p>
    <w:p w:rsidR="004A1C30" w:rsidRDefault="00102530">
      <w:pPr>
        <w:pStyle w:val="ListParagraph"/>
        <w:numPr>
          <w:ilvl w:val="0"/>
          <w:numId w:val="1"/>
        </w:numPr>
        <w:tabs>
          <w:tab w:val="left" w:pos="880"/>
          <w:tab w:val="left" w:pos="881"/>
        </w:tabs>
        <w:spacing w:before="3" w:line="273" w:lineRule="auto"/>
        <w:ind w:right="538"/>
      </w:pPr>
      <w:r>
        <w:t xml:space="preserve">Remain </w:t>
      </w:r>
      <w:r>
        <w:rPr>
          <w:b/>
        </w:rPr>
        <w:t xml:space="preserve">current and updated </w:t>
      </w:r>
      <w:r>
        <w:t>in regard to any changes in law or regulation by regularly reviewing Department guidance and</w:t>
      </w:r>
      <w:r>
        <w:rPr>
          <w:spacing w:val="-16"/>
        </w:rPr>
        <w:t xml:space="preserve"> </w:t>
      </w:r>
      <w:r>
        <w:t>publications</w:t>
      </w:r>
    </w:p>
    <w:p w:rsidR="004A1C30" w:rsidRDefault="00102530">
      <w:pPr>
        <w:pStyle w:val="BodyText"/>
        <w:spacing w:before="202"/>
        <w:ind w:left="160" w:right="337"/>
      </w:pPr>
      <w:r>
        <w:t>All requirements continue to apply to all approved public day programs as described in applicable regulations. If the Department determines that a public day school is not meeting applicable requirements, it may be placed on probationary status by the Department, as described below:</w:t>
      </w:r>
    </w:p>
    <w:p w:rsidR="004A1C30" w:rsidRDefault="004A1C30">
      <w:pPr>
        <w:pStyle w:val="BodyText"/>
        <w:spacing w:before="11"/>
        <w:rPr>
          <w:sz w:val="21"/>
        </w:rPr>
      </w:pPr>
    </w:p>
    <w:p w:rsidR="004A1C30" w:rsidRDefault="00102530">
      <w:pPr>
        <w:pStyle w:val="Heading1"/>
      </w:pPr>
      <w:r>
        <w:rPr>
          <w:u w:val="single"/>
        </w:rPr>
        <w:t>Probationary Approval</w:t>
      </w:r>
    </w:p>
    <w:p w:rsidR="004A1C30" w:rsidRDefault="004A1C30">
      <w:pPr>
        <w:pStyle w:val="BodyText"/>
        <w:rPr>
          <w:b/>
        </w:rPr>
      </w:pPr>
    </w:p>
    <w:p w:rsidR="004A1C30" w:rsidRDefault="00102530">
      <w:pPr>
        <w:pStyle w:val="BodyText"/>
        <w:ind w:left="160" w:right="268"/>
      </w:pPr>
      <w:r>
        <w:t xml:space="preserve">The Department shall place a program on Probationary Approval if it becomes aware of conditions at the program that, in the Department's judgment, compromise the program's ability to provide a safe, healthy and appropriate educational environment. In such circumstances, the Department shall provide written notice of the Probationary Approval, the circumstances that caused the Department to take such action, and the actions necessary to correct the problem. Refer to 603 CMR 28.09(4) for an additional detailed explanation of standards and procedures in cases where the Department issues notice of Probationary status to a program. The Department makes public notice on its website at </w:t>
      </w:r>
      <w:hyperlink r:id="rId15">
        <w:r>
          <w:rPr>
            <w:color w:val="0000FF"/>
            <w:u w:val="single" w:color="0000FF"/>
          </w:rPr>
          <w:t xml:space="preserve">http://www.doe.mass.edu/pqa/ </w:t>
        </w:r>
      </w:hyperlink>
      <w:r>
        <w:t>in all cases where it has determined that a program must be issued such an approval.</w:t>
      </w:r>
    </w:p>
    <w:p w:rsidR="004A1C30" w:rsidRDefault="004A1C30">
      <w:pPr>
        <w:pStyle w:val="BodyText"/>
        <w:spacing w:before="2"/>
        <w:rPr>
          <w:sz w:val="32"/>
        </w:rPr>
      </w:pPr>
    </w:p>
    <w:p w:rsidR="004A1C30" w:rsidRDefault="00102530">
      <w:pPr>
        <w:pStyle w:val="Heading1"/>
      </w:pPr>
      <w:r>
        <w:rPr>
          <w:u w:val="single"/>
        </w:rPr>
        <w:t>Certificate of Approval to Operate</w:t>
      </w:r>
    </w:p>
    <w:p w:rsidR="004A1C30" w:rsidRDefault="004A1C30">
      <w:pPr>
        <w:pStyle w:val="BodyText"/>
        <w:rPr>
          <w:b/>
        </w:rPr>
      </w:pPr>
    </w:p>
    <w:p w:rsidR="004A1C30" w:rsidRDefault="00102530">
      <w:pPr>
        <w:pStyle w:val="BodyText"/>
        <w:ind w:left="160" w:right="370"/>
      </w:pPr>
      <w:r>
        <w:t>Because public day school approval certificates previously issued contain expiration dates that no longer apply, a copy of this memo can be printed and attached to your existing approval for purposes of establishing compliance. The ongoing approval status described in this memo only applies to public day schools that received a full approval for the 2016-2017 school year.</w:t>
      </w:r>
    </w:p>
    <w:p w:rsidR="004A1C30" w:rsidRDefault="004A1C30">
      <w:pPr>
        <w:pStyle w:val="BodyText"/>
        <w:rPr>
          <w:sz w:val="20"/>
        </w:rPr>
      </w:pPr>
    </w:p>
    <w:p w:rsidR="004A1C30" w:rsidRDefault="004A1C30">
      <w:pPr>
        <w:pStyle w:val="BodyText"/>
        <w:rPr>
          <w:sz w:val="20"/>
        </w:rPr>
      </w:pPr>
    </w:p>
    <w:p w:rsidR="004A1C30" w:rsidRDefault="00DC64B5">
      <w:pPr>
        <w:pStyle w:val="BodyText"/>
        <w:spacing w:before="2"/>
        <w:rPr>
          <w:sz w:val="25"/>
        </w:rPr>
      </w:pPr>
      <w:bookmarkStart w:id="0" w:name="_GoBack"/>
      <w:r>
        <w:pict>
          <v:group id="_x0000_s1026" alt="Questions regarding these changes may be directed to your Problem Resolution System (PRS) Specialist. For a complete listing of PRS Specialist staff, click HERE, or go to:&#10;http://www.doe.mass.edu/pqa/prs/specialist-list.html" style="position:absolute;margin-left:71.7pt;margin-top:16.7pt;width:465.15pt;height:120.7pt;z-index:251659776;mso-wrap-distance-left:0;mso-wrap-distance-right:0;mso-position-horizontal-relative:page" coordorigin="1434,334" coordsize="9303,2414">
            <v:line id="_x0000_s1031" style="position:absolute" from="1470,2712" to="10701,2712" strokecolor="#612322" strokeweight="3.6pt"/>
            <v:line id="_x0000_s1030" style="position:absolute" from="1506,406" to="1506,2676" strokecolor="#612322" strokeweight="3.6pt"/>
            <v:line id="_x0000_s1029" alt="" style="position:absolute" from="1470,370" to="10701,370" strokecolor="#612322" strokeweight="3.6pt"/>
            <v:line id="_x0000_s1028" style="position:absolute" from="10665,405" to="10665,2675" strokecolor="#612322" strokeweight="3.6pt"/>
            <v:shapetype id="_x0000_t202" coordsize="21600,21600" o:spt="202" path="m,l,21600r21600,l21600,xe">
              <v:stroke joinstyle="miter"/>
              <v:path gradientshapeok="t" o:connecttype="rect"/>
            </v:shapetype>
            <v:shape id="_x0000_s1027" type="#_x0000_t202" style="position:absolute;left:1578;top:442;width:9015;height:2198" filled="f" strokecolor="#612322" strokeweight="1.2pt">
              <v:textbox inset="0,0,0,0">
                <w:txbxContent>
                  <w:p w:rsidR="004A1C30" w:rsidRDefault="004A1C30">
                    <w:pPr>
                      <w:spacing w:before="6"/>
                      <w:rPr>
                        <w:sz w:val="41"/>
                      </w:rPr>
                    </w:pPr>
                  </w:p>
                  <w:p w:rsidR="004A1C30" w:rsidRDefault="00102530">
                    <w:pPr>
                      <w:ind w:left="699" w:right="338" w:hanging="2"/>
                      <w:jc w:val="center"/>
                      <w:rPr>
                        <w:b/>
                        <w:i/>
                        <w:sz w:val="24"/>
                      </w:rPr>
                    </w:pPr>
                    <w:r>
                      <w:rPr>
                        <w:b/>
                        <w:i/>
                        <w:sz w:val="24"/>
                      </w:rPr>
                      <w:t xml:space="preserve">Questions regarding these changes may be directed to your Problem Resolution System (PRS) Specialist. For a complete listing of PRS Specialist staff, click </w:t>
                    </w:r>
                    <w:hyperlink r:id="rId16">
                      <w:r>
                        <w:rPr>
                          <w:b/>
                          <w:i/>
                          <w:color w:val="800080"/>
                          <w:sz w:val="24"/>
                          <w:u w:val="single" w:color="800080"/>
                        </w:rPr>
                        <w:t>HERE</w:t>
                      </w:r>
                      <w:r>
                        <w:rPr>
                          <w:b/>
                          <w:i/>
                          <w:sz w:val="24"/>
                        </w:rPr>
                        <w:t>,</w:t>
                      </w:r>
                    </w:hyperlink>
                    <w:r>
                      <w:rPr>
                        <w:b/>
                        <w:i/>
                        <w:sz w:val="24"/>
                      </w:rPr>
                      <w:t xml:space="preserve"> or go to:</w:t>
                    </w:r>
                  </w:p>
                  <w:p w:rsidR="004A1C30" w:rsidRDefault="00DC64B5">
                    <w:pPr>
                      <w:spacing w:line="281" w:lineRule="exact"/>
                      <w:ind w:left="1627" w:right="1262"/>
                      <w:jc w:val="center"/>
                      <w:rPr>
                        <w:b/>
                        <w:sz w:val="24"/>
                      </w:rPr>
                    </w:pPr>
                    <w:hyperlink r:id="rId17">
                      <w:r w:rsidR="00102530">
                        <w:rPr>
                          <w:b/>
                          <w:color w:val="800080"/>
                          <w:sz w:val="24"/>
                          <w:u w:val="single" w:color="800080"/>
                        </w:rPr>
                        <w:t>http://www.doe.mass.edu/pqa/prs/specialist-list.html</w:t>
                      </w:r>
                    </w:hyperlink>
                  </w:p>
                </w:txbxContent>
              </v:textbox>
            </v:shape>
            <w10:wrap type="topAndBottom" anchorx="page"/>
          </v:group>
        </w:pict>
      </w:r>
      <w:bookmarkEnd w:id="0"/>
    </w:p>
    <w:sectPr w:rsidR="004A1C30" w:rsidSect="004A1C30">
      <w:pgSz w:w="12240" w:h="15840"/>
      <w:pgMar w:top="1500" w:right="1260" w:bottom="1320" w:left="1280" w:header="0" w:footer="11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B5" w:rsidRDefault="00DC64B5" w:rsidP="004A1C30">
      <w:r>
        <w:separator/>
      </w:r>
    </w:p>
  </w:endnote>
  <w:endnote w:type="continuationSeparator" w:id="0">
    <w:p w:rsidR="00DC64B5" w:rsidRDefault="00DC64B5" w:rsidP="004A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30" w:rsidRDefault="00DC64B5">
    <w:pPr>
      <w:pStyle w:val="BodyText"/>
      <w:spacing w:line="14" w:lineRule="auto"/>
      <w:rPr>
        <w:sz w:val="20"/>
      </w:rPr>
    </w:pPr>
    <w:r>
      <w:pict>
        <v:line id="_x0000_s2052" style="position:absolute;z-index:-4072;mso-position-horizontal-relative:page;mso-position-vertical-relative:page" from="70.6pt,726.8pt" to="541.55pt,726.8pt" strokecolor="#612322" strokeweight=".72pt">
          <w10:wrap anchorx="page" anchory="page"/>
        </v:line>
      </w:pict>
    </w:r>
    <w:r>
      <w:pict>
        <v:line id="_x0000_s2051" style="position:absolute;z-index:-4048;mso-position-horizontal-relative:page;mso-position-vertical-relative:page" from="70.6pt,724.25pt" to="541.55pt,724.25pt" strokecolor="#612322" strokeweight="3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1pt;margin-top:727.25pt;width:237.7pt;height:16.1pt;z-index:-4024;mso-position-horizontal-relative:page;mso-position-vertical-relative:page" filled="f" stroked="f">
          <v:textbox inset="0,0,0,0">
            <w:txbxContent>
              <w:p w:rsidR="004A1C30" w:rsidRDefault="00102530">
                <w:pPr>
                  <w:spacing w:before="20"/>
                  <w:ind w:left="20"/>
                  <w:rPr>
                    <w:sz w:val="24"/>
                  </w:rPr>
                </w:pPr>
                <w:r>
                  <w:rPr>
                    <w:sz w:val="24"/>
                  </w:rPr>
                  <w:t>Approval Procedures for Public Day Programs</w:t>
                </w:r>
              </w:p>
            </w:txbxContent>
          </v:textbox>
          <w10:wrap anchorx="page" anchory="page"/>
        </v:shape>
      </w:pict>
    </w:r>
    <w:r>
      <w:pict>
        <v:shape id="_x0000_s2049" type="#_x0000_t202" style="position:absolute;margin-left:505.4pt;margin-top:727.25pt;width:36.8pt;height:16.1pt;z-index:-4000;mso-position-horizontal-relative:page;mso-position-vertical-relative:page" filled="f" stroked="f">
          <v:textbox inset="0,0,0,0">
            <w:txbxContent>
              <w:p w:rsidR="004A1C30" w:rsidRDefault="00102530">
                <w:pPr>
                  <w:spacing w:before="20"/>
                  <w:ind w:left="20"/>
                  <w:rPr>
                    <w:sz w:val="24"/>
                  </w:rPr>
                </w:pPr>
                <w:r>
                  <w:rPr>
                    <w:sz w:val="24"/>
                  </w:rPr>
                  <w:t xml:space="preserve">Page </w:t>
                </w:r>
                <w:r w:rsidR="004A1C30">
                  <w:fldChar w:fldCharType="begin"/>
                </w:r>
                <w:r>
                  <w:rPr>
                    <w:sz w:val="24"/>
                  </w:rPr>
                  <w:instrText xml:space="preserve"> PAGE </w:instrText>
                </w:r>
                <w:r w:rsidR="004A1C30">
                  <w:fldChar w:fldCharType="separate"/>
                </w:r>
                <w:r w:rsidR="005065DD">
                  <w:rPr>
                    <w:noProof/>
                    <w:sz w:val="24"/>
                  </w:rPr>
                  <w:t>2</w:t>
                </w:r>
                <w:r w:rsidR="004A1C30">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B5" w:rsidRDefault="00DC64B5" w:rsidP="004A1C30">
      <w:r>
        <w:separator/>
      </w:r>
    </w:p>
  </w:footnote>
  <w:footnote w:type="continuationSeparator" w:id="0">
    <w:p w:rsidR="00DC64B5" w:rsidRDefault="00DC64B5" w:rsidP="004A1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05548"/>
    <w:multiLevelType w:val="hybridMultilevel"/>
    <w:tmpl w:val="EDEE53F2"/>
    <w:lvl w:ilvl="0" w:tplc="FD88FC94">
      <w:numFmt w:val="bullet"/>
      <w:lvlText w:val=""/>
      <w:lvlJc w:val="left"/>
      <w:pPr>
        <w:ind w:left="1620" w:hanging="360"/>
      </w:pPr>
      <w:rPr>
        <w:rFonts w:ascii="Symbol" w:eastAsia="Symbol" w:hAnsi="Symbol" w:cs="Symbol" w:hint="default"/>
        <w:w w:val="100"/>
        <w:sz w:val="22"/>
        <w:szCs w:val="22"/>
      </w:rPr>
    </w:lvl>
    <w:lvl w:ilvl="1" w:tplc="697AEDEA">
      <w:numFmt w:val="bullet"/>
      <w:lvlText w:val="•"/>
      <w:lvlJc w:val="left"/>
      <w:pPr>
        <w:ind w:left="2578" w:hanging="360"/>
      </w:pPr>
      <w:rPr>
        <w:rFonts w:hint="default"/>
      </w:rPr>
    </w:lvl>
    <w:lvl w:ilvl="2" w:tplc="DA6870AC">
      <w:numFmt w:val="bullet"/>
      <w:lvlText w:val="•"/>
      <w:lvlJc w:val="left"/>
      <w:pPr>
        <w:ind w:left="3536" w:hanging="360"/>
      </w:pPr>
      <w:rPr>
        <w:rFonts w:hint="default"/>
      </w:rPr>
    </w:lvl>
    <w:lvl w:ilvl="3" w:tplc="F3941B66">
      <w:numFmt w:val="bullet"/>
      <w:lvlText w:val="•"/>
      <w:lvlJc w:val="left"/>
      <w:pPr>
        <w:ind w:left="4494" w:hanging="360"/>
      </w:pPr>
      <w:rPr>
        <w:rFonts w:hint="default"/>
      </w:rPr>
    </w:lvl>
    <w:lvl w:ilvl="4" w:tplc="97F2BBF6">
      <w:numFmt w:val="bullet"/>
      <w:lvlText w:val="•"/>
      <w:lvlJc w:val="left"/>
      <w:pPr>
        <w:ind w:left="5452" w:hanging="360"/>
      </w:pPr>
      <w:rPr>
        <w:rFonts w:hint="default"/>
      </w:rPr>
    </w:lvl>
    <w:lvl w:ilvl="5" w:tplc="3DA2F01A">
      <w:numFmt w:val="bullet"/>
      <w:lvlText w:val="•"/>
      <w:lvlJc w:val="left"/>
      <w:pPr>
        <w:ind w:left="6410" w:hanging="360"/>
      </w:pPr>
      <w:rPr>
        <w:rFonts w:hint="default"/>
      </w:rPr>
    </w:lvl>
    <w:lvl w:ilvl="6" w:tplc="AA143F76">
      <w:numFmt w:val="bullet"/>
      <w:lvlText w:val="•"/>
      <w:lvlJc w:val="left"/>
      <w:pPr>
        <w:ind w:left="7368" w:hanging="360"/>
      </w:pPr>
      <w:rPr>
        <w:rFonts w:hint="default"/>
      </w:rPr>
    </w:lvl>
    <w:lvl w:ilvl="7" w:tplc="EA545CEE">
      <w:numFmt w:val="bullet"/>
      <w:lvlText w:val="•"/>
      <w:lvlJc w:val="left"/>
      <w:pPr>
        <w:ind w:left="8326" w:hanging="360"/>
      </w:pPr>
      <w:rPr>
        <w:rFonts w:hint="default"/>
      </w:rPr>
    </w:lvl>
    <w:lvl w:ilvl="8" w:tplc="7B48023A">
      <w:numFmt w:val="bullet"/>
      <w:lvlText w:val="•"/>
      <w:lvlJc w:val="left"/>
      <w:pPr>
        <w:ind w:left="9284" w:hanging="360"/>
      </w:pPr>
      <w:rPr>
        <w:rFonts w:hint="default"/>
      </w:rPr>
    </w:lvl>
  </w:abstractNum>
  <w:abstractNum w:abstractNumId="1" w15:restartNumberingAfterBreak="0">
    <w:nsid w:val="7EF832CF"/>
    <w:multiLevelType w:val="hybridMultilevel"/>
    <w:tmpl w:val="BB1A71B2"/>
    <w:lvl w:ilvl="0" w:tplc="1F823EF2">
      <w:numFmt w:val="bullet"/>
      <w:lvlText w:val=""/>
      <w:lvlJc w:val="left"/>
      <w:pPr>
        <w:ind w:left="880" w:hanging="360"/>
      </w:pPr>
      <w:rPr>
        <w:rFonts w:ascii="Symbol" w:eastAsia="Symbol" w:hAnsi="Symbol" w:cs="Symbol" w:hint="default"/>
        <w:w w:val="100"/>
        <w:sz w:val="22"/>
        <w:szCs w:val="22"/>
      </w:rPr>
    </w:lvl>
    <w:lvl w:ilvl="1" w:tplc="39B2D7BE">
      <w:numFmt w:val="bullet"/>
      <w:lvlText w:val="•"/>
      <w:lvlJc w:val="left"/>
      <w:pPr>
        <w:ind w:left="1762" w:hanging="360"/>
      </w:pPr>
      <w:rPr>
        <w:rFonts w:hint="default"/>
      </w:rPr>
    </w:lvl>
    <w:lvl w:ilvl="2" w:tplc="2BF48B10">
      <w:numFmt w:val="bullet"/>
      <w:lvlText w:val="•"/>
      <w:lvlJc w:val="left"/>
      <w:pPr>
        <w:ind w:left="2644" w:hanging="360"/>
      </w:pPr>
      <w:rPr>
        <w:rFonts w:hint="default"/>
      </w:rPr>
    </w:lvl>
    <w:lvl w:ilvl="3" w:tplc="534AD506">
      <w:numFmt w:val="bullet"/>
      <w:lvlText w:val="•"/>
      <w:lvlJc w:val="left"/>
      <w:pPr>
        <w:ind w:left="3526" w:hanging="360"/>
      </w:pPr>
      <w:rPr>
        <w:rFonts w:hint="default"/>
      </w:rPr>
    </w:lvl>
    <w:lvl w:ilvl="4" w:tplc="DEE81982">
      <w:numFmt w:val="bullet"/>
      <w:lvlText w:val="•"/>
      <w:lvlJc w:val="left"/>
      <w:pPr>
        <w:ind w:left="4408" w:hanging="360"/>
      </w:pPr>
      <w:rPr>
        <w:rFonts w:hint="default"/>
      </w:rPr>
    </w:lvl>
    <w:lvl w:ilvl="5" w:tplc="D7A2DC6A">
      <w:numFmt w:val="bullet"/>
      <w:lvlText w:val="•"/>
      <w:lvlJc w:val="left"/>
      <w:pPr>
        <w:ind w:left="5290" w:hanging="360"/>
      </w:pPr>
      <w:rPr>
        <w:rFonts w:hint="default"/>
      </w:rPr>
    </w:lvl>
    <w:lvl w:ilvl="6" w:tplc="50CC085C">
      <w:numFmt w:val="bullet"/>
      <w:lvlText w:val="•"/>
      <w:lvlJc w:val="left"/>
      <w:pPr>
        <w:ind w:left="6172" w:hanging="360"/>
      </w:pPr>
      <w:rPr>
        <w:rFonts w:hint="default"/>
      </w:rPr>
    </w:lvl>
    <w:lvl w:ilvl="7" w:tplc="F1026378">
      <w:numFmt w:val="bullet"/>
      <w:lvlText w:val="•"/>
      <w:lvlJc w:val="left"/>
      <w:pPr>
        <w:ind w:left="7054" w:hanging="360"/>
      </w:pPr>
      <w:rPr>
        <w:rFonts w:hint="default"/>
      </w:rPr>
    </w:lvl>
    <w:lvl w:ilvl="8" w:tplc="7540A56E">
      <w:numFmt w:val="bullet"/>
      <w:lvlText w:val="•"/>
      <w:lvlJc w:val="left"/>
      <w:pPr>
        <w:ind w:left="793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1C30"/>
    <w:rsid w:val="00102530"/>
    <w:rsid w:val="002947C7"/>
    <w:rsid w:val="004A1C30"/>
    <w:rsid w:val="004D4486"/>
    <w:rsid w:val="005065DD"/>
    <w:rsid w:val="00BB280C"/>
    <w:rsid w:val="00BC3333"/>
    <w:rsid w:val="00DC64B5"/>
    <w:rsid w:val="00E5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0852FC"/>
  <w15:docId w15:val="{ACCD2642-9451-4C0B-9A93-9F5E4F78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1C30"/>
    <w:rPr>
      <w:rFonts w:ascii="Cambria" w:eastAsia="Cambria" w:hAnsi="Cambria" w:cs="Cambria"/>
    </w:rPr>
  </w:style>
  <w:style w:type="paragraph" w:styleId="Heading1">
    <w:name w:val="heading 1"/>
    <w:basedOn w:val="Normal"/>
    <w:uiPriority w:val="1"/>
    <w:qFormat/>
    <w:rsid w:val="004A1C30"/>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1C30"/>
  </w:style>
  <w:style w:type="paragraph" w:styleId="ListParagraph">
    <w:name w:val="List Paragraph"/>
    <w:basedOn w:val="Normal"/>
    <w:uiPriority w:val="1"/>
    <w:qFormat/>
    <w:rsid w:val="004A1C30"/>
    <w:pPr>
      <w:ind w:left="880" w:hanging="360"/>
    </w:pPr>
  </w:style>
  <w:style w:type="paragraph" w:customStyle="1" w:styleId="TableParagraph">
    <w:name w:val="Table Paragraph"/>
    <w:basedOn w:val="Normal"/>
    <w:uiPriority w:val="1"/>
    <w:qFormat/>
    <w:rsid w:val="004A1C30"/>
    <w:pPr>
      <w:ind w:left="463"/>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qa/sa_n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pqa/prs/specialist-list.html" TargetMode="External"/><Relationship Id="rId2" Type="http://schemas.openxmlformats.org/officeDocument/2006/relationships/customXml" Target="../customXml/item2.xml"/><Relationship Id="rId16" Type="http://schemas.openxmlformats.org/officeDocument/2006/relationships/hyperlink" Target="http://www.doe.mass.edu/pqa/prs/specialist-li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pq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pqa/sa_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DESE-231-36083</_dlc_DocId>
    <_dlc_DocIdUrl xmlns="733efe1c-5bbe-4968-87dc-d400e65c879f">
      <Url>https://sharepoint.doemass.org/ese/webteam/cps/_layouts/DocIdRedir.aspx?ID=DESE-231-36083</Url>
      <Description>DESE-231-36083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6D538-2905-4C26-A01E-CECD34166B7A}">
  <ds:schemaRefs>
    <ds:schemaRef ds:uri="http://schemas.microsoft.com/sharepoint/events"/>
  </ds:schemaRefs>
</ds:datastoreItem>
</file>

<file path=customXml/itemProps2.xml><?xml version="1.0" encoding="utf-8"?>
<ds:datastoreItem xmlns:ds="http://schemas.openxmlformats.org/officeDocument/2006/customXml" ds:itemID="{399313BC-57CF-4A62-A472-C374D060813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52E61FD-867B-454D-B6D9-B26217E9F7E2}">
  <ds:schemaRefs>
    <ds:schemaRef ds:uri="http://schemas.microsoft.com/sharepoint/v3/contenttype/forms"/>
  </ds:schemaRefs>
</ds:datastoreItem>
</file>

<file path=customXml/itemProps4.xml><?xml version="1.0" encoding="utf-8"?>
<ds:datastoreItem xmlns:ds="http://schemas.openxmlformats.org/officeDocument/2006/customXml" ds:itemID="{AF8EC64B-D097-4198-BD08-E731C9AD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651</Words>
  <Characters>3787</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Reapproval Procedures for Special Education Public Day School Programs</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Reapproval Procedures for Special Education Public Day School Programs</dc:title>
  <dc:creator>ESE</dc:creator>
  <cp:lastModifiedBy>Zou, Dong</cp:lastModifiedBy>
  <cp:revision>7</cp:revision>
  <cp:lastPrinted>2017-09-06T21:21:00Z</cp:lastPrinted>
  <dcterms:created xsi:type="dcterms:W3CDTF">2017-09-05T13:00:00Z</dcterms:created>
  <dcterms:modified xsi:type="dcterms:W3CDTF">2017-09-06T21:22:00Z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2017</vt:lpwstr>
  </property>
</Properties>
</file>