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3651F2" w:rsidRPr="00A25A31">
        <w:trPr>
          <w:trHeight w:val="10800"/>
        </w:trPr>
        <w:tc>
          <w:tcPr>
            <w:tcW w:w="362" w:type="dxa"/>
            <w:tcBorders>
              <w:right w:val="single" w:sz="4" w:space="0" w:color="auto"/>
            </w:tcBorders>
          </w:tcPr>
          <w:p w:rsidR="003651F2" w:rsidRPr="00BB123E" w:rsidRDefault="00541DEF" w:rsidP="003651F2">
            <w:pPr>
              <w:ind w:left="720" w:hanging="720"/>
              <w:rPr>
                <w:sz w:val="22"/>
              </w:rPr>
            </w:pPr>
            <w:r>
              <w:rPr>
                <w:noProof/>
                <w:sz w:val="22"/>
              </w:rPr>
              <w:pict>
                <v:oval id="_x0000_s1028" alt="Circle" style="position:absolute;left:0;text-align:left;margin-left:5.05pt;margin-top:538.2pt;width:100.8pt;height:100.8pt;z-index:251658240" filled="f"/>
              </w:pict>
            </w:r>
            <w:r>
              <w:rPr>
                <w:noProof/>
                <w:sz w:val="22"/>
              </w:rPr>
              <w:pict>
                <v:oval id="_x0000_s1026" alt="Circle" style="position:absolute;left:0;text-align:left;margin-left:-9.65pt;margin-top:522.95pt;width:129.6pt;height:129.6pt;z-index:251656192"/>
              </w:pict>
            </w: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0;text-align:left;margin-left:18.6pt;margin-top:539.65pt;width:77.65pt;height:97.65pt;z-index:251657216;visibility:visible;mso-wrap-edited:f;mso-wrap-distance-right:21.6pt" wrapcoords="-117 0 -117 21506 21600 21506 21600 0 -117 0" filled="t">
                  <v:imagedata r:id="rId11" o:title="" blacklevel="5898f"/>
                </v:shape>
                <o:OLEObject Type="Embed" ProgID="Word.Picture.8" ShapeID="_x0000_s1027" DrawAspect="Content" ObjectID="_1479022622" r:id="rId12"/>
              </w:pict>
            </w:r>
          </w:p>
        </w:tc>
        <w:tc>
          <w:tcPr>
            <w:tcW w:w="1228" w:type="dxa"/>
            <w:tcBorders>
              <w:top w:val="single" w:sz="4" w:space="0" w:color="auto"/>
              <w:left w:val="single" w:sz="4" w:space="0" w:color="auto"/>
              <w:right w:val="single" w:sz="4" w:space="0" w:color="auto"/>
            </w:tcBorders>
          </w:tcPr>
          <w:p w:rsidR="003651F2" w:rsidRPr="00BB123E" w:rsidRDefault="00AB3428" w:rsidP="003651F2">
            <w:pPr>
              <w:rPr>
                <w:sz w:val="22"/>
              </w:rPr>
            </w:pPr>
            <w:r>
              <w:rPr>
                <w:noProof/>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ge">
                    <wp:posOffset>338455</wp:posOffset>
                  </wp:positionV>
                  <wp:extent cx="2825750" cy="13798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DESE"/>
                          <pic:cNvPicPr>
                            <a:picLocks noChangeAspect="1" noChangeArrowheads="1"/>
                          </pic:cNvPicPr>
                        </pic:nvPicPr>
                        <pic:blipFill>
                          <a:blip r:embed="rId13" cstate="print"/>
                          <a:srcRect/>
                          <a:stretch>
                            <a:fillRect/>
                          </a:stretch>
                        </pic:blipFill>
                        <pic:spPr bwMode="auto">
                          <a:xfrm>
                            <a:off x="0" y="0"/>
                            <a:ext cx="2825750" cy="13798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AB3428" w:rsidP="003651F2">
            <w:pPr>
              <w:spacing w:before="120"/>
              <w:jc w:val="center"/>
              <w:rPr>
                <w:b/>
              </w:rPr>
            </w:pPr>
            <w:r>
              <w:rPr>
                <w:b/>
              </w:rPr>
              <w:t>COORDINATED PROGRAM REVIEW</w:t>
            </w:r>
          </w:p>
          <w:p w:rsidR="003651F2" w:rsidRDefault="00AB3428" w:rsidP="003651F2">
            <w:pPr>
              <w:spacing w:before="120"/>
              <w:jc w:val="center"/>
              <w:rPr>
                <w:b/>
              </w:rPr>
            </w:pPr>
            <w:r>
              <w:rPr>
                <w:b/>
              </w:rPr>
              <w:t>MID-CYCLE REPORT</w:t>
            </w:r>
          </w:p>
          <w:p w:rsidR="003651F2" w:rsidRDefault="00AB3428" w:rsidP="003651F2">
            <w:pPr>
              <w:spacing w:before="120"/>
              <w:jc w:val="center"/>
              <w:rPr>
                <w:b/>
              </w:rPr>
            </w:pPr>
            <w:r>
              <w:rPr>
                <w:b/>
              </w:rPr>
              <w:t xml:space="preserve">District: </w:t>
            </w:r>
            <w:bookmarkStart w:id="0" w:name="ORG_NAME"/>
            <w:r>
              <w:rPr>
                <w:b/>
              </w:rPr>
              <w:t>Dudley-Charlton Re</w:t>
            </w:r>
            <w:r w:rsidR="003651F2">
              <w:rPr>
                <w:b/>
              </w:rPr>
              <w:t>gional School District</w:t>
            </w:r>
            <w:bookmarkEnd w:id="0"/>
          </w:p>
          <w:p w:rsidR="003651F2" w:rsidRDefault="00AB3428" w:rsidP="003651F2">
            <w:pPr>
              <w:spacing w:before="120"/>
              <w:jc w:val="center"/>
              <w:rPr>
                <w:b/>
              </w:rPr>
            </w:pPr>
            <w:r>
              <w:rPr>
                <w:b/>
              </w:rPr>
              <w:t xml:space="preserve">MCR Onsite Dates: </w:t>
            </w:r>
            <w:bookmarkStart w:id="1" w:name="MCR_DATES"/>
            <w:r>
              <w:rPr>
                <w:b/>
              </w:rPr>
              <w:t>05/13/2014 - 05/14/2014</w:t>
            </w:r>
            <w:bookmarkEnd w:id="1"/>
          </w:p>
          <w:p w:rsidR="003651F2" w:rsidRDefault="00AB3428" w:rsidP="003651F2">
            <w:pPr>
              <w:spacing w:before="120"/>
              <w:jc w:val="center"/>
              <w:rPr>
                <w:b/>
              </w:rPr>
            </w:pPr>
            <w:r>
              <w:rPr>
                <w:b/>
              </w:rPr>
              <w:t>Program Area: Special Education</w:t>
            </w:r>
          </w:p>
          <w:p w:rsidR="003651F2" w:rsidRPr="00A25A31" w:rsidRDefault="003651F2" w:rsidP="003651F2">
            <w:pPr>
              <w:spacing w:before="120"/>
              <w:jc w:val="center"/>
              <w:rPr>
                <w:b/>
              </w:rPr>
            </w:pPr>
          </w:p>
        </w:tc>
      </w:tr>
      <w:tr w:rsidR="003651F2" w:rsidRPr="00BB123E">
        <w:trPr>
          <w:trHeight w:val="989"/>
        </w:trPr>
        <w:tc>
          <w:tcPr>
            <w:tcW w:w="362" w:type="dxa"/>
            <w:tcBorders>
              <w:right w:val="single" w:sz="4" w:space="0" w:color="auto"/>
            </w:tcBorders>
          </w:tcPr>
          <w:p w:rsidR="003651F2" w:rsidRDefault="00AB3428" w:rsidP="003651F2">
            <w:pPr>
              <w:rPr>
                <w:sz w:val="22"/>
              </w:rPr>
            </w:pPr>
            <w:r>
              <w:rPr>
                <w:sz w:val="22"/>
              </w:rPr>
              <w:t xml:space="preserve"> </w:t>
            </w: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Default="003651F2" w:rsidP="003651F2">
            <w:pPr>
              <w:rPr>
                <w:sz w:val="22"/>
              </w:rPr>
            </w:pPr>
          </w:p>
          <w:p w:rsidR="003651F2" w:rsidRPr="00BB123E" w:rsidRDefault="003651F2" w:rsidP="003651F2">
            <w:pPr>
              <w:rPr>
                <w:sz w:val="22"/>
              </w:rPr>
            </w:pPr>
          </w:p>
        </w:tc>
        <w:tc>
          <w:tcPr>
            <w:tcW w:w="1228" w:type="dxa"/>
            <w:tcBorders>
              <w:left w:val="single" w:sz="4" w:space="0" w:color="auto"/>
              <w:right w:val="single" w:sz="4" w:space="0" w:color="auto"/>
            </w:tcBorders>
          </w:tcPr>
          <w:p w:rsidR="003651F2" w:rsidRPr="00BB123E" w:rsidRDefault="003651F2" w:rsidP="003651F2">
            <w:pPr>
              <w:rPr>
                <w:sz w:val="22"/>
              </w:rPr>
            </w:pPr>
          </w:p>
        </w:tc>
        <w:tc>
          <w:tcPr>
            <w:tcW w:w="8490" w:type="dxa"/>
            <w:tcBorders>
              <w:left w:val="single" w:sz="4" w:space="0" w:color="auto"/>
            </w:tcBorders>
          </w:tcPr>
          <w:p w:rsidR="003651F2" w:rsidRDefault="003651F2" w:rsidP="003651F2">
            <w:pPr>
              <w:jc w:val="center"/>
              <w:rPr>
                <w:sz w:val="22"/>
              </w:rPr>
            </w:pPr>
          </w:p>
          <w:p w:rsidR="003651F2" w:rsidRPr="00F41BE1" w:rsidRDefault="003651F2" w:rsidP="003651F2">
            <w:pPr>
              <w:jc w:val="center"/>
              <w:rPr>
                <w:sz w:val="20"/>
                <w:szCs w:val="20"/>
              </w:rPr>
            </w:pPr>
          </w:p>
          <w:p w:rsidR="003651F2" w:rsidRPr="00F41BE1" w:rsidRDefault="00AB3428" w:rsidP="003651F2">
            <w:pPr>
              <w:jc w:val="center"/>
              <w:rPr>
                <w:sz w:val="20"/>
                <w:szCs w:val="20"/>
              </w:rPr>
            </w:pPr>
            <w:r w:rsidRPr="00F41BE1">
              <w:rPr>
                <w:sz w:val="20"/>
                <w:szCs w:val="20"/>
              </w:rPr>
              <w:t>Mitchell D. Chester, Ed.D.</w:t>
            </w:r>
          </w:p>
          <w:p w:rsidR="003651F2" w:rsidRPr="00BB123E" w:rsidRDefault="00AB3428" w:rsidP="003651F2">
            <w:pPr>
              <w:jc w:val="center"/>
              <w:rPr>
                <w:sz w:val="22"/>
              </w:rPr>
            </w:pPr>
            <w:r w:rsidRPr="00F41BE1">
              <w:rPr>
                <w:sz w:val="20"/>
                <w:szCs w:val="20"/>
              </w:rPr>
              <w:t>Commissioner of Elementary and Secondary Education</w:t>
            </w:r>
          </w:p>
        </w:tc>
      </w:tr>
      <w:tr w:rsidR="003651F2" w:rsidRPr="00BB123E">
        <w:trPr>
          <w:trHeight w:val="705"/>
        </w:trPr>
        <w:tc>
          <w:tcPr>
            <w:tcW w:w="10080" w:type="dxa"/>
            <w:gridSpan w:val="3"/>
            <w:shd w:val="clear" w:color="auto" w:fill="C0C0C0"/>
            <w:vAlign w:val="center"/>
          </w:tcPr>
          <w:p w:rsidR="003651F2" w:rsidRPr="00BB123E" w:rsidRDefault="00AB3428" w:rsidP="003651F2">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3651F2" w:rsidRPr="00BB123E" w:rsidRDefault="00AB3428" w:rsidP="003651F2">
            <w:pPr>
              <w:pageBreakBefore/>
              <w:jc w:val="center"/>
              <w:rPr>
                <w:b/>
                <w:bCs/>
              </w:rPr>
            </w:pPr>
            <w:r w:rsidRPr="00BB123E">
              <w:rPr>
                <w:b/>
              </w:rPr>
              <w:t>MID</w:t>
            </w:r>
            <w:r>
              <w:rPr>
                <w:b/>
              </w:rPr>
              <w:t>-</w:t>
            </w:r>
            <w:r w:rsidRPr="00BB123E">
              <w:rPr>
                <w:b/>
              </w:rPr>
              <w:t>CYCLE R</w:t>
            </w:r>
            <w:r>
              <w:rPr>
                <w:b/>
              </w:rPr>
              <w:t>EPORT</w:t>
            </w:r>
          </w:p>
        </w:tc>
      </w:tr>
    </w:tbl>
    <w:p w:rsidR="003651F2" w:rsidRPr="00AF5230" w:rsidRDefault="003651F2" w:rsidP="003651F2">
      <w:pPr>
        <w:rPr>
          <w:rFonts w:ascii="Verdana" w:hAnsi="Verdana"/>
          <w:bCs/>
          <w:sz w:val="22"/>
          <w:szCs w:val="22"/>
        </w:rPr>
      </w:pPr>
    </w:p>
    <w:p w:rsidR="003651F2" w:rsidRPr="00AF5230" w:rsidRDefault="003651F2" w:rsidP="003651F2">
      <w:pPr>
        <w:rPr>
          <w:rFonts w:ascii="Verdana" w:hAnsi="Verdana"/>
          <w:bCs/>
          <w:sz w:val="22"/>
          <w:szCs w:val="22"/>
        </w:rPr>
      </w:pPr>
    </w:p>
    <w:p w:rsidR="003651F2" w:rsidRDefault="003651F2">
      <w:pPr>
        <w:pStyle w:val="Normal0"/>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0"/>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0"/>
              <w:keepNext/>
              <w:rPr>
                <w:rFonts w:ascii="Arial" w:hAnsi="Arial" w:cs="Arial"/>
                <w:sz w:val="22"/>
                <w:szCs w:val="22"/>
              </w:rPr>
            </w:pPr>
            <w:r w:rsidRPr="00CE4005">
              <w:rPr>
                <w:rFonts w:ascii="Arial" w:hAnsi="Arial" w:cs="Arial"/>
                <w:sz w:val="22"/>
                <w:szCs w:val="22"/>
              </w:rPr>
              <w:t>Student record review, documents and interview indicate that whenever an evaluation indicates that a student has a disability on the autism spectrum, the IEP Team does consider and specifically address the verbal and nonverbal communication needs of the student; the need to develop social interaction skills and proficiencies; the needs resulting from the student’s unusual responses to sensory experiences; the needs resulting from resistance to environmental change or change in daily routines; the needs resulting from engagement in repetitive activities and stereotyped movements; the need for any positive behavioral interventions, strategies, and supports to address any behavioral difficulties resulting from autism spectrum disorder; and other needs resulting from the student’s disability that impact progress in the general curriculum, including social and emotional development.</w:t>
            </w:r>
          </w:p>
        </w:tc>
      </w:tr>
    </w:tbl>
    <w:p w:rsidR="003651F2" w:rsidRDefault="003651F2">
      <w:pPr>
        <w:pStyle w:val="Normal0"/>
      </w:pPr>
    </w:p>
    <w:p w:rsidR="003651F2" w:rsidRDefault="003651F2">
      <w:pPr>
        <w:pStyle w:val="Normal1"/>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1"/>
              <w:keepNext/>
              <w:rPr>
                <w:rFonts w:ascii="Verdana" w:hAnsi="Verdana"/>
                <w:b/>
                <w:sz w:val="22"/>
                <w:szCs w:val="22"/>
              </w:rPr>
            </w:pPr>
            <w:bookmarkStart w:id="5" w:name="CRIT_SE_6"/>
            <w:bookmarkEnd w:id="5"/>
            <w:r w:rsidRPr="00AF5230">
              <w:rPr>
                <w:rFonts w:ascii="Verdana" w:hAnsi="Verdana"/>
                <w:b/>
                <w:sz w:val="22"/>
                <w:szCs w:val="22"/>
              </w:rPr>
              <w:t>SE Criterion # 6 - Determination of transition services</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1"/>
              <w:keepNext/>
              <w:rPr>
                <w:rFonts w:ascii="Verdana" w:hAnsi="Verdana"/>
                <w:b/>
                <w:sz w:val="22"/>
                <w:szCs w:val="22"/>
              </w:rPr>
            </w:pPr>
            <w:bookmarkStart w:id="6" w:name="RATING_SE_6"/>
            <w:bookmarkEnd w:id="6"/>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1"/>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1"/>
              <w:keepNext/>
              <w:rPr>
                <w:rFonts w:ascii="Verdana" w:hAnsi="Verdana"/>
                <w:b/>
                <w:sz w:val="22"/>
                <w:szCs w:val="22"/>
              </w:rPr>
            </w:pPr>
            <w:bookmarkStart w:id="7" w:name="BASIS_FINDINGS_SE_6"/>
            <w:bookmarkEnd w:id="7"/>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1"/>
              <w:keepNext/>
              <w:rPr>
                <w:rFonts w:ascii="Arial" w:hAnsi="Arial" w:cs="Arial"/>
                <w:sz w:val="22"/>
                <w:szCs w:val="22"/>
              </w:rPr>
            </w:pPr>
            <w:r w:rsidRPr="00CE4005">
              <w:rPr>
                <w:rFonts w:ascii="Arial" w:hAnsi="Arial" w:cs="Arial"/>
                <w:sz w:val="22"/>
                <w:szCs w:val="22"/>
              </w:rPr>
              <w:t>S</w:t>
            </w:r>
            <w:r w:rsidR="003651F2">
              <w:rPr>
                <w:rFonts w:ascii="Arial" w:hAnsi="Arial" w:cs="Arial"/>
                <w:sz w:val="22"/>
                <w:szCs w:val="22"/>
              </w:rPr>
              <w:t>tudent record review, documents</w:t>
            </w:r>
            <w:r w:rsidRPr="00CE4005">
              <w:rPr>
                <w:rFonts w:ascii="Arial" w:hAnsi="Arial" w:cs="Arial"/>
                <w:sz w:val="22"/>
                <w:szCs w:val="22"/>
              </w:rPr>
              <w:t xml:space="preserve"> and interviews indicate that for students in out-of-district placements, transition planning is being conducted annually</w:t>
            </w:r>
            <w:r w:rsidR="003651F2">
              <w:rPr>
                <w:rFonts w:ascii="Arial" w:hAnsi="Arial" w:cs="Arial"/>
                <w:sz w:val="22"/>
                <w:szCs w:val="22"/>
              </w:rPr>
              <w:t xml:space="preserve">, beginning </w:t>
            </w:r>
            <w:r w:rsidRPr="00CE4005">
              <w:rPr>
                <w:rFonts w:ascii="Arial" w:hAnsi="Arial" w:cs="Arial"/>
                <w:sz w:val="22"/>
                <w:szCs w:val="22"/>
              </w:rPr>
              <w:t>no later than when the student is 14 years of age.</w:t>
            </w:r>
          </w:p>
        </w:tc>
      </w:tr>
    </w:tbl>
    <w:p w:rsidR="003651F2" w:rsidRDefault="003651F2">
      <w:pPr>
        <w:pStyle w:val="Normal1"/>
      </w:pPr>
    </w:p>
    <w:p w:rsidR="003651F2" w:rsidRDefault="003651F2">
      <w:pPr>
        <w:pStyle w:val="Normal2"/>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2"/>
              <w:keepNext/>
              <w:rPr>
                <w:rFonts w:ascii="Verdana" w:hAnsi="Verdana"/>
                <w:b/>
                <w:sz w:val="22"/>
                <w:szCs w:val="22"/>
              </w:rPr>
            </w:pPr>
            <w:bookmarkStart w:id="8" w:name="CRIT_SE_8"/>
            <w:bookmarkEnd w:id="8"/>
            <w:r w:rsidRPr="00AF5230">
              <w:rPr>
                <w:rFonts w:ascii="Verdana" w:hAnsi="Verdana"/>
                <w:b/>
                <w:sz w:val="22"/>
                <w:szCs w:val="22"/>
              </w:rPr>
              <w:t>SE Criterion # 8 - IEP Team composition and attendance</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2"/>
              <w:keepNext/>
              <w:rPr>
                <w:rFonts w:ascii="Verdana" w:hAnsi="Verdana"/>
                <w:b/>
                <w:sz w:val="22"/>
                <w:szCs w:val="22"/>
              </w:rPr>
            </w:pPr>
            <w:bookmarkStart w:id="9" w:name="RATING_SE_8"/>
            <w:bookmarkEnd w:id="9"/>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2"/>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2"/>
              <w:keepNext/>
              <w:rPr>
                <w:rFonts w:ascii="Verdana" w:hAnsi="Verdana"/>
                <w:b/>
                <w:sz w:val="22"/>
                <w:szCs w:val="22"/>
              </w:rPr>
            </w:pPr>
            <w:bookmarkStart w:id="10" w:name="BASIS_FINDINGS_SE_8"/>
            <w:bookmarkEnd w:id="10"/>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CB5A0F">
            <w:pPr>
              <w:pStyle w:val="Normal2"/>
              <w:keepNext/>
              <w:rPr>
                <w:rFonts w:ascii="Arial" w:hAnsi="Arial" w:cs="Arial"/>
                <w:sz w:val="22"/>
                <w:szCs w:val="22"/>
              </w:rPr>
            </w:pPr>
            <w:r w:rsidRPr="00CE4005">
              <w:rPr>
                <w:rFonts w:ascii="Arial" w:hAnsi="Arial" w:cs="Arial"/>
                <w:sz w:val="22"/>
                <w:szCs w:val="22"/>
              </w:rPr>
              <w:t xml:space="preserve">Student record review, documents and interview indicate that when a required Team member is absent from a Team meeting, the </w:t>
            </w:r>
            <w:r w:rsidR="003651F2">
              <w:rPr>
                <w:rFonts w:ascii="Arial" w:hAnsi="Arial" w:cs="Arial"/>
                <w:sz w:val="22"/>
                <w:szCs w:val="22"/>
              </w:rPr>
              <w:t>district</w:t>
            </w:r>
            <w:r w:rsidRPr="00CE4005">
              <w:rPr>
                <w:rFonts w:ascii="Arial" w:hAnsi="Arial" w:cs="Arial"/>
                <w:sz w:val="22"/>
                <w:szCs w:val="22"/>
              </w:rPr>
              <w:t xml:space="preserve"> and parent agree that the member’s attendance is not necessary and consent to the member’s excusal. The parent’s agreement and consent is in writing and the absent Team member submits, in writing, any input he or she has related to the IEP’s development, prior to the Team meeting.</w:t>
            </w:r>
          </w:p>
        </w:tc>
      </w:tr>
    </w:tbl>
    <w:p w:rsidR="003651F2" w:rsidRDefault="003651F2">
      <w:pPr>
        <w:pStyle w:val="Normal2"/>
      </w:pPr>
    </w:p>
    <w:p w:rsidR="003651F2" w:rsidRDefault="003651F2">
      <w:pPr>
        <w:pStyle w:val="Normal3"/>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3"/>
              <w:keepNext/>
              <w:rPr>
                <w:rFonts w:ascii="Verdana" w:hAnsi="Verdana"/>
                <w:b/>
                <w:sz w:val="22"/>
                <w:szCs w:val="22"/>
              </w:rPr>
            </w:pPr>
            <w:bookmarkStart w:id="11" w:name="CRIT_SE_18A"/>
            <w:bookmarkEnd w:id="11"/>
            <w:r w:rsidRPr="00AF5230">
              <w:rPr>
                <w:rFonts w:ascii="Verdana" w:hAnsi="Verdana"/>
                <w:b/>
                <w:sz w:val="22"/>
                <w:szCs w:val="22"/>
              </w:rPr>
              <w:lastRenderedPageBreak/>
              <w:t>SE Criterion # 18A - IEP development and content</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3"/>
              <w:keepNext/>
              <w:rPr>
                <w:rFonts w:ascii="Verdana" w:hAnsi="Verdana"/>
                <w:b/>
                <w:sz w:val="22"/>
                <w:szCs w:val="22"/>
              </w:rPr>
            </w:pPr>
            <w:bookmarkStart w:id="12" w:name="RATING_SE_18A"/>
            <w:bookmarkEnd w:id="12"/>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3"/>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3"/>
              <w:keepNext/>
              <w:rPr>
                <w:rFonts w:ascii="Verdana" w:hAnsi="Verdana"/>
                <w:b/>
                <w:sz w:val="22"/>
                <w:szCs w:val="22"/>
              </w:rPr>
            </w:pPr>
            <w:bookmarkStart w:id="13" w:name="BASIS_FINDINGS_SE_18A"/>
            <w:bookmarkEnd w:id="13"/>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3"/>
              <w:keepNext/>
              <w:rPr>
                <w:rFonts w:ascii="Arial" w:hAnsi="Arial" w:cs="Arial"/>
                <w:sz w:val="22"/>
                <w:szCs w:val="22"/>
              </w:rPr>
            </w:pPr>
            <w:r w:rsidRPr="00CE4005">
              <w:rPr>
                <w:rFonts w:ascii="Arial" w:hAnsi="Arial" w:cs="Arial"/>
                <w:sz w:val="22"/>
                <w:szCs w:val="22"/>
              </w:rPr>
              <w:t>Student record review, documents and interview indicate that whenever the IEP Team evaluation indicates that a student's disability affects social skills development, or when the student's disability makes him or her vulnerable to bullying, harassment, or teasing, or if the student is identified with a disability on the autism spectrum, the Team does address the skills and proficiencies the student needs to avoid and respond to bullying, harassment, or teasing and documents this on his or her IEP.</w:t>
            </w:r>
          </w:p>
        </w:tc>
      </w:tr>
    </w:tbl>
    <w:p w:rsidR="003651F2" w:rsidRDefault="003651F2">
      <w:pPr>
        <w:pStyle w:val="Normal3"/>
      </w:pPr>
    </w:p>
    <w:p w:rsidR="00CB5A0F" w:rsidRDefault="00CB5A0F">
      <w:pPr>
        <w:pStyle w:val="Normal3"/>
      </w:pPr>
    </w:p>
    <w:p w:rsidR="00CB5A0F" w:rsidRDefault="00CB5A0F">
      <w:pPr>
        <w:pStyle w:val="Normal3"/>
      </w:pPr>
    </w:p>
    <w:p w:rsidR="003651F2" w:rsidRDefault="003651F2">
      <w:pPr>
        <w:pStyle w:val="Normal4"/>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4"/>
              <w:keepNext/>
              <w:rPr>
                <w:rFonts w:ascii="Verdana" w:hAnsi="Verdana"/>
                <w:b/>
                <w:sz w:val="22"/>
                <w:szCs w:val="22"/>
              </w:rPr>
            </w:pPr>
            <w:bookmarkStart w:id="14" w:name="CRIT_SE_18B"/>
            <w:bookmarkEnd w:id="14"/>
            <w:r w:rsidRPr="00AF5230">
              <w:rPr>
                <w:rFonts w:ascii="Verdana" w:hAnsi="Verdana"/>
                <w:b/>
                <w:sz w:val="22"/>
                <w:szCs w:val="22"/>
              </w:rPr>
              <w:t>SE Criterion # 18B - Determination of placement; provision of IEP to parent</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4"/>
              <w:keepNext/>
              <w:rPr>
                <w:rFonts w:ascii="Verdana" w:hAnsi="Verdana"/>
                <w:b/>
                <w:sz w:val="22"/>
                <w:szCs w:val="22"/>
              </w:rPr>
            </w:pPr>
            <w:bookmarkStart w:id="15" w:name="RATING_SE_18B"/>
            <w:bookmarkEnd w:id="15"/>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4"/>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4"/>
              <w:keepNext/>
              <w:rPr>
                <w:rFonts w:ascii="Verdana" w:hAnsi="Verdana"/>
                <w:b/>
                <w:sz w:val="22"/>
                <w:szCs w:val="22"/>
              </w:rPr>
            </w:pPr>
            <w:bookmarkStart w:id="16" w:name="BASIS_FINDINGS_SE_18B"/>
            <w:bookmarkEnd w:id="16"/>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CB5A0F">
            <w:pPr>
              <w:pStyle w:val="Normal4"/>
              <w:keepNext/>
              <w:rPr>
                <w:rFonts w:ascii="Arial" w:hAnsi="Arial" w:cs="Arial"/>
                <w:sz w:val="22"/>
                <w:szCs w:val="22"/>
              </w:rPr>
            </w:pPr>
            <w:r w:rsidRPr="00CE4005">
              <w:rPr>
                <w:rFonts w:ascii="Arial" w:hAnsi="Arial" w:cs="Arial"/>
                <w:sz w:val="22"/>
                <w:szCs w:val="22"/>
              </w:rPr>
              <w:t xml:space="preserve">Student record review, documents and interview indicate that at the conclusion of the Team meeting, the </w:t>
            </w:r>
            <w:r w:rsidR="003651F2">
              <w:rPr>
                <w:rFonts w:ascii="Arial" w:hAnsi="Arial" w:cs="Arial"/>
                <w:sz w:val="22"/>
                <w:szCs w:val="22"/>
              </w:rPr>
              <w:t>district</w:t>
            </w:r>
            <w:r w:rsidRPr="00CE4005">
              <w:rPr>
                <w:rFonts w:ascii="Arial" w:hAnsi="Arial" w:cs="Arial"/>
                <w:sz w:val="22"/>
                <w:szCs w:val="22"/>
              </w:rPr>
              <w:t xml:space="preserve"> does provide a summary of the IEP to the parent which includes a completed IEP service delivery grid describing types and amounts of special education and/or related services proposed by the school, and a statement of the major goal areas associated with these services. The </w:t>
            </w:r>
            <w:r w:rsidR="003651F2">
              <w:rPr>
                <w:rFonts w:ascii="Arial" w:hAnsi="Arial" w:cs="Arial"/>
                <w:sz w:val="22"/>
                <w:szCs w:val="22"/>
              </w:rPr>
              <w:t>district</w:t>
            </w:r>
            <w:r w:rsidRPr="00CE4005">
              <w:rPr>
                <w:rFonts w:ascii="Arial" w:hAnsi="Arial" w:cs="Arial"/>
                <w:sz w:val="22"/>
                <w:szCs w:val="22"/>
              </w:rPr>
              <w:t xml:space="preserve"> then provides the parent with two copies of the proposed IEP and proposed placement within ten school working days of the Team meeting.</w:t>
            </w:r>
          </w:p>
        </w:tc>
      </w:tr>
    </w:tbl>
    <w:p w:rsidR="003651F2" w:rsidRDefault="003651F2">
      <w:pPr>
        <w:pStyle w:val="Normal4"/>
      </w:pPr>
    </w:p>
    <w:p w:rsidR="003651F2" w:rsidRDefault="003651F2">
      <w:pPr>
        <w:pStyle w:val="Normal5"/>
      </w:pPr>
    </w:p>
    <w:p w:rsidR="00CB5A0F" w:rsidRDefault="00CB5A0F">
      <w:pPr>
        <w:pStyle w:val="Normal5"/>
      </w:pPr>
    </w:p>
    <w:p w:rsidR="00CB5A0F" w:rsidRDefault="00CB5A0F">
      <w:pPr>
        <w:pStyle w:val="Normal5"/>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5"/>
              <w:keepNext/>
              <w:rPr>
                <w:rFonts w:ascii="Verdana" w:hAnsi="Verdana"/>
                <w:b/>
                <w:sz w:val="22"/>
                <w:szCs w:val="22"/>
              </w:rPr>
            </w:pPr>
            <w:bookmarkStart w:id="17" w:name="CRIT_SE_24"/>
            <w:bookmarkEnd w:id="17"/>
            <w:r w:rsidRPr="00AF5230">
              <w:rPr>
                <w:rFonts w:ascii="Verdana" w:hAnsi="Verdana"/>
                <w:b/>
                <w:sz w:val="22"/>
                <w:szCs w:val="22"/>
              </w:rPr>
              <w:t>SE Criterion # 24 - Notice to parent regarding proposal or refusal to initiate or change the identification, evaluation, or educational placement of the student or the provision of FAPE</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5"/>
              <w:keepNext/>
              <w:rPr>
                <w:rFonts w:ascii="Verdana" w:hAnsi="Verdana"/>
                <w:b/>
                <w:sz w:val="22"/>
                <w:szCs w:val="22"/>
              </w:rPr>
            </w:pPr>
            <w:bookmarkStart w:id="18" w:name="RATING_SE_24"/>
            <w:bookmarkEnd w:id="18"/>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5"/>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5"/>
              <w:keepNext/>
              <w:rPr>
                <w:rFonts w:ascii="Verdana" w:hAnsi="Verdana"/>
                <w:b/>
                <w:sz w:val="22"/>
                <w:szCs w:val="22"/>
              </w:rPr>
            </w:pPr>
            <w:bookmarkStart w:id="19" w:name="BASIS_FINDINGS_SE_24"/>
            <w:bookmarkEnd w:id="19"/>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5"/>
              <w:keepNext/>
              <w:rPr>
                <w:rFonts w:ascii="Arial" w:hAnsi="Arial" w:cs="Arial"/>
                <w:sz w:val="22"/>
                <w:szCs w:val="22"/>
              </w:rPr>
            </w:pPr>
            <w:r w:rsidRPr="00CE4005">
              <w:rPr>
                <w:rFonts w:ascii="Arial" w:hAnsi="Arial" w:cs="Arial"/>
                <w:sz w:val="22"/>
                <w:szCs w:val="22"/>
              </w:rPr>
              <w:t>S</w:t>
            </w:r>
            <w:r w:rsidR="003651F2">
              <w:rPr>
                <w:rFonts w:ascii="Arial" w:hAnsi="Arial" w:cs="Arial"/>
                <w:sz w:val="22"/>
                <w:szCs w:val="22"/>
              </w:rPr>
              <w:t>tudent record review, documents</w:t>
            </w:r>
            <w:r w:rsidRPr="00CE4005">
              <w:rPr>
                <w:rFonts w:ascii="Arial" w:hAnsi="Arial" w:cs="Arial"/>
                <w:sz w:val="22"/>
                <w:szCs w:val="22"/>
              </w:rPr>
              <w:t xml:space="preserve"> and interviews indicate that written notices from the district to parents/guardians meet all the content requirements of federal regulations. Specifically, the Notice of Proposed District Action (N1) consistently addresses all decisions, including rejected options that were considered and why those decisions were rejected, as well as what evaluation procedure, test, record, or report was used as a basis for the proposed action.</w:t>
            </w:r>
          </w:p>
        </w:tc>
      </w:tr>
    </w:tbl>
    <w:p w:rsidR="003651F2" w:rsidRDefault="003651F2">
      <w:pPr>
        <w:pStyle w:val="Normal5"/>
      </w:pPr>
    </w:p>
    <w:p w:rsidR="003651F2" w:rsidRDefault="003651F2">
      <w:pPr>
        <w:pStyle w:val="Normal6"/>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6"/>
              <w:keepNext/>
              <w:rPr>
                <w:rFonts w:ascii="Verdana" w:hAnsi="Verdana"/>
                <w:b/>
                <w:sz w:val="22"/>
                <w:szCs w:val="22"/>
              </w:rPr>
            </w:pPr>
            <w:bookmarkStart w:id="20" w:name="CRIT_SE_25"/>
            <w:bookmarkEnd w:id="20"/>
            <w:r w:rsidRPr="00AF5230">
              <w:rPr>
                <w:rFonts w:ascii="Verdana" w:hAnsi="Verdana"/>
                <w:b/>
                <w:sz w:val="22"/>
                <w:szCs w:val="22"/>
              </w:rPr>
              <w:lastRenderedPageBreak/>
              <w:t>SE Criterion # 25 - Parental consent</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6"/>
              <w:keepNext/>
              <w:rPr>
                <w:rFonts w:ascii="Verdana" w:hAnsi="Verdana"/>
                <w:b/>
                <w:sz w:val="22"/>
                <w:szCs w:val="22"/>
              </w:rPr>
            </w:pPr>
            <w:bookmarkStart w:id="21" w:name="RATING_SE_25"/>
            <w:bookmarkEnd w:id="21"/>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6"/>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6"/>
              <w:keepNext/>
              <w:rPr>
                <w:rFonts w:ascii="Verdana" w:hAnsi="Verdana"/>
                <w:b/>
                <w:sz w:val="22"/>
                <w:szCs w:val="22"/>
              </w:rPr>
            </w:pPr>
            <w:bookmarkStart w:id="22" w:name="BASIS_FINDINGS_SE_25"/>
            <w:bookmarkEnd w:id="22"/>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01338C">
            <w:pPr>
              <w:pStyle w:val="Normal6"/>
              <w:keepNext/>
              <w:rPr>
                <w:rFonts w:ascii="Arial" w:hAnsi="Arial" w:cs="Arial"/>
                <w:sz w:val="22"/>
                <w:szCs w:val="22"/>
              </w:rPr>
            </w:pPr>
            <w:r w:rsidRPr="00CE4005">
              <w:rPr>
                <w:rFonts w:ascii="Arial" w:hAnsi="Arial" w:cs="Arial"/>
                <w:sz w:val="22"/>
                <w:szCs w:val="22"/>
              </w:rPr>
              <w:t xml:space="preserve">At the time of the review, no parent had revoked consent to a student's special education service during the period of one year prior to the mid-cycle review. Document review indicated that the district has procedures for when a parent/guardian revokes consent for special education services in writing, which ensures that the district acts promptly to provide written notice to the parent or guardian of the district’s proposal to discontinue services, as well as to provide the parent with information on how they may obtain a copy of their right to procedural safeguards. The district’s procedures also include notice of a reasonable time before the district intends to discontinue the services and that the </w:t>
            </w:r>
            <w:r w:rsidR="0001338C">
              <w:rPr>
                <w:rFonts w:ascii="Arial" w:hAnsi="Arial" w:cs="Arial"/>
                <w:sz w:val="22"/>
                <w:szCs w:val="22"/>
              </w:rPr>
              <w:t xml:space="preserve">district </w:t>
            </w:r>
            <w:r w:rsidRPr="00CE4005">
              <w:rPr>
                <w:rFonts w:ascii="Arial" w:hAnsi="Arial" w:cs="Arial"/>
                <w:sz w:val="22"/>
                <w:szCs w:val="22"/>
              </w:rPr>
              <w:t>may not use mediation or request a due process hearing to obtain agreement or a ruling requiring the continuation of services, consistent with federal regulation.</w:t>
            </w:r>
          </w:p>
        </w:tc>
      </w:tr>
    </w:tbl>
    <w:p w:rsidR="003651F2" w:rsidRDefault="003651F2">
      <w:pPr>
        <w:pStyle w:val="Normal6"/>
      </w:pPr>
    </w:p>
    <w:p w:rsidR="003651F2" w:rsidRDefault="003651F2">
      <w:pPr>
        <w:pStyle w:val="Normal7"/>
      </w:pPr>
    </w:p>
    <w:p w:rsidR="0001338C" w:rsidRDefault="0001338C">
      <w:pPr>
        <w:pStyle w:val="Normal7"/>
      </w:pPr>
    </w:p>
    <w:p w:rsidR="0001338C" w:rsidRDefault="0001338C">
      <w:pPr>
        <w:pStyle w:val="Normal7"/>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7"/>
              <w:keepNext/>
              <w:rPr>
                <w:rFonts w:ascii="Verdana" w:hAnsi="Verdana"/>
                <w:b/>
                <w:sz w:val="22"/>
                <w:szCs w:val="22"/>
              </w:rPr>
            </w:pPr>
            <w:bookmarkStart w:id="23" w:name="CRIT_SE_26"/>
            <w:bookmarkEnd w:id="23"/>
            <w:r w:rsidRPr="00AF5230">
              <w:rPr>
                <w:rFonts w:ascii="Verdana" w:hAnsi="Verdana"/>
                <w:b/>
                <w:sz w:val="22"/>
                <w:szCs w:val="22"/>
              </w:rPr>
              <w:t>SE Criterion # 26 - Parent participation in meetings</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7"/>
              <w:keepNext/>
              <w:rPr>
                <w:rFonts w:ascii="Verdana" w:hAnsi="Verdana"/>
                <w:b/>
                <w:sz w:val="22"/>
                <w:szCs w:val="22"/>
              </w:rPr>
            </w:pPr>
            <w:bookmarkStart w:id="24" w:name="RATING_SE_26"/>
            <w:bookmarkEnd w:id="24"/>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7"/>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7"/>
              <w:keepNext/>
              <w:rPr>
                <w:rFonts w:ascii="Verdana" w:hAnsi="Verdana"/>
                <w:b/>
                <w:sz w:val="22"/>
                <w:szCs w:val="22"/>
              </w:rPr>
            </w:pPr>
            <w:bookmarkStart w:id="25" w:name="BASIS_FINDINGS_SE_26"/>
            <w:bookmarkEnd w:id="25"/>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7"/>
              <w:keepNext/>
              <w:rPr>
                <w:rFonts w:ascii="Arial" w:hAnsi="Arial" w:cs="Arial"/>
                <w:sz w:val="22"/>
                <w:szCs w:val="22"/>
              </w:rPr>
            </w:pPr>
            <w:r w:rsidRPr="00CE4005">
              <w:rPr>
                <w:rFonts w:ascii="Arial" w:hAnsi="Arial" w:cs="Arial"/>
                <w:sz w:val="22"/>
                <w:szCs w:val="22"/>
              </w:rPr>
              <w:t>The district provided the student roster documentation required by the Department.</w:t>
            </w:r>
          </w:p>
        </w:tc>
      </w:tr>
    </w:tbl>
    <w:p w:rsidR="003651F2" w:rsidRDefault="003651F2">
      <w:pPr>
        <w:pStyle w:val="Normal7"/>
      </w:pPr>
    </w:p>
    <w:p w:rsidR="003651F2" w:rsidRDefault="003651F2">
      <w:pPr>
        <w:pStyle w:val="Normal8"/>
      </w:pPr>
    </w:p>
    <w:p w:rsidR="0001338C" w:rsidRDefault="0001338C">
      <w:pPr>
        <w:pStyle w:val="Normal8"/>
      </w:pPr>
    </w:p>
    <w:p w:rsidR="0001338C" w:rsidRDefault="0001338C">
      <w:pPr>
        <w:pStyle w:val="Normal8"/>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8"/>
              <w:keepNext/>
              <w:rPr>
                <w:rFonts w:ascii="Verdana" w:hAnsi="Verdana"/>
                <w:b/>
                <w:sz w:val="22"/>
                <w:szCs w:val="22"/>
              </w:rPr>
            </w:pPr>
            <w:bookmarkStart w:id="26" w:name="CRIT_SE_48"/>
            <w:bookmarkEnd w:id="26"/>
            <w:r w:rsidRPr="00AF5230">
              <w:rPr>
                <w:rFonts w:ascii="Verdana" w:hAnsi="Verdana"/>
                <w:b/>
                <w:sz w:val="22"/>
                <w:szCs w:val="22"/>
              </w:rPr>
              <w:t>SE Criterion # 48 - Equal opportunity to participate in educational, nonacademic, extracurricular and ancillary programs, as well as participation in regular education</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8"/>
              <w:keepNext/>
              <w:rPr>
                <w:rFonts w:ascii="Verdana" w:hAnsi="Verdana"/>
                <w:b/>
                <w:sz w:val="22"/>
                <w:szCs w:val="22"/>
              </w:rPr>
            </w:pPr>
            <w:bookmarkStart w:id="27" w:name="RATING_SE_48"/>
            <w:bookmarkEnd w:id="27"/>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8"/>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8"/>
              <w:keepNext/>
              <w:rPr>
                <w:rFonts w:ascii="Verdana" w:hAnsi="Verdana"/>
                <w:b/>
                <w:sz w:val="22"/>
                <w:szCs w:val="22"/>
              </w:rPr>
            </w:pPr>
            <w:bookmarkStart w:id="28" w:name="BASIS_FINDINGS_SE_48"/>
            <w:bookmarkEnd w:id="28"/>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8"/>
              <w:keepNext/>
              <w:rPr>
                <w:rFonts w:ascii="Arial" w:hAnsi="Arial" w:cs="Arial"/>
                <w:sz w:val="22"/>
                <w:szCs w:val="22"/>
              </w:rPr>
            </w:pPr>
            <w:r w:rsidRPr="00CE4005">
              <w:rPr>
                <w:rFonts w:ascii="Arial" w:hAnsi="Arial" w:cs="Arial"/>
                <w:sz w:val="22"/>
                <w:szCs w:val="22"/>
              </w:rPr>
              <w:t>S</w:t>
            </w:r>
            <w:r w:rsidR="003651F2">
              <w:rPr>
                <w:rFonts w:ascii="Arial" w:hAnsi="Arial" w:cs="Arial"/>
                <w:sz w:val="22"/>
                <w:szCs w:val="22"/>
              </w:rPr>
              <w:t>tudent record review, documents</w:t>
            </w:r>
            <w:r w:rsidRPr="00CE4005">
              <w:rPr>
                <w:rFonts w:ascii="Arial" w:hAnsi="Arial" w:cs="Arial"/>
                <w:sz w:val="22"/>
                <w:szCs w:val="22"/>
              </w:rPr>
              <w:t xml:space="preserve"> and interview indicate that at all levels across the district, when a student is designated as </w:t>
            </w:r>
            <w:r w:rsidR="003651F2">
              <w:rPr>
                <w:rFonts w:ascii="Arial" w:hAnsi="Arial" w:cs="Arial"/>
                <w:sz w:val="22"/>
                <w:szCs w:val="22"/>
              </w:rPr>
              <w:t>an English language learner (ELL)</w:t>
            </w:r>
            <w:r w:rsidRPr="00CE4005">
              <w:rPr>
                <w:rFonts w:ascii="Arial" w:hAnsi="Arial" w:cs="Arial"/>
                <w:sz w:val="22"/>
                <w:szCs w:val="22"/>
              </w:rPr>
              <w:t xml:space="preserve"> and receiving special education services, the students are consistently given equal opportunity to participate in English learner education services and scheduling limitations do not interfere with these services.</w:t>
            </w:r>
          </w:p>
        </w:tc>
      </w:tr>
    </w:tbl>
    <w:p w:rsidR="003651F2" w:rsidRDefault="003651F2">
      <w:pPr>
        <w:pStyle w:val="Normal8"/>
      </w:pPr>
    </w:p>
    <w:p w:rsidR="003651F2" w:rsidRDefault="003651F2">
      <w:pPr>
        <w:pStyle w:val="Normal9"/>
      </w:pPr>
    </w:p>
    <w:tbl>
      <w:tblPr>
        <w:tblW w:w="9360" w:type="dxa"/>
        <w:tblBorders>
          <w:bottom w:val="single" w:sz="4" w:space="0" w:color="auto"/>
        </w:tblBorders>
        <w:tblLayout w:type="fixed"/>
        <w:tblLook w:val="0000"/>
      </w:tblPr>
      <w:tblGrid>
        <w:gridCol w:w="9360"/>
      </w:tblGrid>
      <w:tr w:rsidR="003651F2" w:rsidRPr="00AF5230" w:rsidTr="003651F2">
        <w:trPr>
          <w:tblHeader/>
        </w:trPr>
        <w:tc>
          <w:tcPr>
            <w:tcW w:w="9360" w:type="dxa"/>
            <w:tcBorders>
              <w:bottom w:val="single" w:sz="4" w:space="0" w:color="auto"/>
            </w:tcBorders>
            <w:shd w:val="clear" w:color="auto" w:fill="C0C0C0"/>
          </w:tcPr>
          <w:p w:rsidR="003651F2" w:rsidRPr="00AF5230" w:rsidRDefault="00AB3428" w:rsidP="003651F2">
            <w:pPr>
              <w:pStyle w:val="Normal9"/>
              <w:keepNext/>
              <w:rPr>
                <w:rFonts w:ascii="Verdana" w:hAnsi="Verdana"/>
                <w:b/>
                <w:sz w:val="22"/>
                <w:szCs w:val="22"/>
              </w:rPr>
            </w:pPr>
            <w:bookmarkStart w:id="29" w:name="CRIT_SE_55"/>
            <w:bookmarkEnd w:id="29"/>
            <w:r w:rsidRPr="00AF5230">
              <w:rPr>
                <w:rFonts w:ascii="Verdana" w:hAnsi="Verdana"/>
                <w:b/>
                <w:sz w:val="22"/>
                <w:szCs w:val="22"/>
              </w:rPr>
              <w:lastRenderedPageBreak/>
              <w:t>SE Criterion # 55 - Special education facilities and classrooms</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9"/>
              <w:keepNext/>
              <w:rPr>
                <w:rFonts w:ascii="Verdana" w:hAnsi="Verdana"/>
                <w:b/>
                <w:sz w:val="22"/>
                <w:szCs w:val="22"/>
              </w:rPr>
            </w:pPr>
            <w:bookmarkStart w:id="30" w:name="RATING_SE_55"/>
            <w:bookmarkEnd w:id="30"/>
            <w:r w:rsidRPr="00AF5230">
              <w:rPr>
                <w:rFonts w:ascii="Verdana" w:hAnsi="Verdana"/>
                <w:b/>
                <w:sz w:val="22"/>
                <w:szCs w:val="22"/>
              </w:rPr>
              <w:t>Rating:</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3651F2">
            <w:pPr>
              <w:pStyle w:val="Normal9"/>
              <w:keepNext/>
              <w:rPr>
                <w:rFonts w:ascii="Arial" w:hAnsi="Arial" w:cs="Arial"/>
                <w:sz w:val="22"/>
                <w:szCs w:val="22"/>
              </w:rPr>
            </w:pPr>
            <w:r w:rsidRPr="00CE4005">
              <w:rPr>
                <w:rFonts w:ascii="Arial" w:hAnsi="Arial" w:cs="Arial"/>
                <w:sz w:val="22"/>
                <w:szCs w:val="22"/>
              </w:rPr>
              <w:t>Implemented</w:t>
            </w:r>
          </w:p>
        </w:tc>
      </w:tr>
      <w:tr w:rsidR="003651F2" w:rsidRPr="00E166C8" w:rsidTr="003651F2">
        <w:tc>
          <w:tcPr>
            <w:tcW w:w="9360" w:type="dxa"/>
            <w:tcBorders>
              <w:top w:val="single" w:sz="4" w:space="0" w:color="auto"/>
              <w:left w:val="single" w:sz="4" w:space="0" w:color="auto"/>
              <w:bottom w:val="nil"/>
              <w:right w:val="single" w:sz="4" w:space="0" w:color="auto"/>
            </w:tcBorders>
          </w:tcPr>
          <w:p w:rsidR="003651F2" w:rsidRPr="00E166C8" w:rsidRDefault="00AB3428" w:rsidP="003651F2">
            <w:pPr>
              <w:pStyle w:val="Normal9"/>
              <w:keepNext/>
              <w:rPr>
                <w:rFonts w:ascii="Verdana" w:hAnsi="Verdana"/>
                <w:b/>
                <w:sz w:val="22"/>
                <w:szCs w:val="22"/>
              </w:rPr>
            </w:pPr>
            <w:bookmarkStart w:id="31" w:name="BASIS_FINDINGS_SE_55"/>
            <w:bookmarkEnd w:id="31"/>
            <w:r w:rsidRPr="00AF5230">
              <w:rPr>
                <w:rFonts w:ascii="Verdana" w:hAnsi="Verdana"/>
                <w:b/>
                <w:sz w:val="22"/>
                <w:szCs w:val="22"/>
              </w:rPr>
              <w:t>Basis for Findings:</w:t>
            </w:r>
          </w:p>
        </w:tc>
      </w:tr>
      <w:tr w:rsidR="003651F2" w:rsidRPr="00CE4005" w:rsidTr="003651F2">
        <w:tc>
          <w:tcPr>
            <w:tcW w:w="9360" w:type="dxa"/>
            <w:tcBorders>
              <w:top w:val="nil"/>
              <w:left w:val="single" w:sz="4" w:space="0" w:color="auto"/>
              <w:bottom w:val="single" w:sz="4" w:space="0" w:color="auto"/>
              <w:right w:val="single" w:sz="4" w:space="0" w:color="auto"/>
            </w:tcBorders>
          </w:tcPr>
          <w:p w:rsidR="003651F2" w:rsidRPr="00CE4005" w:rsidRDefault="00AB3428" w:rsidP="00427DD0">
            <w:pPr>
              <w:pStyle w:val="Normal9"/>
              <w:keepNext/>
              <w:rPr>
                <w:rFonts w:ascii="Arial" w:hAnsi="Arial" w:cs="Arial"/>
                <w:sz w:val="22"/>
                <w:szCs w:val="22"/>
              </w:rPr>
            </w:pPr>
            <w:r w:rsidRPr="00CE4005">
              <w:rPr>
                <w:rFonts w:ascii="Arial" w:hAnsi="Arial" w:cs="Arial"/>
                <w:sz w:val="22"/>
                <w:szCs w:val="22"/>
              </w:rPr>
              <w:t>A faculties review at Charlton Elementary School, Heritage Elementary School,</w:t>
            </w:r>
            <w:r w:rsidR="00427DD0">
              <w:rPr>
                <w:rFonts w:ascii="Arial" w:hAnsi="Arial" w:cs="Arial"/>
                <w:sz w:val="22"/>
                <w:szCs w:val="22"/>
              </w:rPr>
              <w:t xml:space="preserve"> Dudley Elementary School, and t</w:t>
            </w:r>
            <w:r w:rsidRPr="00CE4005">
              <w:rPr>
                <w:rFonts w:ascii="Arial" w:hAnsi="Arial" w:cs="Arial"/>
                <w:sz w:val="22"/>
                <w:szCs w:val="22"/>
              </w:rPr>
              <w:t>he STRIVES special education program located in the Shepherd Hill Regional High School demonstrate that all instructional spaces utilized for special education maximize</w:t>
            </w:r>
            <w:r w:rsidR="00427DD0">
              <w:rPr>
                <w:rFonts w:ascii="Arial" w:hAnsi="Arial" w:cs="Arial"/>
                <w:sz w:val="22"/>
                <w:szCs w:val="22"/>
              </w:rPr>
              <w:t xml:space="preserve"> the inclusion of special needs</w:t>
            </w:r>
            <w:r w:rsidRPr="00CE4005">
              <w:rPr>
                <w:rFonts w:ascii="Arial" w:hAnsi="Arial" w:cs="Arial"/>
                <w:sz w:val="22"/>
                <w:szCs w:val="22"/>
              </w:rPr>
              <w:t xml:space="preserve"> students into the life of the school,  are equal in all physical respects to the average standards of general education facilities and classrooms within the respective school buildings, are given the same priority as general education programs in the allocation of instructional and other space in the school building, and </w:t>
            </w:r>
            <w:r w:rsidR="00427DD0">
              <w:rPr>
                <w:rFonts w:ascii="Arial" w:hAnsi="Arial" w:cs="Arial"/>
                <w:sz w:val="22"/>
                <w:szCs w:val="22"/>
              </w:rPr>
              <w:t xml:space="preserve">no </w:t>
            </w:r>
            <w:r w:rsidRPr="00CE4005">
              <w:rPr>
                <w:rFonts w:ascii="Arial" w:hAnsi="Arial" w:cs="Arial"/>
                <w:sz w:val="22"/>
                <w:szCs w:val="22"/>
              </w:rPr>
              <w:t>instructional spaces are identified by signs or other means that stigmatize such students.</w:t>
            </w:r>
          </w:p>
        </w:tc>
      </w:tr>
    </w:tbl>
    <w:p w:rsidR="003651F2" w:rsidRDefault="003651F2">
      <w:pPr>
        <w:pStyle w:val="Normal9"/>
      </w:pPr>
    </w:p>
    <w:p w:rsidR="003651F2" w:rsidRPr="00AF5230" w:rsidRDefault="003651F2" w:rsidP="003651F2">
      <w:pPr>
        <w:rPr>
          <w:rFonts w:ascii="Verdana" w:hAnsi="Verdana"/>
          <w:sz w:val="16"/>
          <w:szCs w:val="16"/>
        </w:rPr>
      </w:pPr>
    </w:p>
    <w:sectPr w:rsidR="003651F2" w:rsidRPr="00AF5230" w:rsidSect="003651F2">
      <w:footerReference w:type="even" r:id="rId14"/>
      <w:footerReference w:type="default" r:id="rId15"/>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1BE" w:rsidRDefault="005661BE">
      <w:r>
        <w:separator/>
      </w:r>
    </w:p>
  </w:endnote>
  <w:endnote w:type="continuationSeparator" w:id="0">
    <w:p w:rsidR="005661BE" w:rsidRDefault="005661BE">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2" w:rsidRDefault="00541DEF" w:rsidP="003651F2">
    <w:pPr>
      <w:pStyle w:val="Footer"/>
      <w:framePr w:wrap="around" w:vAnchor="text" w:hAnchor="margin" w:xAlign="right" w:y="1"/>
      <w:rPr>
        <w:rStyle w:val="PageNumber"/>
      </w:rPr>
    </w:pPr>
    <w:r>
      <w:rPr>
        <w:rStyle w:val="PageNumber"/>
      </w:rPr>
      <w:fldChar w:fldCharType="begin"/>
    </w:r>
    <w:r w:rsidR="003651F2">
      <w:rPr>
        <w:rStyle w:val="PageNumber"/>
      </w:rPr>
      <w:instrText xml:space="preserve">PAGE  </w:instrText>
    </w:r>
    <w:r>
      <w:rPr>
        <w:rStyle w:val="PageNumber"/>
      </w:rPr>
      <w:fldChar w:fldCharType="end"/>
    </w:r>
  </w:p>
  <w:p w:rsidR="003651F2" w:rsidRDefault="003651F2" w:rsidP="003651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1F2" w:rsidRDefault="003651F2" w:rsidP="003651F2">
    <w:pPr>
      <w:pStyle w:val="Footer"/>
      <w:tabs>
        <w:tab w:val="clear" w:pos="8640"/>
      </w:tabs>
      <w:ind w:right="360"/>
      <w:jc w:val="center"/>
      <w:rPr>
        <w:rFonts w:ascii="Verdana" w:hAnsi="Verdana"/>
        <w:sz w:val="16"/>
        <w:szCs w:val="16"/>
      </w:rPr>
    </w:pPr>
    <w:bookmarkStart w:id="32" w:name="STATE_ED_FOOTER"/>
    <w:r>
      <w:rPr>
        <w:rFonts w:ascii="Verdana" w:hAnsi="Verdana"/>
        <w:sz w:val="16"/>
        <w:szCs w:val="16"/>
      </w:rPr>
      <w:t>Massachusetts Department of Elementary &amp; Secondary Education</w:t>
    </w:r>
    <w:bookmarkEnd w:id="32"/>
    <w:r>
      <w:rPr>
        <w:rFonts w:ascii="Verdana" w:hAnsi="Verdana"/>
        <w:sz w:val="16"/>
        <w:szCs w:val="16"/>
      </w:rPr>
      <w:t xml:space="preserve"> – </w:t>
    </w:r>
    <w:bookmarkStart w:id="33" w:name="AGENCY_NAME_FOOTER"/>
    <w:r>
      <w:rPr>
        <w:rFonts w:ascii="Verdana" w:hAnsi="Verdana"/>
        <w:sz w:val="16"/>
        <w:szCs w:val="16"/>
      </w:rPr>
      <w:t>Program Quality Assurance Services</w:t>
    </w:r>
    <w:bookmarkEnd w:id="33"/>
  </w:p>
  <w:p w:rsidR="003651F2" w:rsidRPr="00700A12" w:rsidRDefault="003651F2" w:rsidP="003651F2">
    <w:pPr>
      <w:pStyle w:val="Footer"/>
      <w:tabs>
        <w:tab w:val="clear" w:pos="8640"/>
      </w:tabs>
      <w:ind w:right="360"/>
      <w:jc w:val="center"/>
      <w:rPr>
        <w:rFonts w:ascii="Verdana" w:hAnsi="Verdana"/>
        <w:sz w:val="16"/>
        <w:szCs w:val="16"/>
      </w:rPr>
    </w:pPr>
    <w:bookmarkStart w:id="34" w:name="ORG_NAME_FOOTER"/>
    <w:r>
      <w:rPr>
        <w:rFonts w:ascii="Verdana" w:hAnsi="Verdana"/>
        <w:sz w:val="16"/>
        <w:szCs w:val="16"/>
      </w:rPr>
      <w:t>Dudley-Charlton Regional School District</w:t>
    </w:r>
    <w:bookmarkEnd w:id="34"/>
    <w:r>
      <w:rPr>
        <w:rFonts w:ascii="Verdana" w:hAnsi="Verdana"/>
        <w:sz w:val="16"/>
        <w:szCs w:val="16"/>
      </w:rPr>
      <w:t xml:space="preserve"> Mid-Cycle Report </w:t>
    </w:r>
    <w:r w:rsidR="00510247">
      <w:rPr>
        <w:rFonts w:ascii="Verdana" w:hAnsi="Verdana"/>
        <w:sz w:val="16"/>
        <w:szCs w:val="16"/>
      </w:rPr>
      <w:t>–</w:t>
    </w:r>
    <w:r>
      <w:rPr>
        <w:rFonts w:ascii="Verdana" w:hAnsi="Verdana"/>
        <w:sz w:val="16"/>
        <w:szCs w:val="16"/>
      </w:rPr>
      <w:t xml:space="preserve"> </w:t>
    </w:r>
    <w:bookmarkStart w:id="35" w:name="MCR_REPORT_DATE"/>
    <w:r w:rsidR="00510247">
      <w:rPr>
        <w:rFonts w:ascii="Verdana" w:hAnsi="Verdana"/>
        <w:sz w:val="16"/>
        <w:szCs w:val="16"/>
      </w:rPr>
      <w:t xml:space="preserve">August 1, </w:t>
    </w:r>
    <w:r w:rsidRPr="00700A12">
      <w:rPr>
        <w:rFonts w:ascii="Verdana" w:hAnsi="Verdana"/>
        <w:sz w:val="16"/>
        <w:szCs w:val="16"/>
      </w:rPr>
      <w:t>2014 09:52:10 AM</w:t>
    </w:r>
    <w:bookmarkEnd w:id="35"/>
  </w:p>
  <w:p w:rsidR="003651F2" w:rsidRPr="00700A12" w:rsidRDefault="003651F2" w:rsidP="003651F2">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541DEF" w:rsidRPr="00700A12">
      <w:rPr>
        <w:rFonts w:ascii="Verdana" w:hAnsi="Verdana"/>
        <w:sz w:val="16"/>
        <w:szCs w:val="16"/>
      </w:rPr>
      <w:fldChar w:fldCharType="begin"/>
    </w:r>
    <w:r w:rsidRPr="00700A12">
      <w:rPr>
        <w:rFonts w:ascii="Verdana" w:hAnsi="Verdana"/>
        <w:sz w:val="16"/>
        <w:szCs w:val="16"/>
      </w:rPr>
      <w:instrText xml:space="preserve"> PAGE </w:instrText>
    </w:r>
    <w:r w:rsidR="00541DEF" w:rsidRPr="00700A12">
      <w:rPr>
        <w:rFonts w:ascii="Verdana" w:hAnsi="Verdana"/>
        <w:sz w:val="16"/>
        <w:szCs w:val="16"/>
      </w:rPr>
      <w:fldChar w:fldCharType="separate"/>
    </w:r>
    <w:r w:rsidR="00AA28D9">
      <w:rPr>
        <w:rFonts w:ascii="Verdana" w:hAnsi="Verdana"/>
        <w:noProof/>
        <w:sz w:val="16"/>
        <w:szCs w:val="16"/>
      </w:rPr>
      <w:t>5</w:t>
    </w:r>
    <w:r w:rsidR="00541DEF" w:rsidRPr="00700A12">
      <w:rPr>
        <w:rFonts w:ascii="Verdana" w:hAnsi="Verdana"/>
        <w:sz w:val="16"/>
        <w:szCs w:val="16"/>
      </w:rPr>
      <w:fldChar w:fldCharType="end"/>
    </w:r>
    <w:r w:rsidRPr="00700A12">
      <w:rPr>
        <w:rFonts w:ascii="Verdana" w:hAnsi="Verdana"/>
        <w:sz w:val="16"/>
        <w:szCs w:val="16"/>
      </w:rPr>
      <w:t xml:space="preserve"> of </w:t>
    </w:r>
    <w:r w:rsidR="00541DEF" w:rsidRPr="00700A12">
      <w:rPr>
        <w:rFonts w:ascii="Verdana" w:hAnsi="Verdana"/>
        <w:sz w:val="16"/>
        <w:szCs w:val="16"/>
      </w:rPr>
      <w:fldChar w:fldCharType="begin"/>
    </w:r>
    <w:r w:rsidRPr="00700A12">
      <w:rPr>
        <w:rFonts w:ascii="Verdana" w:hAnsi="Verdana"/>
        <w:sz w:val="16"/>
        <w:szCs w:val="16"/>
      </w:rPr>
      <w:instrText xml:space="preserve"> NUMPAGES </w:instrText>
    </w:r>
    <w:r w:rsidR="00541DEF" w:rsidRPr="00700A12">
      <w:rPr>
        <w:rFonts w:ascii="Verdana" w:hAnsi="Verdana"/>
        <w:sz w:val="16"/>
        <w:szCs w:val="16"/>
      </w:rPr>
      <w:fldChar w:fldCharType="separate"/>
    </w:r>
    <w:r w:rsidR="00AA28D9">
      <w:rPr>
        <w:rFonts w:ascii="Verdana" w:hAnsi="Verdana"/>
        <w:noProof/>
        <w:sz w:val="16"/>
        <w:szCs w:val="16"/>
      </w:rPr>
      <w:t>5</w:t>
    </w:r>
    <w:r w:rsidR="00541DEF"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1BE" w:rsidRDefault="005661BE">
      <w:r>
        <w:separator/>
      </w:r>
    </w:p>
  </w:footnote>
  <w:footnote w:type="continuationSeparator" w:id="0">
    <w:p w:rsidR="005661BE" w:rsidRDefault="00566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C1E627B6">
      <w:start w:val="1"/>
      <w:numFmt w:val="decimal"/>
      <w:lvlText w:val="%1."/>
      <w:lvlJc w:val="left"/>
      <w:pPr>
        <w:tabs>
          <w:tab w:val="num" w:pos="720"/>
        </w:tabs>
        <w:ind w:left="720" w:hanging="360"/>
      </w:pPr>
      <w:rPr>
        <w:rFonts w:hint="default"/>
      </w:rPr>
    </w:lvl>
    <w:lvl w:ilvl="1" w:tplc="F2B4A63A" w:tentative="1">
      <w:start w:val="1"/>
      <w:numFmt w:val="lowerLetter"/>
      <w:lvlText w:val="%2."/>
      <w:lvlJc w:val="left"/>
      <w:pPr>
        <w:tabs>
          <w:tab w:val="num" w:pos="1440"/>
        </w:tabs>
        <w:ind w:left="1440" w:hanging="360"/>
      </w:pPr>
    </w:lvl>
    <w:lvl w:ilvl="2" w:tplc="6F1ACCEC" w:tentative="1">
      <w:start w:val="1"/>
      <w:numFmt w:val="lowerRoman"/>
      <w:lvlText w:val="%3."/>
      <w:lvlJc w:val="right"/>
      <w:pPr>
        <w:tabs>
          <w:tab w:val="num" w:pos="2160"/>
        </w:tabs>
        <w:ind w:left="2160" w:hanging="180"/>
      </w:pPr>
    </w:lvl>
    <w:lvl w:ilvl="3" w:tplc="34E6C8F8" w:tentative="1">
      <w:start w:val="1"/>
      <w:numFmt w:val="decimal"/>
      <w:lvlText w:val="%4."/>
      <w:lvlJc w:val="left"/>
      <w:pPr>
        <w:tabs>
          <w:tab w:val="num" w:pos="2880"/>
        </w:tabs>
        <w:ind w:left="2880" w:hanging="360"/>
      </w:pPr>
    </w:lvl>
    <w:lvl w:ilvl="4" w:tplc="78AE272C" w:tentative="1">
      <w:start w:val="1"/>
      <w:numFmt w:val="lowerLetter"/>
      <w:lvlText w:val="%5."/>
      <w:lvlJc w:val="left"/>
      <w:pPr>
        <w:tabs>
          <w:tab w:val="num" w:pos="3600"/>
        </w:tabs>
        <w:ind w:left="3600" w:hanging="360"/>
      </w:pPr>
    </w:lvl>
    <w:lvl w:ilvl="5" w:tplc="056C3ECA" w:tentative="1">
      <w:start w:val="1"/>
      <w:numFmt w:val="lowerRoman"/>
      <w:lvlText w:val="%6."/>
      <w:lvlJc w:val="right"/>
      <w:pPr>
        <w:tabs>
          <w:tab w:val="num" w:pos="4320"/>
        </w:tabs>
        <w:ind w:left="4320" w:hanging="180"/>
      </w:pPr>
    </w:lvl>
    <w:lvl w:ilvl="6" w:tplc="40DA70BA" w:tentative="1">
      <w:start w:val="1"/>
      <w:numFmt w:val="decimal"/>
      <w:lvlText w:val="%7."/>
      <w:lvlJc w:val="left"/>
      <w:pPr>
        <w:tabs>
          <w:tab w:val="num" w:pos="5040"/>
        </w:tabs>
        <w:ind w:left="5040" w:hanging="360"/>
      </w:pPr>
    </w:lvl>
    <w:lvl w:ilvl="7" w:tplc="0840E8CC" w:tentative="1">
      <w:start w:val="1"/>
      <w:numFmt w:val="lowerLetter"/>
      <w:lvlText w:val="%8."/>
      <w:lvlJc w:val="left"/>
      <w:pPr>
        <w:tabs>
          <w:tab w:val="num" w:pos="5760"/>
        </w:tabs>
        <w:ind w:left="5760" w:hanging="360"/>
      </w:pPr>
    </w:lvl>
    <w:lvl w:ilvl="8" w:tplc="A1D86A60"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406CD6"/>
    <w:rsid w:val="0000631C"/>
    <w:rsid w:val="0001338C"/>
    <w:rsid w:val="00092B92"/>
    <w:rsid w:val="0011292C"/>
    <w:rsid w:val="001D3BFA"/>
    <w:rsid w:val="001F2AC3"/>
    <w:rsid w:val="0020096D"/>
    <w:rsid w:val="00211DFC"/>
    <w:rsid w:val="003651F2"/>
    <w:rsid w:val="00366A8C"/>
    <w:rsid w:val="003B2771"/>
    <w:rsid w:val="00406CD6"/>
    <w:rsid w:val="00427DD0"/>
    <w:rsid w:val="004572C5"/>
    <w:rsid w:val="00510247"/>
    <w:rsid w:val="00541DEF"/>
    <w:rsid w:val="005661BE"/>
    <w:rsid w:val="006A5D23"/>
    <w:rsid w:val="00943DD1"/>
    <w:rsid w:val="00952271"/>
    <w:rsid w:val="00A90F67"/>
    <w:rsid w:val="00AA28D9"/>
    <w:rsid w:val="00AB3428"/>
    <w:rsid w:val="00C8780A"/>
    <w:rsid w:val="00CB5A0F"/>
    <w:rsid w:val="00D87222"/>
    <w:rsid w:val="00E123BD"/>
    <w:rsid w:val="00E673BD"/>
    <w:rsid w:val="00F575A8"/>
    <w:rsid w:val="00F80CC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92F17"/>
    <w:rPr>
      <w:sz w:val="24"/>
      <w:szCs w:val="24"/>
    </w:rPr>
  </w:style>
  <w:style w:type="paragraph" w:styleId="Heading2">
    <w:name w:val="heading 2"/>
    <w:basedOn w:val="Normal"/>
    <w:next w:val="Normal"/>
    <w:link w:val="Heading2Char"/>
    <w:qFormat/>
    <w:locked/>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locked/>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locked/>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locked/>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locked/>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 w:type="paragraph" w:customStyle="1" w:styleId="Normal8">
    <w:name w:val="Normal_8"/>
    <w:qFormat/>
    <w:rsid w:val="00C65036"/>
    <w:rPr>
      <w:sz w:val="24"/>
      <w:szCs w:val="24"/>
    </w:rPr>
  </w:style>
  <w:style w:type="paragraph" w:customStyle="1" w:styleId="Normal9">
    <w:name w:val="Normal_9"/>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DESE-231-12181</_dlc_DocId>
    <_dlc_DocIdUrl xmlns="733efe1c-5bbe-4968-87dc-d400e65c879f">
      <Url>https://sharepoint.doemass.org/ese/webteam/cps/_layouts/DocIdRedir.aspx?ID=DESE-231-12181</Url>
      <Description>DESE-231-12181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DDE3FD6-6A57-4434-87A8-EDDE16B9177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E5251D9-4F94-441D-A3A4-1C3F5391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75267E-FAC7-4A01-9DB4-5EBBD8B8D9A4}">
  <ds:schemaRefs>
    <ds:schemaRef ds:uri="http://schemas.microsoft.com/sharepoint/events"/>
  </ds:schemaRefs>
</ds:datastoreItem>
</file>

<file path=customXml/itemProps4.xml><?xml version="1.0" encoding="utf-8"?>
<ds:datastoreItem xmlns:ds="http://schemas.openxmlformats.org/officeDocument/2006/customXml" ds:itemID="{8508FD1E-0272-4B90-B0AF-6FC51A6CB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981</Words>
  <Characters>5621</Characters>
  <Application>Microsoft Office Word</Application>
  <DocSecurity>0</DocSecurity>
  <Lines>174</Lines>
  <Paragraphs>59</Paragraphs>
  <ScaleCrop>false</ScaleCrop>
  <HeadingPairs>
    <vt:vector size="2" baseType="variant">
      <vt:variant>
        <vt:lpstr>Title</vt:lpstr>
      </vt:variant>
      <vt:variant>
        <vt:i4>1</vt:i4>
      </vt:variant>
    </vt:vector>
  </HeadingPairs>
  <TitlesOfParts>
    <vt:vector size="1" baseType="lpstr">
      <vt:lpstr>Dudley-Charlton RSD Mid-cycle Report 2014</vt:lpstr>
    </vt:vector>
  </TitlesOfParts>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Dudley-Charlton RSD Mid-cycle Report 2014</dc:title>
  <dc:creator>ESE</dc:creator>
  <cp:lastModifiedBy>dzou</cp:lastModifiedBy>
  <cp:revision>3</cp:revision>
  <cp:lastPrinted>2011-08-03T13:50:00Z</cp:lastPrinted>
  <dcterms:created xsi:type="dcterms:W3CDTF">2014-12-01T17:47:00Z</dcterms:created>
  <dcterms:modified xsi:type="dcterms:W3CDTF">2014-12-02T15:51:00Z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 2014</vt:lpwstr>
  </property>
</Properties>
</file>