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2" w:type="dxa"/>
        <w:tblLayout w:type="fixed"/>
        <w:tblLook w:val="0000"/>
      </w:tblPr>
      <w:tblGrid>
        <w:gridCol w:w="362"/>
        <w:gridCol w:w="1228"/>
        <w:gridCol w:w="8490"/>
      </w:tblGrid>
      <w:tr w:rsidR="00380B95" w:rsidRPr="00A25A31">
        <w:trPr>
          <w:trHeight w:val="10800"/>
        </w:trPr>
        <w:tc>
          <w:tcPr>
            <w:tcW w:w="362" w:type="dxa"/>
            <w:tcBorders>
              <w:right w:val="single" w:sz="4" w:space="0" w:color="auto"/>
            </w:tcBorders>
          </w:tcPr>
          <w:p w:rsidR="00380B95" w:rsidRPr="00BB123E" w:rsidRDefault="004122BF" w:rsidP="00380B95">
            <w:pPr>
              <w:ind w:left="720" w:hanging="720"/>
              <w:rPr>
                <w:sz w:val="22"/>
              </w:rPr>
            </w:pPr>
            <w:r>
              <w:rPr>
                <w:noProof/>
                <w:sz w:val="22"/>
                <w:lang w:eastAsia="zh-CN"/>
              </w:rPr>
              <w:pict>
                <v:group id="_x0000_s1029" alt="MA State Seal" style="position:absolute;left:0;text-align:left;margin-left:-9.65pt;margin-top:522.95pt;width:129.6pt;height:129.6pt;z-index:251660288" coordorigin="1595,11909" coordsize="2592,2592">
                  <v:oval id="_x0000_s1026" style="position:absolute;left:1595;top:11909;width:2592;height:2592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alt="MA State Seal" style="position:absolute;left:2160;top:12243;width:1553;height:1953;visibility:visible;mso-wrap-edited:f;mso-wrap-distance-right:21.6pt" wrapcoords="-117 0 -117 21506 21600 21506 21600 0 -117 0" filled="t">
                    <v:imagedata r:id="rId11" o:title="" blacklevel="5898f"/>
                  </v:shape>
                  <v:oval id="_x0000_s1028" style="position:absolute;left:1889;top:12214;width:2016;height:2016" filled="f"/>
                </v:group>
                <o:OLEObject Type="Embed" ProgID="Word.Picture.8" ShapeID="_x0000_s1027" DrawAspect="Content" ObjectID="_1549201216" r:id="rId12"/>
              </w:pic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B95" w:rsidRPr="00BB123E" w:rsidRDefault="001C6D7E" w:rsidP="00380B95">
            <w:pPr>
              <w:rPr>
                <w:sz w:val="2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325755</wp:posOffset>
                  </wp:positionV>
                  <wp:extent cx="2898775" cy="1417955"/>
                  <wp:effectExtent l="19050" t="0" r="0" b="0"/>
                  <wp:wrapNone/>
                  <wp:docPr id="5" name="Picture 4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ESELogo_695x338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41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0" w:type="dxa"/>
            <w:tcBorders>
              <w:left w:val="single" w:sz="4" w:space="0" w:color="auto"/>
            </w:tcBorders>
          </w:tcPr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COORDINATED PROGRAM REVIEW</w:t>
            </w:r>
          </w:p>
          <w:p w:rsidR="00380B95" w:rsidRDefault="00380B95" w:rsidP="00380B9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MID-CYCLE REPORT</w:t>
            </w:r>
          </w:p>
          <w:p w:rsidR="00380B95" w:rsidRDefault="00380B95" w:rsidP="00380B9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District: </w:t>
            </w:r>
            <w:bookmarkStart w:id="0" w:name="ORG_NAME"/>
            <w:r>
              <w:rPr>
                <w:b/>
              </w:rPr>
              <w:t>Mount Greylock Regional School District</w:t>
            </w:r>
            <w:bookmarkEnd w:id="0"/>
          </w:p>
          <w:p w:rsidR="00380B95" w:rsidRDefault="00380B95" w:rsidP="00380B9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MCR Onsite Date: </w:t>
            </w:r>
            <w:bookmarkStart w:id="1" w:name="MCR_DATES"/>
            <w:r>
              <w:rPr>
                <w:b/>
              </w:rPr>
              <w:t>01/04/2017</w:t>
            </w:r>
            <w:bookmarkEnd w:id="1"/>
          </w:p>
          <w:p w:rsidR="00380B95" w:rsidRDefault="00380B95" w:rsidP="00380B9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 Area: Special Education</w:t>
            </w:r>
          </w:p>
          <w:p w:rsidR="00380B95" w:rsidRPr="00A25A31" w:rsidRDefault="00380B95" w:rsidP="00380B95">
            <w:pPr>
              <w:spacing w:before="120"/>
              <w:jc w:val="center"/>
              <w:rPr>
                <w:b/>
              </w:rPr>
            </w:pPr>
          </w:p>
        </w:tc>
      </w:tr>
      <w:tr w:rsidR="00380B95" w:rsidRPr="00BB123E">
        <w:trPr>
          <w:trHeight w:val="989"/>
        </w:trPr>
        <w:tc>
          <w:tcPr>
            <w:tcW w:w="362" w:type="dxa"/>
            <w:tcBorders>
              <w:right w:val="single" w:sz="4" w:space="0" w:color="auto"/>
            </w:tcBorders>
          </w:tcPr>
          <w:p w:rsidR="00380B95" w:rsidRDefault="00380B95" w:rsidP="00380B9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Default="00380B95" w:rsidP="00380B95">
            <w:pPr>
              <w:rPr>
                <w:sz w:val="22"/>
              </w:rPr>
            </w:pPr>
          </w:p>
          <w:p w:rsidR="00380B95" w:rsidRPr="00BB123E" w:rsidRDefault="00380B95" w:rsidP="00380B95">
            <w:pPr>
              <w:rPr>
                <w:sz w:val="22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380B95" w:rsidRPr="00BB123E" w:rsidRDefault="00380B95" w:rsidP="00380B95">
            <w:pPr>
              <w:rPr>
                <w:sz w:val="22"/>
              </w:rPr>
            </w:pPr>
          </w:p>
        </w:tc>
        <w:tc>
          <w:tcPr>
            <w:tcW w:w="8490" w:type="dxa"/>
            <w:tcBorders>
              <w:left w:val="single" w:sz="4" w:space="0" w:color="auto"/>
            </w:tcBorders>
          </w:tcPr>
          <w:p w:rsidR="00380B95" w:rsidRDefault="00380B95" w:rsidP="00380B95">
            <w:pPr>
              <w:jc w:val="center"/>
              <w:rPr>
                <w:sz w:val="22"/>
              </w:rPr>
            </w:pPr>
          </w:p>
          <w:p w:rsidR="00380B95" w:rsidRPr="00F41BE1" w:rsidRDefault="00380B95" w:rsidP="00380B95">
            <w:pPr>
              <w:jc w:val="center"/>
              <w:rPr>
                <w:sz w:val="20"/>
                <w:szCs w:val="20"/>
              </w:rPr>
            </w:pPr>
          </w:p>
          <w:p w:rsidR="00380B95" w:rsidRPr="00F41BE1" w:rsidRDefault="00380B95" w:rsidP="00380B95">
            <w:pPr>
              <w:jc w:val="center"/>
              <w:rPr>
                <w:sz w:val="20"/>
                <w:szCs w:val="20"/>
              </w:rPr>
            </w:pPr>
            <w:r w:rsidRPr="00F41BE1">
              <w:rPr>
                <w:sz w:val="20"/>
                <w:szCs w:val="20"/>
              </w:rPr>
              <w:t>Mitchell D. Chester, Ed.D.</w:t>
            </w:r>
          </w:p>
          <w:p w:rsidR="00380B95" w:rsidRPr="00BB123E" w:rsidRDefault="00380B95" w:rsidP="00380B95">
            <w:pPr>
              <w:jc w:val="center"/>
              <w:rPr>
                <w:sz w:val="22"/>
              </w:rPr>
            </w:pPr>
            <w:r w:rsidRPr="00F41BE1">
              <w:rPr>
                <w:sz w:val="20"/>
                <w:szCs w:val="20"/>
              </w:rPr>
              <w:t>Commissioner of Elementary and Secondary Education</w:t>
            </w:r>
          </w:p>
        </w:tc>
      </w:tr>
      <w:tr w:rsidR="00380B95" w:rsidRPr="00BB123E">
        <w:trPr>
          <w:trHeight w:val="705"/>
        </w:trPr>
        <w:tc>
          <w:tcPr>
            <w:tcW w:w="10080" w:type="dxa"/>
            <w:gridSpan w:val="3"/>
            <w:shd w:val="clear" w:color="auto" w:fill="C0C0C0"/>
            <w:vAlign w:val="center"/>
          </w:tcPr>
          <w:p w:rsidR="00380B95" w:rsidRPr="00BB123E" w:rsidRDefault="00380B95" w:rsidP="00380B95">
            <w:pPr>
              <w:pStyle w:val="Heading5"/>
              <w:pageBreakBefore/>
              <w:spacing w:before="0"/>
              <w:rPr>
                <w:rFonts w:ascii="Times New Roman" w:hAnsi="Times New Roman"/>
              </w:rPr>
            </w:pPr>
            <w:r w:rsidRPr="00BB123E">
              <w:rPr>
                <w:rFonts w:ascii="Times New Roman" w:hAnsi="Times New Roman"/>
              </w:rPr>
              <w:lastRenderedPageBreak/>
              <w:t>COORDINATED PROGRAM REVIEW</w:t>
            </w:r>
          </w:p>
          <w:p w:rsidR="00380B95" w:rsidRPr="00BB123E" w:rsidRDefault="00380B95" w:rsidP="00380B95">
            <w:pPr>
              <w:pageBreakBefore/>
              <w:jc w:val="center"/>
              <w:rPr>
                <w:b/>
                <w:bCs/>
              </w:rPr>
            </w:pPr>
            <w:r w:rsidRPr="00BB123E">
              <w:rPr>
                <w:b/>
              </w:rPr>
              <w:t>MID</w:t>
            </w:r>
            <w:r>
              <w:rPr>
                <w:b/>
              </w:rPr>
              <w:t>-</w:t>
            </w:r>
            <w:r w:rsidRPr="00BB123E">
              <w:rPr>
                <w:b/>
              </w:rPr>
              <w:t>CYCLE R</w:t>
            </w:r>
            <w:r>
              <w:rPr>
                <w:b/>
              </w:rPr>
              <w:t>EPORT</w:t>
            </w:r>
          </w:p>
        </w:tc>
      </w:tr>
    </w:tbl>
    <w:p w:rsidR="00380B95" w:rsidRPr="00AF5230" w:rsidRDefault="00380B95" w:rsidP="00380B95">
      <w:pPr>
        <w:rPr>
          <w:rFonts w:ascii="Verdana" w:hAnsi="Verdana"/>
          <w:bCs/>
          <w:sz w:val="22"/>
          <w:szCs w:val="22"/>
        </w:rPr>
      </w:pPr>
    </w:p>
    <w:p w:rsidR="00380B95" w:rsidRPr="00AF5230" w:rsidRDefault="00380B95" w:rsidP="00380B95">
      <w:pPr>
        <w:rPr>
          <w:rFonts w:ascii="Verdana" w:hAnsi="Verdana"/>
          <w:bCs/>
          <w:sz w:val="22"/>
          <w:szCs w:val="22"/>
        </w:rPr>
      </w:pPr>
    </w:p>
    <w:p w:rsidR="00380B95" w:rsidRDefault="00380B95">
      <w:pPr>
        <w:pStyle w:val="Normal0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380B95" w:rsidRPr="00AF5230" w:rsidTr="00380B95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380B95" w:rsidRPr="00AF5230" w:rsidRDefault="00380B95" w:rsidP="00380B95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2" w:name="CRIT_SE_3A"/>
            <w:bookmarkEnd w:id="2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3A - Special requirements for students on the autism spectrum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3" w:name="RATING_SE_3A"/>
            <w:bookmarkEnd w:id="3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4" w:name="BASIS_FINDINGS_SE_3A"/>
            <w:bookmarkEnd w:id="4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Student record review, document review, and interviews </w:t>
            </w:r>
            <w:r w:rsidR="0027022D">
              <w:rPr>
                <w:rFonts w:ascii="Arial" w:hAnsi="Arial" w:cs="Arial"/>
                <w:sz w:val="22"/>
                <w:szCs w:val="22"/>
              </w:rPr>
              <w:t>indicated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whenever an evaluation indicates that a student has a disability on the autism spectrum, the IEP Team considers and specifically addresses the following: 1) the verbal and nonverbal communication needs of the student; 2) the need to develop social interaction skills and proficiencies; 3) the needs resulting from the student's unusual responses to sensory experiences; 4) the needs resulting from resistance to environmental change or change in daily routines; 5) the needs resulting from engagement in repetitive activities and stereotyped movements; 6) the need for any positive behavioral interventions, strategies, and supports to address any behavioral difficulties resulting from autism spectrum disorder; and 7) other needs resulting from the student's disability that impact progress in the general curriculum, including social and emotional development.</w:t>
            </w:r>
          </w:p>
          <w:p w:rsidR="00380B95" w:rsidRPr="00CE4005" w:rsidRDefault="00380B95" w:rsidP="00380B95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380B95" w:rsidRPr="00CE4005" w:rsidRDefault="00C25AF7" w:rsidP="00C25AF7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record review also indicated </w:t>
            </w:r>
            <w:r w:rsidRPr="00CE4005">
              <w:rPr>
                <w:rFonts w:ascii="Arial" w:hAnsi="Arial" w:cs="Arial"/>
                <w:sz w:val="22"/>
                <w:szCs w:val="22"/>
              </w:rPr>
              <w:t>that Teams use a checklist to gather information and guide IEP development.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005">
              <w:rPr>
                <w:rFonts w:ascii="Arial" w:hAnsi="Arial" w:cs="Arial"/>
                <w:sz w:val="22"/>
                <w:szCs w:val="22"/>
              </w:rPr>
              <w:t>Areas of specific student need are addressed as goals and accommodations in the IEP.</w:t>
            </w:r>
          </w:p>
        </w:tc>
      </w:tr>
    </w:tbl>
    <w:p w:rsidR="00380B95" w:rsidRDefault="00380B95">
      <w:pPr>
        <w:pStyle w:val="Normal0"/>
      </w:pPr>
    </w:p>
    <w:p w:rsidR="00380B95" w:rsidRDefault="00380B95">
      <w:pPr>
        <w:pStyle w:val="Normal1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380B95" w:rsidRPr="00AF5230" w:rsidTr="00380B95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380B95" w:rsidRPr="00AF5230" w:rsidRDefault="00380B95" w:rsidP="00380B95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5" w:name="CRIT_SE_13"/>
            <w:bookmarkEnd w:id="5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13 - Progress Reports and content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6" w:name="RATING_SE_13"/>
            <w:bookmarkEnd w:id="6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7" w:name="BASIS_FINDINGS_SE_13"/>
            <w:bookmarkEnd w:id="7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Student record review and interviews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parents receive progress reports at least as often as parents are informed of the pro</w:t>
            </w:r>
            <w:r>
              <w:rPr>
                <w:rFonts w:ascii="Arial" w:hAnsi="Arial" w:cs="Arial"/>
                <w:sz w:val="22"/>
                <w:szCs w:val="22"/>
              </w:rPr>
              <w:t>gress of non-disabled students</w:t>
            </w:r>
            <w:r w:rsidR="0027022D">
              <w:rPr>
                <w:rFonts w:ascii="Arial" w:hAnsi="Arial" w:cs="Arial"/>
                <w:sz w:val="22"/>
                <w:szCs w:val="22"/>
              </w:rPr>
              <w:t xml:space="preserve">, which 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consistently address student progress towards annual IEP goals. </w:t>
            </w:r>
          </w:p>
          <w:p w:rsidR="00380B95" w:rsidRPr="00CE4005" w:rsidRDefault="00380B95" w:rsidP="00380B95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380B95" w:rsidRPr="00CE4005" w:rsidRDefault="00380B95" w:rsidP="00380B95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Student record revie</w:t>
            </w:r>
            <w:r>
              <w:rPr>
                <w:rFonts w:ascii="Arial" w:hAnsi="Arial" w:cs="Arial"/>
                <w:sz w:val="22"/>
                <w:szCs w:val="22"/>
              </w:rPr>
              <w:t>w and interviews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Pr="00CE4005">
              <w:rPr>
                <w:rFonts w:ascii="Arial" w:hAnsi="Arial" w:cs="Arial"/>
                <w:sz w:val="22"/>
                <w:szCs w:val="22"/>
              </w:rPr>
              <w:t>when a student's eligibility terminates because the student has graduated from secondary school or exceeded the age of eligibility, the district consistently provides the student with a summary of his or her academic achievement and functional performance, including recommendations on how to assist the student in meeting his or her postsecondary goals.</w:t>
            </w:r>
          </w:p>
        </w:tc>
      </w:tr>
    </w:tbl>
    <w:p w:rsidR="00380B95" w:rsidRDefault="00380B95">
      <w:pPr>
        <w:pStyle w:val="Normal1"/>
      </w:pPr>
    </w:p>
    <w:p w:rsidR="00380B95" w:rsidRDefault="00380B95">
      <w:pPr>
        <w:pStyle w:val="Normal2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380B95" w:rsidRPr="00AF5230" w:rsidTr="00380B95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380B95" w:rsidRPr="00AF5230" w:rsidRDefault="00380B95" w:rsidP="00380B95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8" w:name="CRIT_SE_14"/>
            <w:bookmarkEnd w:id="8"/>
            <w:r w:rsidRPr="00AF5230">
              <w:rPr>
                <w:rFonts w:ascii="Verdana" w:hAnsi="Verdana"/>
                <w:b/>
                <w:sz w:val="22"/>
                <w:szCs w:val="22"/>
              </w:rPr>
              <w:lastRenderedPageBreak/>
              <w:t>SE Criterion # 14 - Review and revision of IEPs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9" w:name="RATING_SE_14"/>
            <w:bookmarkEnd w:id="9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0" w:name="BASIS_FINDINGS_SE_14"/>
            <w:bookmarkEnd w:id="10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Student record review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at least annually, on or before the anniversary date of the IEP, a Team meeting is held to consider the student's progress and to review, revise or develop a new IEP, or refer the student for a re-evaluation, as appropriate. Interviews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IEP Teams consistently review and revise IEPs to address any lack of expected student progress towards the annual goals and in the general curriculum. </w:t>
            </w:r>
          </w:p>
          <w:p w:rsidR="00380B95" w:rsidRPr="00CE4005" w:rsidRDefault="00380B95" w:rsidP="00380B95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380B95" w:rsidRPr="00CE4005" w:rsidRDefault="00380B95" w:rsidP="00380B95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Student record review and interviews also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if the district and parent agree to make changes to a student's IEP between annual IEP meetings, the IEP Team is reconvened to amend the IEP. Parents are advised that they may request a complete copy of the amended IEP.</w:t>
            </w:r>
          </w:p>
        </w:tc>
      </w:tr>
    </w:tbl>
    <w:p w:rsidR="00380B95" w:rsidRDefault="00380B95">
      <w:pPr>
        <w:pStyle w:val="Normal2"/>
      </w:pPr>
    </w:p>
    <w:p w:rsidR="00380B95" w:rsidRDefault="00380B95">
      <w:pPr>
        <w:pStyle w:val="Normal3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380B95" w:rsidRPr="00AF5230" w:rsidTr="00380B95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380B95" w:rsidRPr="00AF5230" w:rsidRDefault="00380B95" w:rsidP="00380B95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1" w:name="CRIT_SE_18A"/>
            <w:bookmarkEnd w:id="11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18A - IEP development and content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2" w:name="RATING_SE_18A"/>
            <w:bookmarkEnd w:id="12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3" w:name="BASIS_FINDINGS_SE_18A"/>
            <w:bookmarkEnd w:id="13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Student record review and interviews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upon determining that a student is eligible for special education, IEP Teams develop the IEP, addressing all elements of the current IEP format provided by the Department of Elementary and Secondary Education. Interviews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the IEP is not changed outside of the Team meeting.</w:t>
            </w:r>
          </w:p>
          <w:p w:rsidR="00380B95" w:rsidRPr="00CE4005" w:rsidRDefault="00380B95" w:rsidP="00380B95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380B95" w:rsidRPr="00CE4005" w:rsidRDefault="00380B95" w:rsidP="006F7CAA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Student record review also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IEP Teams specifically address the skills and proficiencies needed to avoid and respond to bullying, harassment or teasing for students whose disability affects social skills development,</w:t>
            </w:r>
            <w:r w:rsidR="006F7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005">
              <w:rPr>
                <w:rFonts w:ascii="Arial" w:hAnsi="Arial" w:cs="Arial"/>
                <w:sz w:val="22"/>
                <w:szCs w:val="22"/>
              </w:rPr>
              <w:t>when the student's disability makes him or her vulnerable to bullying, harassment or teasing, and for students identified with a disability on the autism spectrum.</w:t>
            </w:r>
            <w:r w:rsidR="006F7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005">
              <w:rPr>
                <w:rFonts w:ascii="Arial" w:hAnsi="Arial" w:cs="Arial"/>
                <w:sz w:val="22"/>
                <w:szCs w:val="22"/>
              </w:rPr>
              <w:t>Student record review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IEP Teams document their considerations of the skills and proficiencies needed by students in the Additional Information section of the IEP.</w:t>
            </w:r>
          </w:p>
        </w:tc>
      </w:tr>
    </w:tbl>
    <w:p w:rsidR="00380B95" w:rsidRDefault="00380B95">
      <w:pPr>
        <w:pStyle w:val="Normal3"/>
      </w:pPr>
    </w:p>
    <w:p w:rsidR="00380B95" w:rsidRDefault="00380B95">
      <w:pPr>
        <w:pStyle w:val="Normal4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380B95" w:rsidRPr="00AF5230" w:rsidTr="00380B95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380B95" w:rsidRPr="00AF5230" w:rsidRDefault="00380B95" w:rsidP="00380B95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4" w:name="CRIT_SE_18B"/>
            <w:bookmarkEnd w:id="14"/>
            <w:r w:rsidRPr="00AF5230">
              <w:rPr>
                <w:rFonts w:ascii="Verdana" w:hAnsi="Verdana"/>
                <w:b/>
                <w:sz w:val="22"/>
                <w:szCs w:val="22"/>
              </w:rPr>
              <w:lastRenderedPageBreak/>
              <w:t>SE Criterion # 18B - Determination of placement; provision of IEP to parent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5" w:name="RATING_SE_18B"/>
            <w:bookmarkEnd w:id="15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6" w:name="BASIS_FINDINGS_SE_18B"/>
            <w:bookmarkEnd w:id="16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Student record review and interviews indicate</w:t>
            </w:r>
            <w:r w:rsidR="0027022D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IEP Teams develop the IEP prior to determining the appropriate placement to deliver the student's identified services and accommodations. Student record review and interviews demonstrate</w:t>
            </w:r>
            <w:r w:rsidR="00CA441C">
              <w:rPr>
                <w:rFonts w:ascii="Arial" w:hAnsi="Arial" w:cs="Arial"/>
                <w:sz w:val="22"/>
                <w:szCs w:val="22"/>
              </w:rPr>
              <w:t>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Teams consistently ensure that students are educated in the school she or he would attend if the student did not require special education, unless</w:t>
            </w:r>
            <w:r w:rsidR="0027022D">
              <w:rPr>
                <w:rFonts w:ascii="Arial" w:hAnsi="Arial" w:cs="Arial"/>
                <w:sz w:val="22"/>
                <w:szCs w:val="22"/>
              </w:rPr>
              <w:t xml:space="preserve"> otherwise required by the IEP.</w:t>
            </w:r>
            <w:r w:rsidR="006F7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179">
              <w:rPr>
                <w:rFonts w:ascii="Arial" w:hAnsi="Arial" w:cs="Arial"/>
                <w:sz w:val="22"/>
                <w:szCs w:val="22"/>
              </w:rPr>
              <w:t>P</w:t>
            </w:r>
            <w:r w:rsidRPr="00CE4005">
              <w:rPr>
                <w:rFonts w:ascii="Arial" w:hAnsi="Arial" w:cs="Arial"/>
                <w:sz w:val="22"/>
                <w:szCs w:val="22"/>
              </w:rPr>
              <w:t>lacement decisions are based on the types of related services, types of settings, types of service providers and location where services are to be provided.</w:t>
            </w:r>
          </w:p>
          <w:p w:rsidR="00380B95" w:rsidRPr="00CE4005" w:rsidRDefault="00380B95" w:rsidP="00380B95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380B95" w:rsidRPr="00CE4005" w:rsidRDefault="00380B95" w:rsidP="0027022D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Student record review and interviews </w:t>
            </w:r>
            <w:r w:rsidR="0027022D">
              <w:rPr>
                <w:rFonts w:ascii="Arial" w:hAnsi="Arial" w:cs="Arial"/>
                <w:sz w:val="22"/>
                <w:szCs w:val="22"/>
              </w:rPr>
              <w:t>indicated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that immediately following the development of the IEP, the district provides the parent with two copies of the proposed IEP and proposed placement along with the required notice.</w:t>
            </w:r>
          </w:p>
        </w:tc>
      </w:tr>
    </w:tbl>
    <w:p w:rsidR="00380B95" w:rsidRDefault="00380B95">
      <w:pPr>
        <w:pStyle w:val="Normal4"/>
      </w:pPr>
    </w:p>
    <w:p w:rsidR="00380B95" w:rsidRDefault="00380B95">
      <w:pPr>
        <w:pStyle w:val="Normal5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380B95" w:rsidRPr="00AF5230" w:rsidTr="00380B95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380B95" w:rsidRPr="00AF5230" w:rsidRDefault="00380B95" w:rsidP="00380B95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7" w:name="CRIT_SE_26"/>
            <w:bookmarkEnd w:id="17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26 - Parent participation in meetings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8" w:name="RATING_SE_26"/>
            <w:bookmarkEnd w:id="18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380B95">
            <w:pPr>
              <w:pStyle w:val="Normal5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380B95" w:rsidRPr="00E166C8" w:rsidTr="00380B9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B95" w:rsidRPr="00E166C8" w:rsidRDefault="00380B95" w:rsidP="00380B95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9" w:name="BASIS_FINDINGS_SE_26"/>
            <w:bookmarkEnd w:id="19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380B95" w:rsidRPr="00CE4005" w:rsidTr="00380B9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5" w:rsidRPr="00CE4005" w:rsidRDefault="00380B95" w:rsidP="00B72179">
            <w:pPr>
              <w:pStyle w:val="Normal5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The district provided the special education student roster as req</w:t>
            </w:r>
            <w:r w:rsidR="00B72179">
              <w:rPr>
                <w:rFonts w:ascii="Arial" w:hAnsi="Arial" w:cs="Arial"/>
                <w:sz w:val="22"/>
                <w:szCs w:val="22"/>
              </w:rPr>
              <w:t>uested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by the Department.</w:t>
            </w:r>
          </w:p>
        </w:tc>
      </w:tr>
    </w:tbl>
    <w:p w:rsidR="00380B95" w:rsidRDefault="00380B95">
      <w:pPr>
        <w:pStyle w:val="Normal5"/>
      </w:pPr>
    </w:p>
    <w:p w:rsidR="00380B95" w:rsidRPr="00AF5230" w:rsidRDefault="00380B95" w:rsidP="00380B95">
      <w:pPr>
        <w:rPr>
          <w:rFonts w:ascii="Verdana" w:hAnsi="Verdana"/>
          <w:sz w:val="16"/>
          <w:szCs w:val="16"/>
        </w:rPr>
      </w:pPr>
    </w:p>
    <w:sectPr w:rsidR="00380B95" w:rsidRPr="00AF5230" w:rsidSect="00380B95">
      <w:footerReference w:type="even" r:id="rId14"/>
      <w:footerReference w:type="default" r:id="rId15"/>
      <w:pgSz w:w="12240" w:h="15840" w:code="1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E0" w:rsidRDefault="007C37E0">
      <w:r>
        <w:separator/>
      </w:r>
    </w:p>
  </w:endnote>
  <w:endnote w:type="continuationSeparator" w:id="0">
    <w:p w:rsidR="007C37E0" w:rsidRDefault="007C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95" w:rsidRDefault="004122BF" w:rsidP="00380B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0B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0B95" w:rsidRDefault="00380B95" w:rsidP="00380B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95" w:rsidRDefault="00380B95" w:rsidP="00380B95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0" w:name="STATE_ED_FOOTER"/>
    <w:r>
      <w:rPr>
        <w:rFonts w:ascii="Verdana" w:hAnsi="Verdana"/>
        <w:sz w:val="16"/>
        <w:szCs w:val="16"/>
      </w:rPr>
      <w:t>Massachusetts Department of Elementary &amp; Secondary Education</w:t>
    </w:r>
    <w:bookmarkEnd w:id="20"/>
    <w:r>
      <w:rPr>
        <w:rFonts w:ascii="Verdana" w:hAnsi="Verdana"/>
        <w:sz w:val="16"/>
        <w:szCs w:val="16"/>
      </w:rPr>
      <w:t xml:space="preserve"> – </w:t>
    </w:r>
    <w:bookmarkStart w:id="21" w:name="AGENCY_NAME_FOOTER"/>
    <w:r w:rsidR="0027022D">
      <w:rPr>
        <w:rFonts w:ascii="Verdana" w:hAnsi="Verdana"/>
        <w:sz w:val="16"/>
        <w:szCs w:val="16"/>
      </w:rPr>
      <w:t>Office of Public School Monitoring</w:t>
    </w:r>
    <w:bookmarkEnd w:id="21"/>
  </w:p>
  <w:p w:rsidR="00380B95" w:rsidRPr="00700A12" w:rsidRDefault="00380B95" w:rsidP="00380B95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2" w:name="ORG_NAME_FOOTER"/>
    <w:r>
      <w:rPr>
        <w:rFonts w:ascii="Verdana" w:hAnsi="Verdana"/>
        <w:sz w:val="16"/>
        <w:szCs w:val="16"/>
      </w:rPr>
      <w:t>Mount Greyloc</w:t>
    </w:r>
    <w:r w:rsidR="00B72179">
      <w:rPr>
        <w:rFonts w:ascii="Verdana" w:hAnsi="Verdana"/>
        <w:sz w:val="16"/>
        <w:szCs w:val="16"/>
      </w:rPr>
      <w:t>k Regional School District</w:t>
    </w:r>
    <w:bookmarkEnd w:id="22"/>
    <w:r>
      <w:rPr>
        <w:rFonts w:ascii="Verdana" w:hAnsi="Verdana"/>
        <w:sz w:val="16"/>
        <w:szCs w:val="16"/>
      </w:rPr>
      <w:t xml:space="preserve"> Mid-Cycle Report - </w:t>
    </w:r>
    <w:bookmarkStart w:id="23" w:name="MCR_REPORT_DATE"/>
    <w:r w:rsidRPr="00700A12">
      <w:rPr>
        <w:rFonts w:ascii="Verdana" w:hAnsi="Verdana"/>
        <w:sz w:val="16"/>
        <w:szCs w:val="16"/>
      </w:rPr>
      <w:t>01/</w:t>
    </w:r>
    <w:r w:rsidR="0027022D">
      <w:rPr>
        <w:rFonts w:ascii="Verdana" w:hAnsi="Verdana"/>
        <w:sz w:val="16"/>
        <w:szCs w:val="16"/>
      </w:rPr>
      <w:t>17</w:t>
    </w:r>
    <w:r w:rsidRPr="00700A12">
      <w:rPr>
        <w:rFonts w:ascii="Verdana" w:hAnsi="Verdana"/>
        <w:sz w:val="16"/>
        <w:szCs w:val="16"/>
      </w:rPr>
      <w:t>/2017</w:t>
    </w:r>
    <w:bookmarkEnd w:id="23"/>
  </w:p>
  <w:p w:rsidR="00380B95" w:rsidRPr="00700A12" w:rsidRDefault="00380B95" w:rsidP="00380B95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r w:rsidRPr="00700A12">
      <w:rPr>
        <w:rFonts w:ascii="Verdana" w:hAnsi="Verdana"/>
        <w:sz w:val="16"/>
        <w:szCs w:val="16"/>
      </w:rPr>
      <w:t xml:space="preserve">Page </w:t>
    </w:r>
    <w:r w:rsidR="004122BF" w:rsidRPr="00700A12">
      <w:rPr>
        <w:rFonts w:ascii="Verdana" w:hAnsi="Verdana"/>
        <w:sz w:val="16"/>
        <w:szCs w:val="16"/>
      </w:rPr>
      <w:fldChar w:fldCharType="begin"/>
    </w:r>
    <w:r w:rsidRPr="00700A12">
      <w:rPr>
        <w:rFonts w:ascii="Verdana" w:hAnsi="Verdana"/>
        <w:sz w:val="16"/>
        <w:szCs w:val="16"/>
      </w:rPr>
      <w:instrText xml:space="preserve"> PAGE </w:instrText>
    </w:r>
    <w:r w:rsidR="004122BF" w:rsidRPr="00700A12">
      <w:rPr>
        <w:rFonts w:ascii="Verdana" w:hAnsi="Verdana"/>
        <w:sz w:val="16"/>
        <w:szCs w:val="16"/>
      </w:rPr>
      <w:fldChar w:fldCharType="separate"/>
    </w:r>
    <w:r w:rsidR="00985F22">
      <w:rPr>
        <w:rFonts w:ascii="Verdana" w:hAnsi="Verdana"/>
        <w:noProof/>
        <w:sz w:val="16"/>
        <w:szCs w:val="16"/>
      </w:rPr>
      <w:t>3</w:t>
    </w:r>
    <w:r w:rsidR="004122BF" w:rsidRPr="00700A12">
      <w:rPr>
        <w:rFonts w:ascii="Verdana" w:hAnsi="Verdana"/>
        <w:sz w:val="16"/>
        <w:szCs w:val="16"/>
      </w:rPr>
      <w:fldChar w:fldCharType="end"/>
    </w:r>
    <w:r w:rsidRPr="00700A12">
      <w:rPr>
        <w:rFonts w:ascii="Verdana" w:hAnsi="Verdana"/>
        <w:sz w:val="16"/>
        <w:szCs w:val="16"/>
      </w:rPr>
      <w:t xml:space="preserve"> of </w:t>
    </w:r>
    <w:r w:rsidR="004122BF" w:rsidRPr="00700A12">
      <w:rPr>
        <w:rFonts w:ascii="Verdana" w:hAnsi="Verdana"/>
        <w:sz w:val="16"/>
        <w:szCs w:val="16"/>
      </w:rPr>
      <w:fldChar w:fldCharType="begin"/>
    </w:r>
    <w:r w:rsidRPr="00700A12">
      <w:rPr>
        <w:rFonts w:ascii="Verdana" w:hAnsi="Verdana"/>
        <w:sz w:val="16"/>
        <w:szCs w:val="16"/>
      </w:rPr>
      <w:instrText xml:space="preserve"> NUMPAGES </w:instrText>
    </w:r>
    <w:r w:rsidR="004122BF" w:rsidRPr="00700A12">
      <w:rPr>
        <w:rFonts w:ascii="Verdana" w:hAnsi="Verdana"/>
        <w:sz w:val="16"/>
        <w:szCs w:val="16"/>
      </w:rPr>
      <w:fldChar w:fldCharType="separate"/>
    </w:r>
    <w:r w:rsidR="00985F22">
      <w:rPr>
        <w:rFonts w:ascii="Verdana" w:hAnsi="Verdana"/>
        <w:noProof/>
        <w:sz w:val="16"/>
        <w:szCs w:val="16"/>
      </w:rPr>
      <w:t>4</w:t>
    </w:r>
    <w:r w:rsidR="004122BF" w:rsidRPr="00700A1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E0" w:rsidRDefault="007C37E0">
      <w:r>
        <w:separator/>
      </w:r>
    </w:p>
  </w:footnote>
  <w:footnote w:type="continuationSeparator" w:id="0">
    <w:p w:rsidR="007C37E0" w:rsidRDefault="007C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07A"/>
    <w:multiLevelType w:val="multilevel"/>
    <w:tmpl w:val="9ED0F93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4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Style1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1">
    <w:nsid w:val="15F20C32"/>
    <w:multiLevelType w:val="multilevel"/>
    <w:tmpl w:val="33B2826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3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C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2">
    <w:nsid w:val="4AE16803"/>
    <w:multiLevelType w:val="hybridMultilevel"/>
    <w:tmpl w:val="38D0119E"/>
    <w:lvl w:ilvl="0" w:tplc="8466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288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43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CC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C1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0B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C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C6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E6F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C7567"/>
    <w:multiLevelType w:val="multilevel"/>
    <w:tmpl w:val="0EDA43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5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E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06CD6"/>
    <w:rsid w:val="001C6D7E"/>
    <w:rsid w:val="001F3EB2"/>
    <w:rsid w:val="0027022D"/>
    <w:rsid w:val="00341A4C"/>
    <w:rsid w:val="00380B95"/>
    <w:rsid w:val="00406CD6"/>
    <w:rsid w:val="004122BF"/>
    <w:rsid w:val="005B74BC"/>
    <w:rsid w:val="005D1529"/>
    <w:rsid w:val="00695C0F"/>
    <w:rsid w:val="006B262C"/>
    <w:rsid w:val="006F7CAA"/>
    <w:rsid w:val="007A60D3"/>
    <w:rsid w:val="007C37E0"/>
    <w:rsid w:val="007F7F26"/>
    <w:rsid w:val="00974D00"/>
    <w:rsid w:val="00985F22"/>
    <w:rsid w:val="00A62E19"/>
    <w:rsid w:val="00AA536B"/>
    <w:rsid w:val="00AC18D8"/>
    <w:rsid w:val="00B72179"/>
    <w:rsid w:val="00C25AF7"/>
    <w:rsid w:val="00CA441C"/>
    <w:rsid w:val="00D14E69"/>
    <w:rsid w:val="00DA7AAA"/>
    <w:rsid w:val="00DE690B"/>
    <w:rsid w:val="00E03FF1"/>
    <w:rsid w:val="00F21A4C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F1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92F1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locked/>
    <w:rsid w:val="008323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qFormat/>
    <w:rsid w:val="003A0944"/>
    <w:pPr>
      <w:keepNext/>
      <w:spacing w:before="200"/>
      <w:jc w:val="center"/>
      <w:outlineLvl w:val="4"/>
    </w:pPr>
    <w:rPr>
      <w:rFonts w:ascii="Verdana" w:hAnsi="Verdana"/>
      <w:b/>
      <w:bCs/>
      <w:spacing w:val="-5"/>
    </w:rPr>
  </w:style>
  <w:style w:type="paragraph" w:styleId="Heading6">
    <w:name w:val="heading 6"/>
    <w:basedOn w:val="Normal"/>
    <w:next w:val="Normal"/>
    <w:link w:val="Heading6Char"/>
    <w:autoRedefine/>
    <w:qFormat/>
    <w:rsid w:val="00916242"/>
    <w:pPr>
      <w:keepNext/>
      <w:spacing w:before="20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92F17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3A0944"/>
    <w:rPr>
      <w:rFonts w:ascii="Verdana" w:hAnsi="Verdana" w:cs="Times New Roman"/>
      <w:b/>
      <w:bCs/>
      <w:spacing w:val="-5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9271C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ing3C">
    <w:name w:val="Heading3C"/>
    <w:basedOn w:val="Normal"/>
    <w:next w:val="Normal"/>
    <w:rsid w:val="00EF65ED"/>
    <w:pPr>
      <w:keepNext/>
      <w:numPr>
        <w:ilvl w:val="2"/>
        <w:numId w:val="1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Style1">
    <w:name w:val="Style1"/>
    <w:basedOn w:val="Normal"/>
    <w:next w:val="Normal"/>
    <w:rsid w:val="00EF65ED"/>
    <w:pPr>
      <w:keepNext/>
      <w:numPr>
        <w:ilvl w:val="2"/>
        <w:numId w:val="2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Heading3E">
    <w:name w:val="Heading3E"/>
    <w:basedOn w:val="Normal"/>
    <w:next w:val="Normal"/>
    <w:rsid w:val="00EF65ED"/>
    <w:pPr>
      <w:keepNext/>
      <w:numPr>
        <w:ilvl w:val="2"/>
        <w:numId w:val="3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character" w:styleId="CommentReference">
    <w:name w:val="annotation reference"/>
    <w:semiHidden/>
    <w:rsid w:val="00792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F1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92F17"/>
    <w:rPr>
      <w:rFonts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rsid w:val="00792F17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792F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792F17"/>
    <w:rPr>
      <w:i/>
      <w:iCs/>
    </w:rPr>
  </w:style>
  <w:style w:type="character" w:customStyle="1" w:styleId="BodyText3Char">
    <w:name w:val="Body Text 3 Char"/>
    <w:link w:val="BodyText3"/>
    <w:semiHidden/>
    <w:locked/>
    <w:rsid w:val="00792F17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rsid w:val="00792F17"/>
    <w:rPr>
      <w:rFonts w:cs="Times New Roman"/>
    </w:rPr>
  </w:style>
  <w:style w:type="paragraph" w:styleId="Header">
    <w:name w:val="header"/>
    <w:basedOn w:val="Normal"/>
    <w:link w:val="HeaderChar"/>
    <w:rsid w:val="00792F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653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53C6F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locked/>
    <w:rsid w:val="00A2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53C6F"/>
    <w:rPr>
      <w:b/>
      <w:bCs/>
    </w:rPr>
  </w:style>
  <w:style w:type="paragraph" w:customStyle="1" w:styleId="Normal0">
    <w:name w:val="Normal_0"/>
    <w:qFormat/>
    <w:rsid w:val="00C65036"/>
    <w:rPr>
      <w:sz w:val="24"/>
      <w:szCs w:val="24"/>
    </w:rPr>
  </w:style>
  <w:style w:type="paragraph" w:customStyle="1" w:styleId="Normal1">
    <w:name w:val="Normal_1"/>
    <w:qFormat/>
    <w:rsid w:val="00C65036"/>
    <w:rPr>
      <w:sz w:val="24"/>
      <w:szCs w:val="24"/>
    </w:rPr>
  </w:style>
  <w:style w:type="paragraph" w:customStyle="1" w:styleId="Normal2">
    <w:name w:val="Normal_2"/>
    <w:qFormat/>
    <w:rsid w:val="00C65036"/>
    <w:rPr>
      <w:sz w:val="24"/>
      <w:szCs w:val="24"/>
    </w:rPr>
  </w:style>
  <w:style w:type="paragraph" w:customStyle="1" w:styleId="Normal3">
    <w:name w:val="Normal_3"/>
    <w:qFormat/>
    <w:rsid w:val="00C65036"/>
    <w:rPr>
      <w:sz w:val="24"/>
      <w:szCs w:val="24"/>
    </w:rPr>
  </w:style>
  <w:style w:type="paragraph" w:customStyle="1" w:styleId="Normal4">
    <w:name w:val="Normal_4"/>
    <w:qFormat/>
    <w:rsid w:val="00C65036"/>
    <w:rPr>
      <w:sz w:val="24"/>
      <w:szCs w:val="24"/>
    </w:rPr>
  </w:style>
  <w:style w:type="paragraph" w:customStyle="1" w:styleId="Normal5">
    <w:name w:val="Normal_5"/>
    <w:qFormat/>
    <w:rsid w:val="00C650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DESE-231-31327</_dlc_DocId>
    <_dlc_DocIdUrl xmlns="733efe1c-5bbe-4968-87dc-d400e65c879f">
      <Url>https://sharepoint.doemass.org/ese/webteam/cps/_layouts/DocIdRedir.aspx?ID=DESE-231-31327</Url>
      <Description>DESE-231-31327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747035D-A005-43E9-8A2E-A8DD3AB942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3E8BA7-64A3-48AC-BD48-B93C6B1F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34C37-2312-45BD-AF1B-D7B263914E2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87DF612-0EE0-4858-A94C-77D18395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Greylock RSD Mid-cycle Report 2017</vt:lpstr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Greylock RSD Mid-cycle Report 2017</dc:title>
  <dc:creator>ESE</dc:creator>
  <cp:lastModifiedBy>dzou</cp:lastModifiedBy>
  <cp:revision>4</cp:revision>
  <cp:lastPrinted>2017-01-12T19:05:00Z</cp:lastPrinted>
  <dcterms:created xsi:type="dcterms:W3CDTF">2017-02-10T21:09:00Z</dcterms:created>
  <dcterms:modified xsi:type="dcterms:W3CDTF">2017-02-21T21:54:00Z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2017</vt:lpwstr>
  </property>
</Properties>
</file>