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E410" w14:textId="77777777" w:rsidR="006735BD" w:rsidRDefault="00FA5679" w:rsidP="00ED130D">
      <w:pPr>
        <w:pStyle w:val="Title"/>
      </w:pPr>
      <w:r w:rsidRPr="008E14D8">
        <w:t>MASSACHUSETTS DEPARTMENT OF ELEMENTARY AND SECONDARY EDUCATION</w:t>
      </w:r>
    </w:p>
    <w:p w14:paraId="59102FC0" w14:textId="77777777" w:rsidR="00181BC6" w:rsidRPr="008E14D8" w:rsidRDefault="00181BC6" w:rsidP="00ED130D">
      <w:pPr>
        <w:pStyle w:val="Title"/>
      </w:pPr>
    </w:p>
    <w:p w14:paraId="5D04AED7" w14:textId="77777777" w:rsidR="00B12B54" w:rsidRPr="0046075A" w:rsidRDefault="00FA5679" w:rsidP="00181BC6">
      <w:pPr>
        <w:pStyle w:val="Title"/>
        <w:rPr>
          <w:sz w:val="28"/>
          <w:szCs w:val="28"/>
        </w:rPr>
      </w:pPr>
      <w:r w:rsidRPr="0046075A">
        <w:rPr>
          <w:sz w:val="28"/>
          <w:szCs w:val="28"/>
        </w:rPr>
        <w:t>Public School Monitoring</w:t>
      </w:r>
    </w:p>
    <w:p w14:paraId="17B462FF" w14:textId="77777777" w:rsidR="006735BD" w:rsidRPr="0046075A" w:rsidRDefault="006735BD" w:rsidP="006735BD">
      <w:pPr>
        <w:rPr>
          <w:sz w:val="28"/>
          <w:szCs w:val="28"/>
        </w:rPr>
      </w:pPr>
    </w:p>
    <w:p w14:paraId="7E4691E5" w14:textId="77777777" w:rsidR="00B12B54" w:rsidRPr="0046075A" w:rsidRDefault="00FA5679" w:rsidP="00181BC6">
      <w:pPr>
        <w:pStyle w:val="Title"/>
        <w:rPr>
          <w:sz w:val="28"/>
          <w:szCs w:val="28"/>
        </w:rPr>
      </w:pPr>
      <w:r w:rsidRPr="0046075A">
        <w:rPr>
          <w:sz w:val="28"/>
          <w:szCs w:val="28"/>
        </w:rPr>
        <w:t>I</w:t>
      </w:r>
      <w:r w:rsidR="00181BC6" w:rsidRPr="0046075A">
        <w:rPr>
          <w:sz w:val="28"/>
          <w:szCs w:val="28"/>
        </w:rPr>
        <w:t>ntegrated</w:t>
      </w:r>
      <w:r w:rsidR="00216ECB" w:rsidRPr="0046075A">
        <w:rPr>
          <w:sz w:val="28"/>
          <w:szCs w:val="28"/>
        </w:rPr>
        <w:t xml:space="preserve"> M</w:t>
      </w:r>
      <w:r w:rsidR="00181BC6" w:rsidRPr="0046075A">
        <w:rPr>
          <w:sz w:val="28"/>
          <w:szCs w:val="28"/>
        </w:rPr>
        <w:t>onitor</w:t>
      </w:r>
      <w:r w:rsidR="00042EE3" w:rsidRPr="0046075A">
        <w:rPr>
          <w:sz w:val="28"/>
          <w:szCs w:val="28"/>
        </w:rPr>
        <w:t>ing</w:t>
      </w:r>
      <w:r w:rsidRPr="0046075A">
        <w:rPr>
          <w:sz w:val="28"/>
          <w:szCs w:val="28"/>
        </w:rPr>
        <w:t xml:space="preserve"> R</w:t>
      </w:r>
      <w:r w:rsidR="00181BC6" w:rsidRPr="0046075A">
        <w:rPr>
          <w:sz w:val="28"/>
          <w:szCs w:val="28"/>
        </w:rPr>
        <w:t>eview</w:t>
      </w:r>
    </w:p>
    <w:p w14:paraId="6FFACCAC" w14:textId="77777777" w:rsidR="00B12B54" w:rsidRPr="00DC5FF3" w:rsidRDefault="00FA5679" w:rsidP="000177E1">
      <w:pPr>
        <w:pStyle w:val="Heading1"/>
        <w:rPr>
          <w:sz w:val="40"/>
          <w:szCs w:val="40"/>
        </w:rPr>
      </w:pPr>
      <w:r w:rsidRPr="00DC5FF3">
        <w:rPr>
          <w:sz w:val="40"/>
          <w:szCs w:val="40"/>
        </w:rPr>
        <w:t>C</w:t>
      </w:r>
      <w:r w:rsidR="00181BC6" w:rsidRPr="00DC5FF3">
        <w:rPr>
          <w:sz w:val="40"/>
          <w:szCs w:val="40"/>
        </w:rPr>
        <w:t>orrective Action Plan</w:t>
      </w:r>
    </w:p>
    <w:p w14:paraId="038ADD4C" w14:textId="77777777" w:rsidR="00B12B54" w:rsidRDefault="00B12B54" w:rsidP="003B5217">
      <w:pPr>
        <w:pStyle w:val="Title"/>
      </w:pPr>
    </w:p>
    <w:p w14:paraId="01585500" w14:textId="09DF27D8" w:rsidR="00B12B54" w:rsidRPr="0046075A" w:rsidRDefault="000177E1" w:rsidP="000177E1">
      <w:pPr>
        <w:pStyle w:val="Title"/>
        <w:rPr>
          <w:sz w:val="28"/>
          <w:szCs w:val="28"/>
        </w:rPr>
      </w:pPr>
      <w:r w:rsidRPr="0046075A">
        <w:rPr>
          <w:sz w:val="28"/>
          <w:szCs w:val="28"/>
        </w:rPr>
        <w:t>District</w:t>
      </w:r>
      <w:r w:rsidR="00FA5679" w:rsidRPr="0046075A">
        <w:rPr>
          <w:sz w:val="28"/>
          <w:szCs w:val="28"/>
        </w:rPr>
        <w:t>:</w:t>
      </w:r>
      <w:r w:rsidR="00813FEE" w:rsidRPr="0046075A">
        <w:rPr>
          <w:sz w:val="28"/>
          <w:szCs w:val="28"/>
        </w:rPr>
        <w:t xml:space="preserve"> </w:t>
      </w:r>
      <w:bookmarkStart w:id="0" w:name="DistrictName"/>
      <w:r w:rsidR="00FA5679" w:rsidRPr="0046075A">
        <w:rPr>
          <w:sz w:val="28"/>
          <w:szCs w:val="28"/>
        </w:rPr>
        <w:t>Cohasset</w:t>
      </w:r>
      <w:bookmarkEnd w:id="0"/>
      <w:r w:rsidR="00B71C3B" w:rsidRPr="0046075A">
        <w:rPr>
          <w:sz w:val="28"/>
          <w:szCs w:val="28"/>
        </w:rPr>
        <w:t xml:space="preserve"> Public Schools</w:t>
      </w:r>
    </w:p>
    <w:p w14:paraId="34C190CE" w14:textId="77777777" w:rsidR="00976237" w:rsidRPr="0046075A" w:rsidRDefault="00976237" w:rsidP="000177E1">
      <w:pPr>
        <w:pStyle w:val="Title"/>
        <w:rPr>
          <w:sz w:val="28"/>
          <w:szCs w:val="28"/>
        </w:rPr>
      </w:pPr>
    </w:p>
    <w:p w14:paraId="00DD0456" w14:textId="77777777" w:rsidR="00B12B54" w:rsidRPr="0046075A" w:rsidRDefault="00FA5679" w:rsidP="00976237">
      <w:pPr>
        <w:pStyle w:val="Title"/>
        <w:rPr>
          <w:sz w:val="28"/>
          <w:szCs w:val="28"/>
        </w:rPr>
      </w:pPr>
      <w:r w:rsidRPr="0046075A">
        <w:rPr>
          <w:sz w:val="28"/>
          <w:szCs w:val="28"/>
        </w:rPr>
        <w:t xml:space="preserve">Monitoring Onsite Year: </w:t>
      </w:r>
      <w:bookmarkStart w:id="1" w:name="OnsiteYear"/>
      <w:r w:rsidRPr="0046075A">
        <w:rPr>
          <w:sz w:val="28"/>
          <w:szCs w:val="28"/>
        </w:rPr>
        <w:t>2025-2026</w:t>
      </w:r>
      <w:bookmarkEnd w:id="1"/>
    </w:p>
    <w:p w14:paraId="39FBF986" w14:textId="77777777" w:rsidR="00976237" w:rsidRPr="0046075A" w:rsidRDefault="00976237" w:rsidP="00976237">
      <w:pPr>
        <w:pStyle w:val="Title"/>
        <w:rPr>
          <w:sz w:val="28"/>
          <w:szCs w:val="28"/>
        </w:rPr>
      </w:pPr>
    </w:p>
    <w:p w14:paraId="12A05433" w14:textId="77777777" w:rsidR="00B12B54" w:rsidRPr="0046075A" w:rsidRDefault="00FA5679" w:rsidP="00976237">
      <w:pPr>
        <w:pStyle w:val="Title"/>
        <w:rPr>
          <w:sz w:val="28"/>
          <w:szCs w:val="28"/>
        </w:rPr>
      </w:pPr>
      <w:r w:rsidRPr="0046075A">
        <w:rPr>
          <w:sz w:val="28"/>
          <w:szCs w:val="28"/>
        </w:rPr>
        <w:t>Program Area: Special Education</w:t>
      </w:r>
    </w:p>
    <w:p w14:paraId="2BCAECF0" w14:textId="77777777" w:rsidR="00B12B54" w:rsidRDefault="00B12B54" w:rsidP="003B5217">
      <w:pPr>
        <w:pStyle w:val="Title"/>
      </w:pPr>
    </w:p>
    <w:p w14:paraId="22F086CF" w14:textId="77777777" w:rsidR="00B12B54" w:rsidRPr="008E14D8" w:rsidRDefault="00B12B54" w:rsidP="003B5217">
      <w:pPr>
        <w:pStyle w:val="Title"/>
      </w:pPr>
    </w:p>
    <w:p w14:paraId="007081F4" w14:textId="77777777" w:rsidR="00B12B54" w:rsidRPr="008E14D8" w:rsidRDefault="00B12B54" w:rsidP="003B5217"/>
    <w:p w14:paraId="77361D71" w14:textId="77777777" w:rsidR="00B12B54" w:rsidRDefault="00FA5679"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04/29/2026</w:t>
      </w:r>
      <w:bookmarkEnd w:id="2"/>
      <w:r w:rsidRPr="008E14D8">
        <w:t>.</w:t>
      </w:r>
    </w:p>
    <w:p w14:paraId="721473E8"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15AF7A67" w14:textId="77777777" w:rsidR="001D5FF3" w:rsidRPr="001D5FF3" w:rsidRDefault="00FA5679"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04/29/2027</w:t>
      </w:r>
      <w:bookmarkEnd w:id="3"/>
    </w:p>
    <w:p w14:paraId="07F78349" w14:textId="77777777" w:rsidR="00B12B54" w:rsidRDefault="00B12B54" w:rsidP="003B5217">
      <w:pPr>
        <w:rPr>
          <w:b/>
          <w:bCs/>
          <w:sz w:val="28"/>
          <w:szCs w:val="28"/>
        </w:rPr>
      </w:pPr>
    </w:p>
    <w:p w14:paraId="3D742E08" w14:textId="77777777" w:rsidR="001D5FF3" w:rsidRPr="008E14D8" w:rsidRDefault="001D5FF3" w:rsidP="003B5217"/>
    <w:p w14:paraId="2D16D0AF" w14:textId="77777777" w:rsidR="00B12B54" w:rsidRDefault="00B12B54" w:rsidP="003B5217"/>
    <w:p w14:paraId="5F509301" w14:textId="77777777" w:rsidR="00B12B54" w:rsidRPr="008E14D8" w:rsidRDefault="00FA5679" w:rsidP="001B4E81">
      <w:pPr>
        <w:pStyle w:val="Heading2"/>
      </w:pPr>
      <w:r w:rsidRPr="008E14D8">
        <w:t>Summary of Required Corrective Action</w:t>
      </w:r>
    </w:p>
    <w:p w14:paraId="31246781" w14:textId="77777777" w:rsidR="00B12B54" w:rsidRPr="008E14D8" w:rsidRDefault="00B12B54" w:rsidP="003B5217"/>
    <w:p w14:paraId="5CA3870B"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Required Corrective Action"/>
        <w:tblDescription w:val="Criterion name, title and rating"/>
      </w:tblPr>
      <w:tblGrid>
        <w:gridCol w:w="1548"/>
        <w:gridCol w:w="6142"/>
        <w:gridCol w:w="2066"/>
      </w:tblGrid>
      <w:tr w:rsidR="0027141A" w14:paraId="12CABBC6" w14:textId="77777777" w:rsidTr="00F0564F">
        <w:trPr>
          <w:cantSplit/>
          <w:tblHeader/>
        </w:trPr>
        <w:tc>
          <w:tcPr>
            <w:tcW w:w="1548" w:type="dxa"/>
          </w:tcPr>
          <w:p w14:paraId="0880A045" w14:textId="77777777" w:rsidR="00B12B54" w:rsidRPr="003B5217" w:rsidRDefault="00FA5679" w:rsidP="003B5217">
            <w:pPr>
              <w:rPr>
                <w:rStyle w:val="Strong"/>
              </w:rPr>
            </w:pPr>
            <w:r w:rsidRPr="003B5217">
              <w:rPr>
                <w:rStyle w:val="Strong"/>
              </w:rPr>
              <w:t>Criterion</w:t>
            </w:r>
          </w:p>
        </w:tc>
        <w:tc>
          <w:tcPr>
            <w:tcW w:w="6142" w:type="dxa"/>
          </w:tcPr>
          <w:p w14:paraId="4991206D" w14:textId="77777777" w:rsidR="00B12B54" w:rsidRPr="003B5217" w:rsidRDefault="00FA5679" w:rsidP="003B5217">
            <w:pPr>
              <w:rPr>
                <w:rStyle w:val="Strong"/>
              </w:rPr>
            </w:pPr>
            <w:r w:rsidRPr="003B5217">
              <w:rPr>
                <w:rStyle w:val="Strong"/>
              </w:rPr>
              <w:t>Criterion Title</w:t>
            </w:r>
          </w:p>
        </w:tc>
        <w:tc>
          <w:tcPr>
            <w:tcW w:w="2066" w:type="dxa"/>
          </w:tcPr>
          <w:p w14:paraId="5F95D9A0" w14:textId="77777777" w:rsidR="00B12B54" w:rsidRPr="003B5217" w:rsidRDefault="00FA5679" w:rsidP="003B5217">
            <w:pPr>
              <w:rPr>
                <w:rStyle w:val="Strong"/>
              </w:rPr>
            </w:pPr>
            <w:r w:rsidRPr="003B5217">
              <w:rPr>
                <w:rStyle w:val="Strong"/>
              </w:rPr>
              <w:t>Rating</w:t>
            </w:r>
          </w:p>
        </w:tc>
      </w:tr>
      <w:tr w:rsidR="0027141A" w14:paraId="43D6CAF8" w14:textId="77777777" w:rsidTr="00F0564F">
        <w:trPr>
          <w:cantSplit/>
        </w:trPr>
        <w:tc>
          <w:tcPr>
            <w:tcW w:w="1548" w:type="dxa"/>
          </w:tcPr>
          <w:p w14:paraId="06925CF2" w14:textId="77777777" w:rsidR="00B12B54" w:rsidRPr="003B5217" w:rsidRDefault="00FA5679" w:rsidP="003B5217">
            <w:bookmarkStart w:id="4" w:name="CAP_SUMMARY_TABLE"/>
            <w:bookmarkEnd w:id="4"/>
            <w:r>
              <w:t>SE 7</w:t>
            </w:r>
          </w:p>
        </w:tc>
        <w:tc>
          <w:tcPr>
            <w:tcW w:w="6142" w:type="dxa"/>
          </w:tcPr>
          <w:p w14:paraId="3804645D" w14:textId="77777777" w:rsidR="00B12B54" w:rsidRPr="003B5217" w:rsidRDefault="00FA5679" w:rsidP="003B5217">
            <w:r>
              <w:t>Transfer of parental rights at age of majority and student participation and consent at the age of majority</w:t>
            </w:r>
          </w:p>
        </w:tc>
        <w:tc>
          <w:tcPr>
            <w:tcW w:w="2066" w:type="dxa"/>
          </w:tcPr>
          <w:p w14:paraId="1B8B2352" w14:textId="77777777" w:rsidR="00B12B54" w:rsidRPr="003B5217" w:rsidRDefault="00FA5679" w:rsidP="003B5217">
            <w:r>
              <w:t>Partially Implemented</w:t>
            </w:r>
          </w:p>
        </w:tc>
      </w:tr>
    </w:tbl>
    <w:p w14:paraId="22355F31" w14:textId="77777777" w:rsidR="00B12B54" w:rsidRDefault="00B12B54" w:rsidP="003B5217"/>
    <w:p w14:paraId="74919F22" w14:textId="77777777" w:rsidR="00B12B54" w:rsidRPr="008E14D8" w:rsidRDefault="00FA5679" w:rsidP="00C12EBE">
      <w:pPr>
        <w:rPr>
          <w:bCs/>
        </w:rPr>
      </w:pPr>
      <w:r>
        <w:rPr>
          <w:bCs/>
        </w:rPr>
        <w:br w:type="page"/>
      </w:r>
    </w:p>
    <w:p w14:paraId="1192CE5F" w14:textId="77777777" w:rsidR="008925CA" w:rsidRDefault="00FA5679"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803BF18" w14:textId="77777777" w:rsidR="001C613F" w:rsidRDefault="001C613F" w:rsidP="001C613F">
      <w:pPr>
        <w:jc w:val="center"/>
        <w:rPr>
          <w:b/>
        </w:rPr>
      </w:pPr>
    </w:p>
    <w:p w14:paraId="52C6D87B" w14:textId="77777777" w:rsidR="001C613F" w:rsidRPr="001C613F" w:rsidRDefault="00FA5679" w:rsidP="000462F7">
      <w:pPr>
        <w:pStyle w:val="Heading2"/>
      </w:pPr>
      <w:r w:rsidRPr="001C613F">
        <w:t>Local Education Agency Response</w:t>
      </w:r>
    </w:p>
    <w:p w14:paraId="316BBB94" w14:textId="77777777" w:rsidR="008925CA" w:rsidRDefault="008925CA" w:rsidP="00C12EBE">
      <w:pPr>
        <w:rPr>
          <w:bCs/>
        </w:rPr>
      </w:pPr>
    </w:p>
    <w:p w14:paraId="5C024992" w14:textId="77777777" w:rsidR="000462F7" w:rsidRDefault="000462F7" w:rsidP="000462F7">
      <w:pPr>
        <w:rPr>
          <w:b/>
          <w:bCs/>
        </w:rPr>
      </w:pPr>
    </w:p>
    <w:p w14:paraId="0D07EEE4" w14:textId="4C89C2C8" w:rsidR="008925CA" w:rsidRDefault="00FA5679" w:rsidP="000462F7">
      <w:pPr>
        <w:rPr>
          <w:bCs/>
        </w:rPr>
      </w:pPr>
      <w:r w:rsidRPr="00C12EBE">
        <w:rPr>
          <w:b/>
          <w:bCs/>
        </w:rPr>
        <w:t>Criterion &amp; Topic:</w:t>
      </w:r>
      <w:r w:rsidR="00546D82">
        <w:t xml:space="preserve"> </w:t>
      </w:r>
      <w:bookmarkStart w:id="5" w:name="CRDesc_0"/>
      <w:r>
        <w:rPr>
          <w:bCs/>
        </w:rPr>
        <w:t>SE 7 Transfer of parental rights at age of majority and student participation and consent at the age of majority</w:t>
      </w:r>
      <w:bookmarkEnd w:id="5"/>
    </w:p>
    <w:p w14:paraId="07233DDB" w14:textId="77777777" w:rsidR="000462F7" w:rsidRDefault="000462F7" w:rsidP="000462F7">
      <w:pPr>
        <w:rPr>
          <w:bCs/>
        </w:rPr>
      </w:pPr>
    </w:p>
    <w:p w14:paraId="0464574E" w14:textId="77777777" w:rsidR="000F2836" w:rsidRDefault="00FA5679" w:rsidP="000462F7">
      <w:pPr>
        <w:rPr>
          <w:bCs/>
        </w:rPr>
      </w:pPr>
      <w:r w:rsidRPr="00C12EBE">
        <w:rPr>
          <w:b/>
          <w:bCs/>
        </w:rPr>
        <w:t>IMR Rating:</w:t>
      </w:r>
      <w:r w:rsidR="00546D82">
        <w:t xml:space="preserve"> </w:t>
      </w:r>
      <w:bookmarkStart w:id="6" w:name="CPRRating_0"/>
      <w:r>
        <w:rPr>
          <w:bCs/>
        </w:rPr>
        <w:t>Partially Implemented</w:t>
      </w:r>
      <w:bookmarkEnd w:id="6"/>
    </w:p>
    <w:p w14:paraId="187600D6" w14:textId="77777777" w:rsidR="00546D82" w:rsidRDefault="00546D82" w:rsidP="000462F7">
      <w:pPr>
        <w:rPr>
          <w:b/>
          <w:bCs/>
        </w:rPr>
      </w:pPr>
    </w:p>
    <w:p w14:paraId="020ADFBF" w14:textId="77777777" w:rsidR="00057603" w:rsidRPr="00C12EBE" w:rsidRDefault="00FA5679" w:rsidP="000462F7">
      <w:pPr>
        <w:rPr>
          <w:b/>
          <w:bCs/>
        </w:rPr>
      </w:pPr>
      <w:r w:rsidRPr="00C12EBE">
        <w:rPr>
          <w:b/>
          <w:bCs/>
        </w:rPr>
        <w:t xml:space="preserve">Department Findings: </w:t>
      </w:r>
    </w:p>
    <w:p w14:paraId="7636593B" w14:textId="77777777" w:rsidR="00057603" w:rsidRDefault="00FA5679" w:rsidP="000462F7">
      <w:pPr>
        <w:rPr>
          <w:bCs/>
        </w:rPr>
      </w:pPr>
      <w:bookmarkStart w:id="7" w:name="DeptCPRFindings_0"/>
      <w:r>
        <w:rPr>
          <w:bCs/>
        </w:rPr>
        <w:t xml:space="preserve">A review of student records and staff interviews indicated that the district does not always implement the required procedures for transfer of parental rights at age of majority, including the following: </w:t>
      </w:r>
    </w:p>
    <w:p w14:paraId="1E0A2B24" w14:textId="77777777" w:rsidR="00057603" w:rsidRDefault="00FA5679" w:rsidP="000462F7">
      <w:pPr>
        <w:rPr>
          <w:bCs/>
        </w:rPr>
      </w:pPr>
      <w:r>
        <w:rPr>
          <w:bCs/>
        </w:rPr>
        <w:t>Informing the student and the parent/guardian, at least one year prior to the student reaching age 18, of the rights that will transfer from the parent/guardian to the student upon the student's 18th birthday; and</w:t>
      </w:r>
    </w:p>
    <w:p w14:paraId="0725D47B" w14:textId="77777777" w:rsidR="00057603" w:rsidRDefault="00FA5679" w:rsidP="000462F7">
      <w:pPr>
        <w:rPr>
          <w:bCs/>
        </w:rPr>
      </w:pPr>
      <w:r>
        <w:rPr>
          <w:bCs/>
        </w:rPr>
        <w:t>For students with shared decision-making authority, obtaining consent from the adult student to continue their special education program when the student turns 18.</w:t>
      </w:r>
      <w:bookmarkEnd w:id="7"/>
    </w:p>
    <w:p w14:paraId="51552256" w14:textId="77777777" w:rsidR="00546D82" w:rsidRDefault="00546D82" w:rsidP="000462F7">
      <w:pPr>
        <w:rPr>
          <w:bCs/>
        </w:rPr>
      </w:pPr>
    </w:p>
    <w:p w14:paraId="4A132B29" w14:textId="77777777" w:rsidR="00057603" w:rsidRDefault="00FA5679" w:rsidP="000462F7">
      <w:pPr>
        <w:rPr>
          <w:bCs/>
        </w:rPr>
      </w:pPr>
      <w:r w:rsidRPr="00C12EBE">
        <w:rPr>
          <w:b/>
          <w:bCs/>
        </w:rPr>
        <w:t xml:space="preserve">Description of </w:t>
      </w:r>
      <w:r w:rsidR="000D69B4">
        <w:rPr>
          <w:b/>
          <w:bCs/>
        </w:rPr>
        <w:t>Root Cause Analysis</w:t>
      </w:r>
      <w:r w:rsidRPr="00C12EBE">
        <w:rPr>
          <w:b/>
          <w:bCs/>
        </w:rPr>
        <w:t>:</w:t>
      </w:r>
    </w:p>
    <w:p w14:paraId="5C6BAFA4" w14:textId="77777777" w:rsidR="00057603" w:rsidRDefault="00FA5679" w:rsidP="000462F7">
      <w:pPr>
        <w:rPr>
          <w:bCs/>
        </w:rPr>
      </w:pPr>
      <w:bookmarkStart w:id="8" w:name="DescCorrAction_0"/>
      <w:r>
        <w:rPr>
          <w:bCs/>
        </w:rPr>
        <w:t xml:space="preserve">The district conducted a root cause analysis and determined the noncompliance was due to lack of consistent internal procedures and oversight mechanisms to ensure timely implementation of transfer of rights requirements. The analysis also indicated that responsibilities for notifying students and parents/guardians of the transfer of rights at age 18 were not consistently assigned, monitored, or documented at least one year prior to the student's 18th birthday. In addition, the district did not have a standardized process to ensure that consent from adult students with sole or shared decision-making authority was obtained upon the student turning 18. Contributing factors included staff misunderstanding or insufficient awareness of procedural timelines and documentation requirements, as well as inconsistent tracking systems to monitor compliance. The district will implement the following actions to address the root causes: </w:t>
      </w:r>
    </w:p>
    <w:p w14:paraId="2A3E0810" w14:textId="0F09A499" w:rsidR="00057603" w:rsidRDefault="00FA5679" w:rsidP="000462F7">
      <w:pPr>
        <w:rPr>
          <w:bCs/>
        </w:rPr>
      </w:pPr>
      <w:r>
        <w:rPr>
          <w:bCs/>
        </w:rPr>
        <w:t xml:space="preserve"> -Obtain consent from the student with shared decision making identified by the Department  </w:t>
      </w:r>
    </w:p>
    <w:p w14:paraId="28C80D5A" w14:textId="77777777" w:rsidR="00057603" w:rsidRDefault="00FA5679" w:rsidP="000462F7">
      <w:pPr>
        <w:rPr>
          <w:bCs/>
        </w:rPr>
      </w:pPr>
      <w:r>
        <w:rPr>
          <w:bCs/>
        </w:rPr>
        <w:t xml:space="preserve"> - Update the procedures to ensure timely notification of the transfer of rights and obtaining consent from adult students with sole or shared decision making at the age of majority.   </w:t>
      </w:r>
    </w:p>
    <w:p w14:paraId="1DB510BC" w14:textId="77777777" w:rsidR="00057603" w:rsidRDefault="00FA5679" w:rsidP="000462F7">
      <w:pPr>
        <w:rPr>
          <w:bCs/>
        </w:rPr>
      </w:pPr>
      <w:r>
        <w:rPr>
          <w:bCs/>
        </w:rPr>
        <w:t xml:space="preserve"> - Implement a tracking system for monitoring due dates for age of majority notification and transfer of rights.  </w:t>
      </w:r>
    </w:p>
    <w:p w14:paraId="464FCA5F" w14:textId="77777777" w:rsidR="00057603" w:rsidRDefault="00FA5679" w:rsidP="000462F7">
      <w:pPr>
        <w:rPr>
          <w:bCs/>
        </w:rPr>
      </w:pPr>
      <w:r>
        <w:rPr>
          <w:bCs/>
        </w:rPr>
        <w:t xml:space="preserve"> - Conduct relevant staff training on the updated procedures and the tracking system.  </w:t>
      </w:r>
    </w:p>
    <w:p w14:paraId="7E1382B0" w14:textId="77777777" w:rsidR="00057603" w:rsidRDefault="00FA5679" w:rsidP="000462F7">
      <w:pPr>
        <w:rPr>
          <w:bCs/>
        </w:rPr>
      </w:pPr>
      <w:r>
        <w:rPr>
          <w:bCs/>
        </w:rPr>
        <w:t xml:space="preserve"> - The Department will conduct an additional review of student records to ensure ongoing compliance.</w:t>
      </w:r>
      <w:bookmarkEnd w:id="8"/>
    </w:p>
    <w:p w14:paraId="4D899485" w14:textId="77777777" w:rsidR="00546D82" w:rsidRDefault="00546D82" w:rsidP="000462F7">
      <w:pPr>
        <w:rPr>
          <w:bCs/>
        </w:rPr>
      </w:pPr>
    </w:p>
    <w:p w14:paraId="32139273" w14:textId="77777777" w:rsidR="00057603" w:rsidRPr="00C12EBE" w:rsidRDefault="00FA5679" w:rsidP="000462F7">
      <w:pPr>
        <w:rPr>
          <w:b/>
          <w:bCs/>
        </w:rPr>
      </w:pPr>
      <w:r w:rsidRPr="00C12EBE">
        <w:rPr>
          <w:b/>
          <w:bCs/>
        </w:rPr>
        <w:t>Title/Role(s) of Responsible Persons:</w:t>
      </w:r>
    </w:p>
    <w:p w14:paraId="33E62157" w14:textId="77777777" w:rsidR="00057603" w:rsidRDefault="00FA5679" w:rsidP="000462F7">
      <w:pPr>
        <w:rPr>
          <w:bCs/>
        </w:rPr>
      </w:pPr>
      <w:bookmarkStart w:id="9" w:name="CapRespPersons_0"/>
      <w:r>
        <w:rPr>
          <w:bCs/>
        </w:rPr>
        <w:t>Director of Student Services, Secondary Team Chair</w:t>
      </w:r>
      <w:bookmarkEnd w:id="9"/>
    </w:p>
    <w:p w14:paraId="1E99DF19" w14:textId="77777777" w:rsidR="00546D82" w:rsidRDefault="00546D82" w:rsidP="000462F7">
      <w:pPr>
        <w:rPr>
          <w:bCs/>
        </w:rPr>
      </w:pPr>
    </w:p>
    <w:p w14:paraId="1010896B" w14:textId="77777777" w:rsidR="00057603" w:rsidRPr="00C12EBE" w:rsidRDefault="00FA5679" w:rsidP="000462F7">
      <w:pPr>
        <w:rPr>
          <w:b/>
          <w:bCs/>
        </w:rPr>
      </w:pPr>
      <w:r w:rsidRPr="00C12EBE">
        <w:rPr>
          <w:b/>
          <w:bCs/>
        </w:rPr>
        <w:t>Expected Date of Completion:</w:t>
      </w:r>
      <w:r>
        <w:rPr>
          <w:b/>
          <w:bCs/>
        </w:rPr>
        <w:t xml:space="preserve"> </w:t>
      </w:r>
    </w:p>
    <w:p w14:paraId="65747E59" w14:textId="77777777" w:rsidR="00057603" w:rsidRDefault="00FA5679" w:rsidP="000462F7">
      <w:pPr>
        <w:rPr>
          <w:bCs/>
        </w:rPr>
      </w:pPr>
      <w:bookmarkStart w:id="10" w:name="DateExpComplete_0"/>
      <w:r>
        <w:rPr>
          <w:bCs/>
        </w:rPr>
        <w:t>12/01/2026</w:t>
      </w:r>
      <w:bookmarkEnd w:id="10"/>
    </w:p>
    <w:p w14:paraId="41200A2D" w14:textId="77777777" w:rsidR="00546D82" w:rsidRDefault="00546D82" w:rsidP="000462F7">
      <w:pPr>
        <w:rPr>
          <w:bCs/>
        </w:rPr>
      </w:pPr>
    </w:p>
    <w:p w14:paraId="05334521" w14:textId="77777777" w:rsidR="00057603" w:rsidRPr="00C12EBE" w:rsidRDefault="00FA5679" w:rsidP="000462F7">
      <w:pPr>
        <w:rPr>
          <w:b/>
          <w:bCs/>
        </w:rPr>
      </w:pPr>
      <w:r w:rsidRPr="00C12EBE">
        <w:rPr>
          <w:b/>
          <w:bCs/>
        </w:rPr>
        <w:t>Evidence of Completion of the Corrective Action:</w:t>
      </w:r>
    </w:p>
    <w:p w14:paraId="1AEFC23B" w14:textId="77777777" w:rsidR="00057603" w:rsidRDefault="00FA5679" w:rsidP="000462F7">
      <w:pPr>
        <w:rPr>
          <w:bCs/>
        </w:rPr>
      </w:pPr>
      <w:bookmarkStart w:id="11" w:name="Evidence_0"/>
      <w:r>
        <w:rPr>
          <w:bCs/>
        </w:rPr>
        <w:t>1. Evidence of obtaining consent from the identified student including signed IEP consent page</w:t>
      </w:r>
    </w:p>
    <w:p w14:paraId="7AFB1098" w14:textId="77777777" w:rsidR="00057603" w:rsidRDefault="00FA5679" w:rsidP="000462F7">
      <w:pPr>
        <w:rPr>
          <w:bCs/>
        </w:rPr>
      </w:pPr>
      <w:r>
        <w:rPr>
          <w:bCs/>
        </w:rPr>
        <w:t xml:space="preserve">2. Updated procedures that include clear protocols for transfer of rights at age of majority  </w:t>
      </w:r>
    </w:p>
    <w:p w14:paraId="0CB89C25" w14:textId="77777777" w:rsidR="00057603" w:rsidRDefault="00FA5679" w:rsidP="000462F7">
      <w:pPr>
        <w:rPr>
          <w:bCs/>
        </w:rPr>
      </w:pPr>
      <w:r>
        <w:rPr>
          <w:bCs/>
        </w:rPr>
        <w:t xml:space="preserve">3. Updated tracking system that includes: </w:t>
      </w:r>
    </w:p>
    <w:p w14:paraId="214AF3E9" w14:textId="77777777" w:rsidR="00057603" w:rsidRDefault="00FA5679" w:rsidP="000462F7">
      <w:pPr>
        <w:rPr>
          <w:bCs/>
        </w:rPr>
      </w:pPr>
      <w:r>
        <w:rPr>
          <w:bCs/>
        </w:rPr>
        <w:t xml:space="preserve"> - For students turning 17, notification of the transfer of rights due date </w:t>
      </w:r>
    </w:p>
    <w:p w14:paraId="537BFB86" w14:textId="77777777" w:rsidR="00057603" w:rsidRDefault="00FA5679" w:rsidP="000462F7">
      <w:pPr>
        <w:rPr>
          <w:bCs/>
        </w:rPr>
      </w:pPr>
      <w:r>
        <w:rPr>
          <w:bCs/>
        </w:rPr>
        <w:t xml:space="preserve"> - For Students turning 18, due date for obtaining decision form </w:t>
      </w:r>
    </w:p>
    <w:p w14:paraId="566D2144" w14:textId="77777777" w:rsidR="00057603" w:rsidRDefault="00FA5679" w:rsidP="000462F7">
      <w:pPr>
        <w:rPr>
          <w:bCs/>
        </w:rPr>
      </w:pPr>
      <w:r>
        <w:rPr>
          <w:bCs/>
        </w:rPr>
        <w:t xml:space="preserve"> - Assigned Team Chairperson and/or Special Education Liaison </w:t>
      </w:r>
    </w:p>
    <w:p w14:paraId="33A20286" w14:textId="77777777" w:rsidR="00057603" w:rsidRDefault="00FA5679" w:rsidP="000462F7">
      <w:pPr>
        <w:rPr>
          <w:bCs/>
        </w:rPr>
      </w:pPr>
      <w:r>
        <w:rPr>
          <w:bCs/>
        </w:rPr>
        <w:t xml:space="preserve"> - The student's decision upon reaching the age of 18, and  </w:t>
      </w:r>
    </w:p>
    <w:p w14:paraId="694799D5" w14:textId="77777777" w:rsidR="00057603" w:rsidRDefault="00FA5679" w:rsidP="000462F7">
      <w:pPr>
        <w:rPr>
          <w:bCs/>
        </w:rPr>
      </w:pPr>
      <w:r>
        <w:rPr>
          <w:bCs/>
        </w:rPr>
        <w:t xml:space="preserve"> - The date consent was obtained from student with sole or shared decision making</w:t>
      </w:r>
    </w:p>
    <w:p w14:paraId="7AE56155" w14:textId="77777777" w:rsidR="00057603" w:rsidRDefault="00FA5679" w:rsidP="000462F7">
      <w:pPr>
        <w:rPr>
          <w:bCs/>
        </w:rPr>
      </w:pPr>
      <w:r>
        <w:rPr>
          <w:bCs/>
        </w:rPr>
        <w:t xml:space="preserve">4. Evidence of staff training, including agendas, verification of attendance, and supplemental training materials </w:t>
      </w:r>
    </w:p>
    <w:p w14:paraId="4CD3FBBB" w14:textId="77777777" w:rsidR="00057603" w:rsidRDefault="00FA5679" w:rsidP="000462F7">
      <w:pPr>
        <w:rPr>
          <w:bCs/>
        </w:rPr>
      </w:pPr>
      <w:r>
        <w:rPr>
          <w:bCs/>
        </w:rPr>
        <w:t>5. Results of the Department's record review indicating compliance.</w:t>
      </w:r>
      <w:bookmarkEnd w:id="11"/>
    </w:p>
    <w:p w14:paraId="7B6D0687" w14:textId="77777777" w:rsidR="00546D82" w:rsidRDefault="00546D82" w:rsidP="000462F7">
      <w:pPr>
        <w:rPr>
          <w:bCs/>
        </w:rPr>
      </w:pPr>
    </w:p>
    <w:p w14:paraId="20A061D4" w14:textId="77777777" w:rsidR="00057603" w:rsidRPr="00C12EBE" w:rsidRDefault="00FA5679" w:rsidP="000462F7">
      <w:pPr>
        <w:rPr>
          <w:b/>
          <w:bCs/>
        </w:rPr>
      </w:pPr>
      <w:r w:rsidRPr="00C12EBE">
        <w:rPr>
          <w:b/>
          <w:bCs/>
        </w:rPr>
        <w:t xml:space="preserve">Description of Internal Monitoring Procedures: </w:t>
      </w:r>
    </w:p>
    <w:p w14:paraId="43D5D45D" w14:textId="77777777" w:rsidR="00057603" w:rsidRDefault="00FA5679" w:rsidP="000462F7">
      <w:pPr>
        <w:rPr>
          <w:bCs/>
        </w:rPr>
      </w:pPr>
      <w:bookmarkStart w:id="12" w:name="DescIntMonProc_0"/>
      <w:r>
        <w:rPr>
          <w:bCs/>
        </w:rPr>
        <w:t>The Director of Special Services will conduct quarterly review of relevant student records and the tracking system to ensure notification of the transfer of rights one year prior to age of majority and obtaining consent from students with shared or sole decision at age 18. Additionally, the Director of Special Services will conduct annual training for relevant staff on transfer of rights requirements.</w:t>
      </w:r>
      <w:bookmarkEnd w:id="12"/>
    </w:p>
    <w:p w14:paraId="7D40BF29" w14:textId="77777777" w:rsidR="00057603" w:rsidRDefault="00057603" w:rsidP="000F2836">
      <w:pPr>
        <w:rPr>
          <w:bCs/>
        </w:rPr>
      </w:pPr>
    </w:p>
    <w:p w14:paraId="37F27DC2" w14:textId="77777777" w:rsidR="00057603" w:rsidRDefault="00057603" w:rsidP="000F2836">
      <w:pPr>
        <w:rPr>
          <w:bCs/>
        </w:rPr>
      </w:pPr>
    </w:p>
    <w:p w14:paraId="6CCF4AAC" w14:textId="77777777" w:rsidR="00057603" w:rsidRPr="001C613F" w:rsidRDefault="00FA5679" w:rsidP="007A4E60">
      <w:pPr>
        <w:pStyle w:val="Heading2"/>
      </w:pPr>
      <w:r>
        <w:t>Department</w:t>
      </w:r>
      <w:r w:rsidRPr="001C613F">
        <w:t xml:space="preserve"> A</w:t>
      </w:r>
      <w:r w:rsidR="00037FEC" w:rsidRPr="001C613F">
        <w:t>pproval</w:t>
      </w:r>
      <w:r w:rsidRPr="001C613F">
        <w:t xml:space="preserve"> S</w:t>
      </w:r>
      <w:r w:rsidR="00037FEC" w:rsidRPr="001C613F">
        <w:t>ection</w:t>
      </w:r>
    </w:p>
    <w:p w14:paraId="6770A876" w14:textId="77777777" w:rsidR="001C7BEB" w:rsidRPr="001C7BEB" w:rsidRDefault="001C7BEB" w:rsidP="001C7BEB">
      <w:pPr>
        <w:rPr>
          <w:bCs/>
        </w:rPr>
      </w:pPr>
    </w:p>
    <w:p w14:paraId="712446DD" w14:textId="77777777" w:rsidR="007A4E60" w:rsidRDefault="007A4E60" w:rsidP="007A4E60">
      <w:pPr>
        <w:rPr>
          <w:b/>
          <w:bCs/>
        </w:rPr>
      </w:pPr>
    </w:p>
    <w:p w14:paraId="67FB99FF" w14:textId="35F773DA" w:rsidR="00057603" w:rsidRDefault="00FA5679" w:rsidP="007A4E60">
      <w:r w:rsidRPr="00C12EBE">
        <w:rPr>
          <w:b/>
          <w:bCs/>
        </w:rPr>
        <w:t>Criterion:</w:t>
      </w:r>
      <w:r w:rsidR="00546D82">
        <w:t xml:space="preserve"> </w:t>
      </w:r>
      <w:bookmarkStart w:id="13" w:name="CRDesc2_0"/>
      <w:r w:rsidRPr="006E0E8A">
        <w:t>SE 7 Transfer of parental rights at age of majority and student participation and consent at the age of majority</w:t>
      </w:r>
      <w:bookmarkEnd w:id="13"/>
    </w:p>
    <w:p w14:paraId="16303347" w14:textId="77777777" w:rsidR="00787F20" w:rsidRPr="006E0E8A" w:rsidRDefault="00787F20" w:rsidP="007A4E60"/>
    <w:p w14:paraId="3A4FB164" w14:textId="77777777" w:rsidR="00057603" w:rsidRPr="00546D82" w:rsidRDefault="00FA5679" w:rsidP="007A4E60">
      <w:r w:rsidRPr="00C12EBE">
        <w:rPr>
          <w:b/>
          <w:bCs/>
        </w:rPr>
        <w:t>Corrective Action Plan Status</w:t>
      </w:r>
      <w:r w:rsidR="00546D82">
        <w:rPr>
          <w:b/>
          <w:bCs/>
        </w:rPr>
        <w:t xml:space="preserve">: </w:t>
      </w:r>
      <w:bookmarkStart w:id="14" w:name="Status_0"/>
      <w:r w:rsidRPr="00546D82">
        <w:t>Approved</w:t>
      </w:r>
      <w:bookmarkEnd w:id="14"/>
    </w:p>
    <w:p w14:paraId="1E55166F" w14:textId="77777777" w:rsidR="00057603" w:rsidRPr="00D759CE" w:rsidRDefault="00FA5679" w:rsidP="007A4E60">
      <w:r w:rsidRPr="00C12EBE">
        <w:rPr>
          <w:b/>
          <w:bCs/>
        </w:rPr>
        <w:t>Status Date:</w:t>
      </w:r>
      <w:r w:rsidR="00546D82">
        <w:t xml:space="preserve"> </w:t>
      </w:r>
      <w:bookmarkStart w:id="15" w:name="StatusDate_0"/>
      <w:r w:rsidRPr="00D759CE">
        <w:t>06/05/2026</w:t>
      </w:r>
      <w:bookmarkEnd w:id="15"/>
    </w:p>
    <w:p w14:paraId="3CDD8002" w14:textId="60A9AC74" w:rsidR="00057603" w:rsidRPr="00787F20" w:rsidRDefault="00FA5679" w:rsidP="007A4E60">
      <w:r w:rsidRPr="00CA137F">
        <w:rPr>
          <w:b/>
          <w:bCs/>
        </w:rPr>
        <w:t>Correction Status:</w:t>
      </w:r>
      <w:r w:rsidR="00546D82">
        <w:t xml:space="preserve"> </w:t>
      </w:r>
      <w:bookmarkStart w:id="16" w:name="CORRECTION_STATUS_0"/>
      <w:r w:rsidRPr="00D759CE">
        <w:t>Not Corrected</w:t>
      </w:r>
      <w:bookmarkStart w:id="17" w:name="OrdCorrAction_0"/>
      <w:bookmarkEnd w:id="16"/>
      <w:bookmarkEnd w:id="17"/>
    </w:p>
    <w:p w14:paraId="188490D7" w14:textId="77777777" w:rsidR="00546D82" w:rsidRDefault="00546D82" w:rsidP="007A4E60">
      <w:pPr>
        <w:rPr>
          <w:b/>
          <w:bCs/>
        </w:rPr>
      </w:pPr>
    </w:p>
    <w:p w14:paraId="30B53FDA" w14:textId="77777777" w:rsidR="00057603" w:rsidRPr="00CA137F" w:rsidRDefault="00FA5679" w:rsidP="007A4E60">
      <w:pPr>
        <w:rPr>
          <w:b/>
          <w:bCs/>
        </w:rPr>
      </w:pPr>
      <w:r w:rsidRPr="00CA137F">
        <w:rPr>
          <w:b/>
          <w:bCs/>
        </w:rPr>
        <w:t xml:space="preserve">Required Elements of Progress Report(s): </w:t>
      </w:r>
    </w:p>
    <w:p w14:paraId="345F6D6E" w14:textId="7D2470F5" w:rsidR="00057603" w:rsidRDefault="00FA5679" w:rsidP="007A4E60">
      <w:pPr>
        <w:rPr>
          <w:bCs/>
        </w:rPr>
      </w:pPr>
      <w:bookmarkStart w:id="18" w:name="ReqElementsProg_0"/>
      <w:r>
        <w:rPr>
          <w:bCs/>
        </w:rPr>
        <w:t>By September 30, 2026, the district will submit evidence of obtaining consent from identified student with shared decision making, including signed IEP signature page. Additionally, the district will submit the updated age of majority and transfer of rights procedures</w:t>
      </w:r>
      <w:r w:rsidR="002C317D">
        <w:rPr>
          <w:bCs/>
        </w:rPr>
        <w:t xml:space="preserve"> </w:t>
      </w:r>
      <w:r>
        <w:rPr>
          <w:bCs/>
        </w:rPr>
        <w:t xml:space="preserve">and a tracking system for age of majority notification due dates and consent for 18-year-olds with shared or sole decision.  </w:t>
      </w:r>
    </w:p>
    <w:p w14:paraId="3DE95839" w14:textId="77777777" w:rsidR="00787F20" w:rsidRDefault="00787F20" w:rsidP="007A4E60">
      <w:pPr>
        <w:rPr>
          <w:bCs/>
        </w:rPr>
      </w:pPr>
    </w:p>
    <w:p w14:paraId="3410A912" w14:textId="77777777" w:rsidR="00057603" w:rsidRDefault="00FA5679" w:rsidP="007A4E60">
      <w:pPr>
        <w:rPr>
          <w:bCs/>
        </w:rPr>
      </w:pPr>
      <w:r>
        <w:rPr>
          <w:bCs/>
        </w:rPr>
        <w:lastRenderedPageBreak/>
        <w:t xml:space="preserve">By October 30, 2026, the district will submit evidence of training relevant staff on the updated procedures, including agendas, verification of attendance, and supplemental training materials.  </w:t>
      </w:r>
    </w:p>
    <w:p w14:paraId="7E32DA5F" w14:textId="77777777" w:rsidR="00057603" w:rsidRDefault="00057603" w:rsidP="007A4E60">
      <w:pPr>
        <w:rPr>
          <w:bCs/>
        </w:rPr>
      </w:pPr>
    </w:p>
    <w:p w14:paraId="7FF06F9C" w14:textId="77777777" w:rsidR="00057603" w:rsidRDefault="00FA5679" w:rsidP="007A4E60">
      <w:pPr>
        <w:rPr>
          <w:bCs/>
        </w:rPr>
      </w:pPr>
      <w:r>
        <w:rPr>
          <w:bCs/>
        </w:rPr>
        <w:t>By December 4, 2026, the Department will conduct an additional review of student records to ensure compliance with age of majority notifications and obtaining consent from students aged 18 with shared or sole decision-making authority. For any noncompliance identified, the district will conduct a root cause analysis and implement appropriate corrective action. Additional progress reports may be required.</w:t>
      </w:r>
      <w:bookmarkEnd w:id="18"/>
    </w:p>
    <w:p w14:paraId="45F6B2AD" w14:textId="77777777" w:rsidR="00D91B13" w:rsidRDefault="00D91B13" w:rsidP="007A4E60">
      <w:pPr>
        <w:rPr>
          <w:b/>
          <w:bCs/>
        </w:rPr>
      </w:pPr>
    </w:p>
    <w:p w14:paraId="24316C31" w14:textId="77777777" w:rsidR="00057603" w:rsidRPr="00CA137F" w:rsidRDefault="00FA5679" w:rsidP="007A4E60">
      <w:pPr>
        <w:rPr>
          <w:b/>
          <w:bCs/>
        </w:rPr>
      </w:pPr>
      <w:r w:rsidRPr="00CA137F">
        <w:rPr>
          <w:b/>
          <w:bCs/>
        </w:rPr>
        <w:t xml:space="preserve">Progress Report Due Date(s): </w:t>
      </w:r>
    </w:p>
    <w:p w14:paraId="1710695F" w14:textId="77777777" w:rsidR="00B12B54" w:rsidRPr="008E14D8" w:rsidRDefault="00FA5679" w:rsidP="007A4E60">
      <w:pPr>
        <w:rPr>
          <w:bCs/>
        </w:rPr>
      </w:pPr>
      <w:bookmarkStart w:id="19" w:name="ProgRptDueDate_0"/>
      <w:r w:rsidRPr="008E14D8">
        <w:rPr>
          <w:bCs/>
        </w:rPr>
        <w:t>09/30/2026</w:t>
      </w:r>
    </w:p>
    <w:p w14:paraId="6BA7259F" w14:textId="77777777" w:rsidR="00B12B54" w:rsidRPr="008E14D8" w:rsidRDefault="00FA5679" w:rsidP="007A4E60">
      <w:pPr>
        <w:rPr>
          <w:bCs/>
        </w:rPr>
      </w:pPr>
      <w:r w:rsidRPr="008E14D8">
        <w:rPr>
          <w:bCs/>
        </w:rPr>
        <w:t>10/30/2026</w:t>
      </w:r>
    </w:p>
    <w:p w14:paraId="065B22E0" w14:textId="77777777" w:rsidR="00B12B54" w:rsidRPr="008E14D8" w:rsidRDefault="00FA5679" w:rsidP="007A4E60">
      <w:pPr>
        <w:rPr>
          <w:bCs/>
        </w:rPr>
      </w:pPr>
      <w:r w:rsidRPr="008E14D8">
        <w:rPr>
          <w:bCs/>
        </w:rPr>
        <w:t>12/04/2026</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05CA" w14:textId="77777777" w:rsidR="001842EB" w:rsidRDefault="001842EB">
      <w:r>
        <w:separator/>
      </w:r>
    </w:p>
  </w:endnote>
  <w:endnote w:type="continuationSeparator" w:id="0">
    <w:p w14:paraId="175A537A" w14:textId="77777777" w:rsidR="001842EB" w:rsidRDefault="0018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0DF04" w14:textId="77777777" w:rsidR="001842EB" w:rsidRDefault="001842EB">
      <w:r>
        <w:separator/>
      </w:r>
    </w:p>
  </w:footnote>
  <w:footnote w:type="continuationSeparator" w:id="0">
    <w:p w14:paraId="3E94A869" w14:textId="77777777" w:rsidR="001842EB" w:rsidRDefault="00184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62F7"/>
    <w:rsid w:val="0004638E"/>
    <w:rsid w:val="000473F0"/>
    <w:rsid w:val="0004767C"/>
    <w:rsid w:val="0004790B"/>
    <w:rsid w:val="00047986"/>
    <w:rsid w:val="00050148"/>
    <w:rsid w:val="0005055F"/>
    <w:rsid w:val="00050A9B"/>
    <w:rsid w:val="00050C92"/>
    <w:rsid w:val="00050DA5"/>
    <w:rsid w:val="00050F1B"/>
    <w:rsid w:val="00051536"/>
    <w:rsid w:val="00051666"/>
    <w:rsid w:val="00051B3C"/>
    <w:rsid w:val="00051C36"/>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375CD"/>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2EB"/>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1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17D"/>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0"/>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9FC"/>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75A"/>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4BDB"/>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458"/>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87F20"/>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4E60"/>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1973"/>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1C3B"/>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29D"/>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1C4"/>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1E5C"/>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C25"/>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679"/>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8774A"/>
  <w15:chartTrackingRefBased/>
  <w15:docId w15:val="{E05BC3EC-42BE-4C43-A6FD-0A0AE9EF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0462F7"/>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462F7"/>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B71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865</Words>
  <Characters>5072</Characters>
  <Application>Microsoft Office Word</Application>
  <DocSecurity>0</DocSecurity>
  <Lines>144</Lines>
  <Paragraphs>71</Paragraphs>
  <ScaleCrop>false</ScaleCrop>
  <HeadingPairs>
    <vt:vector size="2" baseType="variant">
      <vt:variant>
        <vt:lpstr>Title</vt:lpstr>
      </vt:variant>
      <vt:variant>
        <vt:i4>1</vt:i4>
      </vt:variant>
    </vt:vector>
  </HeadingPairs>
  <TitlesOfParts>
    <vt:vector size="1" baseType="lpstr">
      <vt:lpstr>2025-26 Cohasset Public Schools IMR CAP</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Cohasset Public Schools IMR CAP</dc:title>
  <dc:creator>DESE</dc:creator>
  <cp:lastModifiedBy>Zou, Dong (EOE)</cp:lastModifiedBy>
  <cp:revision>10</cp:revision>
  <cp:lastPrinted>2025-11-21T19:37:00Z</cp:lastPrinted>
  <dcterms:created xsi:type="dcterms:W3CDTF">2026-06-17T18:17:00Z</dcterms:created>
  <dcterms:modified xsi:type="dcterms:W3CDTF">2026-06-30T20:36:00Z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