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B50BF9" w:rsidRPr="006C7892" w14:paraId="4D7F5FB8" w14:textId="77777777" w:rsidTr="00B50BF9">
        <w:tc>
          <w:tcPr>
            <w:tcW w:w="10080" w:type="dxa"/>
            <w:tcBorders>
              <w:top w:val="double" w:sz="4" w:space="0" w:color="auto"/>
              <w:bottom w:val="double" w:sz="4" w:space="0" w:color="auto"/>
            </w:tcBorders>
          </w:tcPr>
          <w:p w14:paraId="1202C1D8" w14:textId="77777777" w:rsidR="00B50BF9" w:rsidRPr="006C7892" w:rsidRDefault="00B50BF9" w:rsidP="00B50BF9">
            <w:pPr>
              <w:pStyle w:val="Footer"/>
              <w:tabs>
                <w:tab w:val="clear" w:pos="4320"/>
                <w:tab w:val="clear" w:pos="8640"/>
              </w:tabs>
              <w:spacing w:line="201" w:lineRule="exact"/>
              <w:jc w:val="center"/>
              <w:rPr>
                <w:rFonts w:ascii="Verdana" w:hAnsi="Verdana"/>
                <w:sz w:val="16"/>
                <w:szCs w:val="16"/>
              </w:rPr>
            </w:pPr>
          </w:p>
          <w:p w14:paraId="0ED32369" w14:textId="77777777" w:rsidR="00B50BF9" w:rsidRPr="006C7892" w:rsidRDefault="00B50BF9" w:rsidP="00B50BF9">
            <w:pPr>
              <w:tabs>
                <w:tab w:val="center" w:pos="4503"/>
              </w:tabs>
              <w:spacing w:after="58"/>
              <w:jc w:val="center"/>
              <w:rPr>
                <w:rFonts w:ascii="Verdana" w:hAnsi="Verdana"/>
                <w:b/>
              </w:rPr>
            </w:pPr>
            <w:r w:rsidRPr="006C7892">
              <w:rPr>
                <w:rFonts w:ascii="Verdana" w:hAnsi="Verdana"/>
                <w:b/>
              </w:rPr>
              <w:t>MASSACHUSETTS DEPARTMENT OF ELEMENTARY AND SECONDARY EDUCATION</w:t>
            </w:r>
          </w:p>
          <w:p w14:paraId="55021F80" w14:textId="77777777" w:rsidR="00B50BF9" w:rsidRPr="006C7892" w:rsidRDefault="00B50BF9" w:rsidP="00B50BF9">
            <w:pPr>
              <w:tabs>
                <w:tab w:val="center" w:pos="4503"/>
              </w:tabs>
              <w:spacing w:after="58"/>
              <w:jc w:val="center"/>
              <w:rPr>
                <w:rFonts w:ascii="Verdana" w:hAnsi="Verdana"/>
                <w:b/>
                <w:sz w:val="16"/>
                <w:szCs w:val="16"/>
              </w:rPr>
            </w:pPr>
            <w:r w:rsidRPr="006C7892">
              <w:rPr>
                <w:rFonts w:ascii="Verdana" w:hAnsi="Verdana"/>
                <w:b/>
              </w:rPr>
              <w:t>Public School Monitoring</w:t>
            </w:r>
          </w:p>
        </w:tc>
      </w:tr>
    </w:tbl>
    <w:p w14:paraId="2A87F71A" w14:textId="77777777" w:rsidR="00B50BF9" w:rsidRPr="006C7892" w:rsidRDefault="00B50BF9" w:rsidP="00B50BF9">
      <w:pPr>
        <w:pStyle w:val="Title"/>
        <w:rPr>
          <w:rFonts w:ascii="Verdana" w:hAnsi="Verdana"/>
          <w:sz w:val="16"/>
          <w:szCs w:val="16"/>
        </w:rPr>
      </w:pPr>
    </w:p>
    <w:p w14:paraId="3D1F7171" w14:textId="77777777" w:rsidR="00B50BF9" w:rsidRPr="006C7892" w:rsidRDefault="00B50BF9" w:rsidP="00011780"/>
    <w:p w14:paraId="5728DED6" w14:textId="145A441C" w:rsidR="00B50BF9" w:rsidRPr="00011780" w:rsidRDefault="006C7892" w:rsidP="00011780">
      <w:pPr>
        <w:pStyle w:val="Heading1"/>
      </w:pPr>
      <w:r w:rsidRPr="00011780">
        <w:t xml:space="preserve">INTEGRAGED </w:t>
      </w:r>
      <w:r w:rsidR="00B50BF9" w:rsidRPr="00011780">
        <w:t>MONITORING REVIEW</w:t>
      </w:r>
      <w:r w:rsidR="00011780" w:rsidRPr="00011780">
        <w:br/>
      </w:r>
      <w:r w:rsidR="00011780" w:rsidRPr="00011780">
        <w:br/>
      </w:r>
      <w:r w:rsidR="00B50BF9" w:rsidRPr="00011780">
        <w:t>CORRECTIVE ACTION PLAN</w:t>
      </w:r>
      <w:r w:rsidR="00011780" w:rsidRPr="00011780">
        <w:br/>
      </w:r>
      <w:bookmarkStart w:id="0" w:name="DistrictName"/>
      <w:r w:rsidR="00011780" w:rsidRPr="00011780">
        <w:br/>
      </w:r>
      <w:r w:rsidR="00B50BF9" w:rsidRPr="00011780">
        <w:t>Berkshire Arts and Technology Charter Public School</w:t>
      </w:r>
      <w:bookmarkEnd w:id="0"/>
      <w:r w:rsidR="00011780" w:rsidRPr="00011780">
        <w:br/>
      </w:r>
      <w:r w:rsidR="00011780" w:rsidRPr="00011780">
        <w:br/>
      </w:r>
      <w:r w:rsidR="00B50BF9" w:rsidRPr="00011780">
        <w:t xml:space="preserve">Monitoring Onsite Year: </w:t>
      </w:r>
      <w:bookmarkStart w:id="1" w:name="OnsiteYear"/>
      <w:r w:rsidR="00B50BF9" w:rsidRPr="00011780">
        <w:t>2024-2025</w:t>
      </w:r>
      <w:bookmarkEnd w:id="1"/>
    </w:p>
    <w:p w14:paraId="55F99B19" w14:textId="77777777" w:rsidR="00B50BF9" w:rsidRPr="006C7892" w:rsidRDefault="00B50BF9" w:rsidP="00B50BF9">
      <w:pPr>
        <w:pStyle w:val="Title"/>
        <w:rPr>
          <w:rFonts w:ascii="Verdana" w:hAnsi="Verdana"/>
          <w:sz w:val="16"/>
          <w:szCs w:val="16"/>
        </w:rPr>
      </w:pPr>
    </w:p>
    <w:p w14:paraId="63BFE260" w14:textId="77777777" w:rsidR="00B50BF9" w:rsidRPr="006C7892" w:rsidRDefault="00B50BF9" w:rsidP="00B50BF9">
      <w:pPr>
        <w:pStyle w:val="Title"/>
        <w:rPr>
          <w:rFonts w:ascii="Verdana" w:hAnsi="Verdana"/>
          <w:sz w:val="16"/>
          <w:szCs w:val="16"/>
        </w:rPr>
      </w:pPr>
    </w:p>
    <w:p w14:paraId="535C63FA" w14:textId="77777777" w:rsidR="00B50BF9" w:rsidRPr="006C7892" w:rsidRDefault="00B50BF9" w:rsidP="00B50BF9">
      <w:pPr>
        <w:jc w:val="center"/>
        <w:rPr>
          <w:rFonts w:ascii="Verdana" w:hAnsi="Verdana"/>
          <w:i/>
          <w:iCs/>
          <w:sz w:val="16"/>
          <w:szCs w:val="16"/>
        </w:rPr>
      </w:pPr>
    </w:p>
    <w:p w14:paraId="1A744544" w14:textId="77777777" w:rsidR="00B50BF9" w:rsidRPr="006C7892" w:rsidRDefault="00B50BF9" w:rsidP="00B50BF9">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6C7892">
        <w:rPr>
          <w:rFonts w:ascii="Verdana" w:hAnsi="Verdana"/>
        </w:rPr>
        <w:t>All corrective action must be fully implemented and all noncompliance corrected as soon as possible and no later than one year from the issuance of the</w:t>
      </w:r>
      <w:r w:rsidR="006C7892">
        <w:rPr>
          <w:rFonts w:ascii="Verdana" w:hAnsi="Verdana"/>
        </w:rPr>
        <w:t xml:space="preserve"> Integrated Monitoring Review</w:t>
      </w:r>
      <w:r w:rsidRPr="006C7892">
        <w:rPr>
          <w:rFonts w:ascii="Verdana" w:hAnsi="Verdana"/>
        </w:rPr>
        <w:t xml:space="preserve"> Report dated </w:t>
      </w:r>
      <w:bookmarkStart w:id="2" w:name="FinalReportDate"/>
      <w:r w:rsidRPr="006C7892">
        <w:rPr>
          <w:rFonts w:ascii="Verdana" w:hAnsi="Verdana"/>
        </w:rPr>
        <w:t>05/06/2025</w:t>
      </w:r>
      <w:bookmarkEnd w:id="2"/>
      <w:r w:rsidRPr="006C7892">
        <w:rPr>
          <w:rFonts w:ascii="Verdana" w:hAnsi="Verdana"/>
        </w:rPr>
        <w:t>.</w:t>
      </w:r>
    </w:p>
    <w:p w14:paraId="7991F434" w14:textId="77777777" w:rsidR="00B50BF9" w:rsidRPr="006C7892" w:rsidRDefault="00B50BF9" w:rsidP="00B50BF9">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6F525910" w14:textId="77777777" w:rsidR="00B50BF9" w:rsidRPr="006C7892" w:rsidRDefault="00B50BF9" w:rsidP="00B50BF9">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6C7892">
        <w:rPr>
          <w:rFonts w:ascii="Verdana" w:hAnsi="Verdana"/>
          <w:b/>
          <w:bCs/>
          <w:i w:val="0"/>
          <w:iCs w:val="0"/>
        </w:rPr>
        <w:t xml:space="preserve">Mandatory One-Year Compliance Date: </w:t>
      </w:r>
      <w:bookmarkStart w:id="3" w:name="MandatoryComplianceDate"/>
      <w:r w:rsidRPr="006C7892">
        <w:rPr>
          <w:rFonts w:ascii="Verdana" w:hAnsi="Verdana"/>
          <w:b/>
          <w:bCs/>
          <w:i w:val="0"/>
          <w:iCs w:val="0"/>
        </w:rPr>
        <w:t>05/06/2026</w:t>
      </w:r>
      <w:bookmarkEnd w:id="3"/>
    </w:p>
    <w:p w14:paraId="452FA37D" w14:textId="77777777" w:rsidR="00B50BF9" w:rsidRPr="006C7892" w:rsidRDefault="00B50BF9" w:rsidP="00B50BF9">
      <w:pPr>
        <w:rPr>
          <w:rFonts w:ascii="Verdana" w:hAnsi="Verdana"/>
          <w:sz w:val="16"/>
          <w:szCs w:val="16"/>
        </w:rPr>
      </w:pPr>
    </w:p>
    <w:p w14:paraId="4F9FC2CF" w14:textId="77777777" w:rsidR="00B50BF9" w:rsidRPr="006C7892" w:rsidRDefault="00B50BF9" w:rsidP="00B50BF9">
      <w:pPr>
        <w:jc w:val="center"/>
        <w:rPr>
          <w:rFonts w:ascii="Verdana" w:hAnsi="Verdana"/>
          <w:b/>
          <w:sz w:val="16"/>
          <w:szCs w:val="16"/>
        </w:rPr>
      </w:pPr>
    </w:p>
    <w:p w14:paraId="3F015538" w14:textId="77777777" w:rsidR="00B50BF9" w:rsidRPr="006C7892" w:rsidRDefault="00B50BF9" w:rsidP="00B50BF9">
      <w:pPr>
        <w:jc w:val="center"/>
        <w:rPr>
          <w:rFonts w:ascii="Verdana" w:hAnsi="Verdana"/>
          <w:b/>
          <w:sz w:val="16"/>
          <w:szCs w:val="16"/>
        </w:rPr>
      </w:pPr>
    </w:p>
    <w:p w14:paraId="312F0CE7" w14:textId="77777777" w:rsidR="00B50BF9" w:rsidRPr="00FE7E2C" w:rsidRDefault="00B50BF9" w:rsidP="00FE7E2C">
      <w:pPr>
        <w:pStyle w:val="Heading2"/>
      </w:pPr>
      <w:r w:rsidRPr="00FE7E2C">
        <w:t>Summary of Required Corrective Action Plans in this Report</w:t>
      </w:r>
    </w:p>
    <w:p w14:paraId="750EBF4C" w14:textId="77777777" w:rsidR="00B50BF9" w:rsidRPr="006C7892" w:rsidRDefault="00B50BF9" w:rsidP="00B50BF9">
      <w:pPr>
        <w:jc w:val="center"/>
        <w:rPr>
          <w:rFonts w:ascii="Verdana" w:hAnsi="Verdana"/>
          <w:b/>
        </w:rPr>
      </w:pPr>
    </w:p>
    <w:p w14:paraId="51CDCE74" w14:textId="77777777" w:rsidR="00B50BF9" w:rsidRPr="006C7892" w:rsidRDefault="00B50BF9" w:rsidP="00B50BF9">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B50BF9" w:rsidRPr="006C7892" w14:paraId="1DB36E5A" w14:textId="77777777" w:rsidTr="00B50BF9">
        <w:trPr>
          <w:cantSplit/>
          <w:tblHeader/>
        </w:trPr>
        <w:tc>
          <w:tcPr>
            <w:tcW w:w="1548" w:type="dxa"/>
          </w:tcPr>
          <w:p w14:paraId="5F761E1E" w14:textId="77777777" w:rsidR="00B50BF9" w:rsidRPr="006C7892" w:rsidRDefault="00B50BF9" w:rsidP="00B50BF9">
            <w:pPr>
              <w:rPr>
                <w:rFonts w:ascii="Verdana" w:hAnsi="Verdana"/>
                <w:b/>
              </w:rPr>
            </w:pPr>
            <w:r w:rsidRPr="006C7892">
              <w:rPr>
                <w:rFonts w:ascii="Verdana" w:hAnsi="Verdana"/>
                <w:b/>
              </w:rPr>
              <w:t>Criterion</w:t>
            </w:r>
          </w:p>
        </w:tc>
        <w:tc>
          <w:tcPr>
            <w:tcW w:w="6142" w:type="dxa"/>
          </w:tcPr>
          <w:p w14:paraId="516E46E7" w14:textId="77777777" w:rsidR="00B50BF9" w:rsidRPr="006C7892" w:rsidRDefault="00B50BF9" w:rsidP="00B50BF9">
            <w:pPr>
              <w:rPr>
                <w:rFonts w:ascii="Verdana" w:hAnsi="Verdana"/>
                <w:b/>
              </w:rPr>
            </w:pPr>
            <w:r w:rsidRPr="006C7892">
              <w:rPr>
                <w:rFonts w:ascii="Verdana" w:hAnsi="Verdana"/>
                <w:b/>
              </w:rPr>
              <w:t>Criterion Title</w:t>
            </w:r>
          </w:p>
        </w:tc>
        <w:tc>
          <w:tcPr>
            <w:tcW w:w="2066" w:type="dxa"/>
          </w:tcPr>
          <w:p w14:paraId="0EA2FC3D" w14:textId="77777777" w:rsidR="00B50BF9" w:rsidRPr="006C7892" w:rsidRDefault="00B50BF9" w:rsidP="00B50BF9">
            <w:pPr>
              <w:rPr>
                <w:rFonts w:ascii="Verdana" w:hAnsi="Verdana"/>
                <w:b/>
              </w:rPr>
            </w:pPr>
            <w:r w:rsidRPr="006C7892">
              <w:rPr>
                <w:rFonts w:ascii="Verdana" w:hAnsi="Verdana"/>
                <w:b/>
              </w:rPr>
              <w:t>Rating</w:t>
            </w:r>
          </w:p>
        </w:tc>
      </w:tr>
      <w:tr w:rsidR="00B50BF9" w:rsidRPr="006C7892" w14:paraId="4E97898A" w14:textId="77777777" w:rsidTr="00B50BF9">
        <w:trPr>
          <w:cantSplit/>
        </w:trPr>
        <w:tc>
          <w:tcPr>
            <w:tcW w:w="1548" w:type="dxa"/>
          </w:tcPr>
          <w:p w14:paraId="079D4366" w14:textId="77777777" w:rsidR="00B50BF9" w:rsidRPr="006C7892" w:rsidRDefault="00B50BF9" w:rsidP="00B50BF9">
            <w:pPr>
              <w:rPr>
                <w:rFonts w:ascii="Verdana" w:hAnsi="Verdana"/>
              </w:rPr>
            </w:pPr>
            <w:bookmarkStart w:id="4" w:name="CAP_SUMMARY_TABLE"/>
            <w:bookmarkEnd w:id="4"/>
            <w:r w:rsidRPr="006C7892">
              <w:rPr>
                <w:rFonts w:ascii="Verdana" w:hAnsi="Verdana"/>
              </w:rPr>
              <w:t>SE 18B</w:t>
            </w:r>
          </w:p>
        </w:tc>
        <w:tc>
          <w:tcPr>
            <w:tcW w:w="6142" w:type="dxa"/>
          </w:tcPr>
          <w:p w14:paraId="372F4538" w14:textId="77777777" w:rsidR="00B50BF9" w:rsidRPr="006C7892" w:rsidRDefault="00B50BF9" w:rsidP="00B50BF9">
            <w:pPr>
              <w:rPr>
                <w:rFonts w:ascii="Verdana" w:hAnsi="Verdana"/>
              </w:rPr>
            </w:pPr>
            <w:r w:rsidRPr="006C7892">
              <w:rPr>
                <w:rFonts w:ascii="Verdana" w:hAnsi="Verdana"/>
              </w:rPr>
              <w:t>Determination of placement; provision of IEP to parent</w:t>
            </w:r>
          </w:p>
        </w:tc>
        <w:tc>
          <w:tcPr>
            <w:tcW w:w="2066" w:type="dxa"/>
          </w:tcPr>
          <w:p w14:paraId="2B7F52C8" w14:textId="77777777" w:rsidR="00B50BF9" w:rsidRPr="006C7892" w:rsidRDefault="00B50BF9" w:rsidP="00B50BF9">
            <w:pPr>
              <w:rPr>
                <w:rFonts w:ascii="Verdana" w:hAnsi="Verdana"/>
              </w:rPr>
            </w:pPr>
            <w:r w:rsidRPr="006C7892">
              <w:rPr>
                <w:rFonts w:ascii="Verdana" w:hAnsi="Verdana"/>
              </w:rPr>
              <w:t>Partially Implemented</w:t>
            </w:r>
          </w:p>
        </w:tc>
      </w:tr>
    </w:tbl>
    <w:p w14:paraId="26844688" w14:textId="77777777" w:rsidR="00B50BF9" w:rsidRPr="006C7892" w:rsidRDefault="00B50BF9" w:rsidP="00B50BF9">
      <w:pPr>
        <w:rPr>
          <w:rFonts w:ascii="Verdana" w:hAnsi="Verdana"/>
        </w:rPr>
        <w:sectPr w:rsidR="00B50BF9" w:rsidRPr="006C7892" w:rsidSect="00B50BF9">
          <w:footerReference w:type="default" r:id="rId7"/>
          <w:pgSz w:w="12240" w:h="15840"/>
          <w:pgMar w:top="1440" w:right="1080" w:bottom="1440" w:left="1800" w:header="720" w:footer="720" w:gutter="0"/>
          <w:cols w:space="720"/>
          <w:docGrid w:linePitch="360"/>
        </w:sectPr>
      </w:pPr>
    </w:p>
    <w:p w14:paraId="3B928940" w14:textId="77777777" w:rsidR="00B50BF9" w:rsidRPr="006C7892" w:rsidRDefault="00B50BF9" w:rsidP="00B50BF9">
      <w:pPr>
        <w:pStyle w:val="Normal0"/>
        <w:rPr>
          <w:rFonts w:ascii="Verdana" w:hAnsi="Verdana"/>
        </w:rPr>
      </w:pPr>
      <w:r w:rsidRPr="006C7892">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50BF9" w:rsidRPr="006C7892" w14:paraId="06E6FB67" w14:textId="77777777">
        <w:trPr>
          <w:trHeight w:val="705"/>
        </w:trPr>
        <w:tc>
          <w:tcPr>
            <w:tcW w:w="9360" w:type="dxa"/>
            <w:shd w:val="clear" w:color="auto" w:fill="C0C0C0"/>
            <w:vAlign w:val="center"/>
          </w:tcPr>
          <w:p w14:paraId="7FA83EC7" w14:textId="77777777" w:rsidR="00B50BF9" w:rsidRPr="006C7892" w:rsidRDefault="00D939E2" w:rsidP="00B50BF9">
            <w:pPr>
              <w:pStyle w:val="Heading50"/>
            </w:pPr>
            <w:r>
              <w:lastRenderedPageBreak/>
              <w:t>INTEGRATED MONITORING REVIEW</w:t>
            </w:r>
          </w:p>
          <w:p w14:paraId="747D5306" w14:textId="77777777" w:rsidR="00B50BF9" w:rsidRPr="006C7892" w:rsidRDefault="00B50BF9" w:rsidP="00B50BF9">
            <w:pPr>
              <w:pStyle w:val="Normal0"/>
              <w:jc w:val="center"/>
              <w:rPr>
                <w:rFonts w:ascii="Verdana" w:hAnsi="Verdana"/>
                <w:b/>
                <w:bCs/>
              </w:rPr>
            </w:pPr>
            <w:r w:rsidRPr="006C7892">
              <w:rPr>
                <w:rFonts w:ascii="Verdana" w:hAnsi="Verdana"/>
                <w:b/>
              </w:rPr>
              <w:t>CORRECTIVE ACTION PLAN</w:t>
            </w:r>
          </w:p>
        </w:tc>
      </w:tr>
    </w:tbl>
    <w:p w14:paraId="66475962" w14:textId="77777777" w:rsidR="00B50BF9" w:rsidRPr="006C7892" w:rsidRDefault="00B50BF9" w:rsidP="00B50BF9">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50BF9" w:rsidRPr="006C7892" w14:paraId="041F14A8" w14:textId="77777777">
        <w:trPr>
          <w:trHeight w:val="458"/>
        </w:trPr>
        <w:tc>
          <w:tcPr>
            <w:tcW w:w="6828" w:type="dxa"/>
            <w:gridSpan w:val="2"/>
          </w:tcPr>
          <w:p w14:paraId="5A3D02EE" w14:textId="77777777" w:rsidR="00B50BF9" w:rsidRPr="006C7892" w:rsidRDefault="00B50BF9" w:rsidP="00B50BF9">
            <w:pPr>
              <w:pStyle w:val="Normal0"/>
              <w:rPr>
                <w:rFonts w:ascii="Verdana" w:hAnsi="Verdana"/>
                <w:b/>
                <w:bCs/>
                <w:sz w:val="20"/>
                <w:szCs w:val="20"/>
              </w:rPr>
            </w:pPr>
            <w:r w:rsidRPr="006C7892">
              <w:rPr>
                <w:rFonts w:ascii="Verdana" w:hAnsi="Verdana"/>
                <w:b/>
                <w:bCs/>
                <w:sz w:val="20"/>
                <w:szCs w:val="20"/>
              </w:rPr>
              <w:t xml:space="preserve">Criterion &amp; Topic: </w:t>
            </w:r>
          </w:p>
          <w:p w14:paraId="71A647BD" w14:textId="77777777" w:rsidR="00B50BF9" w:rsidRPr="006C7892" w:rsidRDefault="00B50BF9" w:rsidP="00B50BF9">
            <w:pPr>
              <w:pStyle w:val="Normal0"/>
              <w:rPr>
                <w:rFonts w:ascii="Verdana" w:hAnsi="Verdana"/>
                <w:bCs/>
                <w:sz w:val="20"/>
                <w:szCs w:val="20"/>
              </w:rPr>
            </w:pPr>
            <w:bookmarkStart w:id="5" w:name="CRDesc"/>
            <w:r w:rsidRPr="006C7892">
              <w:rPr>
                <w:rFonts w:ascii="Verdana" w:hAnsi="Verdana"/>
                <w:bCs/>
                <w:sz w:val="20"/>
                <w:szCs w:val="20"/>
              </w:rPr>
              <w:t>SE 18B Determination of placement; provision of IEP to parent</w:t>
            </w:r>
            <w:bookmarkEnd w:id="5"/>
          </w:p>
        </w:tc>
        <w:tc>
          <w:tcPr>
            <w:tcW w:w="2532" w:type="dxa"/>
          </w:tcPr>
          <w:p w14:paraId="131B115A" w14:textId="77777777" w:rsidR="00B50BF9" w:rsidRPr="006C7892" w:rsidRDefault="00B50BF9" w:rsidP="00B50BF9">
            <w:pPr>
              <w:pStyle w:val="Normal0"/>
              <w:rPr>
                <w:rFonts w:ascii="Verdana" w:hAnsi="Verdana"/>
                <w:b/>
                <w:bCs/>
                <w:sz w:val="20"/>
                <w:szCs w:val="20"/>
              </w:rPr>
            </w:pPr>
            <w:r w:rsidRPr="006C7892">
              <w:rPr>
                <w:rFonts w:ascii="Verdana" w:hAnsi="Verdana"/>
                <w:b/>
                <w:bCs/>
                <w:sz w:val="20"/>
                <w:szCs w:val="20"/>
              </w:rPr>
              <w:t xml:space="preserve">Rating: </w:t>
            </w:r>
          </w:p>
          <w:p w14:paraId="10756E8F" w14:textId="77777777" w:rsidR="00B50BF9" w:rsidRPr="006C7892" w:rsidRDefault="00B50BF9" w:rsidP="00B50BF9">
            <w:pPr>
              <w:pStyle w:val="Normal0"/>
              <w:rPr>
                <w:rFonts w:ascii="Verdana" w:hAnsi="Verdana"/>
                <w:b/>
                <w:bCs/>
                <w:sz w:val="20"/>
                <w:szCs w:val="20"/>
              </w:rPr>
            </w:pPr>
            <w:bookmarkStart w:id="6" w:name="CPRRating"/>
            <w:r w:rsidRPr="006C7892">
              <w:rPr>
                <w:rFonts w:ascii="Verdana" w:hAnsi="Verdana"/>
                <w:sz w:val="20"/>
                <w:szCs w:val="20"/>
              </w:rPr>
              <w:t>Partially Implemented</w:t>
            </w:r>
            <w:bookmarkEnd w:id="6"/>
          </w:p>
        </w:tc>
      </w:tr>
      <w:tr w:rsidR="00B50BF9" w:rsidRPr="006C7892" w14:paraId="25E5413B" w14:textId="77777777">
        <w:trPr>
          <w:trHeight w:val="422"/>
        </w:trPr>
        <w:tc>
          <w:tcPr>
            <w:tcW w:w="9360" w:type="dxa"/>
            <w:gridSpan w:val="3"/>
          </w:tcPr>
          <w:p w14:paraId="3768270E" w14:textId="77777777" w:rsidR="00B50BF9" w:rsidRPr="006C7892" w:rsidRDefault="00B50BF9" w:rsidP="00B50BF9">
            <w:pPr>
              <w:pStyle w:val="Normal0"/>
              <w:rPr>
                <w:rFonts w:ascii="Verdana" w:hAnsi="Verdana"/>
                <w:b/>
                <w:bCs/>
                <w:sz w:val="20"/>
                <w:szCs w:val="20"/>
              </w:rPr>
            </w:pPr>
            <w:r w:rsidRPr="006C7892">
              <w:rPr>
                <w:rFonts w:ascii="Verdana" w:hAnsi="Verdana"/>
                <w:b/>
                <w:bCs/>
                <w:sz w:val="20"/>
                <w:szCs w:val="20"/>
              </w:rPr>
              <w:t xml:space="preserve">Department Findings: </w:t>
            </w:r>
          </w:p>
          <w:p w14:paraId="31AF1C81" w14:textId="77777777" w:rsidR="00B50BF9" w:rsidRPr="006C7892" w:rsidRDefault="00B50BF9" w:rsidP="00B50BF9">
            <w:pPr>
              <w:pStyle w:val="Normal0"/>
              <w:rPr>
                <w:rFonts w:ascii="Verdana" w:hAnsi="Verdana"/>
                <w:sz w:val="20"/>
                <w:szCs w:val="20"/>
              </w:rPr>
            </w:pPr>
            <w:bookmarkStart w:id="7" w:name="DeptCPRFindings"/>
            <w:r w:rsidRPr="006C7892">
              <w:rPr>
                <w:rFonts w:ascii="Verdana" w:hAnsi="Verdana"/>
                <w:sz w:val="20"/>
                <w:szCs w:val="20"/>
              </w:rPr>
              <w:t xml:space="preserve">A review of student records and staff interviews indicated that the school does not always provide the </w:t>
            </w:r>
            <w:proofErr w:type="gramStart"/>
            <w:r w:rsidRPr="006C7892">
              <w:rPr>
                <w:rFonts w:ascii="Verdana" w:hAnsi="Verdana"/>
                <w:sz w:val="20"/>
                <w:szCs w:val="20"/>
              </w:rPr>
              <w:t>parent</w:t>
            </w:r>
            <w:proofErr w:type="gramEnd"/>
            <w:r w:rsidRPr="006C7892">
              <w:rPr>
                <w:rFonts w:ascii="Verdana" w:hAnsi="Verdana"/>
                <w:sz w:val="20"/>
                <w:szCs w:val="20"/>
              </w:rPr>
              <w:t xml:space="preserve"> with a proposed IEP and proposed placement immediately following the development of the IEP.</w:t>
            </w:r>
            <w:bookmarkEnd w:id="7"/>
          </w:p>
        </w:tc>
      </w:tr>
      <w:tr w:rsidR="00B50BF9" w:rsidRPr="006C7892" w14:paraId="13861C2E" w14:textId="77777777">
        <w:trPr>
          <w:trHeight w:val="377"/>
        </w:trPr>
        <w:tc>
          <w:tcPr>
            <w:tcW w:w="9360" w:type="dxa"/>
            <w:gridSpan w:val="3"/>
          </w:tcPr>
          <w:p w14:paraId="67042908" w14:textId="77777777" w:rsidR="00B50BF9" w:rsidRPr="006C7892" w:rsidRDefault="00B50BF9" w:rsidP="00B50BF9">
            <w:pPr>
              <w:pStyle w:val="Normal0"/>
              <w:rPr>
                <w:rFonts w:ascii="Verdana" w:hAnsi="Verdana"/>
                <w:b/>
                <w:bCs/>
                <w:sz w:val="20"/>
                <w:szCs w:val="20"/>
              </w:rPr>
            </w:pPr>
            <w:r w:rsidRPr="006C7892">
              <w:rPr>
                <w:rFonts w:ascii="Verdana" w:hAnsi="Verdana"/>
                <w:b/>
                <w:bCs/>
                <w:sz w:val="20"/>
                <w:szCs w:val="20"/>
              </w:rPr>
              <w:t xml:space="preserve">Description of Corrective Action: </w:t>
            </w:r>
          </w:p>
          <w:p w14:paraId="25A70561" w14:textId="77777777" w:rsidR="00B50BF9" w:rsidRPr="006C7892" w:rsidRDefault="00B50BF9" w:rsidP="00B50BF9">
            <w:pPr>
              <w:pStyle w:val="Normal0"/>
              <w:rPr>
                <w:rFonts w:ascii="Verdana" w:hAnsi="Verdana"/>
                <w:b/>
                <w:bCs/>
                <w:sz w:val="20"/>
                <w:szCs w:val="20"/>
              </w:rPr>
            </w:pPr>
            <w:bookmarkStart w:id="8" w:name="DescCorrAction"/>
            <w:r w:rsidRPr="006C7892">
              <w:rPr>
                <w:rFonts w:ascii="Verdana" w:hAnsi="Verdana"/>
                <w:sz w:val="20"/>
                <w:szCs w:val="20"/>
              </w:rPr>
              <w:t xml:space="preserve">The root cause </w:t>
            </w:r>
            <w:r w:rsidR="006C7892" w:rsidRPr="006C7892">
              <w:rPr>
                <w:rFonts w:ascii="Verdana" w:hAnsi="Verdana"/>
                <w:sz w:val="20"/>
                <w:szCs w:val="20"/>
              </w:rPr>
              <w:t xml:space="preserve">of noncompliance </w:t>
            </w:r>
            <w:r w:rsidRPr="006C7892">
              <w:rPr>
                <w:rFonts w:ascii="Verdana" w:hAnsi="Verdana"/>
                <w:sz w:val="20"/>
                <w:szCs w:val="20"/>
              </w:rPr>
              <w:t xml:space="preserve">was </w:t>
            </w:r>
            <w:r w:rsidR="006C7892" w:rsidRPr="006C7892">
              <w:rPr>
                <w:rFonts w:ascii="Verdana" w:hAnsi="Verdana"/>
                <w:sz w:val="20"/>
                <w:szCs w:val="20"/>
              </w:rPr>
              <w:t xml:space="preserve">due to </w:t>
            </w:r>
            <w:r w:rsidRPr="006C7892">
              <w:rPr>
                <w:rFonts w:ascii="Verdana" w:hAnsi="Verdana"/>
                <w:sz w:val="20"/>
                <w:szCs w:val="20"/>
              </w:rPr>
              <w:t>a misunderstanding about the regulations</w:t>
            </w:r>
            <w:r w:rsidR="00D939E2">
              <w:rPr>
                <w:rFonts w:ascii="Verdana" w:hAnsi="Verdana"/>
                <w:sz w:val="20"/>
                <w:szCs w:val="20"/>
              </w:rPr>
              <w:t xml:space="preserve"> </w:t>
            </w:r>
            <w:proofErr w:type="gramStart"/>
            <w:r w:rsidR="00D939E2">
              <w:rPr>
                <w:rFonts w:ascii="Verdana" w:hAnsi="Verdana"/>
                <w:sz w:val="20"/>
                <w:szCs w:val="20"/>
              </w:rPr>
              <w:t>in regard</w:t>
            </w:r>
            <w:r w:rsidRPr="006C7892">
              <w:rPr>
                <w:rFonts w:ascii="Verdana" w:hAnsi="Verdana"/>
                <w:sz w:val="20"/>
                <w:szCs w:val="20"/>
              </w:rPr>
              <w:t xml:space="preserve"> to</w:t>
            </w:r>
            <w:proofErr w:type="gramEnd"/>
            <w:r w:rsidRPr="006C7892">
              <w:rPr>
                <w:rFonts w:ascii="Verdana" w:hAnsi="Verdana"/>
                <w:sz w:val="20"/>
                <w:szCs w:val="20"/>
              </w:rPr>
              <w:t xml:space="preserve"> immediately sending IEPs. The </w:t>
            </w:r>
            <w:r w:rsidR="006C7892" w:rsidRPr="006C7892">
              <w:rPr>
                <w:rFonts w:ascii="Verdana" w:hAnsi="Verdana"/>
                <w:sz w:val="20"/>
                <w:szCs w:val="20"/>
              </w:rPr>
              <w:t>school</w:t>
            </w:r>
            <w:r w:rsidRPr="006C7892">
              <w:rPr>
                <w:rFonts w:ascii="Verdana" w:hAnsi="Verdana"/>
                <w:sz w:val="20"/>
                <w:szCs w:val="20"/>
              </w:rPr>
              <w:t xml:space="preserve"> found itself to be out of compliance with immediately sending the IEP following annual </w:t>
            </w:r>
            <w:r w:rsidR="00D939E2" w:rsidRPr="006C7892">
              <w:rPr>
                <w:rFonts w:ascii="Verdana" w:hAnsi="Verdana"/>
                <w:sz w:val="20"/>
                <w:szCs w:val="20"/>
              </w:rPr>
              <w:t>meetings and</w:t>
            </w:r>
            <w:r w:rsidRPr="006C7892">
              <w:rPr>
                <w:rFonts w:ascii="Verdana" w:hAnsi="Verdana"/>
                <w:sz w:val="20"/>
                <w:szCs w:val="20"/>
              </w:rPr>
              <w:t xml:space="preserve"> did not complete summary sheets to give to parents outlining discussions and decisions agreed upon. The </w:t>
            </w:r>
            <w:r w:rsidR="006C7892" w:rsidRPr="006C7892">
              <w:rPr>
                <w:rFonts w:ascii="Verdana" w:hAnsi="Verdana"/>
                <w:sz w:val="20"/>
                <w:szCs w:val="20"/>
              </w:rPr>
              <w:t>school</w:t>
            </w:r>
            <w:r w:rsidRPr="006C7892">
              <w:rPr>
                <w:rFonts w:ascii="Verdana" w:hAnsi="Verdana"/>
                <w:sz w:val="20"/>
                <w:szCs w:val="20"/>
              </w:rPr>
              <w:t xml:space="preserve"> did not provide a summary sheet for annual meetings, and the IEP was sent out within 10 days, versus sending the IEP to parents within 3 to 5 days without a summary sheet.</w:t>
            </w:r>
            <w:bookmarkEnd w:id="8"/>
          </w:p>
        </w:tc>
      </w:tr>
      <w:tr w:rsidR="00B50BF9" w:rsidRPr="006C7892" w14:paraId="3DC6ECED" w14:textId="77777777">
        <w:trPr>
          <w:trHeight w:val="665"/>
        </w:trPr>
        <w:tc>
          <w:tcPr>
            <w:tcW w:w="6828" w:type="dxa"/>
            <w:gridSpan w:val="2"/>
          </w:tcPr>
          <w:p w14:paraId="1AF3BE32" w14:textId="77777777" w:rsidR="00B50BF9" w:rsidRPr="006C7892" w:rsidRDefault="00B50BF9" w:rsidP="00B50BF9">
            <w:pPr>
              <w:pStyle w:val="Normal0"/>
              <w:rPr>
                <w:rFonts w:ascii="Verdana" w:hAnsi="Verdana"/>
                <w:b/>
                <w:bCs/>
                <w:sz w:val="20"/>
                <w:szCs w:val="20"/>
              </w:rPr>
            </w:pPr>
            <w:r w:rsidRPr="006C7892">
              <w:rPr>
                <w:rFonts w:ascii="Verdana" w:hAnsi="Verdana"/>
                <w:b/>
                <w:bCs/>
                <w:sz w:val="20"/>
                <w:szCs w:val="20"/>
              </w:rPr>
              <w:t>Title/Role(s) of Responsible Persons:</w:t>
            </w:r>
          </w:p>
          <w:p w14:paraId="13D44175" w14:textId="77777777" w:rsidR="00B50BF9" w:rsidRPr="006C7892" w:rsidRDefault="00B50BF9" w:rsidP="00B50BF9">
            <w:pPr>
              <w:pStyle w:val="Normal0"/>
              <w:rPr>
                <w:rFonts w:ascii="Verdana" w:hAnsi="Verdana"/>
                <w:bCs/>
                <w:sz w:val="20"/>
                <w:szCs w:val="20"/>
              </w:rPr>
            </w:pPr>
            <w:bookmarkStart w:id="9" w:name="CapRespPersons"/>
            <w:r w:rsidRPr="006C7892">
              <w:rPr>
                <w:rFonts w:ascii="Verdana" w:hAnsi="Verdana"/>
                <w:bCs/>
                <w:sz w:val="20"/>
                <w:szCs w:val="20"/>
              </w:rPr>
              <w:t>Director of Special Education</w:t>
            </w:r>
          </w:p>
          <w:p w14:paraId="50DFEF4F" w14:textId="77777777" w:rsidR="00B50BF9" w:rsidRPr="006C7892" w:rsidRDefault="00B50BF9" w:rsidP="00B50BF9">
            <w:pPr>
              <w:pStyle w:val="Normal0"/>
              <w:rPr>
                <w:rFonts w:ascii="Verdana" w:hAnsi="Verdana"/>
                <w:bCs/>
                <w:sz w:val="20"/>
                <w:szCs w:val="20"/>
              </w:rPr>
            </w:pPr>
            <w:r w:rsidRPr="006C7892">
              <w:rPr>
                <w:rFonts w:ascii="Verdana" w:hAnsi="Verdana"/>
                <w:bCs/>
                <w:sz w:val="20"/>
                <w:szCs w:val="20"/>
              </w:rPr>
              <w:t>Executive Director</w:t>
            </w:r>
            <w:bookmarkEnd w:id="9"/>
          </w:p>
        </w:tc>
        <w:tc>
          <w:tcPr>
            <w:tcW w:w="2532" w:type="dxa"/>
          </w:tcPr>
          <w:p w14:paraId="39EC8051" w14:textId="77777777" w:rsidR="00B50BF9" w:rsidRPr="006C7892" w:rsidRDefault="00B50BF9" w:rsidP="00B50BF9">
            <w:pPr>
              <w:pStyle w:val="Normal0"/>
              <w:rPr>
                <w:rFonts w:ascii="Verdana" w:hAnsi="Verdana"/>
                <w:b/>
                <w:bCs/>
                <w:sz w:val="20"/>
                <w:szCs w:val="20"/>
              </w:rPr>
            </w:pPr>
            <w:r w:rsidRPr="006C7892">
              <w:rPr>
                <w:rFonts w:ascii="Verdana" w:hAnsi="Verdana"/>
                <w:b/>
                <w:bCs/>
                <w:sz w:val="20"/>
                <w:szCs w:val="20"/>
              </w:rPr>
              <w:t>Expected Date of Completion:</w:t>
            </w:r>
          </w:p>
          <w:p w14:paraId="41037C5E" w14:textId="77777777" w:rsidR="00B50BF9" w:rsidRPr="006C7892" w:rsidRDefault="00B50BF9" w:rsidP="00B50BF9">
            <w:pPr>
              <w:pStyle w:val="Normal0"/>
              <w:rPr>
                <w:rFonts w:ascii="Verdana" w:hAnsi="Verdana"/>
                <w:b/>
                <w:bCs/>
                <w:sz w:val="20"/>
                <w:szCs w:val="20"/>
              </w:rPr>
            </w:pPr>
            <w:bookmarkStart w:id="10" w:name="DateExpComplete"/>
            <w:r w:rsidRPr="006C7892">
              <w:rPr>
                <w:rFonts w:ascii="Verdana" w:hAnsi="Verdana"/>
                <w:bCs/>
                <w:sz w:val="20"/>
                <w:szCs w:val="20"/>
              </w:rPr>
              <w:t>03/31/2026</w:t>
            </w:r>
            <w:bookmarkEnd w:id="10"/>
          </w:p>
        </w:tc>
      </w:tr>
      <w:tr w:rsidR="00B50BF9" w:rsidRPr="006C7892" w14:paraId="2101BA15" w14:textId="77777777">
        <w:trPr>
          <w:trHeight w:val="330"/>
        </w:trPr>
        <w:tc>
          <w:tcPr>
            <w:tcW w:w="9360" w:type="dxa"/>
            <w:gridSpan w:val="3"/>
          </w:tcPr>
          <w:p w14:paraId="137C2494" w14:textId="77777777" w:rsidR="00B50BF9" w:rsidRPr="006C7892" w:rsidRDefault="00B50BF9" w:rsidP="00B50BF9">
            <w:pPr>
              <w:pStyle w:val="Normal0"/>
              <w:rPr>
                <w:rFonts w:ascii="Verdana" w:hAnsi="Verdana"/>
                <w:b/>
                <w:bCs/>
                <w:sz w:val="20"/>
                <w:szCs w:val="20"/>
              </w:rPr>
            </w:pPr>
            <w:r w:rsidRPr="006C7892">
              <w:rPr>
                <w:rFonts w:ascii="Verdana" w:hAnsi="Verdana"/>
                <w:b/>
                <w:bCs/>
                <w:sz w:val="20"/>
                <w:szCs w:val="20"/>
              </w:rPr>
              <w:t>Evidence of Completion of the Corrective Action:</w:t>
            </w:r>
          </w:p>
          <w:p w14:paraId="1C940B7F" w14:textId="77777777" w:rsidR="00B50BF9" w:rsidRPr="006C7892" w:rsidRDefault="00B50BF9" w:rsidP="00B50BF9">
            <w:pPr>
              <w:pStyle w:val="Normal0"/>
              <w:rPr>
                <w:rFonts w:ascii="Verdana" w:hAnsi="Verdana"/>
                <w:b/>
                <w:bCs/>
                <w:sz w:val="20"/>
                <w:szCs w:val="20"/>
              </w:rPr>
            </w:pPr>
            <w:bookmarkStart w:id="11" w:name="Evidence"/>
            <w:r w:rsidRPr="006C7892">
              <w:rPr>
                <w:rFonts w:ascii="Verdana" w:hAnsi="Verdana"/>
                <w:sz w:val="20"/>
                <w:szCs w:val="20"/>
              </w:rPr>
              <w:t xml:space="preserve">BART will revise its policies and procedures to include training on the regulations. Relevant </w:t>
            </w:r>
            <w:r w:rsidR="006C7892" w:rsidRPr="006C7892">
              <w:rPr>
                <w:rFonts w:ascii="Verdana" w:hAnsi="Verdana"/>
                <w:sz w:val="20"/>
                <w:szCs w:val="20"/>
              </w:rPr>
              <w:t xml:space="preserve">school </w:t>
            </w:r>
            <w:r w:rsidRPr="006C7892">
              <w:rPr>
                <w:rFonts w:ascii="Verdana" w:hAnsi="Verdana"/>
                <w:sz w:val="20"/>
                <w:szCs w:val="20"/>
              </w:rPr>
              <w:t>personnel will be trained on the regulations at the beginning of the school year. All staff will complete a summary sheet for all IEP meetings moving forward.</w:t>
            </w:r>
          </w:p>
          <w:p w14:paraId="7689D6C8" w14:textId="77777777" w:rsidR="00B50BF9" w:rsidRPr="006C7892" w:rsidRDefault="00B50BF9" w:rsidP="00B50BF9">
            <w:pPr>
              <w:pStyle w:val="Normal0"/>
              <w:rPr>
                <w:rFonts w:ascii="Verdana" w:hAnsi="Verdana"/>
                <w:sz w:val="20"/>
                <w:szCs w:val="20"/>
              </w:rPr>
            </w:pPr>
            <w:r w:rsidRPr="006C7892">
              <w:rPr>
                <w:rFonts w:ascii="Verdana" w:hAnsi="Verdana"/>
                <w:sz w:val="20"/>
                <w:szCs w:val="20"/>
              </w:rPr>
              <w:t xml:space="preserve">By September 30, 2025, the </w:t>
            </w:r>
            <w:r w:rsidR="006C7892" w:rsidRPr="006C7892">
              <w:rPr>
                <w:rFonts w:ascii="Verdana" w:hAnsi="Verdana"/>
                <w:sz w:val="20"/>
                <w:szCs w:val="20"/>
              </w:rPr>
              <w:t xml:space="preserve">school </w:t>
            </w:r>
            <w:r w:rsidRPr="006C7892">
              <w:rPr>
                <w:rFonts w:ascii="Verdana" w:hAnsi="Verdana"/>
                <w:sz w:val="20"/>
                <w:szCs w:val="20"/>
              </w:rPr>
              <w:t xml:space="preserve">will revise the policies and procedural manual and train staff. A sign-in sheet will be submitted to DESE </w:t>
            </w:r>
            <w:proofErr w:type="gramStart"/>
            <w:r w:rsidRPr="006C7892">
              <w:rPr>
                <w:rFonts w:ascii="Verdana" w:hAnsi="Verdana"/>
                <w:sz w:val="20"/>
                <w:szCs w:val="20"/>
              </w:rPr>
              <w:t>outlining</w:t>
            </w:r>
            <w:proofErr w:type="gramEnd"/>
            <w:r w:rsidRPr="006C7892">
              <w:rPr>
                <w:rFonts w:ascii="Verdana" w:hAnsi="Verdana"/>
                <w:sz w:val="20"/>
                <w:szCs w:val="20"/>
              </w:rPr>
              <w:t xml:space="preserve"> when the training </w:t>
            </w:r>
            <w:proofErr w:type="gramStart"/>
            <w:r w:rsidRPr="006C7892">
              <w:rPr>
                <w:rFonts w:ascii="Verdana" w:hAnsi="Verdana"/>
                <w:sz w:val="20"/>
                <w:szCs w:val="20"/>
              </w:rPr>
              <w:t>took</w:t>
            </w:r>
            <w:proofErr w:type="gramEnd"/>
            <w:r w:rsidRPr="006C7892">
              <w:rPr>
                <w:rFonts w:ascii="Verdana" w:hAnsi="Verdana"/>
                <w:sz w:val="20"/>
                <w:szCs w:val="20"/>
              </w:rPr>
              <w:t xml:space="preserve"> place. By December 31, 2025, and March 31, 2026, BART will do a self-assessment to determine compliance.</w:t>
            </w:r>
            <w:bookmarkEnd w:id="11"/>
          </w:p>
        </w:tc>
      </w:tr>
      <w:tr w:rsidR="00B50BF9" w:rsidRPr="006C7892" w14:paraId="5069E994" w14:textId="77777777">
        <w:trPr>
          <w:trHeight w:val="359"/>
        </w:trPr>
        <w:tc>
          <w:tcPr>
            <w:tcW w:w="9360" w:type="dxa"/>
            <w:gridSpan w:val="3"/>
          </w:tcPr>
          <w:p w14:paraId="5A4C822E" w14:textId="77777777" w:rsidR="00B50BF9" w:rsidRPr="006C7892" w:rsidRDefault="00B50BF9" w:rsidP="00B50BF9">
            <w:pPr>
              <w:pStyle w:val="Normal0"/>
              <w:rPr>
                <w:rFonts w:ascii="Verdana" w:hAnsi="Verdana"/>
                <w:b/>
                <w:bCs/>
                <w:sz w:val="20"/>
                <w:szCs w:val="20"/>
              </w:rPr>
            </w:pPr>
            <w:r w:rsidRPr="006C7892">
              <w:rPr>
                <w:rFonts w:ascii="Verdana" w:hAnsi="Verdana"/>
                <w:b/>
                <w:bCs/>
                <w:sz w:val="20"/>
                <w:szCs w:val="20"/>
              </w:rPr>
              <w:t xml:space="preserve">Description of Internal Monitoring Procedures: </w:t>
            </w:r>
          </w:p>
          <w:p w14:paraId="442B14A6" w14:textId="77777777" w:rsidR="00B50BF9" w:rsidRPr="006C7892" w:rsidRDefault="00B50BF9" w:rsidP="00B50BF9">
            <w:pPr>
              <w:pStyle w:val="Normal0"/>
              <w:rPr>
                <w:rFonts w:ascii="Verdana" w:hAnsi="Verdana"/>
                <w:b/>
                <w:bCs/>
                <w:sz w:val="20"/>
                <w:szCs w:val="20"/>
              </w:rPr>
            </w:pPr>
            <w:bookmarkStart w:id="12" w:name="DescIntMonProc"/>
            <w:r w:rsidRPr="006C7892">
              <w:rPr>
                <w:rFonts w:ascii="Verdana" w:hAnsi="Verdana"/>
                <w:sz w:val="20"/>
                <w:szCs w:val="20"/>
              </w:rPr>
              <w:t xml:space="preserve">BART will use its own internal tracking system, through the Rewrite File, to ensure that </w:t>
            </w:r>
            <w:r w:rsidR="006C7892" w:rsidRPr="006C7892">
              <w:rPr>
                <w:rFonts w:ascii="Verdana" w:hAnsi="Verdana"/>
                <w:sz w:val="20"/>
                <w:szCs w:val="20"/>
              </w:rPr>
              <w:t xml:space="preserve">the school </w:t>
            </w:r>
            <w:proofErr w:type="gramStart"/>
            <w:r w:rsidR="006C7892" w:rsidRPr="006C7892">
              <w:rPr>
                <w:rFonts w:ascii="Verdana" w:hAnsi="Verdana"/>
                <w:sz w:val="20"/>
                <w:szCs w:val="20"/>
              </w:rPr>
              <w:t>is</w:t>
            </w:r>
            <w:r w:rsidRPr="006C7892">
              <w:rPr>
                <w:rFonts w:ascii="Verdana" w:hAnsi="Verdana"/>
                <w:sz w:val="20"/>
                <w:szCs w:val="20"/>
              </w:rPr>
              <w:t xml:space="preserve"> in compliance with</w:t>
            </w:r>
            <w:proofErr w:type="gramEnd"/>
            <w:r w:rsidRPr="006C7892">
              <w:rPr>
                <w:rFonts w:ascii="Verdana" w:hAnsi="Verdana"/>
                <w:sz w:val="20"/>
                <w:szCs w:val="20"/>
              </w:rPr>
              <w:t xml:space="preserve"> </w:t>
            </w:r>
            <w:r w:rsidR="006C7892" w:rsidRPr="006C7892">
              <w:rPr>
                <w:rFonts w:ascii="Verdana" w:hAnsi="Verdana"/>
                <w:sz w:val="20"/>
                <w:szCs w:val="20"/>
              </w:rPr>
              <w:t xml:space="preserve">providing </w:t>
            </w:r>
            <w:r w:rsidRPr="006C7892">
              <w:rPr>
                <w:rFonts w:ascii="Verdana" w:hAnsi="Verdana"/>
                <w:sz w:val="20"/>
                <w:szCs w:val="20"/>
              </w:rPr>
              <w:t xml:space="preserve">the summary sheet to allow up to 10 days of sending parents the IEP, or if it is missing, to ensure that the IEP is sent to families within 3 to 5 days. </w:t>
            </w:r>
          </w:p>
          <w:p w14:paraId="43C3FA66" w14:textId="77777777" w:rsidR="00B50BF9" w:rsidRPr="006C7892" w:rsidRDefault="00B50BF9" w:rsidP="00B50BF9">
            <w:pPr>
              <w:pStyle w:val="Normal0"/>
              <w:rPr>
                <w:rFonts w:ascii="Verdana" w:hAnsi="Verdana"/>
                <w:sz w:val="20"/>
                <w:szCs w:val="20"/>
              </w:rPr>
            </w:pPr>
            <w:r w:rsidRPr="006C7892">
              <w:rPr>
                <w:rFonts w:ascii="Verdana" w:hAnsi="Verdana"/>
                <w:sz w:val="20"/>
                <w:szCs w:val="20"/>
              </w:rPr>
              <w:t>Each quarter, the Director of Special Education will review the compliance tracker for compliance. If there are any instances of noncompliance identified through the tracker, there will be another Root Cause analysis completed, and additional training and steps will be required.</w:t>
            </w:r>
            <w:bookmarkEnd w:id="12"/>
          </w:p>
        </w:tc>
      </w:tr>
      <w:tr w:rsidR="00B50BF9" w:rsidRPr="006C7892" w14:paraId="5725702F" w14:textId="77777777">
        <w:trPr>
          <w:trHeight w:val="450"/>
        </w:trPr>
        <w:tc>
          <w:tcPr>
            <w:tcW w:w="9360" w:type="dxa"/>
            <w:gridSpan w:val="3"/>
            <w:shd w:val="clear" w:color="auto" w:fill="C0C0C0"/>
            <w:vAlign w:val="center"/>
          </w:tcPr>
          <w:p w14:paraId="0A32BA65" w14:textId="77777777" w:rsidR="00B50BF9" w:rsidRPr="006C7892" w:rsidRDefault="00B50BF9" w:rsidP="00B50BF9">
            <w:pPr>
              <w:pStyle w:val="Heading70"/>
              <w:rPr>
                <w:rFonts w:ascii="Verdana" w:hAnsi="Verdana"/>
              </w:rPr>
            </w:pPr>
            <w:r w:rsidRPr="006C7892">
              <w:rPr>
                <w:rFonts w:ascii="Verdana" w:hAnsi="Verdana"/>
                <w:sz w:val="20"/>
                <w:szCs w:val="20"/>
              </w:rPr>
              <w:t>CORRECTIVE ACTION PLAN APPROVAL SECTION</w:t>
            </w:r>
          </w:p>
        </w:tc>
      </w:tr>
      <w:tr w:rsidR="00B50BF9" w:rsidRPr="006C7892" w14:paraId="672074F8" w14:textId="77777777" w:rsidTr="00B50BF9">
        <w:trPr>
          <w:trHeight w:val="647"/>
        </w:trPr>
        <w:tc>
          <w:tcPr>
            <w:tcW w:w="4248" w:type="dxa"/>
          </w:tcPr>
          <w:p w14:paraId="524D9D74" w14:textId="77777777" w:rsidR="00B50BF9" w:rsidRPr="006C7892" w:rsidRDefault="00B50BF9" w:rsidP="00B50BF9">
            <w:pPr>
              <w:pStyle w:val="Normal0"/>
              <w:rPr>
                <w:rFonts w:ascii="Verdana" w:hAnsi="Verdana"/>
                <w:b/>
                <w:bCs/>
                <w:sz w:val="20"/>
                <w:szCs w:val="20"/>
              </w:rPr>
            </w:pPr>
            <w:r w:rsidRPr="006C7892">
              <w:rPr>
                <w:rFonts w:ascii="Verdana" w:hAnsi="Verdana"/>
                <w:b/>
                <w:bCs/>
                <w:sz w:val="20"/>
                <w:szCs w:val="20"/>
              </w:rPr>
              <w:t xml:space="preserve">Criterion: </w:t>
            </w:r>
          </w:p>
          <w:p w14:paraId="069E57F1" w14:textId="77777777" w:rsidR="00B50BF9" w:rsidRPr="006C7892" w:rsidRDefault="00B50BF9" w:rsidP="00B50BF9">
            <w:pPr>
              <w:pStyle w:val="Normal0"/>
              <w:rPr>
                <w:rFonts w:ascii="Verdana" w:hAnsi="Verdana"/>
                <w:b/>
                <w:bCs/>
                <w:sz w:val="20"/>
                <w:szCs w:val="20"/>
              </w:rPr>
            </w:pPr>
            <w:bookmarkStart w:id="13" w:name="CRDesc2"/>
            <w:r w:rsidRPr="006C7892">
              <w:rPr>
                <w:rFonts w:ascii="Verdana" w:hAnsi="Verdana"/>
                <w:bCs/>
                <w:sz w:val="20"/>
                <w:szCs w:val="20"/>
              </w:rPr>
              <w:t>SE 18B Determination of placement; provision of IEP to parent</w:t>
            </w:r>
            <w:bookmarkEnd w:id="13"/>
            <w:r w:rsidRPr="006C7892">
              <w:rPr>
                <w:rFonts w:ascii="Verdana" w:hAnsi="Verdana"/>
                <w:b/>
                <w:bCs/>
                <w:sz w:val="20"/>
                <w:szCs w:val="20"/>
              </w:rPr>
              <w:t xml:space="preserve"> </w:t>
            </w:r>
          </w:p>
        </w:tc>
        <w:tc>
          <w:tcPr>
            <w:tcW w:w="5112" w:type="dxa"/>
            <w:gridSpan w:val="2"/>
          </w:tcPr>
          <w:p w14:paraId="03A06224" w14:textId="77777777" w:rsidR="00B50BF9" w:rsidRPr="006C7892" w:rsidRDefault="00B50BF9" w:rsidP="00B50BF9">
            <w:pPr>
              <w:pStyle w:val="Normal0"/>
              <w:ind w:left="285" w:hanging="282"/>
              <w:rPr>
                <w:rFonts w:ascii="Verdana" w:hAnsi="Verdana"/>
                <w:b/>
                <w:bCs/>
                <w:sz w:val="20"/>
                <w:szCs w:val="20"/>
              </w:rPr>
            </w:pPr>
            <w:r w:rsidRPr="006C7892">
              <w:rPr>
                <w:rFonts w:ascii="Verdana" w:hAnsi="Verdana"/>
                <w:b/>
                <w:bCs/>
                <w:sz w:val="20"/>
                <w:szCs w:val="20"/>
              </w:rPr>
              <w:t xml:space="preserve">Corrective Action Plan Status: </w:t>
            </w:r>
            <w:bookmarkStart w:id="14" w:name="Status"/>
            <w:r w:rsidRPr="006C7892">
              <w:rPr>
                <w:rFonts w:ascii="Verdana" w:hAnsi="Verdana"/>
                <w:bCs/>
                <w:sz w:val="20"/>
                <w:szCs w:val="20"/>
              </w:rPr>
              <w:t>Approved</w:t>
            </w:r>
            <w:bookmarkEnd w:id="14"/>
          </w:p>
          <w:p w14:paraId="3AE1AB49" w14:textId="77777777" w:rsidR="00B50BF9" w:rsidRPr="006C7892" w:rsidRDefault="00B50BF9" w:rsidP="00B50BF9">
            <w:pPr>
              <w:pStyle w:val="Normal0"/>
              <w:rPr>
                <w:rFonts w:ascii="Verdana" w:hAnsi="Verdana"/>
                <w:sz w:val="20"/>
                <w:szCs w:val="20"/>
              </w:rPr>
            </w:pPr>
            <w:r w:rsidRPr="006C7892">
              <w:rPr>
                <w:rFonts w:ascii="Verdana" w:hAnsi="Verdana"/>
                <w:sz w:val="20"/>
                <w:szCs w:val="20"/>
              </w:rPr>
              <w:t xml:space="preserve">                            </w:t>
            </w:r>
            <w:r w:rsidRPr="006C7892">
              <w:rPr>
                <w:rFonts w:ascii="Verdana" w:hAnsi="Verdana"/>
                <w:b/>
                <w:sz w:val="20"/>
                <w:szCs w:val="20"/>
              </w:rPr>
              <w:t>Status Date:</w:t>
            </w:r>
            <w:r w:rsidRPr="006C7892">
              <w:rPr>
                <w:rFonts w:ascii="Verdana" w:hAnsi="Verdana"/>
                <w:sz w:val="20"/>
                <w:szCs w:val="20"/>
              </w:rPr>
              <w:t xml:space="preserve"> </w:t>
            </w:r>
            <w:bookmarkStart w:id="15" w:name="StatusDate"/>
            <w:r w:rsidRPr="006C7892">
              <w:rPr>
                <w:rFonts w:ascii="Verdana" w:hAnsi="Verdana"/>
              </w:rPr>
              <w:t>06/10/2025</w:t>
            </w:r>
            <w:bookmarkEnd w:id="15"/>
          </w:p>
          <w:p w14:paraId="7E74EFCD" w14:textId="77777777" w:rsidR="00B50BF9" w:rsidRPr="006C7892" w:rsidRDefault="00B50BF9" w:rsidP="00B50BF9">
            <w:pPr>
              <w:pStyle w:val="Normal0"/>
              <w:rPr>
                <w:rFonts w:ascii="Verdana" w:hAnsi="Verdana"/>
                <w:sz w:val="20"/>
                <w:szCs w:val="20"/>
              </w:rPr>
            </w:pPr>
            <w:r w:rsidRPr="006C7892">
              <w:rPr>
                <w:rFonts w:ascii="Verdana" w:hAnsi="Verdana"/>
                <w:b/>
                <w:bCs/>
                <w:sz w:val="20"/>
                <w:szCs w:val="20"/>
              </w:rPr>
              <w:t xml:space="preserve">                    Correction Status:</w:t>
            </w:r>
            <w:r w:rsidRPr="006C7892">
              <w:rPr>
                <w:rFonts w:ascii="Verdana" w:hAnsi="Verdana"/>
                <w:bCs/>
                <w:sz w:val="20"/>
                <w:szCs w:val="20"/>
              </w:rPr>
              <w:t xml:space="preserve"> </w:t>
            </w:r>
            <w:bookmarkStart w:id="16" w:name="CORRECTION_STATUS"/>
            <w:r w:rsidRPr="006C7892">
              <w:rPr>
                <w:rFonts w:ascii="Verdana" w:hAnsi="Verdana"/>
                <w:sz w:val="20"/>
                <w:szCs w:val="20"/>
              </w:rPr>
              <w:t>Not Corrected</w:t>
            </w:r>
            <w:bookmarkEnd w:id="16"/>
          </w:p>
        </w:tc>
      </w:tr>
      <w:tr w:rsidR="00B50BF9" w:rsidRPr="006C7892" w14:paraId="689D1F83" w14:textId="77777777">
        <w:trPr>
          <w:trHeight w:val="350"/>
        </w:trPr>
        <w:tc>
          <w:tcPr>
            <w:tcW w:w="9360" w:type="dxa"/>
            <w:gridSpan w:val="3"/>
          </w:tcPr>
          <w:p w14:paraId="633444B4" w14:textId="77777777" w:rsidR="00B50BF9" w:rsidRPr="006C7892" w:rsidRDefault="00B50BF9" w:rsidP="00B50BF9">
            <w:pPr>
              <w:pStyle w:val="Normal0"/>
              <w:rPr>
                <w:rFonts w:ascii="Verdana" w:hAnsi="Verdana"/>
                <w:b/>
                <w:bCs/>
                <w:sz w:val="20"/>
                <w:szCs w:val="20"/>
              </w:rPr>
            </w:pPr>
            <w:r w:rsidRPr="006C7892">
              <w:rPr>
                <w:rFonts w:ascii="Verdana" w:hAnsi="Verdana"/>
                <w:b/>
                <w:bCs/>
                <w:sz w:val="20"/>
                <w:szCs w:val="20"/>
              </w:rPr>
              <w:t xml:space="preserve">Required Elements of Progress Report(s): </w:t>
            </w:r>
          </w:p>
          <w:p w14:paraId="673C9BD5" w14:textId="77777777" w:rsidR="00B50BF9" w:rsidRPr="006C7892" w:rsidRDefault="00B50BF9" w:rsidP="00B50BF9">
            <w:pPr>
              <w:pStyle w:val="Normal0"/>
              <w:rPr>
                <w:rFonts w:ascii="Verdana" w:hAnsi="Verdana"/>
                <w:b/>
                <w:bCs/>
                <w:sz w:val="20"/>
                <w:szCs w:val="20"/>
              </w:rPr>
            </w:pPr>
            <w:bookmarkStart w:id="17" w:name="ReqElementsProg"/>
            <w:r w:rsidRPr="006C7892">
              <w:rPr>
                <w:rFonts w:ascii="Verdana" w:hAnsi="Verdana"/>
                <w:sz w:val="20"/>
                <w:szCs w:val="20"/>
              </w:rPr>
              <w:t xml:space="preserve">By August 1, 2025, the school will submit evidence of revised procedures to ensure parents are provided with a proposed IEP and proposed placement immediately following the development of the IEP. </w:t>
            </w:r>
          </w:p>
          <w:p w14:paraId="1B33308B" w14:textId="77777777" w:rsidR="00B50BF9" w:rsidRPr="006C7892" w:rsidRDefault="00B50BF9" w:rsidP="00B50BF9">
            <w:pPr>
              <w:pStyle w:val="Normal0"/>
              <w:rPr>
                <w:rFonts w:ascii="Verdana" w:hAnsi="Verdana"/>
                <w:sz w:val="20"/>
                <w:szCs w:val="20"/>
              </w:rPr>
            </w:pPr>
            <w:r w:rsidRPr="006C7892">
              <w:rPr>
                <w:rFonts w:ascii="Verdana" w:hAnsi="Verdana"/>
                <w:sz w:val="20"/>
                <w:szCs w:val="20"/>
              </w:rPr>
              <w:t>By September 15, 2025, the school will submit evidence that identified staff have received training on revised procedures. Evidence will include the training agenda, materials, and verification of attendance.</w:t>
            </w:r>
          </w:p>
          <w:p w14:paraId="15DA0922" w14:textId="77777777" w:rsidR="00B50BF9" w:rsidRPr="006C7892" w:rsidRDefault="00B50BF9" w:rsidP="00B50BF9">
            <w:pPr>
              <w:pStyle w:val="Normal0"/>
              <w:rPr>
                <w:rFonts w:ascii="Verdana" w:hAnsi="Verdana"/>
                <w:sz w:val="20"/>
                <w:szCs w:val="20"/>
              </w:rPr>
            </w:pPr>
            <w:r w:rsidRPr="006C7892">
              <w:rPr>
                <w:rFonts w:ascii="Verdana" w:hAnsi="Verdana"/>
                <w:sz w:val="20"/>
                <w:szCs w:val="20"/>
              </w:rPr>
              <w:t xml:space="preserve">By January 30, 2026, The Office of </w:t>
            </w:r>
            <w:proofErr w:type="gramStart"/>
            <w:r w:rsidRPr="006C7892">
              <w:rPr>
                <w:rFonts w:ascii="Verdana" w:hAnsi="Verdana"/>
                <w:sz w:val="20"/>
                <w:szCs w:val="20"/>
              </w:rPr>
              <w:t>Public School</w:t>
            </w:r>
            <w:proofErr w:type="gramEnd"/>
            <w:r w:rsidRPr="006C7892">
              <w:rPr>
                <w:rFonts w:ascii="Verdana" w:hAnsi="Verdana"/>
                <w:sz w:val="20"/>
                <w:szCs w:val="20"/>
              </w:rPr>
              <w:t xml:space="preserve"> Monitoring will conduct a review of student records to ensure the school issued the proposed IEP and proposed placement to the </w:t>
            </w:r>
            <w:proofErr w:type="gramStart"/>
            <w:r w:rsidRPr="006C7892">
              <w:rPr>
                <w:rFonts w:ascii="Verdana" w:hAnsi="Verdana"/>
                <w:sz w:val="20"/>
                <w:szCs w:val="20"/>
              </w:rPr>
              <w:t>parent</w:t>
            </w:r>
            <w:proofErr w:type="gramEnd"/>
            <w:r w:rsidRPr="006C7892">
              <w:rPr>
                <w:rFonts w:ascii="Verdana" w:hAnsi="Verdana"/>
                <w:sz w:val="20"/>
                <w:szCs w:val="20"/>
              </w:rPr>
              <w:t xml:space="preserve"> immediately following the development of the IEP. For any identified non-</w:t>
            </w:r>
            <w:r w:rsidRPr="006C7892">
              <w:rPr>
                <w:rFonts w:ascii="Verdana" w:hAnsi="Verdana"/>
                <w:sz w:val="20"/>
                <w:szCs w:val="20"/>
              </w:rPr>
              <w:lastRenderedPageBreak/>
              <w:t>compliance, the school will submit a root cause analysis and a description of appropriate corrective actions.</w:t>
            </w:r>
            <w:bookmarkEnd w:id="17"/>
          </w:p>
        </w:tc>
      </w:tr>
      <w:tr w:rsidR="00B50BF9" w:rsidRPr="006C7892" w14:paraId="2FC9DCD3" w14:textId="77777777">
        <w:trPr>
          <w:trHeight w:val="350"/>
        </w:trPr>
        <w:tc>
          <w:tcPr>
            <w:tcW w:w="9360" w:type="dxa"/>
            <w:gridSpan w:val="3"/>
          </w:tcPr>
          <w:p w14:paraId="6ECECD56" w14:textId="77777777" w:rsidR="00B50BF9" w:rsidRPr="006C7892" w:rsidRDefault="00B50BF9" w:rsidP="00B50BF9">
            <w:pPr>
              <w:pStyle w:val="Normal0"/>
              <w:tabs>
                <w:tab w:val="left" w:pos="2772"/>
              </w:tabs>
              <w:rPr>
                <w:rFonts w:ascii="Verdana" w:hAnsi="Verdana"/>
                <w:b/>
                <w:bCs/>
                <w:sz w:val="20"/>
                <w:szCs w:val="20"/>
              </w:rPr>
            </w:pPr>
            <w:r w:rsidRPr="006C7892">
              <w:rPr>
                <w:rFonts w:ascii="Verdana" w:hAnsi="Verdana"/>
                <w:b/>
                <w:bCs/>
                <w:sz w:val="20"/>
                <w:szCs w:val="20"/>
              </w:rPr>
              <w:lastRenderedPageBreak/>
              <w:t xml:space="preserve">Progress Report Due Date(s): </w:t>
            </w:r>
          </w:p>
          <w:p w14:paraId="0EA859E6" w14:textId="77777777" w:rsidR="00B50BF9" w:rsidRPr="006C7892" w:rsidRDefault="00B50BF9" w:rsidP="00B50BF9">
            <w:pPr>
              <w:pStyle w:val="Normal0"/>
              <w:tabs>
                <w:tab w:val="left" w:pos="2772"/>
              </w:tabs>
              <w:rPr>
                <w:rFonts w:ascii="Verdana" w:hAnsi="Verdana"/>
                <w:b/>
                <w:bCs/>
                <w:sz w:val="20"/>
                <w:szCs w:val="20"/>
              </w:rPr>
            </w:pPr>
            <w:bookmarkStart w:id="18" w:name="ProgRptDueDate"/>
            <w:r w:rsidRPr="006C7892">
              <w:rPr>
                <w:rFonts w:ascii="Verdana" w:hAnsi="Verdana"/>
                <w:bCs/>
                <w:sz w:val="20"/>
                <w:szCs w:val="20"/>
              </w:rPr>
              <w:t>08/01/2025</w:t>
            </w:r>
          </w:p>
          <w:p w14:paraId="6B8D978E" w14:textId="77777777" w:rsidR="00B50BF9" w:rsidRPr="006C7892" w:rsidRDefault="00B50BF9" w:rsidP="00B50BF9">
            <w:pPr>
              <w:pStyle w:val="Normal0"/>
              <w:tabs>
                <w:tab w:val="left" w:pos="2772"/>
              </w:tabs>
              <w:rPr>
                <w:rFonts w:ascii="Verdana" w:hAnsi="Verdana"/>
                <w:bCs/>
                <w:sz w:val="20"/>
                <w:szCs w:val="20"/>
              </w:rPr>
            </w:pPr>
            <w:r w:rsidRPr="006C7892">
              <w:rPr>
                <w:rFonts w:ascii="Verdana" w:hAnsi="Verdana"/>
                <w:bCs/>
                <w:sz w:val="20"/>
                <w:szCs w:val="20"/>
              </w:rPr>
              <w:t>09/15/2025</w:t>
            </w:r>
          </w:p>
          <w:p w14:paraId="31FC1BF9" w14:textId="77777777" w:rsidR="00B50BF9" w:rsidRPr="006C7892" w:rsidRDefault="00B50BF9" w:rsidP="00B50BF9">
            <w:pPr>
              <w:pStyle w:val="Normal0"/>
              <w:tabs>
                <w:tab w:val="left" w:pos="2772"/>
              </w:tabs>
              <w:rPr>
                <w:rFonts w:ascii="Verdana" w:hAnsi="Verdana"/>
                <w:bCs/>
                <w:sz w:val="20"/>
                <w:szCs w:val="20"/>
              </w:rPr>
            </w:pPr>
            <w:r w:rsidRPr="006C7892">
              <w:rPr>
                <w:rFonts w:ascii="Verdana" w:hAnsi="Verdana"/>
                <w:bCs/>
                <w:sz w:val="20"/>
                <w:szCs w:val="20"/>
              </w:rPr>
              <w:t>01/30/2026</w:t>
            </w:r>
            <w:bookmarkEnd w:id="18"/>
            <w:r w:rsidRPr="006C7892">
              <w:rPr>
                <w:rFonts w:ascii="Verdana" w:hAnsi="Verdana"/>
                <w:bCs/>
                <w:sz w:val="20"/>
                <w:szCs w:val="20"/>
              </w:rPr>
              <w:br/>
            </w:r>
          </w:p>
        </w:tc>
      </w:tr>
    </w:tbl>
    <w:p w14:paraId="6E295B6C" w14:textId="77777777" w:rsidR="00B50BF9" w:rsidRPr="006C7892" w:rsidRDefault="00B50BF9" w:rsidP="00B50BF9">
      <w:pPr>
        <w:pStyle w:val="Normal0"/>
        <w:rPr>
          <w:rFonts w:ascii="Verdana" w:hAnsi="Verdana"/>
          <w:sz w:val="20"/>
          <w:szCs w:val="20"/>
        </w:rPr>
      </w:pPr>
    </w:p>
    <w:p w14:paraId="43A53718" w14:textId="77777777" w:rsidR="00B50BF9" w:rsidRPr="006C7892" w:rsidRDefault="00B50BF9">
      <w:pPr>
        <w:pStyle w:val="Normal0"/>
        <w:rPr>
          <w:rFonts w:ascii="Verdana" w:hAnsi="Verdana"/>
        </w:rPr>
      </w:pPr>
    </w:p>
    <w:sectPr w:rsidR="00B50BF9" w:rsidRPr="006C7892" w:rsidSect="00B50BF9">
      <w:footerReference w:type="default" r:id="rId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897EB" w14:textId="77777777" w:rsidR="00356325" w:rsidRDefault="00356325">
      <w:r>
        <w:separator/>
      </w:r>
    </w:p>
  </w:endnote>
  <w:endnote w:type="continuationSeparator" w:id="0">
    <w:p w14:paraId="2F844E37" w14:textId="77777777" w:rsidR="00356325" w:rsidRDefault="00356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42A31" w14:textId="77777777" w:rsidR="00B50BF9" w:rsidRPr="000522A9" w:rsidRDefault="00B50BF9" w:rsidP="00B50BF9">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51D92" w14:textId="77777777" w:rsidR="00B50BF9" w:rsidRPr="00792F17" w:rsidRDefault="00B50BF9" w:rsidP="00B50BF9">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1AEC29EB" w14:textId="77777777" w:rsidR="00B50BF9" w:rsidRDefault="00B50BF9" w:rsidP="00B50BF9">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 xml:space="preserve">MA Department of Elementary &amp; Secondary </w:t>
    </w:r>
    <w:proofErr w:type="gramStart"/>
    <w:r w:rsidRPr="000522A9">
      <w:rPr>
        <w:rStyle w:val="PageNumber0"/>
        <w:sz w:val="20"/>
        <w:szCs w:val="20"/>
      </w:rPr>
      <w:t>Education ,</w:t>
    </w:r>
    <w:proofErr w:type="gramEnd"/>
    <w:r>
      <w:rPr>
        <w:rStyle w:val="PageNumber0"/>
        <w:i/>
        <w:sz w:val="20"/>
        <w:szCs w:val="20"/>
      </w:rPr>
      <w:t xml:space="preserve"> Office of </w:t>
    </w:r>
    <w:proofErr w:type="gramStart"/>
    <w:r>
      <w:rPr>
        <w:rStyle w:val="PageNumber0"/>
        <w:i/>
        <w:sz w:val="20"/>
        <w:szCs w:val="20"/>
      </w:rPr>
      <w:t>Public School</w:t>
    </w:r>
    <w:proofErr w:type="gramEnd"/>
    <w:r>
      <w:rPr>
        <w:rStyle w:val="PageNumber0"/>
        <w:i/>
        <w:sz w:val="20"/>
        <w:szCs w:val="20"/>
      </w:rPr>
      <w:t xml:space="preserve"> Monitoring</w:t>
    </w:r>
  </w:p>
  <w:p w14:paraId="7110DD38" w14:textId="77777777" w:rsidR="00B50BF9" w:rsidRPr="000522A9" w:rsidRDefault="00B50BF9" w:rsidP="00B50BF9">
    <w:pPr>
      <w:pStyle w:val="Footer0"/>
      <w:tabs>
        <w:tab w:val="left" w:pos="4965"/>
      </w:tabs>
      <w:ind w:right="360"/>
      <w:rPr>
        <w:i/>
        <w:sz w:val="20"/>
        <w:szCs w:val="20"/>
      </w:rPr>
    </w:pPr>
    <w:r>
      <w:rPr>
        <w:rStyle w:val="PageNumber0"/>
        <w:i/>
        <w:sz w:val="20"/>
        <w:szCs w:val="20"/>
      </w:rPr>
      <w:t>Berkshire Arts and Technology Charter Public School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F7C1D" w14:textId="77777777" w:rsidR="00356325" w:rsidRDefault="00356325">
      <w:r>
        <w:separator/>
      </w:r>
    </w:p>
  </w:footnote>
  <w:footnote w:type="continuationSeparator" w:id="0">
    <w:p w14:paraId="6556E1EB" w14:textId="77777777" w:rsidR="00356325" w:rsidRDefault="00356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677074869">
    <w:abstractNumId w:val="1"/>
  </w:num>
  <w:num w:numId="2" w16cid:durableId="1963607507">
    <w:abstractNumId w:val="0"/>
  </w:num>
  <w:num w:numId="3" w16cid:durableId="1757362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011780"/>
    <w:rsid w:val="00102466"/>
    <w:rsid w:val="00201CE4"/>
    <w:rsid w:val="00356325"/>
    <w:rsid w:val="0039596B"/>
    <w:rsid w:val="004165C8"/>
    <w:rsid w:val="005B6F39"/>
    <w:rsid w:val="006C7892"/>
    <w:rsid w:val="007F15B2"/>
    <w:rsid w:val="009075AB"/>
    <w:rsid w:val="00B50BF9"/>
    <w:rsid w:val="00BD7F08"/>
    <w:rsid w:val="00C92446"/>
    <w:rsid w:val="00D939E2"/>
    <w:rsid w:val="00FE7E2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DE1810"/>
  <w15:chartTrackingRefBased/>
  <w15:docId w15:val="{2FA8A3D9-76FB-40E0-ACA6-E78A3818B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1">
    <w:name w:val="heading 1"/>
    <w:basedOn w:val="Heading5"/>
    <w:next w:val="Normal"/>
    <w:link w:val="Heading1Char"/>
    <w:qFormat/>
    <w:locked/>
    <w:rsid w:val="00011780"/>
    <w:pPr>
      <w:outlineLvl w:val="0"/>
    </w:pPr>
  </w:style>
  <w:style w:type="paragraph" w:styleId="Heading2">
    <w:name w:val="heading 2"/>
    <w:basedOn w:val="Normal"/>
    <w:next w:val="Normal"/>
    <w:link w:val="Heading2Char"/>
    <w:qFormat/>
    <w:rsid w:val="00FE7E2C"/>
    <w:pPr>
      <w:jc w:val="center"/>
      <w:outlineLvl w:val="1"/>
    </w:pPr>
    <w:rPr>
      <w:rFonts w:ascii="Verdana" w:hAnsi="Verdana"/>
      <w:b/>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FE7E2C"/>
    <w:rPr>
      <w:rFonts w:ascii="Verdana" w:hAnsi="Verdana"/>
      <w:b/>
      <w:sz w:val="24"/>
      <w:szCs w:val="24"/>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character" w:customStyle="1" w:styleId="Heading1Char">
    <w:name w:val="Heading 1 Char"/>
    <w:basedOn w:val="DefaultParagraphFont"/>
    <w:link w:val="Heading1"/>
    <w:rsid w:val="00011780"/>
    <w:rPr>
      <w:rFonts w:ascii="Verdana" w:hAnsi="Verdana"/>
      <w:b/>
      <w:bCs/>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2024-25 Berkshire Arts and Technology Charter School IMR CAP</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Berkshire Arts and Technology Charter School IMR CAP</dc:title>
  <dc:subject/>
  <dc:creator>DESE</dc:creator>
  <cp:keywords/>
  <dc:description/>
  <cp:lastModifiedBy>Zou, Dong (EOE)</cp:lastModifiedBy>
  <cp:revision>5</cp:revision>
  <cp:lastPrinted>2010-08-09T19:14:00Z</cp:lastPrinted>
  <dcterms:created xsi:type="dcterms:W3CDTF">2025-06-26T19:40:00Z</dcterms:created>
  <dcterms:modified xsi:type="dcterms:W3CDTF">2025-07-03T19:42:00Z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3 2025 12:00AM</vt:lpwstr>
  </property>
</Properties>
</file>