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623B" w14:textId="27941ADF" w:rsidR="00E06EC1" w:rsidRPr="005363BB" w:rsidRDefault="00AB1E0B" w:rsidP="00E06EC1">
      <w:pPr>
        <w:rPr>
          <w:sz w:val="22"/>
        </w:rPr>
      </w:pPr>
      <w:r w:rsidRPr="00640E7A">
        <w:rPr>
          <w:noProof/>
        </w:rPr>
        <w:drawing>
          <wp:inline distT="0" distB="0" distL="0" distR="0" wp14:anchorId="31964CA5" wp14:editId="716E17CE">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03922BD" w14:textId="77777777" w:rsidR="00E06EC1" w:rsidRDefault="00E06EC1" w:rsidP="00E06EC1">
      <w:pPr>
        <w:jc w:val="center"/>
        <w:rPr>
          <w:sz w:val="22"/>
        </w:rPr>
      </w:pPr>
    </w:p>
    <w:p w14:paraId="4AF67411" w14:textId="77777777" w:rsidR="00E06EC1" w:rsidRDefault="00E06EC1" w:rsidP="00E06EC1">
      <w:pPr>
        <w:jc w:val="center"/>
        <w:rPr>
          <w:sz w:val="22"/>
        </w:rPr>
      </w:pPr>
    </w:p>
    <w:p w14:paraId="6BCF997C" w14:textId="77777777" w:rsidR="00E06EC1" w:rsidRDefault="00E06EC1" w:rsidP="00E06EC1">
      <w:pPr>
        <w:rPr>
          <w:sz w:val="24"/>
        </w:rPr>
      </w:pPr>
      <w:r>
        <w:rPr>
          <w:sz w:val="22"/>
        </w:rPr>
        <w:tab/>
      </w:r>
    </w:p>
    <w:p w14:paraId="16402262" w14:textId="77777777" w:rsidR="00E06EC1" w:rsidRDefault="00E06EC1" w:rsidP="00E06EC1">
      <w:pPr>
        <w:pStyle w:val="Heading2"/>
        <w:rPr>
          <w:sz w:val="24"/>
          <w:lang w:val="en-US" w:eastAsia="en-US"/>
        </w:rPr>
      </w:pPr>
    </w:p>
    <w:p w14:paraId="3573D8A7" w14:textId="77777777" w:rsidR="00E06EC1" w:rsidRPr="00812287" w:rsidRDefault="00E06EC1" w:rsidP="00E06EC1"/>
    <w:p w14:paraId="384B4A59" w14:textId="77777777" w:rsidR="00E06EC1" w:rsidRPr="00812287" w:rsidRDefault="00E06EC1" w:rsidP="00E06EC1"/>
    <w:p w14:paraId="3B6FFD57" w14:textId="77777777" w:rsidR="00E06EC1" w:rsidRPr="007E5338" w:rsidRDefault="00E06EC1" w:rsidP="00E06EC1">
      <w:pPr>
        <w:pStyle w:val="Heading2"/>
        <w:rPr>
          <w:sz w:val="24"/>
          <w:lang w:val="en-US" w:eastAsia="en-US"/>
        </w:rPr>
      </w:pPr>
    </w:p>
    <w:p w14:paraId="5256D79C" w14:textId="77777777" w:rsidR="00E06EC1" w:rsidRDefault="00E06EC1" w:rsidP="00E06EC1">
      <w:pPr>
        <w:jc w:val="center"/>
        <w:rPr>
          <w:b/>
          <w:sz w:val="28"/>
        </w:rPr>
      </w:pPr>
      <w:bookmarkStart w:id="0" w:name="rptName"/>
      <w:r>
        <w:rPr>
          <w:b/>
          <w:sz w:val="28"/>
        </w:rPr>
        <w:t>Northampton-Smith Vocational Agricultura</w:t>
      </w:r>
      <w:r w:rsidR="0001032D">
        <w:rPr>
          <w:b/>
          <w:sz w:val="28"/>
        </w:rPr>
        <w:t xml:space="preserve">l School District </w:t>
      </w:r>
      <w:bookmarkEnd w:id="0"/>
    </w:p>
    <w:p w14:paraId="689A4FD0" w14:textId="77777777" w:rsidR="00E06EC1" w:rsidRDefault="00E06EC1" w:rsidP="00E06EC1">
      <w:pPr>
        <w:jc w:val="center"/>
        <w:rPr>
          <w:b/>
          <w:sz w:val="28"/>
        </w:rPr>
      </w:pPr>
    </w:p>
    <w:p w14:paraId="02F4DE18" w14:textId="77777777" w:rsidR="00E06EC1" w:rsidRDefault="00E06EC1" w:rsidP="00E06EC1">
      <w:pPr>
        <w:jc w:val="center"/>
        <w:rPr>
          <w:b/>
          <w:sz w:val="28"/>
        </w:rPr>
      </w:pPr>
      <w:r>
        <w:rPr>
          <w:b/>
          <w:sz w:val="28"/>
        </w:rPr>
        <w:t>Tiered Focused Monitoring Report</w:t>
      </w:r>
    </w:p>
    <w:p w14:paraId="06F8F80B" w14:textId="77777777" w:rsidR="00E06EC1" w:rsidRDefault="00E06EC1" w:rsidP="00E06EC1">
      <w:pPr>
        <w:jc w:val="center"/>
        <w:rPr>
          <w:b/>
          <w:sz w:val="28"/>
        </w:rPr>
      </w:pPr>
    </w:p>
    <w:p w14:paraId="18506FC1" w14:textId="77777777" w:rsidR="00E06EC1" w:rsidRDefault="00E06EC1" w:rsidP="00E06EC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0DBFA98" w14:textId="77777777" w:rsidR="00E06EC1" w:rsidRDefault="00E06EC1" w:rsidP="00E06EC1">
      <w:pPr>
        <w:jc w:val="center"/>
        <w:rPr>
          <w:b/>
          <w:sz w:val="24"/>
        </w:rPr>
      </w:pPr>
      <w:r>
        <w:rPr>
          <w:b/>
          <w:sz w:val="24"/>
        </w:rPr>
        <w:t xml:space="preserve">Tier Level </w:t>
      </w:r>
      <w:bookmarkStart w:id="2" w:name="TierNumber"/>
      <w:r>
        <w:rPr>
          <w:b/>
          <w:sz w:val="24"/>
        </w:rPr>
        <w:t>2</w:t>
      </w:r>
      <w:bookmarkEnd w:id="2"/>
    </w:p>
    <w:p w14:paraId="722992B6" w14:textId="77777777" w:rsidR="00E06EC1" w:rsidRDefault="00E06EC1" w:rsidP="00E06EC1">
      <w:pPr>
        <w:jc w:val="center"/>
        <w:rPr>
          <w:b/>
          <w:sz w:val="24"/>
        </w:rPr>
      </w:pPr>
    </w:p>
    <w:p w14:paraId="3FEE5172" w14:textId="77777777" w:rsidR="00E06EC1" w:rsidRPr="00F8472A" w:rsidRDefault="00E06EC1" w:rsidP="00E06EC1">
      <w:pPr>
        <w:jc w:val="center"/>
        <w:rPr>
          <w:b/>
          <w:sz w:val="24"/>
        </w:rPr>
      </w:pPr>
      <w:r>
        <w:rPr>
          <w:b/>
          <w:sz w:val="24"/>
        </w:rPr>
        <w:t xml:space="preserve">Date of </w:t>
      </w:r>
      <w:r w:rsidR="00F03D81">
        <w:rPr>
          <w:b/>
          <w:sz w:val="24"/>
        </w:rPr>
        <w:t>TFM Review</w:t>
      </w:r>
      <w:r>
        <w:rPr>
          <w:b/>
          <w:sz w:val="24"/>
        </w:rPr>
        <w:t xml:space="preserve">: </w:t>
      </w:r>
      <w:bookmarkStart w:id="3" w:name="onsiteVisitDate"/>
      <w:r w:rsidRPr="00F8472A">
        <w:rPr>
          <w:b/>
          <w:sz w:val="24"/>
        </w:rPr>
        <w:t>January 2</w:t>
      </w:r>
      <w:r w:rsidR="00F03D81">
        <w:rPr>
          <w:b/>
          <w:sz w:val="24"/>
        </w:rPr>
        <w:t>7</w:t>
      </w:r>
      <w:r w:rsidRPr="00F8472A">
        <w:rPr>
          <w:b/>
          <w:sz w:val="24"/>
        </w:rPr>
        <w:t>, 2021</w:t>
      </w:r>
      <w:bookmarkEnd w:id="3"/>
    </w:p>
    <w:p w14:paraId="34B749AC" w14:textId="77777777" w:rsidR="00E06EC1" w:rsidRDefault="00E06EC1" w:rsidP="00E06EC1">
      <w:pPr>
        <w:jc w:val="center"/>
        <w:rPr>
          <w:b/>
          <w:sz w:val="24"/>
        </w:rPr>
      </w:pPr>
    </w:p>
    <w:p w14:paraId="76921B5B" w14:textId="77777777" w:rsidR="00E06EC1" w:rsidRDefault="00E06EC1" w:rsidP="00E06EC1">
      <w:pPr>
        <w:jc w:val="center"/>
        <w:rPr>
          <w:b/>
          <w:sz w:val="24"/>
        </w:rPr>
      </w:pPr>
      <w:r>
        <w:rPr>
          <w:b/>
          <w:sz w:val="24"/>
        </w:rPr>
        <w:t xml:space="preserve">Date of Final Report: </w:t>
      </w:r>
      <w:bookmarkStart w:id="4" w:name="reportDate"/>
      <w:r w:rsidR="00F03D81">
        <w:rPr>
          <w:b/>
          <w:sz w:val="24"/>
        </w:rPr>
        <w:t>March 2</w:t>
      </w:r>
      <w:r w:rsidR="0001032D">
        <w:rPr>
          <w:b/>
          <w:sz w:val="24"/>
        </w:rPr>
        <w:t>3</w:t>
      </w:r>
      <w:r w:rsidR="00F03D81">
        <w:rPr>
          <w:b/>
          <w:sz w:val="24"/>
        </w:rPr>
        <w:t xml:space="preserve">, </w:t>
      </w:r>
      <w:r>
        <w:rPr>
          <w:b/>
          <w:sz w:val="24"/>
        </w:rPr>
        <w:t>2021</w:t>
      </w:r>
      <w:bookmarkEnd w:id="4"/>
    </w:p>
    <w:p w14:paraId="5E306406" w14:textId="77777777" w:rsidR="00E06EC1" w:rsidRDefault="00E06EC1" w:rsidP="00E06EC1">
      <w:pPr>
        <w:rPr>
          <w:sz w:val="22"/>
          <w:szCs w:val="22"/>
        </w:rPr>
      </w:pPr>
    </w:p>
    <w:p w14:paraId="017A1EAA" w14:textId="77777777" w:rsidR="00E06EC1" w:rsidRDefault="00E06EC1" w:rsidP="00E06EC1">
      <w:pPr>
        <w:rPr>
          <w:sz w:val="22"/>
          <w:szCs w:val="22"/>
        </w:rPr>
      </w:pPr>
    </w:p>
    <w:p w14:paraId="44F70320" w14:textId="77777777" w:rsidR="00E06EC1" w:rsidRDefault="00E06EC1" w:rsidP="00E06EC1">
      <w:pPr>
        <w:rPr>
          <w:sz w:val="22"/>
          <w:szCs w:val="22"/>
        </w:rPr>
      </w:pPr>
    </w:p>
    <w:p w14:paraId="533FB246" w14:textId="77777777" w:rsidR="00E06EC1" w:rsidRDefault="00E06EC1" w:rsidP="00E06EC1">
      <w:pPr>
        <w:rPr>
          <w:sz w:val="22"/>
          <w:szCs w:val="22"/>
        </w:rPr>
      </w:pPr>
    </w:p>
    <w:p w14:paraId="4DA70FF4" w14:textId="77777777" w:rsidR="00E06EC1" w:rsidRDefault="00E06EC1" w:rsidP="00E06EC1">
      <w:pPr>
        <w:tabs>
          <w:tab w:val="left" w:pos="4125"/>
        </w:tabs>
        <w:rPr>
          <w:sz w:val="22"/>
        </w:rPr>
      </w:pPr>
    </w:p>
    <w:p w14:paraId="1D1BEC65" w14:textId="77777777" w:rsidR="00E06EC1" w:rsidRDefault="00E06EC1" w:rsidP="00E06EC1">
      <w:pPr>
        <w:tabs>
          <w:tab w:val="left" w:pos="4125"/>
        </w:tabs>
        <w:rPr>
          <w:sz w:val="22"/>
        </w:rPr>
      </w:pPr>
    </w:p>
    <w:p w14:paraId="53488F9E" w14:textId="77777777" w:rsidR="00E06EC1" w:rsidRDefault="00E06EC1" w:rsidP="00E06EC1">
      <w:pPr>
        <w:tabs>
          <w:tab w:val="left" w:pos="4125"/>
        </w:tabs>
        <w:rPr>
          <w:sz w:val="22"/>
        </w:rPr>
      </w:pPr>
    </w:p>
    <w:p w14:paraId="21BA91B1" w14:textId="77777777" w:rsidR="00E06EC1" w:rsidRDefault="00E06EC1" w:rsidP="00E06EC1">
      <w:pPr>
        <w:tabs>
          <w:tab w:val="left" w:pos="4125"/>
        </w:tabs>
        <w:rPr>
          <w:sz w:val="22"/>
        </w:rPr>
      </w:pPr>
    </w:p>
    <w:p w14:paraId="0D73FF5B" w14:textId="77777777" w:rsidR="00E06EC1" w:rsidRDefault="00E06EC1" w:rsidP="00E06EC1">
      <w:pPr>
        <w:tabs>
          <w:tab w:val="left" w:pos="4125"/>
        </w:tabs>
        <w:rPr>
          <w:sz w:val="22"/>
        </w:rPr>
      </w:pPr>
    </w:p>
    <w:p w14:paraId="3618078C" w14:textId="77777777" w:rsidR="00E06EC1" w:rsidRDefault="00E06EC1" w:rsidP="00E06EC1">
      <w:pPr>
        <w:tabs>
          <w:tab w:val="left" w:pos="4125"/>
        </w:tabs>
        <w:rPr>
          <w:sz w:val="22"/>
        </w:rPr>
      </w:pPr>
    </w:p>
    <w:p w14:paraId="52E65642" w14:textId="77777777" w:rsidR="00E06EC1" w:rsidRDefault="00E06EC1" w:rsidP="00E06EC1">
      <w:pPr>
        <w:tabs>
          <w:tab w:val="left" w:pos="4125"/>
        </w:tabs>
        <w:rPr>
          <w:sz w:val="22"/>
        </w:rPr>
      </w:pPr>
    </w:p>
    <w:p w14:paraId="6987F7FE" w14:textId="77777777" w:rsidR="00E06EC1" w:rsidRDefault="00E06EC1" w:rsidP="00E06EC1">
      <w:pPr>
        <w:tabs>
          <w:tab w:val="left" w:pos="4125"/>
        </w:tabs>
        <w:rPr>
          <w:sz w:val="22"/>
        </w:rPr>
      </w:pPr>
    </w:p>
    <w:p w14:paraId="2041B932" w14:textId="3DF05B3A" w:rsidR="00E06EC1" w:rsidRDefault="00AB1E0B" w:rsidP="00F34B67">
      <w:pPr>
        <w:tabs>
          <w:tab w:val="left" w:pos="4125"/>
        </w:tabs>
        <w:jc w:val="center"/>
        <w:rPr>
          <w:sz w:val="22"/>
        </w:rPr>
      </w:pPr>
      <w:bookmarkStart w:id="5" w:name="_GoBack"/>
      <w:r w:rsidRPr="00640E7A">
        <w:rPr>
          <w:noProof/>
        </w:rPr>
        <w:drawing>
          <wp:inline distT="0" distB="0" distL="0" distR="0" wp14:anchorId="6E071B06" wp14:editId="375E766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146A788D" w14:textId="77777777" w:rsidR="00E06EC1" w:rsidRDefault="00E06EC1" w:rsidP="00E06EC1">
      <w:pPr>
        <w:tabs>
          <w:tab w:val="left" w:pos="4125"/>
        </w:tabs>
        <w:rPr>
          <w:sz w:val="22"/>
        </w:rPr>
      </w:pPr>
    </w:p>
    <w:p w14:paraId="539F7457" w14:textId="77777777" w:rsidR="009940FE" w:rsidRDefault="009940FE" w:rsidP="00E06EC1">
      <w:pPr>
        <w:tabs>
          <w:tab w:val="left" w:pos="4125"/>
        </w:tabs>
        <w:jc w:val="center"/>
        <w:rPr>
          <w:sz w:val="22"/>
          <w:szCs w:val="22"/>
        </w:rPr>
      </w:pPr>
    </w:p>
    <w:p w14:paraId="273F1383" w14:textId="77777777" w:rsidR="009940FE" w:rsidRDefault="009940FE" w:rsidP="00E06EC1">
      <w:pPr>
        <w:tabs>
          <w:tab w:val="left" w:pos="4125"/>
        </w:tabs>
        <w:jc w:val="center"/>
        <w:rPr>
          <w:sz w:val="22"/>
          <w:szCs w:val="22"/>
        </w:rPr>
      </w:pPr>
    </w:p>
    <w:p w14:paraId="39DC3D44" w14:textId="77777777" w:rsidR="00E06EC1" w:rsidRPr="00E1547A" w:rsidRDefault="00E06EC1" w:rsidP="00E06EC1">
      <w:pPr>
        <w:tabs>
          <w:tab w:val="left" w:pos="4125"/>
        </w:tabs>
        <w:jc w:val="center"/>
        <w:rPr>
          <w:sz w:val="22"/>
          <w:szCs w:val="22"/>
        </w:rPr>
      </w:pPr>
      <w:r w:rsidRPr="00E1547A">
        <w:rPr>
          <w:sz w:val="22"/>
          <w:szCs w:val="22"/>
        </w:rPr>
        <w:t>Jeffrey C. Riley</w:t>
      </w:r>
    </w:p>
    <w:p w14:paraId="512727C7" w14:textId="77777777" w:rsidR="00E06EC1" w:rsidRPr="00812287" w:rsidRDefault="00E06EC1" w:rsidP="00E06EC1">
      <w:pPr>
        <w:tabs>
          <w:tab w:val="left" w:pos="4125"/>
        </w:tabs>
        <w:jc w:val="center"/>
        <w:rPr>
          <w:sz w:val="22"/>
          <w:szCs w:val="22"/>
        </w:rPr>
      </w:pPr>
      <w:r w:rsidRPr="00E1547A">
        <w:rPr>
          <w:sz w:val="22"/>
          <w:szCs w:val="22"/>
        </w:rPr>
        <w:t>Commissioner of Elementary and Secondary Education</w:t>
      </w:r>
    </w:p>
    <w:p w14:paraId="662DE178" w14:textId="77777777" w:rsidR="00E06EC1" w:rsidRPr="00F84189" w:rsidRDefault="00E06EC1" w:rsidP="00E06EC1">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Northampton-Smith Vocational Agricultura</w:t>
      </w:r>
      <w:r w:rsidR="0001032D">
        <w:rPr>
          <w:sz w:val="22"/>
          <w:szCs w:val="22"/>
        </w:rPr>
        <w:t>l School</w:t>
      </w:r>
      <w:r w:rsidR="00161479">
        <w:rPr>
          <w:sz w:val="22"/>
          <w:szCs w:val="22"/>
        </w:rPr>
        <w:t xml:space="preserve"> District</w:t>
      </w:r>
      <w:r w:rsidR="0001032D">
        <w:rPr>
          <w:sz w:val="22"/>
          <w:szCs w:val="22"/>
        </w:rPr>
        <w:t xml:space="preserve"> </w:t>
      </w:r>
      <w:bookmarkEnd w:id="7"/>
      <w:r w:rsidR="00161479" w:rsidRPr="006822D1">
        <w:rPr>
          <w:sz w:val="22"/>
          <w:szCs w:val="22"/>
        </w:rPr>
        <w:t>participated</w:t>
      </w:r>
      <w:r w:rsidRPr="006822D1">
        <w:rPr>
          <w:sz w:val="22"/>
          <w:szCs w:val="22"/>
        </w:rPr>
        <w:t xml:space="preserve">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92FB32E" w14:textId="77777777" w:rsidR="00E06EC1" w:rsidRPr="00C07FE7" w:rsidRDefault="00E06EC1" w:rsidP="00E06EC1">
      <w:pPr>
        <w:rPr>
          <w:sz w:val="22"/>
          <w:szCs w:val="22"/>
        </w:rPr>
      </w:pPr>
    </w:p>
    <w:p w14:paraId="05F9A57C" w14:textId="77777777" w:rsidR="00E06EC1" w:rsidRDefault="0001032D" w:rsidP="00E06EC1">
      <w:pPr>
        <w:rPr>
          <w:sz w:val="22"/>
          <w:szCs w:val="22"/>
        </w:rPr>
      </w:pPr>
      <w:r>
        <w:rPr>
          <w:sz w:val="22"/>
          <w:szCs w:val="22"/>
        </w:rPr>
        <w:t>School d</w:t>
      </w:r>
      <w:r w:rsidR="00E06EC1" w:rsidRPr="009E12C6">
        <w:rPr>
          <w:sz w:val="22"/>
          <w:szCs w:val="22"/>
        </w:rPr>
        <w:t>istrict</w:t>
      </w:r>
      <w:r w:rsidR="00E06EC1">
        <w:rPr>
          <w:sz w:val="22"/>
          <w:szCs w:val="22"/>
        </w:rPr>
        <w:t>s</w:t>
      </w:r>
      <w:r>
        <w:rPr>
          <w:sz w:val="22"/>
          <w:szCs w:val="22"/>
        </w:rPr>
        <w:t xml:space="preserve"> </w:t>
      </w:r>
      <w:r w:rsidR="00161479">
        <w:rPr>
          <w:sz w:val="22"/>
          <w:szCs w:val="22"/>
        </w:rPr>
        <w:t>and</w:t>
      </w:r>
      <w:r w:rsidR="00161479" w:rsidRPr="009E12C6">
        <w:rPr>
          <w:sz w:val="22"/>
          <w:szCs w:val="22"/>
        </w:rPr>
        <w:t xml:space="preserve"> charter</w:t>
      </w:r>
      <w:r w:rsidR="00E06EC1" w:rsidRPr="009E12C6">
        <w:rPr>
          <w:sz w:val="22"/>
          <w:szCs w:val="22"/>
        </w:rPr>
        <w:t xml:space="preserve"> schools are reviewed every three years through Tiered Focused Monitoring. </w:t>
      </w:r>
      <w:r w:rsidR="00E06EC1">
        <w:rPr>
          <w:sz w:val="22"/>
          <w:szCs w:val="22"/>
        </w:rPr>
        <w:t xml:space="preserve">This review process emphasizes elements most tied to student outcomes, and alternates the focus of each review </w:t>
      </w:r>
      <w:r w:rsidR="00E06EC1" w:rsidRPr="005369A1">
        <w:rPr>
          <w:sz w:val="22"/>
          <w:szCs w:val="22"/>
        </w:rPr>
        <w:t xml:space="preserve">on either Group A Universal Standards or Group B Universal Standards. </w:t>
      </w:r>
    </w:p>
    <w:p w14:paraId="554E3B3F" w14:textId="77777777" w:rsidR="00E06EC1" w:rsidRDefault="00E06EC1" w:rsidP="00E06EC1">
      <w:pPr>
        <w:rPr>
          <w:sz w:val="22"/>
          <w:szCs w:val="22"/>
        </w:rPr>
      </w:pPr>
    </w:p>
    <w:p w14:paraId="3543B861" w14:textId="77777777" w:rsidR="00E06EC1" w:rsidRPr="005369A1" w:rsidRDefault="00E06EC1" w:rsidP="00E06EC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2052893"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AF23FE2" w14:textId="77777777" w:rsidR="00E06EC1" w:rsidRPr="009E12C6" w:rsidRDefault="00E06EC1" w:rsidP="00E06EC1">
      <w:pPr>
        <w:pStyle w:val="ListParagraph"/>
        <w:numPr>
          <w:ilvl w:val="0"/>
          <w:numId w:val="3"/>
        </w:numPr>
        <w:rPr>
          <w:sz w:val="22"/>
          <w:szCs w:val="22"/>
        </w:rPr>
      </w:pPr>
      <w:r w:rsidRPr="00A35C9E">
        <w:rPr>
          <w:rFonts w:ascii="Times New Roman" w:hAnsi="Times New Roman" w:cs="Times New Roman"/>
          <w:sz w:val="22"/>
          <w:szCs w:val="22"/>
        </w:rPr>
        <w:t>IEP development</w:t>
      </w:r>
    </w:p>
    <w:p w14:paraId="5A898896"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949B7E9"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Equal opportunity</w:t>
      </w:r>
    </w:p>
    <w:p w14:paraId="4C21422E" w14:textId="77777777" w:rsidR="00E06EC1" w:rsidRPr="009E12C6" w:rsidRDefault="00E06EC1" w:rsidP="00E06EC1">
      <w:pPr>
        <w:rPr>
          <w:sz w:val="22"/>
          <w:szCs w:val="22"/>
        </w:rPr>
      </w:pPr>
    </w:p>
    <w:p w14:paraId="32F4C510" w14:textId="77777777" w:rsidR="00E06EC1" w:rsidRDefault="00E06EC1" w:rsidP="00E06EC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338D54B"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65BA052"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4225037"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36C3370"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Oversight</w:t>
      </w:r>
    </w:p>
    <w:p w14:paraId="38FE00EB" w14:textId="77777777" w:rsidR="00E06EC1" w:rsidRPr="009E12C6" w:rsidRDefault="00E06EC1" w:rsidP="00E06EC1">
      <w:pPr>
        <w:pStyle w:val="ListParagraph"/>
        <w:numPr>
          <w:ilvl w:val="0"/>
          <w:numId w:val="3"/>
        </w:numPr>
        <w:rPr>
          <w:sz w:val="22"/>
          <w:szCs w:val="22"/>
        </w:rPr>
      </w:pPr>
      <w:r w:rsidRPr="009E12C6">
        <w:rPr>
          <w:rFonts w:ascii="Times New Roman" w:hAnsi="Times New Roman" w:cs="Times New Roman"/>
          <w:sz w:val="22"/>
          <w:szCs w:val="22"/>
        </w:rPr>
        <w:t>Time and learning</w:t>
      </w:r>
    </w:p>
    <w:p w14:paraId="0375F7D0" w14:textId="77777777" w:rsidR="00E06EC1" w:rsidRPr="003844DB" w:rsidRDefault="00E06EC1" w:rsidP="00E06EC1">
      <w:pPr>
        <w:pStyle w:val="ListParagraph"/>
        <w:numPr>
          <w:ilvl w:val="0"/>
          <w:numId w:val="3"/>
        </w:numPr>
        <w:rPr>
          <w:sz w:val="22"/>
          <w:szCs w:val="22"/>
        </w:rPr>
      </w:pPr>
      <w:r w:rsidRPr="009E12C6">
        <w:rPr>
          <w:rFonts w:ascii="Times New Roman" w:hAnsi="Times New Roman" w:cs="Times New Roman"/>
          <w:sz w:val="22"/>
          <w:szCs w:val="22"/>
        </w:rPr>
        <w:t>Equal access</w:t>
      </w:r>
    </w:p>
    <w:p w14:paraId="5FB0A221" w14:textId="77777777" w:rsidR="00E06EC1" w:rsidRDefault="00E06EC1" w:rsidP="00E06EC1">
      <w:pPr>
        <w:rPr>
          <w:sz w:val="22"/>
          <w:szCs w:val="22"/>
        </w:rPr>
      </w:pPr>
    </w:p>
    <w:p w14:paraId="1648B557" w14:textId="77777777" w:rsidR="00E06EC1" w:rsidRPr="000912A8" w:rsidRDefault="00E06EC1" w:rsidP="00E06EC1">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E618CEA" w14:textId="77777777" w:rsidR="00E06EC1" w:rsidRDefault="00E06EC1" w:rsidP="00E06EC1">
      <w:pPr>
        <w:ind w:hanging="1080"/>
        <w:rPr>
          <w:sz w:val="22"/>
        </w:rPr>
      </w:pPr>
    </w:p>
    <w:p w14:paraId="7F67E3B1" w14:textId="77777777" w:rsidR="00E06EC1" w:rsidRDefault="00E06EC1" w:rsidP="00E06EC1">
      <w:pPr>
        <w:rPr>
          <w:sz w:val="22"/>
        </w:rPr>
      </w:pPr>
      <w:r>
        <w:rPr>
          <w:sz w:val="22"/>
        </w:rPr>
        <w:t>Universal Standards and Targeted Standards are aligned with the following regulations:</w:t>
      </w:r>
    </w:p>
    <w:p w14:paraId="4F96F2B6" w14:textId="77777777" w:rsidR="00E06EC1" w:rsidRDefault="00E06EC1" w:rsidP="00E06EC1">
      <w:pPr>
        <w:rPr>
          <w:sz w:val="22"/>
          <w:szCs w:val="22"/>
        </w:rPr>
      </w:pPr>
    </w:p>
    <w:p w14:paraId="6CEA223B" w14:textId="77777777" w:rsidR="00E06EC1" w:rsidRPr="00BB486A" w:rsidRDefault="00E06EC1" w:rsidP="00E06EC1">
      <w:pPr>
        <w:rPr>
          <w:sz w:val="22"/>
          <w:szCs w:val="22"/>
        </w:rPr>
      </w:pPr>
      <w:r>
        <w:rPr>
          <w:sz w:val="22"/>
          <w:szCs w:val="22"/>
        </w:rPr>
        <w:t>Sp</w:t>
      </w:r>
      <w:r w:rsidRPr="00BB486A">
        <w:rPr>
          <w:sz w:val="22"/>
          <w:szCs w:val="22"/>
        </w:rPr>
        <w:t>ecial Education (SE)</w:t>
      </w:r>
    </w:p>
    <w:p w14:paraId="6D3023C6" w14:textId="77777777" w:rsidR="00E06EC1" w:rsidRPr="00A35C9E" w:rsidRDefault="00E06EC1" w:rsidP="00E06EC1">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AD943F6" w14:textId="77777777" w:rsidR="00E06EC1" w:rsidRPr="00A804D9" w:rsidRDefault="00E06EC1" w:rsidP="00E06EC1">
      <w:pPr>
        <w:ind w:left="360"/>
        <w:rPr>
          <w:sz w:val="22"/>
          <w:szCs w:val="22"/>
        </w:rPr>
      </w:pPr>
    </w:p>
    <w:p w14:paraId="2C1116E6" w14:textId="77777777" w:rsidR="00E06EC1" w:rsidRPr="00A804D9" w:rsidRDefault="00E06EC1" w:rsidP="00E06EC1">
      <w:pPr>
        <w:rPr>
          <w:b/>
          <w:bCs/>
          <w:sz w:val="22"/>
          <w:szCs w:val="22"/>
        </w:rPr>
      </w:pPr>
      <w:r w:rsidRPr="00A804D9">
        <w:rPr>
          <w:sz w:val="22"/>
          <w:szCs w:val="22"/>
        </w:rPr>
        <w:t>Civil Rights Methods of Administration and Other General Education Requirements (CR)</w:t>
      </w:r>
    </w:p>
    <w:p w14:paraId="26A84A00" w14:textId="77777777" w:rsidR="00E06EC1" w:rsidRPr="00E676DB" w:rsidRDefault="00E06EC1" w:rsidP="00E06EC1">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12BB0AD" w14:textId="77777777" w:rsidR="00E06EC1" w:rsidRPr="009C23B4" w:rsidRDefault="00E06EC1" w:rsidP="00E06EC1">
      <w:pPr>
        <w:numPr>
          <w:ilvl w:val="0"/>
          <w:numId w:val="3"/>
        </w:numPr>
        <w:rPr>
          <w:sz w:val="22"/>
          <w:szCs w:val="22"/>
        </w:rPr>
      </w:pPr>
      <w:r w:rsidRPr="00A57BCD">
        <w:rPr>
          <w:sz w:val="22"/>
          <w:szCs w:val="22"/>
        </w:rPr>
        <w:t>selected requirements from the Massachusetts Board of Education’s Physical Restraint regulations (603 CMR 46.00).</w:t>
      </w:r>
    </w:p>
    <w:p w14:paraId="2425AC0D" w14:textId="77777777" w:rsidR="00E06EC1" w:rsidRPr="00A775CC" w:rsidRDefault="00E06EC1" w:rsidP="00E06EC1">
      <w:pPr>
        <w:numPr>
          <w:ilvl w:val="0"/>
          <w:numId w:val="3"/>
        </w:numPr>
        <w:rPr>
          <w:sz w:val="22"/>
          <w:szCs w:val="22"/>
        </w:rPr>
      </w:pPr>
      <w:r w:rsidRPr="009C23B4">
        <w:rPr>
          <w:sz w:val="22"/>
          <w:szCs w:val="22"/>
        </w:rPr>
        <w:t>selected requirements from the Massachusetts Board of Education’s Student Learning Time regulations (603 CMR 27.00).</w:t>
      </w:r>
    </w:p>
    <w:p w14:paraId="544621F9" w14:textId="77777777" w:rsidR="00E06EC1" w:rsidRPr="00970C4F" w:rsidRDefault="00E06EC1" w:rsidP="00E06EC1">
      <w:pPr>
        <w:numPr>
          <w:ilvl w:val="0"/>
          <w:numId w:val="3"/>
        </w:numPr>
        <w:rPr>
          <w:sz w:val="22"/>
        </w:rPr>
      </w:pPr>
      <w:r w:rsidRPr="006E6B9B">
        <w:rPr>
          <w:sz w:val="22"/>
          <w:szCs w:val="22"/>
        </w:rPr>
        <w:t>various requirements under other federal and state laws.</w:t>
      </w:r>
    </w:p>
    <w:p w14:paraId="21923097" w14:textId="77777777" w:rsidR="00E06EC1" w:rsidRPr="006E6B9B" w:rsidRDefault="00E06EC1" w:rsidP="00E06EC1">
      <w:pPr>
        <w:rPr>
          <w:sz w:val="22"/>
        </w:rPr>
      </w:pPr>
    </w:p>
    <w:p w14:paraId="005ED040" w14:textId="77777777" w:rsidR="00E06EC1" w:rsidRPr="006E6B9B" w:rsidRDefault="00E06EC1" w:rsidP="00E06EC1">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067CDFD" w14:textId="77777777" w:rsidR="00E06EC1" w:rsidRDefault="00E06EC1" w:rsidP="00E06EC1">
      <w:pPr>
        <w:pStyle w:val="BodyText"/>
        <w:tabs>
          <w:tab w:val="left" w:pos="1080"/>
        </w:tabs>
        <w:rPr>
          <w:bCs/>
          <w:szCs w:val="22"/>
        </w:rPr>
      </w:pPr>
    </w:p>
    <w:p w14:paraId="3956393B" w14:textId="77777777" w:rsidR="00E06EC1" w:rsidRDefault="00E06EC1" w:rsidP="00E06EC1">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BDE57E3" w14:textId="77777777" w:rsidR="00E06EC1" w:rsidRPr="00E676DB" w:rsidRDefault="00E06EC1" w:rsidP="00E06EC1">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BDE75EE" w14:textId="77777777" w:rsidR="009940FE" w:rsidRPr="009940FE" w:rsidRDefault="00E06EC1" w:rsidP="00E06EC1">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005F1CD5" w14:textId="77777777" w:rsidR="00E06EC1" w:rsidRPr="009C23B4" w:rsidRDefault="00E06EC1" w:rsidP="009940FE">
      <w:pPr>
        <w:ind w:left="720"/>
        <w:rPr>
          <w:sz w:val="22"/>
          <w:szCs w:val="22"/>
        </w:rPr>
      </w:pPr>
      <w:r w:rsidRPr="001862C9">
        <w:rPr>
          <w:bCs/>
          <w:sz w:val="22"/>
          <w:szCs w:val="22"/>
        </w:rPr>
        <w:t>outcomes – low risk.</w:t>
      </w:r>
    </w:p>
    <w:p w14:paraId="5BE1C409" w14:textId="77777777" w:rsidR="00E06EC1" w:rsidRDefault="00E06EC1" w:rsidP="00E06EC1">
      <w:pPr>
        <w:pStyle w:val="BodyText"/>
        <w:tabs>
          <w:tab w:val="left" w:pos="1080"/>
        </w:tabs>
        <w:rPr>
          <w:bCs/>
          <w:szCs w:val="22"/>
        </w:rPr>
      </w:pPr>
    </w:p>
    <w:p w14:paraId="7F2A70FF" w14:textId="77777777" w:rsidR="00E06EC1" w:rsidRPr="001862C9" w:rsidRDefault="00E06EC1" w:rsidP="00E06EC1">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A3DEC29" w14:textId="77777777" w:rsidR="00E06EC1" w:rsidRPr="00026CFD" w:rsidRDefault="00E06EC1" w:rsidP="00E06EC1">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499AEBE" w14:textId="77777777" w:rsidR="00E06EC1" w:rsidRPr="00E676DB" w:rsidRDefault="00E06EC1" w:rsidP="00E06EC1">
      <w:pPr>
        <w:ind w:left="720"/>
        <w:rPr>
          <w:sz w:val="22"/>
          <w:szCs w:val="22"/>
        </w:rPr>
      </w:pPr>
      <w:r w:rsidRPr="001862C9">
        <w:rPr>
          <w:bCs/>
          <w:sz w:val="22"/>
          <w:szCs w:val="22"/>
        </w:rPr>
        <w:t>outcomes – moderate risk</w:t>
      </w:r>
      <w:r w:rsidRPr="00E676DB">
        <w:rPr>
          <w:sz w:val="22"/>
          <w:szCs w:val="22"/>
        </w:rPr>
        <w:t>.</w:t>
      </w:r>
    </w:p>
    <w:p w14:paraId="26D1A4AA" w14:textId="77777777" w:rsidR="00E06EC1" w:rsidRPr="009C23B4" w:rsidRDefault="00E06EC1" w:rsidP="00E06EC1">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3A6C7FA" w14:textId="77777777" w:rsidR="00E06EC1" w:rsidRDefault="00E06EC1" w:rsidP="00E06EC1">
      <w:pPr>
        <w:pStyle w:val="BodyText"/>
        <w:tabs>
          <w:tab w:val="left" w:pos="1080"/>
        </w:tabs>
        <w:rPr>
          <w:bCs/>
          <w:szCs w:val="22"/>
          <w:u w:val="single"/>
        </w:rPr>
      </w:pPr>
    </w:p>
    <w:p w14:paraId="4052A0D4" w14:textId="77777777" w:rsidR="00E06EC1" w:rsidRPr="004D29DF" w:rsidRDefault="00E06EC1" w:rsidP="00E06EC1">
      <w:pPr>
        <w:pStyle w:val="BodyText"/>
        <w:tabs>
          <w:tab w:val="left" w:pos="1080"/>
        </w:tabs>
        <w:rPr>
          <w:bCs/>
          <w:szCs w:val="22"/>
          <w:u w:val="single"/>
        </w:rPr>
      </w:pPr>
    </w:p>
    <w:p w14:paraId="3CF0CB25" w14:textId="77777777" w:rsidR="00E06EC1" w:rsidRPr="001862C9" w:rsidRDefault="00E06EC1" w:rsidP="00E06EC1">
      <w:pPr>
        <w:pStyle w:val="BodyText"/>
        <w:tabs>
          <w:tab w:val="left" w:pos="1080"/>
        </w:tabs>
        <w:rPr>
          <w:bCs/>
          <w:szCs w:val="22"/>
        </w:rPr>
      </w:pPr>
      <w:r>
        <w:rPr>
          <w:bCs/>
          <w:szCs w:val="22"/>
        </w:rPr>
        <w:t xml:space="preserve">The phases of Tiered Focused Monitoring for the </w:t>
      </w:r>
      <w:r w:rsidR="0001032D">
        <w:rPr>
          <w:szCs w:val="22"/>
        </w:rPr>
        <w:t>Northampton-Smith Vocational Agricultural School District</w:t>
      </w:r>
      <w:r w:rsidR="0001032D" w:rsidDel="0001032D">
        <w:rPr>
          <w:bCs/>
          <w:szCs w:val="22"/>
        </w:rPr>
        <w:t xml:space="preserve"> </w:t>
      </w:r>
      <w:r w:rsidRPr="001862C9">
        <w:rPr>
          <w:bCs/>
          <w:szCs w:val="22"/>
        </w:rPr>
        <w:t>include</w:t>
      </w:r>
      <w:r>
        <w:rPr>
          <w:bCs/>
          <w:szCs w:val="22"/>
        </w:rPr>
        <w:t>d</w:t>
      </w:r>
      <w:r w:rsidRPr="001862C9">
        <w:rPr>
          <w:bCs/>
          <w:szCs w:val="22"/>
        </w:rPr>
        <w:t>:</w:t>
      </w:r>
    </w:p>
    <w:p w14:paraId="7CAE1405" w14:textId="77777777" w:rsidR="00E06EC1" w:rsidRPr="00BF7CCC" w:rsidRDefault="00E06EC1" w:rsidP="00E06EC1">
      <w:pPr>
        <w:pStyle w:val="BodyText"/>
        <w:tabs>
          <w:tab w:val="left" w:pos="1080"/>
        </w:tabs>
        <w:rPr>
          <w:bCs/>
          <w:szCs w:val="22"/>
          <w:u w:val="single"/>
        </w:rPr>
      </w:pPr>
    </w:p>
    <w:p w14:paraId="3D42EBE4" w14:textId="77777777" w:rsidR="00E06EC1" w:rsidRPr="006822D1" w:rsidRDefault="00E06EC1" w:rsidP="00E06EC1">
      <w:pPr>
        <w:rPr>
          <w:sz w:val="22"/>
          <w:szCs w:val="22"/>
        </w:rPr>
      </w:pPr>
      <w:r w:rsidRPr="006822D1">
        <w:rPr>
          <w:sz w:val="22"/>
          <w:szCs w:val="22"/>
        </w:rPr>
        <w:t>Self-Assessment Phase:</w:t>
      </w:r>
    </w:p>
    <w:p w14:paraId="4B606F35" w14:textId="77777777" w:rsidR="00E06EC1" w:rsidRPr="006822D1" w:rsidRDefault="0001032D" w:rsidP="00E06EC1">
      <w:pPr>
        <w:numPr>
          <w:ilvl w:val="0"/>
          <w:numId w:val="3"/>
        </w:numPr>
        <w:rPr>
          <w:sz w:val="22"/>
          <w:szCs w:val="22"/>
        </w:rPr>
      </w:pPr>
      <w:r>
        <w:rPr>
          <w:sz w:val="22"/>
          <w:szCs w:val="22"/>
        </w:rPr>
        <w:t xml:space="preserve">District </w:t>
      </w:r>
      <w:r w:rsidR="00E06EC1" w:rsidRPr="006822D1">
        <w:rPr>
          <w:sz w:val="22"/>
          <w:szCs w:val="22"/>
        </w:rPr>
        <w:t>review</w:t>
      </w:r>
      <w:r w:rsidR="00E06EC1">
        <w:rPr>
          <w:sz w:val="22"/>
          <w:szCs w:val="22"/>
        </w:rPr>
        <w:t>ed</w:t>
      </w:r>
      <w:r w:rsidR="00E06EC1" w:rsidRPr="006822D1">
        <w:rPr>
          <w:sz w:val="22"/>
          <w:szCs w:val="22"/>
        </w:rPr>
        <w:t xml:space="preserve"> special education and civil rights documentation for required elements including document uploads. </w:t>
      </w:r>
    </w:p>
    <w:p w14:paraId="4D9714E0" w14:textId="77777777" w:rsidR="00E06EC1" w:rsidRPr="00E675C7" w:rsidRDefault="00E06EC1" w:rsidP="00E06EC1">
      <w:pPr>
        <w:numPr>
          <w:ilvl w:val="0"/>
          <w:numId w:val="3"/>
        </w:numPr>
        <w:rPr>
          <w:sz w:val="22"/>
          <w:szCs w:val="22"/>
        </w:rPr>
      </w:pPr>
      <w:r w:rsidRPr="00E675C7">
        <w:rPr>
          <w:sz w:val="22"/>
          <w:szCs w:val="22"/>
        </w:rPr>
        <w:t>Upon completion of th</w:t>
      </w:r>
      <w:r w:rsidR="009940FE">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3808C04C" w14:textId="77777777" w:rsidR="00E06EC1" w:rsidRPr="009D2A0D" w:rsidRDefault="00E06EC1" w:rsidP="00E06EC1">
      <w:pPr>
        <w:rPr>
          <w:sz w:val="22"/>
          <w:szCs w:val="22"/>
        </w:rPr>
      </w:pPr>
    </w:p>
    <w:p w14:paraId="42C6052B" w14:textId="77777777" w:rsidR="00E06EC1" w:rsidRDefault="00E06EC1" w:rsidP="00E06EC1">
      <w:pPr>
        <w:rPr>
          <w:sz w:val="22"/>
          <w:szCs w:val="22"/>
        </w:rPr>
      </w:pPr>
      <w:r>
        <w:rPr>
          <w:sz w:val="22"/>
          <w:szCs w:val="22"/>
        </w:rPr>
        <w:t>Verification Phase:</w:t>
      </w:r>
    </w:p>
    <w:p w14:paraId="41C10921" w14:textId="77777777" w:rsidR="00E06EC1" w:rsidRPr="009E12C6" w:rsidRDefault="00E06EC1" w:rsidP="00E06EC1">
      <w:pPr>
        <w:numPr>
          <w:ilvl w:val="0"/>
          <w:numId w:val="3"/>
        </w:numPr>
        <w:rPr>
          <w:sz w:val="22"/>
          <w:szCs w:val="22"/>
        </w:rPr>
      </w:pPr>
      <w:r w:rsidRPr="009E12C6">
        <w:rPr>
          <w:sz w:val="22"/>
          <w:szCs w:val="22"/>
        </w:rPr>
        <w:t>Review of additional documents for special education or civil rights.</w:t>
      </w:r>
    </w:p>
    <w:p w14:paraId="25880DE8" w14:textId="77777777" w:rsidR="00E06EC1" w:rsidRPr="00943822" w:rsidRDefault="00E06EC1" w:rsidP="00E06EC1">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F8A4BBB" w14:textId="77777777" w:rsidR="00E06EC1" w:rsidRPr="009E12C6" w:rsidRDefault="00E06EC1" w:rsidP="00E06EC1">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7882598" w14:textId="77777777" w:rsidR="00E06EC1" w:rsidRPr="009E12C6" w:rsidRDefault="00E06EC1" w:rsidP="00E06EC1">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2D16F7FC" w14:textId="77777777" w:rsidR="00E06EC1" w:rsidRPr="00684EF7" w:rsidRDefault="00F03D81" w:rsidP="00E06EC1">
      <w:pPr>
        <w:numPr>
          <w:ilvl w:val="0"/>
          <w:numId w:val="3"/>
        </w:numPr>
        <w:rPr>
          <w:sz w:val="22"/>
          <w:szCs w:val="22"/>
        </w:rPr>
      </w:pPr>
      <w:r>
        <w:rPr>
          <w:sz w:val="22"/>
          <w:szCs w:val="22"/>
        </w:rPr>
        <w:t>Review</w:t>
      </w:r>
      <w:r w:rsidR="00E06EC1" w:rsidRPr="009D2A0D">
        <w:rPr>
          <w:sz w:val="22"/>
          <w:szCs w:val="22"/>
        </w:rPr>
        <w:t xml:space="preserve"> of classrooms and other fa</w:t>
      </w:r>
      <w:r w:rsidR="00E06EC1">
        <w:rPr>
          <w:sz w:val="22"/>
          <w:szCs w:val="22"/>
        </w:rPr>
        <w:t xml:space="preserve">cilities: </w:t>
      </w:r>
      <w:r>
        <w:rPr>
          <w:sz w:val="22"/>
          <w:szCs w:val="22"/>
        </w:rPr>
        <w:t xml:space="preserve">The chairperson reviewed floor plans and interviewed staff to confirm the location of classrooms and school facilities used in the delivery of programs and services to determine general levels of compliance with program requirements. </w:t>
      </w:r>
    </w:p>
    <w:p w14:paraId="65344820" w14:textId="77777777" w:rsidR="00E06EC1" w:rsidRDefault="00E06EC1" w:rsidP="00E06EC1">
      <w:pPr>
        <w:rPr>
          <w:b/>
          <w:bCs/>
          <w:sz w:val="22"/>
          <w:szCs w:val="22"/>
        </w:rPr>
      </w:pPr>
    </w:p>
    <w:p w14:paraId="21BFDBB4" w14:textId="77777777" w:rsidR="00E06EC1" w:rsidRDefault="00E06EC1" w:rsidP="00E06EC1">
      <w:pPr>
        <w:rPr>
          <w:b/>
          <w:bCs/>
          <w:sz w:val="22"/>
          <w:szCs w:val="22"/>
        </w:rPr>
      </w:pPr>
    </w:p>
    <w:p w14:paraId="585C4754" w14:textId="77777777" w:rsidR="0001032D" w:rsidRDefault="0001032D" w:rsidP="00E06EC1">
      <w:pPr>
        <w:rPr>
          <w:b/>
          <w:bCs/>
          <w:sz w:val="22"/>
          <w:szCs w:val="22"/>
        </w:rPr>
      </w:pPr>
    </w:p>
    <w:p w14:paraId="67295188" w14:textId="77777777" w:rsidR="0001032D" w:rsidRDefault="0001032D" w:rsidP="00E06EC1">
      <w:pPr>
        <w:rPr>
          <w:b/>
          <w:bCs/>
          <w:sz w:val="22"/>
          <w:szCs w:val="22"/>
        </w:rPr>
      </w:pPr>
    </w:p>
    <w:p w14:paraId="3729BD73" w14:textId="77777777" w:rsidR="0001032D" w:rsidRDefault="0001032D" w:rsidP="00E06EC1">
      <w:pPr>
        <w:rPr>
          <w:b/>
          <w:bCs/>
          <w:sz w:val="22"/>
          <w:szCs w:val="22"/>
        </w:rPr>
      </w:pPr>
    </w:p>
    <w:p w14:paraId="5755C5F5" w14:textId="77777777" w:rsidR="0001032D" w:rsidRDefault="0001032D" w:rsidP="00E06EC1">
      <w:pPr>
        <w:rPr>
          <w:b/>
          <w:bCs/>
          <w:sz w:val="22"/>
          <w:szCs w:val="22"/>
        </w:rPr>
      </w:pPr>
    </w:p>
    <w:p w14:paraId="10983866" w14:textId="77777777" w:rsidR="0001032D" w:rsidRDefault="0001032D" w:rsidP="00E06EC1">
      <w:pPr>
        <w:rPr>
          <w:b/>
          <w:bCs/>
          <w:sz w:val="22"/>
          <w:szCs w:val="22"/>
        </w:rPr>
      </w:pPr>
    </w:p>
    <w:p w14:paraId="3AB86637" w14:textId="77777777" w:rsidR="0001032D" w:rsidRDefault="0001032D" w:rsidP="00E06EC1">
      <w:pPr>
        <w:rPr>
          <w:b/>
          <w:bCs/>
          <w:sz w:val="22"/>
          <w:szCs w:val="22"/>
        </w:rPr>
      </w:pPr>
    </w:p>
    <w:p w14:paraId="4F36188E" w14:textId="77777777" w:rsidR="0001032D" w:rsidRDefault="0001032D" w:rsidP="00E06EC1">
      <w:pPr>
        <w:rPr>
          <w:b/>
          <w:bCs/>
          <w:sz w:val="22"/>
          <w:szCs w:val="22"/>
        </w:rPr>
      </w:pPr>
    </w:p>
    <w:p w14:paraId="6958F1D9" w14:textId="77777777" w:rsidR="0001032D" w:rsidRDefault="0001032D" w:rsidP="00E06EC1">
      <w:pPr>
        <w:rPr>
          <w:b/>
          <w:bCs/>
          <w:sz w:val="22"/>
          <w:szCs w:val="22"/>
        </w:rPr>
      </w:pPr>
    </w:p>
    <w:p w14:paraId="1443121D" w14:textId="77777777" w:rsidR="0001032D" w:rsidRDefault="0001032D" w:rsidP="00E06EC1">
      <w:pPr>
        <w:rPr>
          <w:b/>
          <w:bCs/>
          <w:sz w:val="22"/>
          <w:szCs w:val="22"/>
        </w:rPr>
      </w:pPr>
    </w:p>
    <w:p w14:paraId="6C1A94CF" w14:textId="77777777" w:rsidR="0001032D" w:rsidRDefault="0001032D" w:rsidP="00E06EC1">
      <w:pPr>
        <w:rPr>
          <w:b/>
          <w:bCs/>
          <w:sz w:val="22"/>
          <w:szCs w:val="22"/>
        </w:rPr>
      </w:pPr>
    </w:p>
    <w:p w14:paraId="52CBC4D5" w14:textId="77777777" w:rsidR="0001032D" w:rsidRDefault="0001032D" w:rsidP="00E06EC1">
      <w:pPr>
        <w:rPr>
          <w:b/>
          <w:bCs/>
          <w:sz w:val="22"/>
          <w:szCs w:val="22"/>
        </w:rPr>
      </w:pPr>
    </w:p>
    <w:p w14:paraId="6E4AEE20" w14:textId="77777777" w:rsidR="00E06EC1" w:rsidRPr="00DF4FB3" w:rsidRDefault="00E06EC1" w:rsidP="00E06EC1">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B9E3E28" w14:textId="77777777" w:rsidR="00E06EC1" w:rsidRPr="00DF4FB3" w:rsidRDefault="00E06EC1" w:rsidP="00E06EC1">
      <w:pPr>
        <w:pStyle w:val="BodyText"/>
        <w:rPr>
          <w:b/>
          <w:bCs/>
          <w:szCs w:val="22"/>
        </w:rPr>
      </w:pPr>
      <w:r w:rsidRPr="00DF4FB3">
        <w:rPr>
          <w:b/>
          <w:bCs/>
          <w:szCs w:val="22"/>
        </w:rPr>
        <w:t xml:space="preserve">  </w:t>
      </w:r>
    </w:p>
    <w:p w14:paraId="10C35A2D" w14:textId="77777777" w:rsidR="00E06EC1" w:rsidRDefault="00E06EC1" w:rsidP="00E06EC1">
      <w:pPr>
        <w:rPr>
          <w:sz w:val="22"/>
          <w:szCs w:val="22"/>
        </w:rPr>
      </w:pPr>
      <w:r w:rsidRPr="00DF4FB3">
        <w:rPr>
          <w:bCs/>
          <w:sz w:val="22"/>
          <w:szCs w:val="22"/>
        </w:rPr>
        <w:t xml:space="preserve">Following the </w:t>
      </w:r>
      <w:r w:rsidR="00F03D81">
        <w:rPr>
          <w:bCs/>
          <w:sz w:val="22"/>
          <w:szCs w:val="22"/>
        </w:rPr>
        <w:t>interviews</w:t>
      </w:r>
      <w:r w:rsidRPr="00DF4FB3">
        <w:rPr>
          <w:bCs/>
          <w:sz w:val="22"/>
          <w:szCs w:val="22"/>
        </w:rPr>
        <w:t xml:space="preserve">, the </w:t>
      </w:r>
      <w:r w:rsidR="00F03D81">
        <w:rPr>
          <w:bCs/>
          <w:sz w:val="22"/>
          <w:szCs w:val="22"/>
        </w:rPr>
        <w:t>chairperson</w:t>
      </w:r>
      <w:r w:rsidRPr="00DF4FB3">
        <w:rPr>
          <w:bCs/>
          <w:sz w:val="22"/>
          <w:szCs w:val="22"/>
        </w:rPr>
        <w:t xml:space="preserve">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w:t>
      </w:r>
      <w:r w:rsidR="00F03D81">
        <w:rPr>
          <w:bCs/>
          <w:sz w:val="22"/>
          <w:szCs w:val="22"/>
        </w:rPr>
        <w:t>review</w:t>
      </w:r>
      <w:r w:rsidRPr="00DF4FB3">
        <w:rPr>
          <w:bCs/>
          <w:sz w:val="22"/>
          <w:szCs w:val="22"/>
        </w:rPr>
        <w:t>, the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1673B6D" w14:textId="77777777" w:rsidR="00E06EC1" w:rsidRDefault="00E06EC1" w:rsidP="009940FE">
      <w:pPr>
        <w:rPr>
          <w:b/>
          <w:sz w:val="22"/>
        </w:rPr>
      </w:pPr>
      <w:r>
        <w:rPr>
          <w:sz w:val="22"/>
          <w:szCs w:val="22"/>
        </w:rPr>
        <w:br w:type="page"/>
      </w:r>
    </w:p>
    <w:p w14:paraId="605F9E96" w14:textId="77777777" w:rsidR="00E06EC1" w:rsidRPr="00F0631B" w:rsidRDefault="00E06EC1" w:rsidP="00E06EC1"/>
    <w:p w14:paraId="4F53C01A" w14:textId="77777777" w:rsidR="00E06EC1" w:rsidRDefault="00E06EC1" w:rsidP="00E06EC1">
      <w:pPr>
        <w:pStyle w:val="Heading1"/>
        <w:rPr>
          <w:sz w:val="22"/>
          <w:szCs w:val="22"/>
        </w:rPr>
      </w:pPr>
      <w:r>
        <w:rPr>
          <w:b/>
          <w:sz w:val="22"/>
        </w:rPr>
        <w:t>D</w:t>
      </w:r>
      <w:r w:rsidRPr="007E5338">
        <w:rPr>
          <w:b/>
          <w:sz w:val="22"/>
        </w:rPr>
        <w:t>EFINITION OF COMPLIANCE RATINGS</w:t>
      </w:r>
    </w:p>
    <w:p w14:paraId="5AFD7697" w14:textId="77777777" w:rsidR="00E06EC1" w:rsidRDefault="00E06EC1" w:rsidP="00E06EC1">
      <w:pPr>
        <w:rPr>
          <w:b/>
          <w:sz w:val="22"/>
        </w:rPr>
      </w:pPr>
    </w:p>
    <w:p w14:paraId="48BB7431" w14:textId="77777777" w:rsidR="009940FE" w:rsidRDefault="009940FE" w:rsidP="00E06EC1">
      <w:pPr>
        <w:rPr>
          <w:b/>
          <w:sz w:val="22"/>
        </w:rPr>
      </w:pPr>
    </w:p>
    <w:p w14:paraId="5A6566DF" w14:textId="77777777" w:rsidR="009940FE" w:rsidRPr="00F917FE" w:rsidRDefault="009940FE" w:rsidP="00E06EC1">
      <w:pPr>
        <w:rPr>
          <w:b/>
          <w:sz w:val="22"/>
        </w:rPr>
        <w:sectPr w:rsidR="009940FE" w:rsidRPr="00F917FE" w:rsidSect="00E06EC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6EC1" w14:paraId="7E38D119" w14:textId="77777777" w:rsidTr="00E06EC1">
        <w:tc>
          <w:tcPr>
            <w:tcW w:w="3888" w:type="dxa"/>
            <w:tcBorders>
              <w:top w:val="nil"/>
              <w:left w:val="nil"/>
              <w:bottom w:val="nil"/>
              <w:right w:val="nil"/>
            </w:tcBorders>
          </w:tcPr>
          <w:p w14:paraId="7F286880" w14:textId="77777777" w:rsidR="00E06EC1" w:rsidRDefault="00E06EC1" w:rsidP="00E06EC1">
            <w:pPr>
              <w:pStyle w:val="BodyText"/>
              <w:jc w:val="both"/>
              <w:rPr>
                <w:b/>
              </w:rPr>
            </w:pPr>
          </w:p>
          <w:p w14:paraId="4C3E017E" w14:textId="77777777" w:rsidR="00E06EC1" w:rsidRDefault="00E06EC1" w:rsidP="00E06EC1">
            <w:pPr>
              <w:pStyle w:val="BodyText"/>
              <w:jc w:val="both"/>
              <w:rPr>
                <w:b/>
              </w:rPr>
            </w:pPr>
          </w:p>
          <w:p w14:paraId="01CC1685" w14:textId="77777777" w:rsidR="00E06EC1" w:rsidRDefault="00E06EC1" w:rsidP="00E06EC1">
            <w:pPr>
              <w:pStyle w:val="BodyText"/>
              <w:jc w:val="both"/>
              <w:rPr>
                <w:b/>
              </w:rPr>
            </w:pPr>
            <w:r>
              <w:rPr>
                <w:b/>
              </w:rPr>
              <w:t>Commendable</w:t>
            </w:r>
          </w:p>
          <w:p w14:paraId="0D889455" w14:textId="77777777" w:rsidR="009940FE" w:rsidRDefault="009940FE" w:rsidP="00E06EC1">
            <w:pPr>
              <w:pStyle w:val="BodyText"/>
              <w:jc w:val="both"/>
              <w:rPr>
                <w:b/>
              </w:rPr>
            </w:pPr>
          </w:p>
          <w:p w14:paraId="4BAF3435" w14:textId="77777777" w:rsidR="009940FE" w:rsidRDefault="009940FE" w:rsidP="00E06EC1">
            <w:pPr>
              <w:pStyle w:val="BodyText"/>
              <w:jc w:val="both"/>
              <w:rPr>
                <w:b/>
              </w:rPr>
            </w:pPr>
          </w:p>
          <w:p w14:paraId="1B72AFFF" w14:textId="77777777" w:rsidR="009940FE" w:rsidRDefault="009940FE" w:rsidP="00E06EC1">
            <w:pPr>
              <w:pStyle w:val="BodyText"/>
              <w:jc w:val="both"/>
              <w:rPr>
                <w:b/>
              </w:rPr>
            </w:pPr>
          </w:p>
          <w:p w14:paraId="19D67BD7" w14:textId="77777777" w:rsidR="009940FE" w:rsidRDefault="009940FE" w:rsidP="00E06EC1">
            <w:pPr>
              <w:pStyle w:val="BodyText"/>
              <w:jc w:val="both"/>
              <w:rPr>
                <w:b/>
              </w:rPr>
            </w:pPr>
          </w:p>
        </w:tc>
        <w:tc>
          <w:tcPr>
            <w:tcW w:w="5202" w:type="dxa"/>
            <w:tcBorders>
              <w:top w:val="nil"/>
              <w:left w:val="nil"/>
              <w:bottom w:val="nil"/>
              <w:right w:val="nil"/>
            </w:tcBorders>
          </w:tcPr>
          <w:p w14:paraId="5459B568" w14:textId="77777777" w:rsidR="00E06EC1" w:rsidRDefault="00E06EC1" w:rsidP="00E06EC1">
            <w:pPr>
              <w:pStyle w:val="BodyText"/>
            </w:pPr>
          </w:p>
          <w:p w14:paraId="10912981" w14:textId="77777777" w:rsidR="00E06EC1" w:rsidRDefault="00E06EC1" w:rsidP="00E06EC1">
            <w:pPr>
              <w:pStyle w:val="BodyText"/>
            </w:pPr>
          </w:p>
          <w:p w14:paraId="2BF201B9" w14:textId="77777777" w:rsidR="00E06EC1" w:rsidRDefault="00E06EC1" w:rsidP="00E06EC1">
            <w:pPr>
              <w:pStyle w:val="BodyText"/>
            </w:pPr>
            <w:r>
              <w:t>Any requirement or aspect of a requirement implemented in an exemplary manner significantly beyond the requirements of law or regulation.</w:t>
            </w:r>
          </w:p>
        </w:tc>
      </w:tr>
      <w:tr w:rsidR="00E06EC1" w14:paraId="609CC7F6" w14:textId="77777777" w:rsidTr="00E06EC1">
        <w:tc>
          <w:tcPr>
            <w:tcW w:w="3888" w:type="dxa"/>
            <w:tcBorders>
              <w:top w:val="nil"/>
              <w:left w:val="nil"/>
              <w:bottom w:val="nil"/>
              <w:right w:val="nil"/>
            </w:tcBorders>
          </w:tcPr>
          <w:p w14:paraId="64BAA371" w14:textId="77777777" w:rsidR="00E06EC1" w:rsidRDefault="00E06EC1" w:rsidP="00E06EC1">
            <w:pPr>
              <w:pStyle w:val="BodyText"/>
              <w:jc w:val="both"/>
              <w:rPr>
                <w:b/>
              </w:rPr>
            </w:pPr>
          </w:p>
        </w:tc>
        <w:tc>
          <w:tcPr>
            <w:tcW w:w="5202" w:type="dxa"/>
            <w:tcBorders>
              <w:top w:val="nil"/>
              <w:left w:val="nil"/>
              <w:bottom w:val="nil"/>
              <w:right w:val="nil"/>
            </w:tcBorders>
          </w:tcPr>
          <w:p w14:paraId="671D0D86" w14:textId="77777777" w:rsidR="00E06EC1" w:rsidRDefault="00E06EC1" w:rsidP="00E06EC1">
            <w:pPr>
              <w:pStyle w:val="BodyText"/>
            </w:pPr>
          </w:p>
        </w:tc>
      </w:tr>
      <w:tr w:rsidR="00E06EC1" w14:paraId="0A4F6149" w14:textId="77777777" w:rsidTr="00E06EC1">
        <w:trPr>
          <w:trHeight w:val="459"/>
        </w:trPr>
        <w:tc>
          <w:tcPr>
            <w:tcW w:w="3888" w:type="dxa"/>
            <w:tcBorders>
              <w:top w:val="nil"/>
              <w:left w:val="nil"/>
              <w:bottom w:val="nil"/>
              <w:right w:val="nil"/>
            </w:tcBorders>
          </w:tcPr>
          <w:p w14:paraId="79B012FD" w14:textId="77777777" w:rsidR="00E06EC1" w:rsidRDefault="00E06EC1" w:rsidP="00E06EC1">
            <w:pPr>
              <w:pStyle w:val="BodyText"/>
              <w:jc w:val="both"/>
              <w:rPr>
                <w:b/>
              </w:rPr>
            </w:pPr>
            <w:r>
              <w:rPr>
                <w:b/>
              </w:rPr>
              <w:t>Implemented</w:t>
            </w:r>
          </w:p>
          <w:p w14:paraId="72D55FF4" w14:textId="77777777" w:rsidR="009940FE" w:rsidRDefault="009940FE" w:rsidP="00E06EC1">
            <w:pPr>
              <w:pStyle w:val="BodyText"/>
              <w:jc w:val="both"/>
              <w:rPr>
                <w:b/>
              </w:rPr>
            </w:pPr>
          </w:p>
          <w:p w14:paraId="7ECF1124" w14:textId="77777777" w:rsidR="009940FE" w:rsidRDefault="009940FE" w:rsidP="00E06EC1">
            <w:pPr>
              <w:pStyle w:val="BodyText"/>
              <w:jc w:val="both"/>
              <w:rPr>
                <w:b/>
              </w:rPr>
            </w:pPr>
          </w:p>
          <w:p w14:paraId="68D19BDE" w14:textId="77777777" w:rsidR="009940FE" w:rsidRDefault="009940FE" w:rsidP="00E06EC1">
            <w:pPr>
              <w:pStyle w:val="BodyText"/>
              <w:jc w:val="both"/>
              <w:rPr>
                <w:b/>
              </w:rPr>
            </w:pPr>
          </w:p>
        </w:tc>
        <w:tc>
          <w:tcPr>
            <w:tcW w:w="5202" w:type="dxa"/>
            <w:tcBorders>
              <w:top w:val="nil"/>
              <w:left w:val="nil"/>
              <w:bottom w:val="nil"/>
              <w:right w:val="nil"/>
            </w:tcBorders>
          </w:tcPr>
          <w:p w14:paraId="4C559559" w14:textId="77777777" w:rsidR="00E06EC1" w:rsidRDefault="00E06EC1" w:rsidP="00E06EC1">
            <w:pPr>
              <w:pStyle w:val="BodyText"/>
            </w:pPr>
            <w:r>
              <w:t>The requirement is substantially met in all important aspects.</w:t>
            </w:r>
          </w:p>
        </w:tc>
      </w:tr>
      <w:tr w:rsidR="00E06EC1" w14:paraId="3D7F8D0E" w14:textId="77777777" w:rsidTr="00E06EC1">
        <w:tc>
          <w:tcPr>
            <w:tcW w:w="3888" w:type="dxa"/>
            <w:tcBorders>
              <w:top w:val="nil"/>
              <w:left w:val="nil"/>
              <w:bottom w:val="nil"/>
              <w:right w:val="nil"/>
            </w:tcBorders>
          </w:tcPr>
          <w:p w14:paraId="2253DADA" w14:textId="77777777" w:rsidR="00E06EC1" w:rsidRDefault="00E06EC1" w:rsidP="00E06EC1">
            <w:pPr>
              <w:pStyle w:val="BodyText"/>
              <w:jc w:val="both"/>
              <w:rPr>
                <w:b/>
              </w:rPr>
            </w:pPr>
          </w:p>
        </w:tc>
        <w:tc>
          <w:tcPr>
            <w:tcW w:w="5202" w:type="dxa"/>
            <w:tcBorders>
              <w:top w:val="nil"/>
              <w:left w:val="nil"/>
              <w:bottom w:val="nil"/>
              <w:right w:val="nil"/>
            </w:tcBorders>
          </w:tcPr>
          <w:p w14:paraId="05FFB2EB" w14:textId="77777777" w:rsidR="00E06EC1" w:rsidRDefault="00E06EC1" w:rsidP="00E06EC1">
            <w:pPr>
              <w:pStyle w:val="BodyText"/>
            </w:pPr>
          </w:p>
        </w:tc>
      </w:tr>
      <w:tr w:rsidR="00E06EC1" w14:paraId="0ACF429D" w14:textId="77777777" w:rsidTr="00E06EC1">
        <w:tc>
          <w:tcPr>
            <w:tcW w:w="3888" w:type="dxa"/>
            <w:tcBorders>
              <w:top w:val="nil"/>
              <w:left w:val="nil"/>
              <w:bottom w:val="nil"/>
              <w:right w:val="nil"/>
            </w:tcBorders>
          </w:tcPr>
          <w:p w14:paraId="615327F4" w14:textId="77777777" w:rsidR="00E06EC1" w:rsidRDefault="00E06EC1" w:rsidP="00E06EC1">
            <w:pPr>
              <w:pStyle w:val="BodyText"/>
              <w:jc w:val="both"/>
              <w:rPr>
                <w:b/>
              </w:rPr>
            </w:pPr>
            <w:r>
              <w:rPr>
                <w:b/>
              </w:rPr>
              <w:t>Implementation in Progress</w:t>
            </w:r>
          </w:p>
          <w:p w14:paraId="4E309BA0" w14:textId="77777777" w:rsidR="009940FE" w:rsidRDefault="009940FE" w:rsidP="00E06EC1">
            <w:pPr>
              <w:pStyle w:val="BodyText"/>
              <w:jc w:val="both"/>
              <w:rPr>
                <w:b/>
              </w:rPr>
            </w:pPr>
          </w:p>
          <w:p w14:paraId="39CF16C0" w14:textId="77777777" w:rsidR="009940FE" w:rsidRDefault="009940FE" w:rsidP="00E06EC1">
            <w:pPr>
              <w:pStyle w:val="BodyText"/>
              <w:jc w:val="both"/>
              <w:rPr>
                <w:b/>
              </w:rPr>
            </w:pPr>
          </w:p>
          <w:p w14:paraId="58A8A47B" w14:textId="77777777" w:rsidR="009940FE" w:rsidRDefault="009940FE" w:rsidP="00E06EC1">
            <w:pPr>
              <w:pStyle w:val="BodyText"/>
              <w:jc w:val="both"/>
              <w:rPr>
                <w:b/>
              </w:rPr>
            </w:pPr>
          </w:p>
          <w:p w14:paraId="58BAEFA1" w14:textId="77777777" w:rsidR="009940FE" w:rsidRDefault="009940FE" w:rsidP="00E06EC1">
            <w:pPr>
              <w:pStyle w:val="BodyText"/>
              <w:jc w:val="both"/>
              <w:rPr>
                <w:b/>
              </w:rPr>
            </w:pPr>
          </w:p>
          <w:p w14:paraId="1687D160" w14:textId="77777777" w:rsidR="009940FE" w:rsidRDefault="009940FE" w:rsidP="00E06EC1">
            <w:pPr>
              <w:pStyle w:val="BodyText"/>
              <w:jc w:val="both"/>
              <w:rPr>
                <w:b/>
              </w:rPr>
            </w:pPr>
          </w:p>
          <w:p w14:paraId="73781A33" w14:textId="77777777" w:rsidR="009940FE" w:rsidRDefault="009940FE" w:rsidP="00E06EC1">
            <w:pPr>
              <w:pStyle w:val="BodyText"/>
              <w:jc w:val="both"/>
              <w:rPr>
                <w:b/>
              </w:rPr>
            </w:pPr>
          </w:p>
          <w:p w14:paraId="61921DEC" w14:textId="77777777" w:rsidR="009940FE" w:rsidRDefault="009940FE" w:rsidP="00E06EC1">
            <w:pPr>
              <w:pStyle w:val="BodyText"/>
              <w:jc w:val="both"/>
              <w:rPr>
                <w:b/>
              </w:rPr>
            </w:pPr>
          </w:p>
          <w:p w14:paraId="3D92C944" w14:textId="77777777" w:rsidR="009940FE" w:rsidRDefault="009940FE" w:rsidP="00E06EC1">
            <w:pPr>
              <w:pStyle w:val="BodyText"/>
              <w:jc w:val="both"/>
              <w:rPr>
                <w:b/>
              </w:rPr>
            </w:pPr>
          </w:p>
        </w:tc>
        <w:tc>
          <w:tcPr>
            <w:tcW w:w="5202" w:type="dxa"/>
            <w:tcBorders>
              <w:top w:val="nil"/>
              <w:left w:val="nil"/>
              <w:bottom w:val="nil"/>
              <w:right w:val="nil"/>
            </w:tcBorders>
          </w:tcPr>
          <w:p w14:paraId="43400A13" w14:textId="77777777" w:rsidR="00E06EC1" w:rsidRDefault="00E06EC1" w:rsidP="00E06EC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6EC1" w14:paraId="15604284" w14:textId="77777777" w:rsidTr="00E06EC1">
        <w:trPr>
          <w:trHeight w:val="333"/>
        </w:trPr>
        <w:tc>
          <w:tcPr>
            <w:tcW w:w="9090" w:type="dxa"/>
            <w:gridSpan w:val="2"/>
            <w:tcBorders>
              <w:top w:val="nil"/>
              <w:left w:val="nil"/>
              <w:bottom w:val="nil"/>
              <w:right w:val="nil"/>
            </w:tcBorders>
          </w:tcPr>
          <w:p w14:paraId="4C3B2DFE" w14:textId="77777777" w:rsidR="00E06EC1" w:rsidRDefault="00E06EC1" w:rsidP="00E06EC1">
            <w:pPr>
              <w:rPr>
                <w:sz w:val="22"/>
              </w:rPr>
            </w:pPr>
          </w:p>
        </w:tc>
      </w:tr>
      <w:tr w:rsidR="00E06EC1" w14:paraId="1A2C24D8" w14:textId="77777777" w:rsidTr="00E06EC1">
        <w:tc>
          <w:tcPr>
            <w:tcW w:w="3888" w:type="dxa"/>
            <w:tcBorders>
              <w:top w:val="nil"/>
              <w:left w:val="nil"/>
              <w:bottom w:val="nil"/>
              <w:right w:val="nil"/>
            </w:tcBorders>
          </w:tcPr>
          <w:p w14:paraId="28E4823E" w14:textId="77777777" w:rsidR="00E06EC1" w:rsidRDefault="00E06EC1" w:rsidP="00E06EC1">
            <w:pPr>
              <w:ind w:right="-180"/>
              <w:jc w:val="both"/>
              <w:rPr>
                <w:b/>
                <w:sz w:val="22"/>
              </w:rPr>
            </w:pPr>
            <w:r>
              <w:rPr>
                <w:b/>
                <w:sz w:val="22"/>
              </w:rPr>
              <w:t>Partially Implemented</w:t>
            </w:r>
          </w:p>
          <w:p w14:paraId="61655884" w14:textId="77777777" w:rsidR="009940FE" w:rsidRDefault="009940FE" w:rsidP="00E06EC1">
            <w:pPr>
              <w:ind w:right="-180"/>
              <w:jc w:val="both"/>
              <w:rPr>
                <w:b/>
                <w:sz w:val="22"/>
              </w:rPr>
            </w:pPr>
          </w:p>
          <w:p w14:paraId="0801B18C" w14:textId="77777777" w:rsidR="009940FE" w:rsidRDefault="009940FE" w:rsidP="00E06EC1">
            <w:pPr>
              <w:ind w:right="-180"/>
              <w:jc w:val="both"/>
              <w:rPr>
                <w:b/>
                <w:sz w:val="22"/>
              </w:rPr>
            </w:pPr>
          </w:p>
          <w:p w14:paraId="4405096C" w14:textId="77777777" w:rsidR="009940FE" w:rsidRDefault="009940FE" w:rsidP="00E06EC1">
            <w:pPr>
              <w:ind w:right="-180"/>
              <w:jc w:val="both"/>
              <w:rPr>
                <w:b/>
                <w:sz w:val="22"/>
              </w:rPr>
            </w:pPr>
          </w:p>
        </w:tc>
        <w:tc>
          <w:tcPr>
            <w:tcW w:w="5202" w:type="dxa"/>
            <w:tcBorders>
              <w:top w:val="nil"/>
              <w:left w:val="nil"/>
              <w:bottom w:val="nil"/>
              <w:right w:val="nil"/>
            </w:tcBorders>
          </w:tcPr>
          <w:p w14:paraId="10474B9B" w14:textId="77777777" w:rsidR="00E06EC1" w:rsidRDefault="00E06EC1" w:rsidP="00E06EC1">
            <w:pPr>
              <w:ind w:right="-180"/>
              <w:rPr>
                <w:sz w:val="22"/>
              </w:rPr>
            </w:pPr>
            <w:r>
              <w:rPr>
                <w:sz w:val="22"/>
              </w:rPr>
              <w:t>The requirement, in one or several important aspects, is not entirely met.</w:t>
            </w:r>
          </w:p>
        </w:tc>
      </w:tr>
      <w:tr w:rsidR="00E06EC1" w14:paraId="2D634348" w14:textId="77777777" w:rsidTr="00E06EC1">
        <w:trPr>
          <w:trHeight w:val="306"/>
        </w:trPr>
        <w:tc>
          <w:tcPr>
            <w:tcW w:w="9090" w:type="dxa"/>
            <w:gridSpan w:val="2"/>
            <w:tcBorders>
              <w:top w:val="nil"/>
              <w:left w:val="nil"/>
              <w:bottom w:val="nil"/>
              <w:right w:val="nil"/>
            </w:tcBorders>
          </w:tcPr>
          <w:p w14:paraId="2A8E3A67" w14:textId="77777777" w:rsidR="00E06EC1" w:rsidRDefault="00E06EC1" w:rsidP="00E06EC1">
            <w:pPr>
              <w:rPr>
                <w:sz w:val="22"/>
              </w:rPr>
            </w:pPr>
          </w:p>
        </w:tc>
      </w:tr>
      <w:tr w:rsidR="00E06EC1" w14:paraId="7C066043" w14:textId="77777777" w:rsidTr="00E06EC1">
        <w:tc>
          <w:tcPr>
            <w:tcW w:w="3888" w:type="dxa"/>
            <w:tcBorders>
              <w:top w:val="nil"/>
              <w:left w:val="nil"/>
              <w:bottom w:val="nil"/>
              <w:right w:val="nil"/>
            </w:tcBorders>
          </w:tcPr>
          <w:p w14:paraId="5418EE08" w14:textId="77777777" w:rsidR="00E06EC1" w:rsidRDefault="00E06EC1" w:rsidP="00E06EC1">
            <w:pPr>
              <w:pStyle w:val="BodyText"/>
              <w:jc w:val="both"/>
              <w:rPr>
                <w:b/>
              </w:rPr>
            </w:pPr>
            <w:r>
              <w:rPr>
                <w:b/>
              </w:rPr>
              <w:t>Not Implemented</w:t>
            </w:r>
          </w:p>
          <w:p w14:paraId="5B7090AE" w14:textId="77777777" w:rsidR="009940FE" w:rsidRDefault="009940FE" w:rsidP="00E06EC1">
            <w:pPr>
              <w:pStyle w:val="BodyText"/>
              <w:jc w:val="both"/>
              <w:rPr>
                <w:b/>
              </w:rPr>
            </w:pPr>
          </w:p>
          <w:p w14:paraId="086B5302" w14:textId="77777777" w:rsidR="009940FE" w:rsidRDefault="009940FE" w:rsidP="00E06EC1">
            <w:pPr>
              <w:pStyle w:val="BodyText"/>
              <w:jc w:val="both"/>
              <w:rPr>
                <w:b/>
              </w:rPr>
            </w:pPr>
          </w:p>
          <w:p w14:paraId="185C2781" w14:textId="77777777" w:rsidR="00E06EC1" w:rsidRDefault="00E06EC1" w:rsidP="00E06EC1">
            <w:pPr>
              <w:pStyle w:val="BodyText"/>
              <w:jc w:val="both"/>
              <w:rPr>
                <w:b/>
              </w:rPr>
            </w:pPr>
          </w:p>
        </w:tc>
        <w:tc>
          <w:tcPr>
            <w:tcW w:w="5202" w:type="dxa"/>
            <w:tcBorders>
              <w:top w:val="nil"/>
              <w:left w:val="nil"/>
              <w:bottom w:val="nil"/>
              <w:right w:val="nil"/>
            </w:tcBorders>
          </w:tcPr>
          <w:p w14:paraId="2264470C" w14:textId="77777777" w:rsidR="00E06EC1" w:rsidRDefault="00E06EC1" w:rsidP="00E06EC1">
            <w:pPr>
              <w:pStyle w:val="BodyText"/>
            </w:pPr>
            <w:r>
              <w:t>The requirement is totally or substantially not met.</w:t>
            </w:r>
          </w:p>
        </w:tc>
      </w:tr>
      <w:tr w:rsidR="00E06EC1" w14:paraId="040F8AF9" w14:textId="77777777" w:rsidTr="00E06EC1">
        <w:tc>
          <w:tcPr>
            <w:tcW w:w="3888" w:type="dxa"/>
            <w:tcBorders>
              <w:top w:val="nil"/>
              <w:left w:val="nil"/>
              <w:bottom w:val="nil"/>
              <w:right w:val="nil"/>
            </w:tcBorders>
          </w:tcPr>
          <w:p w14:paraId="1BA7E06E" w14:textId="77777777" w:rsidR="00E06EC1" w:rsidRDefault="00E06EC1" w:rsidP="00E06EC1">
            <w:pPr>
              <w:pStyle w:val="BodyText"/>
              <w:jc w:val="both"/>
              <w:rPr>
                <w:b/>
              </w:rPr>
            </w:pPr>
            <w:r>
              <w:rPr>
                <w:b/>
              </w:rPr>
              <w:t xml:space="preserve">Not Applicable </w:t>
            </w:r>
          </w:p>
          <w:p w14:paraId="125999A1" w14:textId="77777777" w:rsidR="00E06EC1" w:rsidRDefault="00E06EC1" w:rsidP="00E06EC1">
            <w:pPr>
              <w:pStyle w:val="BodyText"/>
              <w:jc w:val="both"/>
              <w:rPr>
                <w:b/>
              </w:rPr>
            </w:pPr>
          </w:p>
          <w:p w14:paraId="12677BC6" w14:textId="77777777" w:rsidR="00E06EC1" w:rsidRDefault="00E06EC1" w:rsidP="00E06EC1">
            <w:pPr>
              <w:pStyle w:val="BodyText"/>
              <w:jc w:val="both"/>
              <w:rPr>
                <w:b/>
              </w:rPr>
            </w:pPr>
          </w:p>
          <w:p w14:paraId="27041CF2" w14:textId="77777777" w:rsidR="00E06EC1" w:rsidRDefault="00E06EC1" w:rsidP="00E06EC1">
            <w:pPr>
              <w:pStyle w:val="BodyText"/>
              <w:jc w:val="both"/>
              <w:rPr>
                <w:b/>
              </w:rPr>
            </w:pPr>
          </w:p>
          <w:p w14:paraId="63D7245D" w14:textId="77777777" w:rsidR="00E06EC1" w:rsidRDefault="00E06EC1" w:rsidP="00E06EC1">
            <w:pPr>
              <w:pStyle w:val="BodyText"/>
              <w:jc w:val="both"/>
              <w:rPr>
                <w:b/>
              </w:rPr>
            </w:pPr>
            <w:r>
              <w:rPr>
                <w:b/>
              </w:rPr>
              <w:t xml:space="preserve"> </w:t>
            </w:r>
          </w:p>
        </w:tc>
        <w:tc>
          <w:tcPr>
            <w:tcW w:w="5202" w:type="dxa"/>
            <w:tcBorders>
              <w:top w:val="nil"/>
              <w:left w:val="nil"/>
              <w:bottom w:val="nil"/>
              <w:right w:val="nil"/>
            </w:tcBorders>
          </w:tcPr>
          <w:p w14:paraId="4F9AE351" w14:textId="77777777" w:rsidR="00E06EC1" w:rsidRDefault="00E06EC1" w:rsidP="00E06EC1">
            <w:pPr>
              <w:pStyle w:val="BodyText"/>
            </w:pPr>
            <w:r>
              <w:t>The requirement does not apply to the school district or charter school.</w:t>
            </w:r>
          </w:p>
        </w:tc>
      </w:tr>
    </w:tbl>
    <w:p w14:paraId="63531F30" w14:textId="77777777" w:rsidR="00E06EC1" w:rsidRDefault="00E06EC1" w:rsidP="00E06EC1">
      <w:pPr>
        <w:rPr>
          <w:sz w:val="22"/>
        </w:rPr>
      </w:pPr>
    </w:p>
    <w:p w14:paraId="06E05F24" w14:textId="77777777" w:rsidR="00E06EC1" w:rsidRPr="00A91EDE" w:rsidRDefault="00E06EC1" w:rsidP="00E06EC1">
      <w:pPr>
        <w:rPr>
          <w:sz w:val="22"/>
        </w:rPr>
      </w:pPr>
    </w:p>
    <w:p w14:paraId="68AE8E5D" w14:textId="77777777" w:rsidR="00E06EC1" w:rsidRPr="009940FE" w:rsidRDefault="00E06EC1" w:rsidP="009940FE">
      <w:pPr>
        <w:jc w:val="center"/>
        <w:rPr>
          <w:b/>
          <w:bCs/>
          <w:sz w:val="28"/>
          <w:szCs w:val="28"/>
          <w:u w:val="single"/>
        </w:rPr>
      </w:pPr>
      <w:r>
        <w:rPr>
          <w:b/>
          <w:sz w:val="26"/>
        </w:rPr>
        <w:br w:type="page"/>
      </w:r>
      <w:bookmarkStart w:id="10" w:name="rptName3"/>
      <w:r w:rsidRPr="009940FE">
        <w:rPr>
          <w:b/>
          <w:bCs/>
          <w:sz w:val="28"/>
          <w:szCs w:val="28"/>
        </w:rPr>
        <w:lastRenderedPageBreak/>
        <w:t>Northampton-Smith Vocational Agricultura</w:t>
      </w:r>
      <w:r w:rsidR="0001032D" w:rsidRPr="009940FE">
        <w:rPr>
          <w:b/>
          <w:bCs/>
          <w:sz w:val="28"/>
          <w:szCs w:val="28"/>
        </w:rPr>
        <w:t>l School District</w:t>
      </w:r>
      <w:bookmarkEnd w:id="10"/>
    </w:p>
    <w:p w14:paraId="0B987F06" w14:textId="77777777" w:rsidR="00E06EC1" w:rsidRDefault="00E06EC1" w:rsidP="00E06EC1">
      <w:pPr>
        <w:ind w:left="-720" w:right="-720"/>
        <w:jc w:val="both"/>
        <w:rPr>
          <w:sz w:val="22"/>
          <w:u w:val="single"/>
        </w:rPr>
      </w:pPr>
    </w:p>
    <w:p w14:paraId="744DB89B" w14:textId="77777777" w:rsidR="00E06EC1" w:rsidRDefault="00E06EC1" w:rsidP="00E06EC1">
      <w:pPr>
        <w:ind w:left="-720" w:right="-720"/>
        <w:jc w:val="both"/>
        <w:rPr>
          <w:sz w:val="22"/>
          <w:u w:val="single"/>
        </w:rPr>
      </w:pPr>
      <w:bookmarkStart w:id="11" w:name="CommendableBlock"/>
    </w:p>
    <w:p w14:paraId="64B011AF" w14:textId="77777777" w:rsidR="00E06EC1" w:rsidRDefault="00E06EC1" w:rsidP="00E06EC1">
      <w:pPr>
        <w:tabs>
          <w:tab w:val="center" w:pos="4680"/>
        </w:tabs>
        <w:ind w:left="-720" w:right="-720"/>
        <w:jc w:val="center"/>
        <w:rPr>
          <w:b/>
          <w:sz w:val="22"/>
        </w:rPr>
      </w:pPr>
      <w:r>
        <w:rPr>
          <w:b/>
          <w:sz w:val="22"/>
        </w:rPr>
        <w:t xml:space="preserve">SUMMARY OF COMPLIANCE CRITERIA INCLUDED IN THIS REPORT </w:t>
      </w:r>
    </w:p>
    <w:p w14:paraId="51A35EAF" w14:textId="77777777" w:rsidR="00E06EC1" w:rsidRDefault="00E06EC1" w:rsidP="00E06EC1">
      <w:pPr>
        <w:tabs>
          <w:tab w:val="center" w:pos="4680"/>
        </w:tabs>
        <w:ind w:left="-720" w:right="-720"/>
        <w:jc w:val="center"/>
        <w:rPr>
          <w:b/>
          <w:sz w:val="22"/>
        </w:rPr>
      </w:pPr>
      <w:r>
        <w:rPr>
          <w:b/>
          <w:sz w:val="22"/>
        </w:rPr>
        <w:t>RECEIVING A COMMENDABLE RATING</w:t>
      </w:r>
    </w:p>
    <w:p w14:paraId="03743FF0" w14:textId="77777777" w:rsidR="00E06EC1" w:rsidRDefault="00E06EC1" w:rsidP="00E06EC1">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1DC57DEE" w14:textId="77777777" w:rsidR="00E06EC1" w:rsidRDefault="00E06EC1" w:rsidP="00E06EC1">
      <w:pPr>
        <w:ind w:left="-720" w:right="-720"/>
        <w:jc w:val="both"/>
        <w:rPr>
          <w:sz w:val="22"/>
          <w:u w:val="single"/>
        </w:rPr>
      </w:pPr>
    </w:p>
    <w:tbl>
      <w:tblPr>
        <w:tblW w:w="290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03"/>
      </w:tblGrid>
      <w:tr w:rsidR="00FA7976" w14:paraId="10F2110A" w14:textId="77777777" w:rsidTr="00FA7976">
        <w:trPr>
          <w:jc w:val="center"/>
        </w:trPr>
        <w:tc>
          <w:tcPr>
            <w:tcW w:w="2903" w:type="dxa"/>
          </w:tcPr>
          <w:p w14:paraId="3C7CDF97" w14:textId="77777777" w:rsidR="00FA7976" w:rsidRDefault="00FA7976" w:rsidP="00E06EC1">
            <w:pPr>
              <w:jc w:val="center"/>
              <w:rPr>
                <w:b/>
                <w:bCs/>
                <w:sz w:val="22"/>
              </w:rPr>
            </w:pPr>
          </w:p>
          <w:p w14:paraId="1D9A6C50" w14:textId="77777777" w:rsidR="00FA7976" w:rsidRDefault="00FA7976" w:rsidP="00E06EC1">
            <w:pPr>
              <w:jc w:val="center"/>
              <w:rPr>
                <w:b/>
                <w:bCs/>
                <w:sz w:val="22"/>
              </w:rPr>
            </w:pPr>
            <w:r>
              <w:rPr>
                <w:b/>
                <w:bCs/>
                <w:sz w:val="22"/>
              </w:rPr>
              <w:t>Universal Standards</w:t>
            </w:r>
          </w:p>
          <w:p w14:paraId="483A0557" w14:textId="77777777" w:rsidR="00FA7976" w:rsidRDefault="00FA7976" w:rsidP="00E06EC1">
            <w:pPr>
              <w:jc w:val="center"/>
              <w:rPr>
                <w:b/>
                <w:bCs/>
                <w:sz w:val="22"/>
              </w:rPr>
            </w:pPr>
          </w:p>
          <w:p w14:paraId="74EBB0FF" w14:textId="77777777" w:rsidR="00FA7976" w:rsidRDefault="00FA7976" w:rsidP="00E06EC1">
            <w:pPr>
              <w:jc w:val="center"/>
              <w:rPr>
                <w:b/>
                <w:bCs/>
                <w:sz w:val="22"/>
              </w:rPr>
            </w:pPr>
            <w:r>
              <w:rPr>
                <w:b/>
                <w:bCs/>
                <w:sz w:val="22"/>
              </w:rPr>
              <w:t xml:space="preserve"> Civil Rights and Other General Education Requirements</w:t>
            </w:r>
          </w:p>
        </w:tc>
      </w:tr>
      <w:tr w:rsidR="00FA7976" w:rsidRPr="005B2310" w14:paraId="4931B4D9" w14:textId="77777777" w:rsidTr="00FA7976">
        <w:trPr>
          <w:trHeight w:val="498"/>
          <w:jc w:val="center"/>
        </w:trPr>
        <w:tc>
          <w:tcPr>
            <w:tcW w:w="2903" w:type="dxa"/>
          </w:tcPr>
          <w:p w14:paraId="31845D6A" w14:textId="77777777" w:rsidR="00FA7976" w:rsidRDefault="00FA7976" w:rsidP="00E3273D">
            <w:pPr>
              <w:jc w:val="center"/>
              <w:rPr>
                <w:sz w:val="22"/>
              </w:rPr>
            </w:pPr>
            <w:bookmarkStart w:id="12" w:name="seCritCommendable"/>
            <w:bookmarkStart w:id="13" w:name="crCritCommendable"/>
            <w:bookmarkEnd w:id="12"/>
          </w:p>
          <w:p w14:paraId="3E006880" w14:textId="77777777" w:rsidR="00FA7976" w:rsidRDefault="00FA7976" w:rsidP="00E3273D">
            <w:pPr>
              <w:jc w:val="center"/>
              <w:rPr>
                <w:sz w:val="22"/>
              </w:rPr>
            </w:pPr>
            <w:r w:rsidRPr="005B2310">
              <w:rPr>
                <w:sz w:val="22"/>
              </w:rPr>
              <w:t>CR 16</w:t>
            </w:r>
            <w:bookmarkEnd w:id="13"/>
          </w:p>
          <w:p w14:paraId="30B5CACC" w14:textId="77777777" w:rsidR="00FA7976" w:rsidRPr="005B2310" w:rsidRDefault="00FA7976" w:rsidP="00E06EC1">
            <w:pPr>
              <w:jc w:val="both"/>
              <w:rPr>
                <w:sz w:val="22"/>
                <w:u w:val="single"/>
              </w:rPr>
            </w:pPr>
          </w:p>
        </w:tc>
      </w:tr>
    </w:tbl>
    <w:p w14:paraId="12F3C047" w14:textId="77777777" w:rsidR="00E06EC1" w:rsidRDefault="00E06EC1" w:rsidP="00E06EC1">
      <w:pPr>
        <w:ind w:left="-720" w:right="-720"/>
        <w:jc w:val="both"/>
        <w:rPr>
          <w:sz w:val="22"/>
          <w:u w:val="single"/>
        </w:rPr>
      </w:pPr>
    </w:p>
    <w:p w14:paraId="2C24164C" w14:textId="77777777" w:rsidR="00E06EC1" w:rsidRPr="00C07FE7" w:rsidRDefault="00E06EC1" w:rsidP="00E06EC1">
      <w:pPr>
        <w:rPr>
          <w:sz w:val="22"/>
          <w:szCs w:val="22"/>
        </w:rPr>
      </w:pPr>
    </w:p>
    <w:p w14:paraId="7F78256A" w14:textId="77777777" w:rsidR="009E1314" w:rsidRPr="00FA7976" w:rsidRDefault="00E06EC1" w:rsidP="00E06EC1">
      <w:pPr>
        <w:rPr>
          <w:sz w:val="22"/>
          <w:szCs w:val="22"/>
        </w:rPr>
      </w:pPr>
      <w:bookmarkStart w:id="14" w:name="CommendableList"/>
      <w:r w:rsidRPr="00FA7976">
        <w:rPr>
          <w:b/>
          <w:bCs/>
          <w:sz w:val="22"/>
          <w:szCs w:val="22"/>
        </w:rPr>
        <w:t>CR 16</w:t>
      </w:r>
      <w:r w:rsidRPr="00FA7976">
        <w:rPr>
          <w:sz w:val="22"/>
          <w:szCs w:val="22"/>
        </w:rPr>
        <w:t xml:space="preserve"> - </w:t>
      </w:r>
      <w:hyperlink r:id="rId16" w:history="1">
        <w:r w:rsidR="009E1314" w:rsidRPr="00FA7976">
          <w:rPr>
            <w:rStyle w:val="Hyperlink"/>
            <w:color w:val="auto"/>
            <w:sz w:val="22"/>
            <w:szCs w:val="22"/>
            <w:shd w:val="clear" w:color="auto" w:fill="FFFFFF"/>
          </w:rPr>
          <w:t>Notice to students 16 or over leaving school without a high school diploma, certificate of attainment, or certificate of completion</w:t>
        </w:r>
      </w:hyperlink>
      <w:r w:rsidR="009E1314" w:rsidRPr="00FA7976">
        <w:rPr>
          <w:sz w:val="22"/>
          <w:szCs w:val="22"/>
        </w:rPr>
        <w:t xml:space="preserve"> </w:t>
      </w:r>
    </w:p>
    <w:p w14:paraId="3F406279" w14:textId="77777777" w:rsidR="009940FE" w:rsidRDefault="009940FE" w:rsidP="00E06EC1">
      <w:pPr>
        <w:rPr>
          <w:sz w:val="22"/>
        </w:rPr>
      </w:pPr>
    </w:p>
    <w:p w14:paraId="240E8550" w14:textId="77777777" w:rsidR="00E06EC1" w:rsidRDefault="00E06EC1" w:rsidP="00E06EC1">
      <w:pPr>
        <w:rPr>
          <w:sz w:val="22"/>
          <w:szCs w:val="22"/>
        </w:rPr>
      </w:pPr>
      <w:r>
        <w:rPr>
          <w:sz w:val="22"/>
        </w:rPr>
        <w:t xml:space="preserve">Document review and interviews indicated that the school has made concerted efforts to decrease chronic absenteeism which can lead to credit loss, retention, and increased dropout rates. District administration has created practices that increase family outreach and support and provide opportunities for students who struggle with chronic absenteeism to re-engage with their education.    </w:t>
      </w:r>
    </w:p>
    <w:p w14:paraId="5C1D213B" w14:textId="77777777" w:rsidR="00E06EC1" w:rsidRDefault="00E06EC1" w:rsidP="00E06EC1">
      <w:pPr>
        <w:rPr>
          <w:sz w:val="22"/>
        </w:rPr>
      </w:pPr>
      <w:r>
        <w:rPr>
          <w:sz w:val="22"/>
        </w:rPr>
        <w:t xml:space="preserve">  </w:t>
      </w:r>
    </w:p>
    <w:p w14:paraId="6490C619" w14:textId="77777777" w:rsidR="00E06EC1" w:rsidRDefault="00E06EC1" w:rsidP="00E06EC1">
      <w:pPr>
        <w:rPr>
          <w:sz w:val="22"/>
        </w:rPr>
      </w:pPr>
      <w:r>
        <w:rPr>
          <w:sz w:val="22"/>
        </w:rPr>
        <w:t xml:space="preserve">In reviewing prior attendance data during the interview process, chronic absenteeism (10% or more) was notable for students who are economically disadvantaged, English language learners, and students with disabilities. The principal shared that once students were identified as chronically absent, they did a comprehensive data review and worked with their School Adjustment and Guidance Department, student by student. After a closer look at how economically disadvantaged students and students of color were impacted by the previous policy, the school revised its attendance policy/practices. Notably, the introduction to the new policy states that the intention is to encourage regular student attendance through positive, rather than punitive, means. </w:t>
      </w:r>
    </w:p>
    <w:p w14:paraId="210C9BFA" w14:textId="77777777" w:rsidR="00E06EC1" w:rsidRDefault="00E06EC1" w:rsidP="00E06EC1">
      <w:pPr>
        <w:rPr>
          <w:sz w:val="22"/>
        </w:rPr>
      </w:pPr>
      <w:r>
        <w:rPr>
          <w:sz w:val="22"/>
        </w:rPr>
        <w:t xml:space="preserve"> </w:t>
      </w:r>
    </w:p>
    <w:p w14:paraId="7BC89910" w14:textId="77777777" w:rsidR="00E06EC1" w:rsidRDefault="00E06EC1" w:rsidP="00E06EC1">
      <w:pPr>
        <w:rPr>
          <w:sz w:val="22"/>
        </w:rPr>
      </w:pPr>
      <w:r>
        <w:rPr>
          <w:sz w:val="22"/>
        </w:rPr>
        <w:t xml:space="preserve">As a result, the following interventions have been put in place: </w:t>
      </w:r>
    </w:p>
    <w:p w14:paraId="59A4F372" w14:textId="77777777" w:rsidR="00E06EC1" w:rsidRDefault="00E06EC1" w:rsidP="00E06EC1">
      <w:pPr>
        <w:rPr>
          <w:sz w:val="22"/>
        </w:rPr>
      </w:pPr>
      <w:r>
        <w:rPr>
          <w:sz w:val="22"/>
        </w:rPr>
        <w:t xml:space="preserve">   -Development of credit recovery systems </w:t>
      </w:r>
    </w:p>
    <w:p w14:paraId="281C4757" w14:textId="77777777" w:rsidR="00E06EC1" w:rsidRDefault="00E06EC1" w:rsidP="00E06EC1">
      <w:pPr>
        <w:rPr>
          <w:sz w:val="22"/>
        </w:rPr>
      </w:pPr>
      <w:r>
        <w:rPr>
          <w:sz w:val="22"/>
        </w:rPr>
        <w:t xml:space="preserve">   -Development of attendance recovery systems </w:t>
      </w:r>
    </w:p>
    <w:p w14:paraId="5FE98FCC" w14:textId="77777777" w:rsidR="00E06EC1" w:rsidRDefault="00E06EC1" w:rsidP="00E06EC1">
      <w:pPr>
        <w:rPr>
          <w:sz w:val="22"/>
        </w:rPr>
      </w:pPr>
      <w:r>
        <w:rPr>
          <w:sz w:val="22"/>
        </w:rPr>
        <w:t xml:space="preserve">   -Development of attendance plans  </w:t>
      </w:r>
    </w:p>
    <w:p w14:paraId="1E3E71FC" w14:textId="77777777" w:rsidR="00E06EC1" w:rsidRDefault="00E06EC1" w:rsidP="00E06EC1">
      <w:pPr>
        <w:rPr>
          <w:sz w:val="22"/>
        </w:rPr>
      </w:pPr>
      <w:r>
        <w:rPr>
          <w:sz w:val="22"/>
        </w:rPr>
        <w:t xml:space="preserve">   -Intake meetings for new and accepted students with a history of attendance issues </w:t>
      </w:r>
    </w:p>
    <w:p w14:paraId="5CA78119" w14:textId="77777777" w:rsidR="00E06EC1" w:rsidRDefault="00E06EC1" w:rsidP="00E06EC1">
      <w:pPr>
        <w:rPr>
          <w:sz w:val="22"/>
        </w:rPr>
      </w:pPr>
      <w:r>
        <w:rPr>
          <w:sz w:val="22"/>
        </w:rPr>
        <w:t xml:space="preserve">   -Increased family communication and support  </w:t>
      </w:r>
    </w:p>
    <w:p w14:paraId="211090E6" w14:textId="77777777" w:rsidR="00E06EC1" w:rsidRDefault="00E06EC1" w:rsidP="00E06EC1">
      <w:pPr>
        <w:rPr>
          <w:sz w:val="22"/>
        </w:rPr>
      </w:pPr>
      <w:r>
        <w:rPr>
          <w:sz w:val="22"/>
        </w:rPr>
        <w:t xml:space="preserve">   -Step-by-step school outreach plan around attendance in the Student Handbook </w:t>
      </w:r>
    </w:p>
    <w:p w14:paraId="139381DA" w14:textId="77777777" w:rsidR="00E06EC1" w:rsidRDefault="00E06EC1" w:rsidP="00E06EC1">
      <w:pPr>
        <w:rPr>
          <w:sz w:val="22"/>
        </w:rPr>
      </w:pPr>
      <w:r>
        <w:rPr>
          <w:sz w:val="22"/>
        </w:rPr>
        <w:t xml:space="preserve">   -Increased social emotional learning (SEL) to provide supports to students for re-engagement  </w:t>
      </w:r>
    </w:p>
    <w:p w14:paraId="1CE947D0" w14:textId="77777777" w:rsidR="00E06EC1" w:rsidRDefault="00E06EC1" w:rsidP="00E06EC1">
      <w:pPr>
        <w:rPr>
          <w:sz w:val="22"/>
        </w:rPr>
      </w:pPr>
      <w:r>
        <w:rPr>
          <w:sz w:val="22"/>
        </w:rPr>
        <w:t xml:space="preserve">   -April Attendance Recovery Boot Camp (pending funding) </w:t>
      </w:r>
    </w:p>
    <w:p w14:paraId="3C74B235" w14:textId="77777777" w:rsidR="00E06EC1" w:rsidRDefault="00E06EC1" w:rsidP="00E06EC1">
      <w:pPr>
        <w:rPr>
          <w:sz w:val="22"/>
        </w:rPr>
      </w:pPr>
      <w:r>
        <w:rPr>
          <w:sz w:val="22"/>
        </w:rPr>
        <w:t xml:space="preserve"> </w:t>
      </w:r>
    </w:p>
    <w:p w14:paraId="63E56535" w14:textId="77777777" w:rsidR="00E06EC1" w:rsidRDefault="00E06EC1" w:rsidP="00E06EC1">
      <w:pPr>
        <w:rPr>
          <w:sz w:val="22"/>
        </w:rPr>
      </w:pPr>
      <w:r>
        <w:rPr>
          <w:sz w:val="22"/>
        </w:rPr>
        <w:t>These efforts to address absenteeism have resulted in a decrease in the overall number of student drop outs from 9 students (1.8% drop out rate) in 2017-2018 to 3 students (0.6% drop out rate) in 2018-2019 (most recently reported DESE data).</w:t>
      </w:r>
    </w:p>
    <w:bookmarkEnd w:id="14"/>
    <w:p w14:paraId="726886CE" w14:textId="77777777" w:rsidR="00E06EC1" w:rsidRDefault="00E06EC1" w:rsidP="00E06EC1">
      <w:pPr>
        <w:rPr>
          <w:sz w:val="22"/>
        </w:rPr>
      </w:pPr>
    </w:p>
    <w:p w14:paraId="2F0883E6" w14:textId="77777777" w:rsidR="00E06EC1" w:rsidRDefault="00E06EC1" w:rsidP="00E06EC1">
      <w:pPr>
        <w:rPr>
          <w:sz w:val="22"/>
          <w:szCs w:val="22"/>
        </w:rPr>
      </w:pPr>
    </w:p>
    <w:bookmarkEnd w:id="11"/>
    <w:p w14:paraId="74B8DA28" w14:textId="77777777" w:rsidR="00E06EC1" w:rsidRDefault="00E06EC1" w:rsidP="00E06EC1">
      <w:pPr>
        <w:ind w:left="-720" w:right="-720"/>
        <w:jc w:val="both"/>
        <w:rPr>
          <w:sz w:val="22"/>
          <w:u w:val="single"/>
        </w:rPr>
      </w:pPr>
    </w:p>
    <w:p w14:paraId="729614EF" w14:textId="77777777" w:rsidR="00E06EC1" w:rsidRDefault="00E06EC1" w:rsidP="00E06EC1">
      <w:pPr>
        <w:ind w:left="-720" w:right="-720"/>
        <w:jc w:val="both"/>
        <w:rPr>
          <w:sz w:val="22"/>
          <w:u w:val="single"/>
        </w:rPr>
      </w:pPr>
    </w:p>
    <w:p w14:paraId="02ADFDF4" w14:textId="77777777" w:rsidR="00E06EC1" w:rsidRDefault="00E06EC1" w:rsidP="00E06EC1">
      <w:pPr>
        <w:ind w:left="-720" w:right="-720"/>
        <w:jc w:val="both"/>
        <w:rPr>
          <w:sz w:val="22"/>
          <w:u w:val="single"/>
        </w:rPr>
      </w:pPr>
    </w:p>
    <w:p w14:paraId="67F4271F" w14:textId="77777777" w:rsidR="00E06EC1" w:rsidRDefault="00E06EC1" w:rsidP="00E06EC1">
      <w:pPr>
        <w:tabs>
          <w:tab w:val="center" w:pos="4680"/>
        </w:tabs>
        <w:ind w:left="-720" w:right="-720"/>
        <w:jc w:val="center"/>
        <w:rPr>
          <w:b/>
          <w:sz w:val="22"/>
        </w:rPr>
      </w:pPr>
      <w:r>
        <w:rPr>
          <w:b/>
          <w:sz w:val="22"/>
        </w:rPr>
        <w:t xml:space="preserve">SUMMARY OF COMPLIANCE CRITERIA RATINGS </w:t>
      </w:r>
    </w:p>
    <w:p w14:paraId="1C8DB3EC" w14:textId="77777777" w:rsidR="00E06EC1" w:rsidRDefault="00E06EC1" w:rsidP="00E06EC1">
      <w:pPr>
        <w:ind w:left="-720" w:right="-720"/>
        <w:jc w:val="both"/>
        <w:rPr>
          <w:sz w:val="22"/>
          <w:u w:val="single"/>
        </w:rPr>
      </w:pPr>
    </w:p>
    <w:tbl>
      <w:tblPr>
        <w:tblW w:w="88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489"/>
        <w:gridCol w:w="3693"/>
      </w:tblGrid>
      <w:tr w:rsidR="00F03D81" w14:paraId="4A63EEAD" w14:textId="77777777" w:rsidTr="00F03D81">
        <w:trPr>
          <w:jc w:val="center"/>
        </w:trPr>
        <w:tc>
          <w:tcPr>
            <w:tcW w:w="2644" w:type="dxa"/>
          </w:tcPr>
          <w:p w14:paraId="033C1F2F" w14:textId="77777777" w:rsidR="00F03D81" w:rsidRDefault="00F03D81" w:rsidP="00E06EC1">
            <w:pPr>
              <w:jc w:val="center"/>
              <w:rPr>
                <w:b/>
                <w:bCs/>
                <w:sz w:val="22"/>
              </w:rPr>
            </w:pPr>
          </w:p>
        </w:tc>
        <w:tc>
          <w:tcPr>
            <w:tcW w:w="2489" w:type="dxa"/>
          </w:tcPr>
          <w:p w14:paraId="3484F543" w14:textId="77777777" w:rsidR="00F03D81" w:rsidRDefault="00F03D81" w:rsidP="00E06EC1">
            <w:pPr>
              <w:jc w:val="center"/>
              <w:rPr>
                <w:b/>
                <w:bCs/>
                <w:sz w:val="22"/>
              </w:rPr>
            </w:pPr>
          </w:p>
          <w:p w14:paraId="6BC1E51B" w14:textId="77777777" w:rsidR="00F03D81" w:rsidRDefault="00F03D81" w:rsidP="00E06EC1">
            <w:pPr>
              <w:jc w:val="center"/>
              <w:rPr>
                <w:b/>
                <w:bCs/>
                <w:sz w:val="22"/>
              </w:rPr>
            </w:pPr>
            <w:r>
              <w:rPr>
                <w:b/>
                <w:bCs/>
                <w:sz w:val="22"/>
              </w:rPr>
              <w:t>Universal Standards</w:t>
            </w:r>
          </w:p>
          <w:p w14:paraId="087F1E85" w14:textId="77777777" w:rsidR="00F03D81" w:rsidRDefault="00F03D81" w:rsidP="00E06EC1">
            <w:pPr>
              <w:jc w:val="center"/>
              <w:rPr>
                <w:b/>
                <w:bCs/>
                <w:sz w:val="22"/>
              </w:rPr>
            </w:pPr>
          </w:p>
          <w:p w14:paraId="0FC28267" w14:textId="77777777" w:rsidR="00F03D81" w:rsidRDefault="00F03D81" w:rsidP="00E06EC1">
            <w:pPr>
              <w:jc w:val="center"/>
              <w:rPr>
                <w:b/>
                <w:bCs/>
                <w:sz w:val="22"/>
              </w:rPr>
            </w:pPr>
            <w:r>
              <w:rPr>
                <w:b/>
                <w:bCs/>
                <w:sz w:val="22"/>
              </w:rPr>
              <w:t xml:space="preserve"> Special Education</w:t>
            </w:r>
          </w:p>
        </w:tc>
        <w:tc>
          <w:tcPr>
            <w:tcW w:w="3693" w:type="dxa"/>
          </w:tcPr>
          <w:p w14:paraId="341151BB" w14:textId="77777777" w:rsidR="00F03D81" w:rsidRDefault="00F03D81" w:rsidP="00E06EC1">
            <w:pPr>
              <w:jc w:val="center"/>
              <w:rPr>
                <w:b/>
                <w:bCs/>
                <w:sz w:val="22"/>
              </w:rPr>
            </w:pPr>
          </w:p>
          <w:p w14:paraId="17794223" w14:textId="77777777" w:rsidR="00F03D81" w:rsidRDefault="00F03D81" w:rsidP="00E06EC1">
            <w:pPr>
              <w:jc w:val="center"/>
              <w:rPr>
                <w:b/>
                <w:bCs/>
                <w:sz w:val="22"/>
              </w:rPr>
            </w:pPr>
            <w:r>
              <w:rPr>
                <w:b/>
                <w:bCs/>
                <w:sz w:val="22"/>
              </w:rPr>
              <w:t>Universal Standards</w:t>
            </w:r>
          </w:p>
          <w:p w14:paraId="21EAEBF8" w14:textId="77777777" w:rsidR="00F03D81" w:rsidRDefault="00F03D81" w:rsidP="00E06EC1">
            <w:pPr>
              <w:jc w:val="center"/>
              <w:rPr>
                <w:b/>
                <w:bCs/>
                <w:sz w:val="22"/>
              </w:rPr>
            </w:pPr>
          </w:p>
          <w:p w14:paraId="4C6B45DC" w14:textId="77777777" w:rsidR="00F03D81" w:rsidRDefault="00F03D81" w:rsidP="00E06EC1">
            <w:pPr>
              <w:jc w:val="center"/>
              <w:rPr>
                <w:b/>
                <w:bCs/>
                <w:sz w:val="22"/>
              </w:rPr>
            </w:pPr>
            <w:r>
              <w:rPr>
                <w:b/>
                <w:bCs/>
                <w:sz w:val="22"/>
              </w:rPr>
              <w:t xml:space="preserve"> Civil Rights and Other General Education Requirements</w:t>
            </w:r>
          </w:p>
        </w:tc>
      </w:tr>
      <w:tr w:rsidR="00F03D81" w:rsidRPr="00B21A33" w14:paraId="194F7A4A" w14:textId="77777777" w:rsidTr="00F03D81">
        <w:trPr>
          <w:trHeight w:val="1245"/>
          <w:jc w:val="center"/>
        </w:trPr>
        <w:tc>
          <w:tcPr>
            <w:tcW w:w="2644" w:type="dxa"/>
          </w:tcPr>
          <w:p w14:paraId="76C82FF2" w14:textId="77777777" w:rsidR="00F03D81" w:rsidRPr="005B2310" w:rsidRDefault="00F03D81" w:rsidP="00E06EC1">
            <w:pPr>
              <w:ind w:right="-720"/>
              <w:jc w:val="both"/>
              <w:rPr>
                <w:sz w:val="22"/>
              </w:rPr>
            </w:pPr>
            <w:r>
              <w:rPr>
                <w:b/>
                <w:sz w:val="22"/>
              </w:rPr>
              <w:t>IMPLEMENTED</w:t>
            </w:r>
          </w:p>
        </w:tc>
        <w:tc>
          <w:tcPr>
            <w:tcW w:w="2489" w:type="dxa"/>
          </w:tcPr>
          <w:p w14:paraId="78E45397" w14:textId="77777777" w:rsidR="00F03D81" w:rsidRDefault="00F03D81" w:rsidP="00E06EC1">
            <w:pPr>
              <w:rPr>
                <w:sz w:val="22"/>
              </w:rPr>
            </w:pPr>
            <w:bookmarkStart w:id="15" w:name="seImplCnt"/>
            <w:r w:rsidRPr="002A0696">
              <w:rPr>
                <w:sz w:val="22"/>
              </w:rPr>
              <w:t>SE 15, SE 3</w:t>
            </w:r>
            <w:r>
              <w:rPr>
                <w:sz w:val="22"/>
              </w:rPr>
              <w:t xml:space="preserve">2 SE 35, </w:t>
            </w:r>
          </w:p>
          <w:p w14:paraId="6A67D1A5" w14:textId="77777777" w:rsidR="0001032D" w:rsidRDefault="00F03D81" w:rsidP="00E06EC1">
            <w:pPr>
              <w:rPr>
                <w:sz w:val="22"/>
              </w:rPr>
            </w:pPr>
            <w:r w:rsidRPr="002A0696">
              <w:rPr>
                <w:sz w:val="22"/>
              </w:rPr>
              <w:t xml:space="preserve">SE 36, SE 50, SE 51, </w:t>
            </w:r>
          </w:p>
          <w:p w14:paraId="2BE2A8A5" w14:textId="77777777" w:rsidR="00F03D81" w:rsidRPr="005B2310" w:rsidRDefault="00F03D81" w:rsidP="00E06EC1">
            <w:pPr>
              <w:rPr>
                <w:sz w:val="22"/>
              </w:rPr>
            </w:pPr>
            <w:r w:rsidRPr="002A0696">
              <w:rPr>
                <w:sz w:val="22"/>
              </w:rPr>
              <w:t>SE 52A, SE 54, SE 55, SE 56</w:t>
            </w:r>
            <w:bookmarkEnd w:id="15"/>
          </w:p>
        </w:tc>
        <w:tc>
          <w:tcPr>
            <w:tcW w:w="3693" w:type="dxa"/>
          </w:tcPr>
          <w:p w14:paraId="316C8587" w14:textId="77777777" w:rsidR="00F03D81" w:rsidRPr="00F34B67" w:rsidRDefault="00F03D81" w:rsidP="00E06EC1">
            <w:pPr>
              <w:rPr>
                <w:sz w:val="22"/>
                <w:lang w:val="pt-BR"/>
              </w:rPr>
            </w:pPr>
            <w:bookmarkStart w:id="16" w:name="crImplCnt"/>
            <w:r w:rsidRPr="00F34B67">
              <w:rPr>
                <w:sz w:val="22"/>
                <w:lang w:val="pt-BR"/>
              </w:rPr>
              <w:t xml:space="preserve">CR 3, CR 7, CR 7A, CR 7B, CR 7C, CR 8, CR 10A, CR 10B, CR 10C, </w:t>
            </w:r>
          </w:p>
          <w:p w14:paraId="2B4B5FBD" w14:textId="77777777" w:rsidR="001D6EFD" w:rsidRPr="00F34B67" w:rsidRDefault="00F03D81" w:rsidP="00E06EC1">
            <w:pPr>
              <w:rPr>
                <w:sz w:val="22"/>
                <w:lang w:val="pt-BR"/>
              </w:rPr>
            </w:pPr>
            <w:r w:rsidRPr="00F34B67">
              <w:rPr>
                <w:sz w:val="22"/>
                <w:lang w:val="pt-BR"/>
              </w:rPr>
              <w:t xml:space="preserve">CR 12A, CR 17A, CR 20, CR 21, </w:t>
            </w:r>
          </w:p>
          <w:p w14:paraId="05A4AB62" w14:textId="77777777" w:rsidR="00F03D81" w:rsidRPr="00E847A1" w:rsidRDefault="00F03D81" w:rsidP="00E06EC1">
            <w:pPr>
              <w:rPr>
                <w:sz w:val="22"/>
              </w:rPr>
            </w:pPr>
            <w:r w:rsidRPr="00E847A1">
              <w:rPr>
                <w:sz w:val="22"/>
              </w:rPr>
              <w:t>CR 22, CR 23, CR 24, CR 25</w:t>
            </w:r>
            <w:bookmarkEnd w:id="16"/>
          </w:p>
        </w:tc>
      </w:tr>
      <w:tr w:rsidR="00F03D81" w:rsidRPr="00B21A33" w14:paraId="2E031808" w14:textId="77777777" w:rsidTr="00F03D81">
        <w:trPr>
          <w:jc w:val="center"/>
        </w:trPr>
        <w:tc>
          <w:tcPr>
            <w:tcW w:w="2644" w:type="dxa"/>
          </w:tcPr>
          <w:p w14:paraId="19131864" w14:textId="77777777" w:rsidR="00F03D81" w:rsidRDefault="00F03D81" w:rsidP="00E06EC1">
            <w:pPr>
              <w:ind w:right="-720"/>
              <w:jc w:val="both"/>
              <w:rPr>
                <w:b/>
                <w:sz w:val="22"/>
              </w:rPr>
            </w:pPr>
            <w:r>
              <w:rPr>
                <w:b/>
                <w:sz w:val="22"/>
              </w:rPr>
              <w:t>PARTIALLY</w:t>
            </w:r>
          </w:p>
          <w:p w14:paraId="0C9B6DF4" w14:textId="77777777" w:rsidR="00F03D81" w:rsidRDefault="00F03D81" w:rsidP="00E06EC1">
            <w:pPr>
              <w:ind w:right="-720"/>
              <w:jc w:val="both"/>
              <w:rPr>
                <w:b/>
                <w:sz w:val="22"/>
              </w:rPr>
            </w:pPr>
            <w:r>
              <w:rPr>
                <w:b/>
                <w:sz w:val="22"/>
              </w:rPr>
              <w:t>IMPLEMENTED</w:t>
            </w:r>
          </w:p>
        </w:tc>
        <w:tc>
          <w:tcPr>
            <w:tcW w:w="2489" w:type="dxa"/>
          </w:tcPr>
          <w:p w14:paraId="41D5D0E7" w14:textId="77777777" w:rsidR="00F03D81" w:rsidRDefault="00F03D81" w:rsidP="00E06EC1">
            <w:pPr>
              <w:rPr>
                <w:sz w:val="22"/>
              </w:rPr>
            </w:pPr>
            <w:bookmarkStart w:id="17" w:name="seCritPartial"/>
            <w:r>
              <w:rPr>
                <w:sz w:val="22"/>
              </w:rPr>
              <w:t>SE 52</w:t>
            </w:r>
            <w:bookmarkEnd w:id="17"/>
          </w:p>
          <w:p w14:paraId="42BC0EA7" w14:textId="77777777" w:rsidR="00F03D81" w:rsidRDefault="00F03D81" w:rsidP="00E06EC1">
            <w:pPr>
              <w:rPr>
                <w:sz w:val="22"/>
              </w:rPr>
            </w:pPr>
          </w:p>
          <w:p w14:paraId="438AE340" w14:textId="77777777" w:rsidR="00F03D81" w:rsidRDefault="00F03D81" w:rsidP="00E06EC1">
            <w:pPr>
              <w:rPr>
                <w:sz w:val="22"/>
              </w:rPr>
            </w:pPr>
          </w:p>
          <w:p w14:paraId="423CEC23" w14:textId="77777777" w:rsidR="00F03D81" w:rsidRPr="002A0696" w:rsidRDefault="00F03D81" w:rsidP="00E06EC1">
            <w:pPr>
              <w:rPr>
                <w:sz w:val="22"/>
              </w:rPr>
            </w:pPr>
          </w:p>
        </w:tc>
        <w:tc>
          <w:tcPr>
            <w:tcW w:w="3693" w:type="dxa"/>
          </w:tcPr>
          <w:p w14:paraId="363BC50B" w14:textId="77777777" w:rsidR="00F03D81" w:rsidRPr="00E847A1" w:rsidRDefault="00F03D81" w:rsidP="00E06EC1">
            <w:pPr>
              <w:jc w:val="both"/>
              <w:rPr>
                <w:sz w:val="22"/>
              </w:rPr>
            </w:pPr>
            <w:bookmarkStart w:id="18" w:name="crCritPartial"/>
            <w:bookmarkEnd w:id="18"/>
          </w:p>
        </w:tc>
        <w:bookmarkStart w:id="19" w:name="tgtCritPartial"/>
        <w:bookmarkEnd w:id="19"/>
      </w:tr>
      <w:tr w:rsidR="00F03D81" w:rsidRPr="00B21A33" w14:paraId="69493151" w14:textId="77777777" w:rsidTr="00F03D81">
        <w:trPr>
          <w:jc w:val="center"/>
        </w:trPr>
        <w:tc>
          <w:tcPr>
            <w:tcW w:w="2644" w:type="dxa"/>
          </w:tcPr>
          <w:p w14:paraId="47BDA700" w14:textId="77777777" w:rsidR="00F03D81" w:rsidRDefault="00F03D81" w:rsidP="00E06EC1">
            <w:pPr>
              <w:ind w:right="-720"/>
              <w:jc w:val="both"/>
              <w:rPr>
                <w:b/>
                <w:sz w:val="22"/>
              </w:rPr>
            </w:pPr>
            <w:r>
              <w:rPr>
                <w:b/>
                <w:sz w:val="22"/>
              </w:rPr>
              <w:t>NOT IMPLEMENTED</w:t>
            </w:r>
          </w:p>
        </w:tc>
        <w:tc>
          <w:tcPr>
            <w:tcW w:w="2489" w:type="dxa"/>
          </w:tcPr>
          <w:p w14:paraId="51BC7866" w14:textId="77777777" w:rsidR="00F03D81" w:rsidRDefault="00F03D81" w:rsidP="00E06EC1">
            <w:pPr>
              <w:rPr>
                <w:sz w:val="22"/>
              </w:rPr>
            </w:pPr>
          </w:p>
          <w:p w14:paraId="4663D33F" w14:textId="77777777" w:rsidR="00F03D81" w:rsidRDefault="00F03D81" w:rsidP="00E06EC1">
            <w:pPr>
              <w:rPr>
                <w:sz w:val="22"/>
              </w:rPr>
            </w:pPr>
          </w:p>
          <w:p w14:paraId="7EABEAD4" w14:textId="77777777" w:rsidR="00F03D81" w:rsidRDefault="00F03D81" w:rsidP="00E06EC1">
            <w:pPr>
              <w:rPr>
                <w:sz w:val="22"/>
              </w:rPr>
            </w:pPr>
          </w:p>
          <w:p w14:paraId="245CCA24" w14:textId="77777777" w:rsidR="00F03D81" w:rsidRDefault="00F03D81" w:rsidP="00E06EC1">
            <w:pPr>
              <w:rPr>
                <w:sz w:val="22"/>
              </w:rPr>
            </w:pPr>
          </w:p>
        </w:tc>
        <w:tc>
          <w:tcPr>
            <w:tcW w:w="3693" w:type="dxa"/>
          </w:tcPr>
          <w:p w14:paraId="16C39C20" w14:textId="77777777" w:rsidR="00F03D81" w:rsidRPr="00E847A1" w:rsidRDefault="00F03D81" w:rsidP="00E06EC1">
            <w:pPr>
              <w:jc w:val="both"/>
              <w:rPr>
                <w:sz w:val="22"/>
              </w:rPr>
            </w:pPr>
          </w:p>
        </w:tc>
      </w:tr>
    </w:tbl>
    <w:p w14:paraId="37F5EB62" w14:textId="77777777" w:rsidR="00E06EC1" w:rsidRDefault="00E06EC1" w:rsidP="00E06EC1">
      <w:pPr>
        <w:tabs>
          <w:tab w:val="center" w:pos="4680"/>
        </w:tabs>
        <w:ind w:left="-720" w:right="-720"/>
        <w:jc w:val="both"/>
        <w:rPr>
          <w:sz w:val="22"/>
        </w:rPr>
      </w:pPr>
    </w:p>
    <w:p w14:paraId="7053EB36" w14:textId="77777777" w:rsidR="00E06EC1" w:rsidRDefault="00E06EC1" w:rsidP="00E06EC1">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7" w:history="1">
        <w:r w:rsidRPr="00105FAC">
          <w:rPr>
            <w:rStyle w:val="Hyperlink"/>
            <w:szCs w:val="22"/>
          </w:rPr>
          <w:t>www.doe.mass.edu/psm/resources/default.html</w:t>
        </w:r>
      </w:hyperlink>
      <w:r>
        <w:rPr>
          <w:szCs w:val="22"/>
        </w:rPr>
        <w:t>.</w:t>
      </w:r>
    </w:p>
    <w:p w14:paraId="5E7363F0" w14:textId="77777777" w:rsidR="00E06EC1" w:rsidRDefault="00E06EC1" w:rsidP="00E06EC1">
      <w:pPr>
        <w:pStyle w:val="BodyText"/>
        <w:tabs>
          <w:tab w:val="clear" w:pos="-1440"/>
        </w:tabs>
        <w:ind w:left="-360" w:right="-450"/>
      </w:pPr>
    </w:p>
    <w:p w14:paraId="0BCDC8A1" w14:textId="77777777" w:rsidR="00E06EC1" w:rsidRDefault="00E06EC1" w:rsidP="00E06EC1">
      <w:pPr>
        <w:pStyle w:val="BodyText"/>
        <w:tabs>
          <w:tab w:val="clear" w:pos="-1440"/>
        </w:tabs>
        <w:ind w:left="-360" w:right="-450"/>
        <w:rPr>
          <w:b/>
          <w:szCs w:val="22"/>
        </w:rPr>
      </w:pPr>
      <w:r>
        <w:br w:type="page"/>
      </w:r>
    </w:p>
    <w:p w14:paraId="7096852D" w14:textId="77777777" w:rsidR="00E06EC1" w:rsidRPr="008E14D8" w:rsidRDefault="00E06EC1" w:rsidP="00E06EC1">
      <w:pPr>
        <w:pStyle w:val="Normal0"/>
        <w:rPr>
          <w:rFonts w:ascii="Verdana" w:hAnsi="Verdana"/>
          <w:sz w:val="20"/>
          <w:szCs w:val="20"/>
        </w:rPr>
      </w:pPr>
      <w:bookmarkStart w:id="20" w:name="ImprovementAreaBlocks"/>
      <w:bookmarkEnd w:id="20"/>
    </w:p>
    <w:tbl>
      <w:tblPr>
        <w:tblW w:w="9360" w:type="dxa"/>
        <w:tblBorders>
          <w:bottom w:val="single" w:sz="4" w:space="0" w:color="auto"/>
        </w:tblBorders>
        <w:tblLayout w:type="fixed"/>
        <w:tblLook w:val="0000" w:firstRow="0" w:lastRow="0" w:firstColumn="0" w:lastColumn="0" w:noHBand="0" w:noVBand="0"/>
      </w:tblPr>
      <w:tblGrid>
        <w:gridCol w:w="9360"/>
      </w:tblGrid>
      <w:tr w:rsidR="00E06EC1" w:rsidRPr="00D47BA6" w14:paraId="219F1D70" w14:textId="77777777" w:rsidTr="00E06EC1">
        <w:trPr>
          <w:tblHeader/>
        </w:trPr>
        <w:tc>
          <w:tcPr>
            <w:tcW w:w="9360" w:type="dxa"/>
            <w:tcBorders>
              <w:bottom w:val="single" w:sz="4" w:space="0" w:color="auto"/>
            </w:tcBorders>
            <w:shd w:val="clear" w:color="auto" w:fill="C0C0C0"/>
          </w:tcPr>
          <w:p w14:paraId="5980147E" w14:textId="77777777" w:rsidR="00E06EC1" w:rsidRPr="00D47BA6" w:rsidRDefault="00E06EC1" w:rsidP="00E06EC1">
            <w:pPr>
              <w:pStyle w:val="Normal0"/>
              <w:keepNext/>
              <w:rPr>
                <w:b/>
                <w:sz w:val="22"/>
                <w:szCs w:val="22"/>
              </w:rPr>
            </w:pPr>
            <w:r w:rsidRPr="00D47BA6">
              <w:rPr>
                <w:b/>
                <w:sz w:val="22"/>
                <w:szCs w:val="22"/>
              </w:rPr>
              <w:t xml:space="preserve">Improvement Area </w:t>
            </w:r>
            <w:bookmarkStart w:id="21" w:name="AreaCounter"/>
            <w:r w:rsidRPr="00D47BA6">
              <w:rPr>
                <w:b/>
                <w:sz w:val="22"/>
                <w:szCs w:val="22"/>
              </w:rPr>
              <w:t>1</w:t>
            </w:r>
            <w:bookmarkEnd w:id="21"/>
          </w:p>
        </w:tc>
      </w:tr>
      <w:tr w:rsidR="00E06EC1" w:rsidRPr="00D47BA6" w14:paraId="61069271" w14:textId="77777777" w:rsidTr="00E06EC1">
        <w:tc>
          <w:tcPr>
            <w:tcW w:w="9360" w:type="dxa"/>
            <w:tcBorders>
              <w:top w:val="single" w:sz="4" w:space="0" w:color="auto"/>
              <w:left w:val="single" w:sz="4" w:space="0" w:color="auto"/>
              <w:bottom w:val="nil"/>
              <w:right w:val="single" w:sz="4" w:space="0" w:color="auto"/>
            </w:tcBorders>
          </w:tcPr>
          <w:p w14:paraId="7039083C" w14:textId="77777777" w:rsidR="00E06EC1" w:rsidRPr="00D47BA6" w:rsidRDefault="00E06EC1" w:rsidP="00E06EC1">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SE 52 - Appropriate certifications/licenses or other credentials -- related service providers</w:t>
            </w:r>
            <w:bookmarkEnd w:id="22"/>
          </w:p>
          <w:p w14:paraId="56FDC8A0" w14:textId="77777777" w:rsidR="00E06EC1" w:rsidRPr="00D47BA6" w:rsidRDefault="00E06EC1" w:rsidP="00E06EC1">
            <w:pPr>
              <w:pStyle w:val="Normal0"/>
              <w:keepNext/>
              <w:rPr>
                <w:b/>
                <w:sz w:val="22"/>
                <w:szCs w:val="22"/>
              </w:rPr>
            </w:pPr>
          </w:p>
        </w:tc>
      </w:tr>
      <w:tr w:rsidR="00E06EC1" w:rsidRPr="00D47BA6" w14:paraId="583E5401" w14:textId="77777777" w:rsidTr="00E06EC1">
        <w:tc>
          <w:tcPr>
            <w:tcW w:w="9360" w:type="dxa"/>
            <w:tcBorders>
              <w:top w:val="single" w:sz="4" w:space="0" w:color="auto"/>
              <w:left w:val="single" w:sz="4" w:space="0" w:color="auto"/>
              <w:bottom w:val="nil"/>
              <w:right w:val="single" w:sz="4" w:space="0" w:color="auto"/>
            </w:tcBorders>
          </w:tcPr>
          <w:p w14:paraId="542CDD9B" w14:textId="77777777" w:rsidR="00E06EC1" w:rsidRPr="00D47BA6" w:rsidRDefault="00E06EC1" w:rsidP="00E06EC1">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E06EC1" w:rsidRPr="00D47BA6" w14:paraId="595C470C" w14:textId="77777777" w:rsidTr="00E06EC1">
        <w:tc>
          <w:tcPr>
            <w:tcW w:w="9360" w:type="dxa"/>
            <w:tcBorders>
              <w:top w:val="nil"/>
              <w:left w:val="single" w:sz="4" w:space="0" w:color="auto"/>
              <w:bottom w:val="single" w:sz="4" w:space="0" w:color="auto"/>
              <w:right w:val="single" w:sz="4" w:space="0" w:color="auto"/>
            </w:tcBorders>
          </w:tcPr>
          <w:p w14:paraId="6A299C41" w14:textId="77777777" w:rsidR="00E06EC1" w:rsidRPr="00D47BA6" w:rsidRDefault="00E06EC1" w:rsidP="00E06EC1">
            <w:pPr>
              <w:pStyle w:val="Normal0"/>
              <w:keepNext/>
              <w:rPr>
                <w:rFonts w:cs="Arial"/>
                <w:b/>
                <w:sz w:val="22"/>
                <w:szCs w:val="22"/>
              </w:rPr>
            </w:pPr>
          </w:p>
        </w:tc>
      </w:tr>
      <w:tr w:rsidR="00E06EC1" w:rsidRPr="00D47BA6" w14:paraId="50983699" w14:textId="77777777" w:rsidTr="00E06EC1">
        <w:tc>
          <w:tcPr>
            <w:tcW w:w="9360" w:type="dxa"/>
            <w:tcBorders>
              <w:top w:val="nil"/>
              <w:left w:val="single" w:sz="4" w:space="0" w:color="auto"/>
              <w:bottom w:val="single" w:sz="4" w:space="0" w:color="auto"/>
              <w:right w:val="single" w:sz="4" w:space="0" w:color="auto"/>
            </w:tcBorders>
          </w:tcPr>
          <w:p w14:paraId="441E849B" w14:textId="77777777" w:rsidR="00E06EC1" w:rsidRPr="00D47BA6" w:rsidRDefault="00E06EC1" w:rsidP="00E06EC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A review of documents and staff interviews indicated that not all related service providers are appropriately certified, licensed, board registered or otherwise approved to provide such services by the relevant professional standards board or agency for the profession.</w:t>
            </w:r>
            <w:bookmarkEnd w:id="24"/>
          </w:p>
          <w:p w14:paraId="61D201B4" w14:textId="77777777" w:rsidR="00E06EC1" w:rsidRPr="00D47BA6" w:rsidRDefault="00E06EC1" w:rsidP="00E06EC1">
            <w:pPr>
              <w:pStyle w:val="Normal0"/>
              <w:keepNext/>
              <w:rPr>
                <w:rFonts w:cs="Arial"/>
                <w:b/>
                <w:sz w:val="22"/>
                <w:szCs w:val="22"/>
              </w:rPr>
            </w:pPr>
          </w:p>
        </w:tc>
      </w:tr>
      <w:tr w:rsidR="00E06EC1" w:rsidRPr="00D47BA6" w14:paraId="6BCBE623" w14:textId="77777777" w:rsidTr="00E06EC1">
        <w:tc>
          <w:tcPr>
            <w:tcW w:w="9360" w:type="dxa"/>
            <w:tcBorders>
              <w:top w:val="nil"/>
              <w:left w:val="single" w:sz="4" w:space="0" w:color="auto"/>
              <w:bottom w:val="single" w:sz="4" w:space="0" w:color="auto"/>
              <w:right w:val="single" w:sz="4" w:space="0" w:color="auto"/>
            </w:tcBorders>
          </w:tcPr>
          <w:p w14:paraId="7A736E1C" w14:textId="77777777" w:rsidR="00E06EC1" w:rsidRPr="00D47BA6" w:rsidRDefault="00E06EC1" w:rsidP="00E06EC1">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The related service provider identified in the review will be licensed before the end of the 2020-2021 school year. All related service providers will hold the required DESE license by the start of the 2021-2022 school year</w:t>
            </w:r>
            <w:bookmarkEnd w:id="25"/>
          </w:p>
          <w:p w14:paraId="395422E8" w14:textId="77777777" w:rsidR="00E06EC1" w:rsidRPr="00D47BA6" w:rsidRDefault="00E06EC1" w:rsidP="00E06EC1">
            <w:pPr>
              <w:pStyle w:val="Normal0"/>
              <w:keepNext/>
              <w:rPr>
                <w:rFonts w:cs="Arial"/>
                <w:b/>
                <w:sz w:val="22"/>
                <w:szCs w:val="22"/>
              </w:rPr>
            </w:pPr>
          </w:p>
        </w:tc>
      </w:tr>
      <w:tr w:rsidR="00E06EC1" w:rsidRPr="00D47BA6" w14:paraId="2908DB49" w14:textId="77777777" w:rsidTr="00E06EC1">
        <w:tc>
          <w:tcPr>
            <w:tcW w:w="9360" w:type="dxa"/>
            <w:tcBorders>
              <w:top w:val="nil"/>
              <w:left w:val="single" w:sz="4" w:space="0" w:color="auto"/>
              <w:bottom w:val="single" w:sz="4" w:space="0" w:color="auto"/>
              <w:right w:val="single" w:sz="4" w:space="0" w:color="auto"/>
            </w:tcBorders>
          </w:tcPr>
          <w:p w14:paraId="0848ADFA" w14:textId="77777777" w:rsidR="00E06EC1" w:rsidRPr="00D47BA6" w:rsidRDefault="00E06EC1" w:rsidP="00E06EC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 xml:space="preserve">The identified employee and superintendent have already completed a DESE "Verification of Initial-Extension Plan and School Based Employment" form. The employee is already enrolled and currently taking a course to finish the one credit needed for professional licensure. This should be completed by the May progress due date; however, another reporting date may be necessary due to processing time for issuing of the license. The director will check in with the employee each month until the requirements are </w:t>
            </w:r>
            <w:proofErr w:type="gramStart"/>
            <w:r>
              <w:rPr>
                <w:rFonts w:cs="Arial"/>
                <w:sz w:val="22"/>
                <w:szCs w:val="22"/>
              </w:rPr>
              <w:t>completed</w:t>
            </w:r>
            <w:proofErr w:type="gramEnd"/>
            <w:r>
              <w:rPr>
                <w:rFonts w:cs="Arial"/>
                <w:sz w:val="22"/>
                <w:szCs w:val="22"/>
              </w:rPr>
              <w:t xml:space="preserve"> and license attained.</w:t>
            </w:r>
            <w:bookmarkEnd w:id="26"/>
          </w:p>
          <w:p w14:paraId="6746FA9A" w14:textId="77777777" w:rsidR="00E06EC1" w:rsidRPr="00D47BA6" w:rsidRDefault="00E06EC1" w:rsidP="00E06EC1">
            <w:pPr>
              <w:pStyle w:val="Normal0"/>
              <w:keepNext/>
              <w:rPr>
                <w:rFonts w:cs="Arial"/>
                <w:b/>
                <w:sz w:val="22"/>
                <w:szCs w:val="22"/>
              </w:rPr>
            </w:pPr>
          </w:p>
        </w:tc>
      </w:tr>
      <w:tr w:rsidR="00E06EC1" w:rsidRPr="00D47BA6" w14:paraId="0F6B69A4" w14:textId="77777777" w:rsidTr="00E06EC1">
        <w:tc>
          <w:tcPr>
            <w:tcW w:w="9360" w:type="dxa"/>
            <w:tcBorders>
              <w:top w:val="nil"/>
              <w:left w:val="single" w:sz="4" w:space="0" w:color="auto"/>
              <w:bottom w:val="single" w:sz="4" w:space="0" w:color="auto"/>
              <w:right w:val="single" w:sz="4" w:space="0" w:color="auto"/>
            </w:tcBorders>
          </w:tcPr>
          <w:p w14:paraId="53D1443A" w14:textId="77777777" w:rsidR="00E06EC1" w:rsidRPr="00D47BA6" w:rsidRDefault="00E06EC1" w:rsidP="00E06EC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7" w:name="SuccessMetric"/>
            <w:r>
              <w:rPr>
                <w:rFonts w:cs="Arial"/>
                <w:sz w:val="22"/>
                <w:szCs w:val="22"/>
              </w:rPr>
              <w:t>By May 26, 2021, all requirements for professional licensure will be attained by the unlicensed employee.</w:t>
            </w:r>
          </w:p>
          <w:p w14:paraId="1E335491" w14:textId="77777777" w:rsidR="00E06EC1" w:rsidRDefault="00E06EC1" w:rsidP="00E06EC1">
            <w:pPr>
              <w:pStyle w:val="Normal0"/>
              <w:keepNext/>
              <w:rPr>
                <w:rFonts w:cs="Arial"/>
                <w:sz w:val="22"/>
                <w:szCs w:val="22"/>
              </w:rPr>
            </w:pPr>
            <w:r>
              <w:rPr>
                <w:rFonts w:cs="Arial"/>
                <w:sz w:val="22"/>
                <w:szCs w:val="22"/>
              </w:rPr>
              <w:t xml:space="preserve"> </w:t>
            </w:r>
          </w:p>
          <w:p w14:paraId="323FFCF1" w14:textId="77777777" w:rsidR="00E06EC1" w:rsidRDefault="00E06EC1" w:rsidP="00E06EC1">
            <w:pPr>
              <w:pStyle w:val="Normal0"/>
              <w:keepNext/>
              <w:rPr>
                <w:rFonts w:cs="Arial"/>
                <w:sz w:val="22"/>
                <w:szCs w:val="22"/>
              </w:rPr>
            </w:pPr>
            <w:r>
              <w:rPr>
                <w:rFonts w:cs="Arial"/>
                <w:sz w:val="22"/>
                <w:szCs w:val="22"/>
              </w:rPr>
              <w:t>By August 24, 2021, the identified staff will be licensed or will obtain a waiver from the Department for the 2021-2022 school year.</w:t>
            </w:r>
          </w:p>
          <w:p w14:paraId="5BD78137" w14:textId="77777777" w:rsidR="00E06EC1" w:rsidRDefault="00E06EC1" w:rsidP="00E06EC1">
            <w:pPr>
              <w:pStyle w:val="Normal0"/>
              <w:keepNext/>
              <w:rPr>
                <w:rFonts w:cs="Arial"/>
                <w:sz w:val="22"/>
                <w:szCs w:val="22"/>
              </w:rPr>
            </w:pPr>
          </w:p>
          <w:p w14:paraId="758508BF" w14:textId="77777777" w:rsidR="00E06EC1" w:rsidRDefault="00E06EC1" w:rsidP="00E06EC1">
            <w:pPr>
              <w:pStyle w:val="Normal0"/>
              <w:keepNext/>
              <w:rPr>
                <w:rFonts w:cs="Arial"/>
                <w:sz w:val="22"/>
                <w:szCs w:val="22"/>
              </w:rPr>
            </w:pPr>
            <w:r>
              <w:rPr>
                <w:rFonts w:cs="Arial"/>
                <w:sz w:val="22"/>
                <w:szCs w:val="22"/>
              </w:rPr>
              <w:t xml:space="preserve">Evidence: </w:t>
            </w:r>
          </w:p>
          <w:p w14:paraId="0BAD8B90" w14:textId="77777777" w:rsidR="00E06EC1" w:rsidRDefault="00E06EC1" w:rsidP="00E06EC1">
            <w:pPr>
              <w:pStyle w:val="Normal0"/>
              <w:keepNext/>
              <w:rPr>
                <w:rFonts w:cs="Arial"/>
                <w:sz w:val="22"/>
                <w:szCs w:val="22"/>
              </w:rPr>
            </w:pPr>
            <w:r>
              <w:rPr>
                <w:rFonts w:cs="Arial"/>
                <w:sz w:val="22"/>
                <w:szCs w:val="22"/>
              </w:rPr>
              <w:t>Appropriate teacher licensure or Approved license waiver</w:t>
            </w:r>
            <w:bookmarkEnd w:id="27"/>
          </w:p>
          <w:p w14:paraId="1BCFD6AD" w14:textId="77777777" w:rsidR="00E06EC1" w:rsidRPr="00D47BA6" w:rsidRDefault="00E06EC1" w:rsidP="00E06EC1">
            <w:pPr>
              <w:pStyle w:val="Normal0"/>
              <w:keepNext/>
              <w:rPr>
                <w:rFonts w:cs="Arial"/>
                <w:b/>
                <w:sz w:val="22"/>
                <w:szCs w:val="22"/>
              </w:rPr>
            </w:pPr>
          </w:p>
        </w:tc>
      </w:tr>
      <w:tr w:rsidR="00E06EC1" w:rsidRPr="00D47BA6" w14:paraId="196339D7" w14:textId="77777777" w:rsidTr="00E06EC1">
        <w:tc>
          <w:tcPr>
            <w:tcW w:w="9360" w:type="dxa"/>
            <w:tcBorders>
              <w:top w:val="nil"/>
              <w:left w:val="single" w:sz="4" w:space="0" w:color="auto"/>
              <w:bottom w:val="single" w:sz="4" w:space="0" w:color="auto"/>
              <w:right w:val="single" w:sz="4" w:space="0" w:color="auto"/>
            </w:tcBorders>
          </w:tcPr>
          <w:p w14:paraId="26C0744C" w14:textId="77777777" w:rsidR="00E06EC1" w:rsidRPr="00D47BA6" w:rsidRDefault="00E06EC1" w:rsidP="00E06EC1">
            <w:pPr>
              <w:pStyle w:val="Normal0"/>
              <w:keepNext/>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At least annually, the administrative assistant to the superintendent will review the licensure status of all employees and notify the assigned supervisor and building principal if there will be any issues within the year following the review. Any staff impacted will be put on notice by the principal. The superintendent will review this expectation and procedures with the administrative assistant and principal. The administrative assistant has already been trained on how to read DESE issued licenses and understands the timelines involved at each level of licensure.</w:t>
            </w:r>
            <w:bookmarkEnd w:id="28"/>
          </w:p>
          <w:p w14:paraId="403A5888" w14:textId="77777777" w:rsidR="00E06EC1" w:rsidRPr="00D47BA6" w:rsidRDefault="00E06EC1" w:rsidP="00E06EC1">
            <w:pPr>
              <w:pStyle w:val="Normal0"/>
              <w:keepNext/>
              <w:rPr>
                <w:rFonts w:cs="Arial"/>
                <w:b/>
                <w:sz w:val="22"/>
                <w:szCs w:val="22"/>
              </w:rPr>
            </w:pPr>
          </w:p>
        </w:tc>
      </w:tr>
      <w:tr w:rsidR="00E06EC1" w:rsidRPr="00D47BA6" w14:paraId="60C2B2B7" w14:textId="77777777" w:rsidTr="00E06EC1">
        <w:tc>
          <w:tcPr>
            <w:tcW w:w="9360" w:type="dxa"/>
            <w:tcBorders>
              <w:top w:val="single" w:sz="4" w:space="0" w:color="auto"/>
              <w:left w:val="single" w:sz="4" w:space="0" w:color="auto"/>
              <w:bottom w:val="nil"/>
              <w:right w:val="single" w:sz="4" w:space="0" w:color="auto"/>
            </w:tcBorders>
          </w:tcPr>
          <w:p w14:paraId="0EAEBE2E" w14:textId="77777777" w:rsidR="00E06EC1" w:rsidRPr="00D47BA6" w:rsidRDefault="00E06EC1" w:rsidP="00E06EC1">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08/24/2021</w:t>
            </w:r>
            <w:bookmarkEnd w:id="29"/>
          </w:p>
        </w:tc>
      </w:tr>
      <w:tr w:rsidR="00E06EC1" w:rsidRPr="00D47BA6" w14:paraId="7A99869A" w14:textId="77777777" w:rsidTr="00E06EC1">
        <w:tc>
          <w:tcPr>
            <w:tcW w:w="9360" w:type="dxa"/>
            <w:tcBorders>
              <w:top w:val="nil"/>
              <w:left w:val="single" w:sz="4" w:space="0" w:color="auto"/>
              <w:bottom w:val="single" w:sz="4" w:space="0" w:color="auto"/>
              <w:right w:val="single" w:sz="4" w:space="0" w:color="auto"/>
            </w:tcBorders>
          </w:tcPr>
          <w:p w14:paraId="284F05AD" w14:textId="77777777" w:rsidR="00E06EC1" w:rsidRPr="00D47BA6" w:rsidRDefault="00E06EC1" w:rsidP="00E06EC1">
            <w:pPr>
              <w:pStyle w:val="Normal0"/>
              <w:keepNext/>
              <w:rPr>
                <w:rFonts w:cs="Arial"/>
                <w:sz w:val="22"/>
                <w:szCs w:val="22"/>
              </w:rPr>
            </w:pPr>
          </w:p>
        </w:tc>
      </w:tr>
    </w:tbl>
    <w:p w14:paraId="6ECDAA18" w14:textId="77777777" w:rsidR="00E06EC1" w:rsidRDefault="00E06EC1" w:rsidP="00E06EC1">
      <w:pPr>
        <w:pStyle w:val="Normal0"/>
      </w:pPr>
    </w:p>
    <w:sectPr w:rsidR="00E06EC1" w:rsidSect="00E06EC1">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17A12" w14:textId="77777777" w:rsidR="00001CEF" w:rsidRDefault="00001CEF">
      <w:r>
        <w:separator/>
      </w:r>
    </w:p>
  </w:endnote>
  <w:endnote w:type="continuationSeparator" w:id="0">
    <w:p w14:paraId="339E4FF9" w14:textId="77777777" w:rsidR="00001CEF" w:rsidRDefault="0000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2F08" w14:textId="77777777" w:rsidR="00E06EC1" w:rsidRDefault="00E06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E03267" w14:textId="77777777" w:rsidR="00E06EC1" w:rsidRDefault="00E06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7B9D" w14:textId="77777777" w:rsidR="00E06EC1" w:rsidRDefault="00E06EC1" w:rsidP="00E06EC1">
    <w:pPr>
      <w:pStyle w:val="Footer"/>
      <w:pBdr>
        <w:top w:val="single" w:sz="4" w:space="1" w:color="auto"/>
      </w:pBdr>
      <w:ind w:right="360"/>
      <w:jc w:val="right"/>
      <w:rPr>
        <w:sz w:val="16"/>
        <w:szCs w:val="16"/>
      </w:rPr>
    </w:pPr>
    <w:r>
      <w:rPr>
        <w:sz w:val="16"/>
        <w:szCs w:val="16"/>
      </w:rPr>
      <w:t>Template Version 072820</w:t>
    </w:r>
  </w:p>
  <w:p w14:paraId="390214D2" w14:textId="77777777" w:rsidR="00E06EC1" w:rsidRPr="00E97E9E" w:rsidRDefault="00E06EC1" w:rsidP="00E06EC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FE58D83" w14:textId="77777777" w:rsidR="00E06EC1" w:rsidRDefault="00E06EC1">
    <w:pPr>
      <w:pStyle w:val="Footer"/>
      <w:pBdr>
        <w:top w:val="single" w:sz="4" w:space="1" w:color="auto"/>
      </w:pBdr>
      <w:tabs>
        <w:tab w:val="clear" w:pos="8640"/>
      </w:tabs>
      <w:ind w:right="360"/>
      <w:jc w:val="center"/>
    </w:pPr>
    <w:r>
      <w:t>Massachusetts Department of Elementary and Secondary Education – Office of Public School Monitoring</w:t>
    </w:r>
  </w:p>
  <w:p w14:paraId="4472B088" w14:textId="77777777" w:rsidR="00E06EC1" w:rsidRDefault="00E06EC1">
    <w:pPr>
      <w:pStyle w:val="Footer"/>
      <w:tabs>
        <w:tab w:val="clear" w:pos="8640"/>
      </w:tabs>
      <w:ind w:right="360"/>
      <w:jc w:val="center"/>
    </w:pPr>
    <w:bookmarkStart w:id="8" w:name="reportNameFooterSec1"/>
    <w:r w:rsidRPr="00044C45">
      <w:t>Northampton-Smith Vocational Agricultura</w:t>
    </w:r>
    <w:r w:rsidR="0001032D">
      <w:t>l School</w:t>
    </w:r>
    <w:r w:rsidR="00161479">
      <w:t xml:space="preserve"> District</w:t>
    </w:r>
    <w:r w:rsidR="0001032D">
      <w:t xml:space="preserve"> </w:t>
    </w:r>
    <w:bookmarkEnd w:id="8"/>
    <w:r w:rsidR="00161479">
      <w:t>Tiered</w:t>
    </w:r>
    <w:r>
      <w:t xml:space="preserve"> Focused Monitoring Report – </w:t>
    </w:r>
    <w:bookmarkStart w:id="9" w:name="reportDateFooterSec1"/>
    <w:r>
      <w:t>03/2</w:t>
    </w:r>
    <w:r w:rsidR="0001032D">
      <w:t>3</w:t>
    </w:r>
    <w:r>
      <w:t>/2021</w:t>
    </w:r>
    <w:bookmarkEnd w:id="9"/>
  </w:p>
  <w:p w14:paraId="7EEB385B" w14:textId="77777777" w:rsidR="00E06EC1" w:rsidRDefault="00E06EC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01CEF">
      <w:fldChar w:fldCharType="begin"/>
    </w:r>
    <w:r w:rsidR="00001CEF">
      <w:instrText xml:space="preserve"> NUMPAGES </w:instrText>
    </w:r>
    <w:r w:rsidR="00001CEF">
      <w:fldChar w:fldCharType="separate"/>
    </w:r>
    <w:r>
      <w:rPr>
        <w:noProof/>
      </w:rPr>
      <w:t>95</w:t>
    </w:r>
    <w:r w:rsidR="00001CE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6747" w14:textId="77777777" w:rsidR="00E06EC1" w:rsidRPr="00E97E9E" w:rsidRDefault="00E06EC1" w:rsidP="00E06EC1">
    <w:pPr>
      <w:pStyle w:val="Footer0"/>
      <w:pBdr>
        <w:top w:val="single" w:sz="4" w:space="1" w:color="auto"/>
      </w:pBdr>
      <w:ind w:right="360"/>
      <w:jc w:val="right"/>
      <w:rPr>
        <w:sz w:val="16"/>
        <w:szCs w:val="16"/>
      </w:rPr>
    </w:pPr>
    <w:r>
      <w:rPr>
        <w:sz w:val="16"/>
        <w:szCs w:val="16"/>
      </w:rPr>
      <w:t>Template Version 102218</w:t>
    </w:r>
  </w:p>
  <w:p w14:paraId="64A8FF2F" w14:textId="77777777" w:rsidR="00E06EC1" w:rsidRPr="00F818B6" w:rsidRDefault="00E06EC1" w:rsidP="00E06EC1">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2529999" w14:textId="77777777" w:rsidR="00E06EC1" w:rsidRPr="00F818B6" w:rsidRDefault="00E06EC1" w:rsidP="00E06EC1">
    <w:pPr>
      <w:pStyle w:val="Footer0"/>
      <w:tabs>
        <w:tab w:val="clear" w:pos="8640"/>
      </w:tabs>
      <w:ind w:right="360"/>
      <w:jc w:val="center"/>
      <w:rPr>
        <w:sz w:val="20"/>
        <w:szCs w:val="20"/>
      </w:rPr>
    </w:pPr>
    <w:r w:rsidRPr="00F818B6">
      <w:rPr>
        <w:sz w:val="20"/>
        <w:szCs w:val="20"/>
      </w:rPr>
      <w:t>Northampton-Smith Vocational Agricultural</w:t>
    </w:r>
    <w:r w:rsidR="0001032D">
      <w:rPr>
        <w:sz w:val="20"/>
        <w:szCs w:val="20"/>
      </w:rPr>
      <w:t xml:space="preserve"> School District</w:t>
    </w:r>
    <w:r w:rsidRPr="00F818B6">
      <w:rPr>
        <w:sz w:val="20"/>
        <w:szCs w:val="20"/>
      </w:rPr>
      <w:t xml:space="preserve"> Tiered Focused Monitoring Report – 03/2</w:t>
    </w:r>
    <w:r w:rsidR="0001032D">
      <w:rPr>
        <w:sz w:val="20"/>
        <w:szCs w:val="20"/>
      </w:rPr>
      <w:t>3</w:t>
    </w:r>
    <w:r w:rsidRPr="00F818B6">
      <w:rPr>
        <w:sz w:val="20"/>
        <w:szCs w:val="20"/>
      </w:rPr>
      <w:t>/2021</w:t>
    </w:r>
  </w:p>
  <w:p w14:paraId="75DB4F28" w14:textId="77777777" w:rsidR="00E06EC1" w:rsidRPr="00F818B6" w:rsidRDefault="00E06EC1" w:rsidP="00E06EC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69EF3" w14:textId="77777777" w:rsidR="00001CEF" w:rsidRDefault="00001CEF">
      <w:r>
        <w:separator/>
      </w:r>
    </w:p>
  </w:footnote>
  <w:footnote w:type="continuationSeparator" w:id="0">
    <w:p w14:paraId="65E453CE" w14:textId="77777777" w:rsidR="00001CEF" w:rsidRDefault="00001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B6870F6">
      <w:start w:val="1"/>
      <w:numFmt w:val="bullet"/>
      <w:lvlText w:val=""/>
      <w:lvlJc w:val="left"/>
      <w:pPr>
        <w:ind w:left="720" w:hanging="360"/>
      </w:pPr>
      <w:rPr>
        <w:rFonts w:ascii="Symbol" w:hAnsi="Symbol" w:hint="default"/>
      </w:rPr>
    </w:lvl>
    <w:lvl w:ilvl="1" w:tplc="EA267BE6" w:tentative="1">
      <w:start w:val="1"/>
      <w:numFmt w:val="bullet"/>
      <w:lvlText w:val="o"/>
      <w:lvlJc w:val="left"/>
      <w:pPr>
        <w:ind w:left="1440" w:hanging="360"/>
      </w:pPr>
      <w:rPr>
        <w:rFonts w:ascii="Courier New" w:hAnsi="Courier New" w:cs="Courier New" w:hint="default"/>
      </w:rPr>
    </w:lvl>
    <w:lvl w:ilvl="2" w:tplc="AD44A94E" w:tentative="1">
      <w:start w:val="1"/>
      <w:numFmt w:val="bullet"/>
      <w:lvlText w:val=""/>
      <w:lvlJc w:val="left"/>
      <w:pPr>
        <w:ind w:left="2160" w:hanging="360"/>
      </w:pPr>
      <w:rPr>
        <w:rFonts w:ascii="Wingdings" w:hAnsi="Wingdings" w:hint="default"/>
      </w:rPr>
    </w:lvl>
    <w:lvl w:ilvl="3" w:tplc="A52E625E" w:tentative="1">
      <w:start w:val="1"/>
      <w:numFmt w:val="bullet"/>
      <w:lvlText w:val=""/>
      <w:lvlJc w:val="left"/>
      <w:pPr>
        <w:ind w:left="2880" w:hanging="360"/>
      </w:pPr>
      <w:rPr>
        <w:rFonts w:ascii="Symbol" w:hAnsi="Symbol" w:hint="default"/>
      </w:rPr>
    </w:lvl>
    <w:lvl w:ilvl="4" w:tplc="18B2B1D8" w:tentative="1">
      <w:start w:val="1"/>
      <w:numFmt w:val="bullet"/>
      <w:lvlText w:val="o"/>
      <w:lvlJc w:val="left"/>
      <w:pPr>
        <w:ind w:left="3600" w:hanging="360"/>
      </w:pPr>
      <w:rPr>
        <w:rFonts w:ascii="Courier New" w:hAnsi="Courier New" w:cs="Courier New" w:hint="default"/>
      </w:rPr>
    </w:lvl>
    <w:lvl w:ilvl="5" w:tplc="5BB0FD4C" w:tentative="1">
      <w:start w:val="1"/>
      <w:numFmt w:val="bullet"/>
      <w:lvlText w:val=""/>
      <w:lvlJc w:val="left"/>
      <w:pPr>
        <w:ind w:left="4320" w:hanging="360"/>
      </w:pPr>
      <w:rPr>
        <w:rFonts w:ascii="Wingdings" w:hAnsi="Wingdings" w:hint="default"/>
      </w:rPr>
    </w:lvl>
    <w:lvl w:ilvl="6" w:tplc="FD08E512" w:tentative="1">
      <w:start w:val="1"/>
      <w:numFmt w:val="bullet"/>
      <w:lvlText w:val=""/>
      <w:lvlJc w:val="left"/>
      <w:pPr>
        <w:ind w:left="5040" w:hanging="360"/>
      </w:pPr>
      <w:rPr>
        <w:rFonts w:ascii="Symbol" w:hAnsi="Symbol" w:hint="default"/>
      </w:rPr>
    </w:lvl>
    <w:lvl w:ilvl="7" w:tplc="71925D9E" w:tentative="1">
      <w:start w:val="1"/>
      <w:numFmt w:val="bullet"/>
      <w:lvlText w:val="o"/>
      <w:lvlJc w:val="left"/>
      <w:pPr>
        <w:ind w:left="5760" w:hanging="360"/>
      </w:pPr>
      <w:rPr>
        <w:rFonts w:ascii="Courier New" w:hAnsi="Courier New" w:cs="Courier New" w:hint="default"/>
      </w:rPr>
    </w:lvl>
    <w:lvl w:ilvl="8" w:tplc="F8AA14B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1CEF"/>
    <w:rsid w:val="0001032D"/>
    <w:rsid w:val="00027D45"/>
    <w:rsid w:val="000C6960"/>
    <w:rsid w:val="000E7DDA"/>
    <w:rsid w:val="000F3263"/>
    <w:rsid w:val="00161479"/>
    <w:rsid w:val="001D6EFD"/>
    <w:rsid w:val="0031519A"/>
    <w:rsid w:val="003B61AC"/>
    <w:rsid w:val="006A7716"/>
    <w:rsid w:val="009940FE"/>
    <w:rsid w:val="009E1314"/>
    <w:rsid w:val="00AB1E0B"/>
    <w:rsid w:val="00AC4E2A"/>
    <w:rsid w:val="00CB7E82"/>
    <w:rsid w:val="00E06EC1"/>
    <w:rsid w:val="00E16FDF"/>
    <w:rsid w:val="00E3273D"/>
    <w:rsid w:val="00F03D81"/>
    <w:rsid w:val="00F34B67"/>
    <w:rsid w:val="00FA7176"/>
    <w:rsid w:val="00FA7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E9851"/>
  <w15:chartTrackingRefBased/>
  <w15:docId w15:val="{68E3276B-7800-4C59-A572-7E908D89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resources/default.html" TargetMode="External"/><Relationship Id="rId2" Type="http://schemas.openxmlformats.org/officeDocument/2006/relationships/customXml" Target="../customXml/item2.xml"/><Relationship Id="rId16" Type="http://schemas.openxmlformats.org/officeDocument/2006/relationships/hyperlink" Target="https://gateway.edu.state.ma.us/webmonitor/tierDeskrvwdtl.doe?sourcePge=DeskRvwSummary&amp;criteriaId=2871&amp;reviewYearId=1869&amp;seltype=PCPR&amp;rvSeltype=DCPR&amp;dkId=79904&amp;crType=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DESE-231-70096</_dlc_DocId>
    <_dlc_DocIdUrl xmlns="733efe1c-5bbe-4968-87dc-d400e65c879f">
      <Url>https://sharepoint.doemass.org/ese/webteam/cps/_layouts/DocIdRedir.aspx?ID=DESE-231-70096</Url>
      <Description>DESE-231-70096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A8F4-9C3A-43B5-AA3A-8A445845FFF3}">
  <ds:schemaRefs>
    <ds:schemaRef ds:uri="http://schemas.microsoft.com/sharepoint/v3/contenttype/forms"/>
  </ds:schemaRefs>
</ds:datastoreItem>
</file>

<file path=customXml/itemProps2.xml><?xml version="1.0" encoding="utf-8"?>
<ds:datastoreItem xmlns:ds="http://schemas.openxmlformats.org/officeDocument/2006/customXml" ds:itemID="{D94B8690-FD6E-403B-B977-618CE03B0FCA}">
  <ds:schemaRefs>
    <ds:schemaRef ds:uri="http://schemas.microsoft.com/sharepoint/events"/>
  </ds:schemaRefs>
</ds:datastoreItem>
</file>

<file path=customXml/itemProps3.xml><?xml version="1.0" encoding="utf-8"?>
<ds:datastoreItem xmlns:ds="http://schemas.openxmlformats.org/officeDocument/2006/customXml" ds:itemID="{A0F67BE9-1389-4FC8-A272-6FE38F8DA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771F3-77FA-4FBE-89D7-88A0C8AF2A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055D436-D90A-4300-AB9A-7391B414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2020-21 Northampton Smith Vocational Agricultural TFM Report</vt:lpstr>
    </vt:vector>
  </TitlesOfParts>
  <Company/>
  <LinksUpToDate>false</LinksUpToDate>
  <CharactersWithSpaces>12371</CharactersWithSpaces>
  <SharedDoc>false</SharedDoc>
  <HLinks>
    <vt:vector size="12" baseType="variant">
      <vt:variant>
        <vt:i4>6357100</vt:i4>
      </vt:variant>
      <vt:variant>
        <vt:i4>3</vt:i4>
      </vt:variant>
      <vt:variant>
        <vt:i4>0</vt:i4>
      </vt:variant>
      <vt:variant>
        <vt:i4>5</vt:i4>
      </vt:variant>
      <vt:variant>
        <vt:lpwstr>http://www.doe.mass.edu/psm/resources/default.html</vt:lpwstr>
      </vt:variant>
      <vt:variant>
        <vt:lpwstr/>
      </vt:variant>
      <vt:variant>
        <vt:i4>4915207</vt:i4>
      </vt:variant>
      <vt:variant>
        <vt:i4>0</vt:i4>
      </vt:variant>
      <vt:variant>
        <vt:i4>0</vt:i4>
      </vt:variant>
      <vt:variant>
        <vt:i4>5</vt:i4>
      </vt:variant>
      <vt:variant>
        <vt:lpwstr>https://gateway.edu.state.ma.us/webmonitor/tierDeskrvwdtl.doe?sourcePge=DeskRvwSummary&amp;criteriaId=2871&amp;reviewYearId=1869&amp;seltype=PCPR&amp;rvSeltype=DCPR&amp;dkId=79904&amp;crType=CR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Northampton Smith Vocational Agricultural TFM Report</dc:title>
  <dc:subject/>
  <dc:creator>DESE</dc:creator>
  <cp:keywords/>
  <cp:lastModifiedBy>Zou, Dong (EOE)</cp:lastModifiedBy>
  <cp:revision>3</cp:revision>
  <cp:lastPrinted>2015-01-08T14:35:00Z</cp:lastPrinted>
  <dcterms:created xsi:type="dcterms:W3CDTF">2021-04-26T14:23:00Z</dcterms:created>
  <dcterms:modified xsi:type="dcterms:W3CDTF">2021-04-26T18:10:00Z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