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F3184" w14:textId="4F503172" w:rsidR="00007623" w:rsidRPr="005363BB" w:rsidRDefault="007961D4" w:rsidP="00007623">
      <w:pPr>
        <w:rPr>
          <w:sz w:val="22"/>
        </w:rPr>
      </w:pPr>
      <w:r>
        <w:rPr>
          <w:noProof/>
        </w:rPr>
        <w:drawing>
          <wp:inline distT="0" distB="0" distL="0" distR="0" wp14:anchorId="778E7D64" wp14:editId="0F2DC1E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80B78C2" w14:textId="77777777" w:rsidR="00007623" w:rsidRDefault="00007623" w:rsidP="00007623">
      <w:pPr>
        <w:jc w:val="center"/>
        <w:rPr>
          <w:sz w:val="22"/>
        </w:rPr>
      </w:pPr>
    </w:p>
    <w:p w14:paraId="5B248237" w14:textId="77777777" w:rsidR="00007623" w:rsidRDefault="00007623" w:rsidP="00007623">
      <w:pPr>
        <w:jc w:val="center"/>
        <w:rPr>
          <w:sz w:val="22"/>
        </w:rPr>
      </w:pPr>
    </w:p>
    <w:p w14:paraId="22A46CB9" w14:textId="77777777" w:rsidR="00007623" w:rsidRDefault="00007623" w:rsidP="00007623">
      <w:pPr>
        <w:rPr>
          <w:sz w:val="24"/>
        </w:rPr>
      </w:pPr>
      <w:r>
        <w:rPr>
          <w:sz w:val="22"/>
        </w:rPr>
        <w:tab/>
      </w:r>
    </w:p>
    <w:p w14:paraId="18EBA889" w14:textId="77777777" w:rsidR="00007623" w:rsidRDefault="00007623" w:rsidP="00007623">
      <w:pPr>
        <w:pStyle w:val="Heading2"/>
        <w:rPr>
          <w:sz w:val="24"/>
          <w:lang w:val="en-US" w:eastAsia="en-US"/>
        </w:rPr>
      </w:pPr>
    </w:p>
    <w:p w14:paraId="23AD5382" w14:textId="77777777" w:rsidR="00007623" w:rsidRPr="00812287" w:rsidRDefault="00007623" w:rsidP="00007623"/>
    <w:p w14:paraId="4B695D7F" w14:textId="77777777" w:rsidR="00007623" w:rsidRPr="007E5338" w:rsidRDefault="00007623" w:rsidP="00007623">
      <w:pPr>
        <w:pStyle w:val="Heading2"/>
        <w:rPr>
          <w:sz w:val="24"/>
          <w:lang w:val="en-US" w:eastAsia="en-US"/>
        </w:rPr>
      </w:pPr>
    </w:p>
    <w:p w14:paraId="11B5BFD6" w14:textId="4D261E22" w:rsidR="00007623" w:rsidRDefault="00561A32" w:rsidP="00007623">
      <w:pPr>
        <w:jc w:val="center"/>
        <w:rPr>
          <w:b/>
          <w:sz w:val="28"/>
        </w:rPr>
      </w:pPr>
      <w:r w:rsidRPr="00561A32">
        <w:rPr>
          <w:b/>
          <w:sz w:val="28"/>
        </w:rPr>
        <w:t>Prospect Hill Academy Charter</w:t>
      </w:r>
      <w:r w:rsidR="0054756B">
        <w:rPr>
          <w:b/>
          <w:sz w:val="28"/>
        </w:rPr>
        <w:t xml:space="preserve"> School</w:t>
      </w:r>
    </w:p>
    <w:p w14:paraId="6C248078" w14:textId="77777777" w:rsidR="00561A32" w:rsidRDefault="00561A32" w:rsidP="00007623">
      <w:pPr>
        <w:jc w:val="center"/>
        <w:rPr>
          <w:b/>
          <w:sz w:val="28"/>
        </w:rPr>
      </w:pPr>
    </w:p>
    <w:p w14:paraId="048D1D35" w14:textId="77777777" w:rsidR="00007623" w:rsidRDefault="00007623" w:rsidP="00007623">
      <w:pPr>
        <w:jc w:val="center"/>
        <w:rPr>
          <w:b/>
          <w:sz w:val="28"/>
        </w:rPr>
      </w:pPr>
      <w:r>
        <w:rPr>
          <w:b/>
          <w:sz w:val="28"/>
        </w:rPr>
        <w:t>Tiered Focused Monitoring Report</w:t>
      </w:r>
    </w:p>
    <w:p w14:paraId="34A63107" w14:textId="77777777" w:rsidR="00007623" w:rsidRDefault="00007623" w:rsidP="00007623">
      <w:pPr>
        <w:jc w:val="center"/>
        <w:rPr>
          <w:b/>
          <w:sz w:val="28"/>
        </w:rPr>
      </w:pPr>
    </w:p>
    <w:p w14:paraId="66B3AAEA" w14:textId="651CE960" w:rsidR="00007623" w:rsidRDefault="00007623" w:rsidP="00007623">
      <w:pPr>
        <w:jc w:val="center"/>
        <w:rPr>
          <w:b/>
          <w:sz w:val="24"/>
        </w:rPr>
      </w:pPr>
      <w:r>
        <w:rPr>
          <w:b/>
          <w:sz w:val="24"/>
        </w:rPr>
        <w:t xml:space="preserve">For </w:t>
      </w:r>
      <w:bookmarkStart w:id="0" w:name="CrGroup1"/>
      <w:r>
        <w:rPr>
          <w:b/>
          <w:sz w:val="24"/>
        </w:rPr>
        <w:t xml:space="preserve">Group </w:t>
      </w:r>
      <w:bookmarkEnd w:id="0"/>
      <w:r w:rsidR="00561A32">
        <w:rPr>
          <w:b/>
          <w:sz w:val="24"/>
        </w:rPr>
        <w:t>B</w:t>
      </w:r>
      <w:r>
        <w:rPr>
          <w:b/>
          <w:sz w:val="24"/>
        </w:rPr>
        <w:t xml:space="preserve"> Universal Standards</w:t>
      </w:r>
    </w:p>
    <w:p w14:paraId="15B0B6E4" w14:textId="77777777" w:rsidR="00007623" w:rsidRDefault="00007623" w:rsidP="00007623">
      <w:pPr>
        <w:jc w:val="center"/>
        <w:rPr>
          <w:b/>
          <w:sz w:val="24"/>
        </w:rPr>
      </w:pPr>
      <w:r>
        <w:rPr>
          <w:b/>
          <w:sz w:val="24"/>
        </w:rPr>
        <w:t xml:space="preserve">Tier Level </w:t>
      </w:r>
      <w:bookmarkStart w:id="1" w:name="TierNumber"/>
      <w:r>
        <w:rPr>
          <w:b/>
          <w:sz w:val="24"/>
        </w:rPr>
        <w:t>2</w:t>
      </w:r>
      <w:bookmarkEnd w:id="1"/>
    </w:p>
    <w:p w14:paraId="3765012D" w14:textId="77777777" w:rsidR="00007623" w:rsidRDefault="00007623" w:rsidP="00007623">
      <w:pPr>
        <w:jc w:val="center"/>
        <w:rPr>
          <w:b/>
          <w:sz w:val="24"/>
        </w:rPr>
      </w:pPr>
    </w:p>
    <w:p w14:paraId="26771F03" w14:textId="3FFB599D" w:rsidR="00007623" w:rsidRDefault="007F6FCC" w:rsidP="00007623">
      <w:pPr>
        <w:jc w:val="center"/>
        <w:rPr>
          <w:b/>
          <w:sz w:val="24"/>
        </w:rPr>
      </w:pPr>
      <w:r w:rsidRPr="007F6FCC">
        <w:rPr>
          <w:b/>
          <w:sz w:val="24"/>
        </w:rPr>
        <w:t>Dates of Onsite Visit: November 29-30, 2022</w:t>
      </w:r>
    </w:p>
    <w:p w14:paraId="28A9AB03" w14:textId="77777777" w:rsidR="007F6FCC" w:rsidRDefault="007F6FCC" w:rsidP="00007623">
      <w:pPr>
        <w:jc w:val="center"/>
        <w:rPr>
          <w:b/>
          <w:sz w:val="24"/>
        </w:rPr>
      </w:pPr>
    </w:p>
    <w:p w14:paraId="42ED764E" w14:textId="42331A13" w:rsidR="00007623" w:rsidRDefault="00007623" w:rsidP="11179419">
      <w:pPr>
        <w:jc w:val="center"/>
        <w:rPr>
          <w:b/>
          <w:bCs/>
          <w:sz w:val="24"/>
          <w:szCs w:val="24"/>
        </w:rPr>
      </w:pPr>
      <w:r w:rsidRPr="11179419">
        <w:rPr>
          <w:b/>
          <w:bCs/>
          <w:sz w:val="24"/>
          <w:szCs w:val="24"/>
        </w:rPr>
        <w:t xml:space="preserve">Date of Final Report: </w:t>
      </w:r>
      <w:r w:rsidR="007F6FCC" w:rsidRPr="11179419">
        <w:rPr>
          <w:b/>
          <w:bCs/>
          <w:sz w:val="24"/>
          <w:szCs w:val="24"/>
        </w:rPr>
        <w:t xml:space="preserve">February </w:t>
      </w:r>
      <w:r w:rsidR="7D4E2D31" w:rsidRPr="11179419">
        <w:rPr>
          <w:b/>
          <w:bCs/>
          <w:sz w:val="24"/>
          <w:szCs w:val="24"/>
        </w:rPr>
        <w:t>24</w:t>
      </w:r>
      <w:r w:rsidR="007F6FCC" w:rsidRPr="11179419">
        <w:rPr>
          <w:b/>
          <w:bCs/>
          <w:sz w:val="24"/>
          <w:szCs w:val="24"/>
        </w:rPr>
        <w:t>, 2023</w:t>
      </w:r>
    </w:p>
    <w:p w14:paraId="2AE05B5D" w14:textId="77777777" w:rsidR="00723006" w:rsidRDefault="00723006" w:rsidP="00007623">
      <w:pPr>
        <w:jc w:val="center"/>
        <w:rPr>
          <w:b/>
          <w:sz w:val="24"/>
        </w:rPr>
      </w:pPr>
    </w:p>
    <w:p w14:paraId="7C1DCE22" w14:textId="77777777" w:rsidR="00723006" w:rsidRDefault="00723006" w:rsidP="00007623">
      <w:pPr>
        <w:jc w:val="center"/>
        <w:rPr>
          <w:b/>
          <w:sz w:val="24"/>
        </w:rPr>
      </w:pPr>
      <w:r>
        <w:rPr>
          <w:b/>
          <w:sz w:val="24"/>
        </w:rPr>
        <w:t>Department of Elementary and Secondary Education Team Members:</w:t>
      </w:r>
    </w:p>
    <w:p w14:paraId="1E79D5E8" w14:textId="6D1EE855" w:rsidR="00723006" w:rsidRDefault="007F6FCC" w:rsidP="00007623">
      <w:pPr>
        <w:jc w:val="center"/>
        <w:rPr>
          <w:b/>
          <w:sz w:val="24"/>
        </w:rPr>
      </w:pPr>
      <w:r>
        <w:rPr>
          <w:b/>
          <w:sz w:val="24"/>
        </w:rPr>
        <w:t>Erin VandeVeer</w:t>
      </w:r>
      <w:r w:rsidR="00723006">
        <w:rPr>
          <w:b/>
          <w:sz w:val="24"/>
        </w:rPr>
        <w:t>, Chairperson</w:t>
      </w:r>
    </w:p>
    <w:p w14:paraId="52295A14" w14:textId="77777777" w:rsidR="00007623" w:rsidRDefault="00007623" w:rsidP="00007623">
      <w:pPr>
        <w:rPr>
          <w:sz w:val="22"/>
          <w:szCs w:val="22"/>
        </w:rPr>
      </w:pPr>
    </w:p>
    <w:p w14:paraId="17719573" w14:textId="77777777" w:rsidR="00007623" w:rsidRDefault="00007623" w:rsidP="00007623">
      <w:pPr>
        <w:rPr>
          <w:sz w:val="22"/>
          <w:szCs w:val="22"/>
        </w:rPr>
      </w:pPr>
    </w:p>
    <w:p w14:paraId="7B7F0AA1" w14:textId="77777777" w:rsidR="00007623" w:rsidRDefault="00007623" w:rsidP="00007623">
      <w:pPr>
        <w:rPr>
          <w:sz w:val="22"/>
          <w:szCs w:val="22"/>
        </w:rPr>
      </w:pPr>
    </w:p>
    <w:p w14:paraId="53C7C8FC" w14:textId="77777777" w:rsidR="00007623" w:rsidRDefault="00007623" w:rsidP="00007623">
      <w:pPr>
        <w:tabs>
          <w:tab w:val="left" w:pos="4125"/>
        </w:tabs>
        <w:rPr>
          <w:sz w:val="22"/>
        </w:rPr>
      </w:pPr>
    </w:p>
    <w:p w14:paraId="3276472F" w14:textId="77777777" w:rsidR="00007623" w:rsidRDefault="00007623" w:rsidP="00007623">
      <w:pPr>
        <w:tabs>
          <w:tab w:val="left" w:pos="4125"/>
        </w:tabs>
        <w:rPr>
          <w:sz w:val="22"/>
        </w:rPr>
      </w:pPr>
    </w:p>
    <w:p w14:paraId="7E95B588" w14:textId="33156257" w:rsidR="00007623" w:rsidRDefault="00007623" w:rsidP="00007623">
      <w:pPr>
        <w:tabs>
          <w:tab w:val="left" w:pos="4125"/>
        </w:tabs>
        <w:rPr>
          <w:sz w:val="22"/>
        </w:rPr>
      </w:pPr>
    </w:p>
    <w:p w14:paraId="4FD285BB" w14:textId="77777777" w:rsidR="007F6FCC" w:rsidRDefault="007F6FCC" w:rsidP="00007623">
      <w:pPr>
        <w:tabs>
          <w:tab w:val="left" w:pos="4125"/>
        </w:tabs>
        <w:rPr>
          <w:sz w:val="22"/>
        </w:rPr>
      </w:pPr>
    </w:p>
    <w:p w14:paraId="50620BFB" w14:textId="77777777" w:rsidR="00007623" w:rsidRDefault="00007623" w:rsidP="00007623">
      <w:pPr>
        <w:tabs>
          <w:tab w:val="left" w:pos="4125"/>
        </w:tabs>
        <w:rPr>
          <w:sz w:val="22"/>
        </w:rPr>
      </w:pPr>
    </w:p>
    <w:p w14:paraId="5C727379" w14:textId="77777777" w:rsidR="00007623" w:rsidRDefault="00007623" w:rsidP="00007623">
      <w:pPr>
        <w:tabs>
          <w:tab w:val="left" w:pos="4125"/>
        </w:tabs>
        <w:rPr>
          <w:sz w:val="22"/>
        </w:rPr>
      </w:pPr>
    </w:p>
    <w:p w14:paraId="2DC4DA40" w14:textId="77777777" w:rsidR="00007623" w:rsidRDefault="00007623" w:rsidP="00007623">
      <w:pPr>
        <w:tabs>
          <w:tab w:val="left" w:pos="4125"/>
        </w:tabs>
        <w:rPr>
          <w:sz w:val="22"/>
        </w:rPr>
      </w:pPr>
    </w:p>
    <w:p w14:paraId="73F5954D" w14:textId="260C75DF" w:rsidR="00007623" w:rsidRDefault="007961D4" w:rsidP="0033084D">
      <w:pPr>
        <w:tabs>
          <w:tab w:val="left" w:pos="4125"/>
        </w:tabs>
        <w:jc w:val="center"/>
        <w:rPr>
          <w:sz w:val="22"/>
        </w:rPr>
      </w:pPr>
      <w:r w:rsidRPr="00640E7A">
        <w:rPr>
          <w:noProof/>
        </w:rPr>
        <w:drawing>
          <wp:inline distT="0" distB="0" distL="0" distR="0" wp14:anchorId="306D60A9" wp14:editId="7F2769A2">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F6D92D3" w14:textId="77777777" w:rsidR="00007623" w:rsidRDefault="00007623" w:rsidP="00007623">
      <w:pPr>
        <w:tabs>
          <w:tab w:val="left" w:pos="4125"/>
        </w:tabs>
        <w:rPr>
          <w:sz w:val="22"/>
        </w:rPr>
      </w:pPr>
    </w:p>
    <w:p w14:paraId="19A67934" w14:textId="77777777" w:rsidR="00007623" w:rsidRPr="00E1547A" w:rsidRDefault="00007623" w:rsidP="00007623">
      <w:pPr>
        <w:tabs>
          <w:tab w:val="left" w:pos="4125"/>
        </w:tabs>
        <w:jc w:val="center"/>
        <w:rPr>
          <w:sz w:val="22"/>
          <w:szCs w:val="22"/>
        </w:rPr>
      </w:pPr>
      <w:r w:rsidRPr="00E1547A">
        <w:rPr>
          <w:sz w:val="22"/>
          <w:szCs w:val="22"/>
        </w:rPr>
        <w:t>Jeffrey C. Riley</w:t>
      </w:r>
    </w:p>
    <w:p w14:paraId="22847D7C" w14:textId="77777777" w:rsidR="00007623" w:rsidRDefault="00007623" w:rsidP="00007623">
      <w:pPr>
        <w:tabs>
          <w:tab w:val="left" w:pos="4125"/>
        </w:tabs>
        <w:jc w:val="center"/>
        <w:rPr>
          <w:sz w:val="22"/>
          <w:szCs w:val="22"/>
        </w:rPr>
      </w:pPr>
      <w:r w:rsidRPr="00E1547A">
        <w:rPr>
          <w:sz w:val="22"/>
          <w:szCs w:val="22"/>
        </w:rPr>
        <w:t>Commissioner of Elementary and Secondary Education</w:t>
      </w:r>
    </w:p>
    <w:p w14:paraId="4FCEBD5C" w14:textId="77777777" w:rsidR="00007623" w:rsidRPr="00A56B0C" w:rsidRDefault="00007623" w:rsidP="00007623">
      <w:pPr>
        <w:tabs>
          <w:tab w:val="left" w:pos="4125"/>
        </w:tabs>
        <w:jc w:val="center"/>
        <w:rPr>
          <w:sz w:val="2"/>
          <w:szCs w:val="2"/>
        </w:rPr>
      </w:pPr>
      <w:r w:rsidRPr="00A56B0C">
        <w:rPr>
          <w:sz w:val="2"/>
          <w:szCs w:val="2"/>
        </w:rPr>
        <w:br w:type="page"/>
      </w:r>
    </w:p>
    <w:p w14:paraId="49435EEB" w14:textId="77777777" w:rsidR="00007623" w:rsidRPr="00F917FE" w:rsidRDefault="00007623" w:rsidP="00007623">
      <w:pPr>
        <w:jc w:val="center"/>
        <w:rPr>
          <w:b/>
          <w:sz w:val="22"/>
        </w:rPr>
      </w:pPr>
      <w:r w:rsidRPr="00F917FE">
        <w:rPr>
          <w:b/>
          <w:sz w:val="22"/>
        </w:rPr>
        <w:t>MASSACHUSETTS DEPARTMENT OF ELEMENTARY AND SECONDARY EDUCATION</w:t>
      </w:r>
    </w:p>
    <w:p w14:paraId="389D37CF" w14:textId="77777777" w:rsidR="00007623" w:rsidRPr="00F917FE" w:rsidRDefault="00007623" w:rsidP="00007623">
      <w:pPr>
        <w:jc w:val="center"/>
        <w:rPr>
          <w:b/>
          <w:sz w:val="22"/>
        </w:rPr>
      </w:pPr>
      <w:r>
        <w:rPr>
          <w:b/>
          <w:sz w:val="22"/>
        </w:rPr>
        <w:t>TIERED FOCUSED MONITORING</w:t>
      </w:r>
      <w:r w:rsidRPr="00F917FE">
        <w:rPr>
          <w:b/>
          <w:sz w:val="22"/>
        </w:rPr>
        <w:t xml:space="preserve"> REPORT</w:t>
      </w:r>
    </w:p>
    <w:p w14:paraId="0272E342" w14:textId="77777777" w:rsidR="00007623" w:rsidRPr="00F917FE" w:rsidRDefault="00007623" w:rsidP="00007623">
      <w:pPr>
        <w:jc w:val="center"/>
        <w:rPr>
          <w:b/>
          <w:sz w:val="22"/>
        </w:rPr>
      </w:pPr>
    </w:p>
    <w:p w14:paraId="0C851367" w14:textId="0E090A5C" w:rsidR="00007623" w:rsidRPr="00F917FE" w:rsidRDefault="00C0301F" w:rsidP="00007623">
      <w:pPr>
        <w:jc w:val="center"/>
        <w:rPr>
          <w:b/>
          <w:sz w:val="26"/>
        </w:rPr>
      </w:pPr>
      <w:r>
        <w:rPr>
          <w:b/>
          <w:sz w:val="26"/>
        </w:rPr>
        <w:t>Prospect Hill Academy Charter</w:t>
      </w:r>
      <w:r w:rsidR="0054756B">
        <w:rPr>
          <w:b/>
          <w:sz w:val="26"/>
        </w:rPr>
        <w:t xml:space="preserve"> School</w:t>
      </w:r>
      <w:r>
        <w:rPr>
          <w:b/>
          <w:sz w:val="26"/>
        </w:rPr>
        <w:t xml:space="preserve"> </w:t>
      </w:r>
    </w:p>
    <w:p w14:paraId="68460147" w14:textId="77777777" w:rsidR="00007623" w:rsidRPr="00F917FE" w:rsidRDefault="00007623" w:rsidP="00007623">
      <w:pPr>
        <w:jc w:val="center"/>
        <w:rPr>
          <w:b/>
          <w:sz w:val="22"/>
        </w:rPr>
      </w:pPr>
    </w:p>
    <w:p w14:paraId="60ABEDBA" w14:textId="77777777" w:rsidR="00007623" w:rsidRPr="00F917FE" w:rsidRDefault="00007623" w:rsidP="00007623">
      <w:pPr>
        <w:rPr>
          <w:b/>
          <w:sz w:val="22"/>
        </w:rPr>
      </w:pPr>
    </w:p>
    <w:p w14:paraId="266AEC34" w14:textId="5E2F8FBE" w:rsidR="00954694" w:rsidRDefault="00007623">
      <w:pPr>
        <w:pStyle w:val="TOC1"/>
        <w:rPr>
          <w:rFonts w:asciiTheme="minorHAnsi" w:eastAsiaTheme="minorEastAsia" w:hAnsiTheme="minorHAnsi" w:cstheme="minorBidi"/>
          <w:b w:val="0"/>
          <w:bCs w:val="0"/>
        </w:rPr>
      </w:pPr>
      <w:r w:rsidRPr="00C63716">
        <w:fldChar w:fldCharType="begin"/>
      </w:r>
      <w:r w:rsidRPr="00C63716">
        <w:instrText xml:space="preserve"> TOC \f \h \z </w:instrText>
      </w:r>
      <w:r w:rsidRPr="00C63716">
        <w:fldChar w:fldCharType="separate"/>
      </w:r>
      <w:hyperlink w:anchor="_Toc128129551" w:history="1">
        <w:r w:rsidR="00954694" w:rsidRPr="002764E5">
          <w:rPr>
            <w:rStyle w:val="Hyperlink"/>
          </w:rPr>
          <w:t>REPORT INTRODUCTION</w:t>
        </w:r>
        <w:r w:rsidR="00954694">
          <w:rPr>
            <w:webHidden/>
          </w:rPr>
          <w:tab/>
        </w:r>
        <w:r w:rsidR="00954694">
          <w:rPr>
            <w:webHidden/>
          </w:rPr>
          <w:fldChar w:fldCharType="begin"/>
        </w:r>
        <w:r w:rsidR="00954694">
          <w:rPr>
            <w:webHidden/>
          </w:rPr>
          <w:instrText xml:space="preserve"> PAGEREF _Toc128129551 \h </w:instrText>
        </w:r>
        <w:r w:rsidR="00954694">
          <w:rPr>
            <w:webHidden/>
          </w:rPr>
        </w:r>
        <w:r w:rsidR="00954694">
          <w:rPr>
            <w:webHidden/>
          </w:rPr>
          <w:fldChar w:fldCharType="separate"/>
        </w:r>
        <w:r w:rsidR="00E87009">
          <w:rPr>
            <w:webHidden/>
          </w:rPr>
          <w:t>3</w:t>
        </w:r>
        <w:r w:rsidR="00954694">
          <w:rPr>
            <w:webHidden/>
          </w:rPr>
          <w:fldChar w:fldCharType="end"/>
        </w:r>
      </w:hyperlink>
    </w:p>
    <w:p w14:paraId="6EF45E2E" w14:textId="5CC29B65" w:rsidR="00954694" w:rsidRDefault="00BA69AA">
      <w:pPr>
        <w:pStyle w:val="TOC1"/>
        <w:rPr>
          <w:rFonts w:asciiTheme="minorHAnsi" w:eastAsiaTheme="minorEastAsia" w:hAnsiTheme="minorHAnsi" w:cstheme="minorBidi"/>
          <w:b w:val="0"/>
          <w:bCs w:val="0"/>
        </w:rPr>
      </w:pPr>
      <w:hyperlink w:anchor="_Toc128129552" w:history="1">
        <w:r w:rsidR="00954694" w:rsidRPr="002764E5">
          <w:rPr>
            <w:rStyle w:val="Hyperlink"/>
          </w:rPr>
          <w:t>TIERED FOCUSED MONITORING FINAL REPORT</w:t>
        </w:r>
        <w:r w:rsidR="00954694">
          <w:rPr>
            <w:webHidden/>
          </w:rPr>
          <w:tab/>
        </w:r>
        <w:r w:rsidR="00954694">
          <w:rPr>
            <w:webHidden/>
          </w:rPr>
          <w:fldChar w:fldCharType="begin"/>
        </w:r>
        <w:r w:rsidR="00954694">
          <w:rPr>
            <w:webHidden/>
          </w:rPr>
          <w:instrText xml:space="preserve"> PAGEREF _Toc128129552 \h </w:instrText>
        </w:r>
        <w:r w:rsidR="00954694">
          <w:rPr>
            <w:webHidden/>
          </w:rPr>
        </w:r>
        <w:r w:rsidR="00954694">
          <w:rPr>
            <w:webHidden/>
          </w:rPr>
          <w:fldChar w:fldCharType="separate"/>
        </w:r>
        <w:r w:rsidR="00E87009">
          <w:rPr>
            <w:webHidden/>
          </w:rPr>
          <w:t>6</w:t>
        </w:r>
        <w:r w:rsidR="00954694">
          <w:rPr>
            <w:webHidden/>
          </w:rPr>
          <w:fldChar w:fldCharType="end"/>
        </w:r>
      </w:hyperlink>
    </w:p>
    <w:p w14:paraId="2FCDFC01" w14:textId="440DB9A3" w:rsidR="00954694" w:rsidRDefault="00BA69AA">
      <w:pPr>
        <w:pStyle w:val="TOC1"/>
        <w:rPr>
          <w:rFonts w:asciiTheme="minorHAnsi" w:eastAsiaTheme="minorEastAsia" w:hAnsiTheme="minorHAnsi" w:cstheme="minorBidi"/>
          <w:b w:val="0"/>
          <w:bCs w:val="0"/>
        </w:rPr>
      </w:pPr>
      <w:hyperlink w:anchor="_Toc128129553" w:history="1">
        <w:r w:rsidR="00954694" w:rsidRPr="002764E5">
          <w:rPr>
            <w:rStyle w:val="Hyperlink"/>
          </w:rPr>
          <w:t>DEFINITION OF COMPLIANCE RATINGS</w:t>
        </w:r>
        <w:r w:rsidR="00954694">
          <w:rPr>
            <w:webHidden/>
          </w:rPr>
          <w:tab/>
        </w:r>
        <w:r w:rsidR="00954694">
          <w:rPr>
            <w:webHidden/>
          </w:rPr>
          <w:fldChar w:fldCharType="begin"/>
        </w:r>
        <w:r w:rsidR="00954694">
          <w:rPr>
            <w:webHidden/>
          </w:rPr>
          <w:instrText xml:space="preserve"> PAGEREF _Toc128129553 \h </w:instrText>
        </w:r>
        <w:r w:rsidR="00954694">
          <w:rPr>
            <w:webHidden/>
          </w:rPr>
        </w:r>
        <w:r w:rsidR="00954694">
          <w:rPr>
            <w:webHidden/>
          </w:rPr>
          <w:fldChar w:fldCharType="separate"/>
        </w:r>
        <w:r w:rsidR="00E87009">
          <w:rPr>
            <w:webHidden/>
          </w:rPr>
          <w:t>9</w:t>
        </w:r>
        <w:r w:rsidR="00954694">
          <w:rPr>
            <w:webHidden/>
          </w:rPr>
          <w:fldChar w:fldCharType="end"/>
        </w:r>
      </w:hyperlink>
    </w:p>
    <w:p w14:paraId="0C497E6B" w14:textId="15B02B95" w:rsidR="00954694" w:rsidRDefault="00BA69AA">
      <w:pPr>
        <w:pStyle w:val="TOC1"/>
        <w:rPr>
          <w:rFonts w:asciiTheme="minorHAnsi" w:eastAsiaTheme="minorEastAsia" w:hAnsiTheme="minorHAnsi" w:cstheme="minorBidi"/>
          <w:b w:val="0"/>
          <w:bCs w:val="0"/>
        </w:rPr>
      </w:pPr>
      <w:hyperlink w:anchor="_Toc128129554" w:history="1">
        <w:r w:rsidR="00954694" w:rsidRPr="002764E5">
          <w:rPr>
            <w:rStyle w:val="Hyperlink"/>
          </w:rPr>
          <w:t>SUMMARY OF COMPLIANCE RATINGS</w:t>
        </w:r>
        <w:r w:rsidR="00954694">
          <w:rPr>
            <w:webHidden/>
          </w:rPr>
          <w:tab/>
        </w:r>
        <w:r w:rsidR="00954694">
          <w:rPr>
            <w:webHidden/>
          </w:rPr>
          <w:fldChar w:fldCharType="begin"/>
        </w:r>
        <w:r w:rsidR="00954694">
          <w:rPr>
            <w:webHidden/>
          </w:rPr>
          <w:instrText xml:space="preserve"> PAGEREF _Toc128129554 \h </w:instrText>
        </w:r>
        <w:r w:rsidR="00954694">
          <w:rPr>
            <w:webHidden/>
          </w:rPr>
        </w:r>
        <w:r w:rsidR="00954694">
          <w:rPr>
            <w:webHidden/>
          </w:rPr>
          <w:fldChar w:fldCharType="separate"/>
        </w:r>
        <w:r w:rsidR="00E87009">
          <w:rPr>
            <w:webHidden/>
          </w:rPr>
          <w:t>10</w:t>
        </w:r>
        <w:r w:rsidR="00954694">
          <w:rPr>
            <w:webHidden/>
          </w:rPr>
          <w:fldChar w:fldCharType="end"/>
        </w:r>
      </w:hyperlink>
    </w:p>
    <w:p w14:paraId="3B8B7858" w14:textId="7A83905B" w:rsidR="00007623" w:rsidRDefault="00007623" w:rsidP="00007623">
      <w:pPr>
        <w:rPr>
          <w:b/>
          <w:bCs/>
          <w:sz w:val="22"/>
        </w:rPr>
      </w:pPr>
      <w:r w:rsidRPr="00C63716">
        <w:rPr>
          <w:b/>
          <w:bCs/>
          <w:sz w:val="22"/>
        </w:rPr>
        <w:fldChar w:fldCharType="end"/>
      </w:r>
    </w:p>
    <w:p w14:paraId="70949C69" w14:textId="77777777" w:rsidR="00007623" w:rsidRDefault="00007623" w:rsidP="00007623">
      <w:pPr>
        <w:rPr>
          <w:b/>
          <w:sz w:val="22"/>
        </w:rPr>
      </w:pPr>
      <w:r>
        <w:rPr>
          <w:b/>
          <w:bCs/>
          <w:sz w:val="22"/>
        </w:rPr>
        <w:br w:type="page"/>
      </w:r>
      <w:r>
        <w:rPr>
          <w:b/>
          <w:sz w:val="22"/>
        </w:rPr>
        <w:t>MASSACHUSETTS DEPARTMENT OF ELEMENTARY AND SECONDARY EDUCATION</w:t>
      </w:r>
    </w:p>
    <w:p w14:paraId="10415D30" w14:textId="77777777" w:rsidR="00007623" w:rsidRDefault="00007623" w:rsidP="00007623">
      <w:pPr>
        <w:jc w:val="center"/>
        <w:rPr>
          <w:b/>
          <w:sz w:val="22"/>
        </w:rPr>
      </w:pPr>
      <w:r>
        <w:rPr>
          <w:b/>
          <w:sz w:val="22"/>
        </w:rPr>
        <w:t>REPORT INTRODUCTION</w:t>
      </w:r>
    </w:p>
    <w:p w14:paraId="36A0A36D" w14:textId="77777777" w:rsidR="00007623" w:rsidRDefault="00007623" w:rsidP="00007623">
      <w:pPr>
        <w:jc w:val="center"/>
        <w:rPr>
          <w:b/>
          <w:sz w:val="22"/>
        </w:rPr>
      </w:pPr>
      <w:r w:rsidRPr="673933FA">
        <w:rPr>
          <w:b/>
          <w:bCs/>
          <w:sz w:val="22"/>
          <w:szCs w:val="22"/>
        </w:rPr>
        <w:fldChar w:fldCharType="begin"/>
      </w:r>
      <w:r>
        <w:instrText xml:space="preserve"> TC "</w:instrText>
      </w:r>
      <w:bookmarkStart w:id="2" w:name="_Toc128129551"/>
      <w:r w:rsidRPr="673933FA">
        <w:rPr>
          <w:b/>
          <w:bCs/>
          <w:sz w:val="22"/>
          <w:szCs w:val="22"/>
        </w:rPr>
        <w:instrText>REPORT INTRODUCTION</w:instrText>
      </w:r>
      <w:bookmarkEnd w:id="2"/>
      <w:r>
        <w:instrText xml:space="preserve">" \f C \l "1" </w:instrText>
      </w:r>
      <w:r w:rsidRPr="673933FA">
        <w:rPr>
          <w:b/>
          <w:bCs/>
          <w:sz w:val="22"/>
          <w:szCs w:val="22"/>
        </w:rPr>
        <w:fldChar w:fldCharType="end"/>
      </w:r>
    </w:p>
    <w:p w14:paraId="4BAA4DC9" w14:textId="77777777" w:rsidR="00007623" w:rsidRDefault="00007623" w:rsidP="00007623">
      <w:pPr>
        <w:rPr>
          <w:sz w:val="22"/>
          <w:szCs w:val="22"/>
        </w:rPr>
      </w:pPr>
    </w:p>
    <w:p w14:paraId="5F76F2E8" w14:textId="7E4482EA" w:rsidR="00007623" w:rsidRPr="00F84189" w:rsidRDefault="00007623" w:rsidP="00007623">
      <w:pPr>
        <w:rPr>
          <w:sz w:val="22"/>
          <w:szCs w:val="22"/>
        </w:rPr>
      </w:pPr>
      <w:r w:rsidRPr="006822D1">
        <w:rPr>
          <w:sz w:val="22"/>
          <w:szCs w:val="22"/>
        </w:rPr>
        <w:t xml:space="preserve">During the </w:t>
      </w:r>
      <w:bookmarkStart w:id="3" w:name="SchoolYear"/>
      <w:r w:rsidRPr="006822D1">
        <w:rPr>
          <w:sz w:val="22"/>
          <w:szCs w:val="22"/>
        </w:rPr>
        <w:t>2022-2023</w:t>
      </w:r>
      <w:bookmarkEnd w:id="3"/>
      <w:r>
        <w:rPr>
          <w:sz w:val="22"/>
          <w:szCs w:val="22"/>
        </w:rPr>
        <w:t xml:space="preserve"> school year, </w:t>
      </w:r>
      <w:r w:rsidR="001438B5">
        <w:rPr>
          <w:sz w:val="22"/>
          <w:szCs w:val="22"/>
        </w:rPr>
        <w:t>Prospect Hill Academy Charter School</w:t>
      </w:r>
      <w:r w:rsidR="005A789B">
        <w:rPr>
          <w:sz w:val="22"/>
          <w:szCs w:val="22"/>
        </w:rPr>
        <w:t xml:space="preserve">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 xml:space="preserve">the </w:t>
      </w:r>
      <w:r w:rsidR="001438B5">
        <w:rPr>
          <w:b/>
          <w:sz w:val="22"/>
          <w:szCs w:val="22"/>
        </w:rPr>
        <w:t>school</w:t>
      </w:r>
      <w:r w:rsidRPr="00AE089C">
        <w:rPr>
          <w:b/>
          <w:sz w:val="22"/>
          <w:szCs w:val="22"/>
        </w:rPr>
        <w:t xml:space="preserve"> was found to be in compliance with all criteria reviewed; no corrective action is required at this time.</w:t>
      </w:r>
    </w:p>
    <w:p w14:paraId="715194C8" w14:textId="77777777" w:rsidR="00007623" w:rsidRPr="00C07FE7" w:rsidRDefault="00007623" w:rsidP="00007623">
      <w:pPr>
        <w:rPr>
          <w:sz w:val="22"/>
          <w:szCs w:val="22"/>
        </w:rPr>
      </w:pPr>
    </w:p>
    <w:p w14:paraId="61C5A913" w14:textId="77777777" w:rsidR="00007623" w:rsidRDefault="00007623" w:rsidP="0000762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76F437CF" w14:textId="77777777" w:rsidR="00007623" w:rsidRDefault="00007623" w:rsidP="00007623">
      <w:pPr>
        <w:ind w:left="1080" w:hanging="1080"/>
        <w:rPr>
          <w:sz w:val="22"/>
        </w:rPr>
      </w:pPr>
    </w:p>
    <w:p w14:paraId="120DEE59" w14:textId="77777777" w:rsidR="00007623" w:rsidRDefault="00007623" w:rsidP="00007623">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3B7D8068" w14:textId="77777777" w:rsidR="00007623" w:rsidRDefault="00007623" w:rsidP="00007623">
      <w:pPr>
        <w:rPr>
          <w:sz w:val="22"/>
          <w:szCs w:val="22"/>
        </w:rPr>
      </w:pPr>
    </w:p>
    <w:p w14:paraId="58B3F8D6" w14:textId="77777777" w:rsidR="00007623" w:rsidRPr="005369A1" w:rsidRDefault="00007623" w:rsidP="0000762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B5E0888"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3179F444" w14:textId="77777777" w:rsidR="00007623" w:rsidRPr="009E12C6" w:rsidRDefault="00007623" w:rsidP="00007623">
      <w:pPr>
        <w:pStyle w:val="ListParagraph"/>
        <w:numPr>
          <w:ilvl w:val="0"/>
          <w:numId w:val="5"/>
        </w:numPr>
        <w:rPr>
          <w:sz w:val="22"/>
          <w:szCs w:val="22"/>
        </w:rPr>
      </w:pPr>
      <w:r w:rsidRPr="00A35C9E">
        <w:rPr>
          <w:rFonts w:ascii="Times New Roman" w:hAnsi="Times New Roman" w:cs="Times New Roman"/>
          <w:sz w:val="22"/>
          <w:szCs w:val="22"/>
        </w:rPr>
        <w:t>IEP development</w:t>
      </w:r>
    </w:p>
    <w:p w14:paraId="2E9CAAA6"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4B4B62E4"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Equal opportunity</w:t>
      </w:r>
    </w:p>
    <w:p w14:paraId="261DB4B3" w14:textId="77777777" w:rsidR="00007623" w:rsidRPr="009E12C6" w:rsidRDefault="00007623" w:rsidP="00007623">
      <w:pPr>
        <w:rPr>
          <w:sz w:val="22"/>
          <w:szCs w:val="22"/>
        </w:rPr>
      </w:pPr>
    </w:p>
    <w:p w14:paraId="5CA9F1C5" w14:textId="77777777" w:rsidR="00007623" w:rsidRDefault="00007623" w:rsidP="0000762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EACFBFD"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4D4C088E"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78F0FBEF"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4FFE038C"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Oversight</w:t>
      </w:r>
    </w:p>
    <w:p w14:paraId="5EDAF849" w14:textId="77777777" w:rsidR="00007623" w:rsidRPr="009E12C6" w:rsidRDefault="00007623" w:rsidP="00007623">
      <w:pPr>
        <w:pStyle w:val="ListParagraph"/>
        <w:numPr>
          <w:ilvl w:val="0"/>
          <w:numId w:val="5"/>
        </w:numPr>
        <w:rPr>
          <w:sz w:val="22"/>
          <w:szCs w:val="22"/>
        </w:rPr>
      </w:pPr>
      <w:r w:rsidRPr="009E12C6">
        <w:rPr>
          <w:rFonts w:ascii="Times New Roman" w:hAnsi="Times New Roman" w:cs="Times New Roman"/>
          <w:sz w:val="22"/>
          <w:szCs w:val="22"/>
        </w:rPr>
        <w:t>Time and learning</w:t>
      </w:r>
    </w:p>
    <w:p w14:paraId="1173EDFA" w14:textId="77777777" w:rsidR="00007623" w:rsidRPr="003844DB" w:rsidRDefault="00007623" w:rsidP="00007623">
      <w:pPr>
        <w:pStyle w:val="ListParagraph"/>
        <w:numPr>
          <w:ilvl w:val="0"/>
          <w:numId w:val="5"/>
        </w:numPr>
        <w:rPr>
          <w:sz w:val="22"/>
          <w:szCs w:val="22"/>
        </w:rPr>
      </w:pPr>
      <w:r w:rsidRPr="009E12C6">
        <w:rPr>
          <w:rFonts w:ascii="Times New Roman" w:hAnsi="Times New Roman" w:cs="Times New Roman"/>
          <w:sz w:val="22"/>
          <w:szCs w:val="22"/>
        </w:rPr>
        <w:t>Equal access</w:t>
      </w:r>
    </w:p>
    <w:p w14:paraId="277D410D" w14:textId="77777777" w:rsidR="00007623" w:rsidRDefault="00007623" w:rsidP="00007623">
      <w:pPr>
        <w:rPr>
          <w:sz w:val="22"/>
          <w:szCs w:val="22"/>
        </w:rPr>
      </w:pPr>
    </w:p>
    <w:p w14:paraId="0B35502A" w14:textId="77777777" w:rsidR="00007623" w:rsidRPr="000912A8" w:rsidRDefault="00007623" w:rsidP="0000762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175116D4" w14:textId="77777777" w:rsidR="00007623" w:rsidRDefault="00007623" w:rsidP="00007623">
      <w:pPr>
        <w:ind w:hanging="1080"/>
        <w:rPr>
          <w:sz w:val="22"/>
        </w:rPr>
      </w:pPr>
    </w:p>
    <w:p w14:paraId="1CE58601" w14:textId="77777777" w:rsidR="00007623" w:rsidRDefault="00007623" w:rsidP="00007623">
      <w:pPr>
        <w:rPr>
          <w:sz w:val="22"/>
        </w:rPr>
      </w:pPr>
      <w:r>
        <w:rPr>
          <w:sz w:val="22"/>
        </w:rPr>
        <w:t>Universal Standards and Targeted Standards are aligned with the following regulations:</w:t>
      </w:r>
    </w:p>
    <w:p w14:paraId="2C5296AD" w14:textId="77777777" w:rsidR="00007623" w:rsidRDefault="00007623" w:rsidP="00007623">
      <w:pPr>
        <w:rPr>
          <w:sz w:val="22"/>
          <w:szCs w:val="22"/>
        </w:rPr>
      </w:pPr>
    </w:p>
    <w:p w14:paraId="776B3B2B" w14:textId="77777777" w:rsidR="00007623" w:rsidRDefault="00007623" w:rsidP="00007623">
      <w:pPr>
        <w:rPr>
          <w:sz w:val="22"/>
        </w:rPr>
      </w:pPr>
      <w:r>
        <w:rPr>
          <w:sz w:val="22"/>
        </w:rPr>
        <w:t>Special Education (SE)</w:t>
      </w:r>
    </w:p>
    <w:p w14:paraId="67C9D608" w14:textId="77777777" w:rsidR="00007623" w:rsidRDefault="00007623" w:rsidP="00007623">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4524E306" w14:textId="77777777" w:rsidR="00007623" w:rsidRPr="000B1730" w:rsidRDefault="00007623" w:rsidP="00007623">
      <w:pPr>
        <w:rPr>
          <w:sz w:val="22"/>
        </w:rPr>
      </w:pPr>
    </w:p>
    <w:p w14:paraId="33262928" w14:textId="77777777" w:rsidR="00007623" w:rsidRDefault="00007623" w:rsidP="00007623">
      <w:pPr>
        <w:rPr>
          <w:b/>
          <w:bCs/>
          <w:sz w:val="22"/>
        </w:rPr>
      </w:pPr>
      <w:r>
        <w:rPr>
          <w:sz w:val="22"/>
        </w:rPr>
        <w:t>Civil Rights Methods of Administration and Other General Education Requirements (CR)</w:t>
      </w:r>
    </w:p>
    <w:p w14:paraId="5A05C46A" w14:textId="77777777" w:rsidR="00007623" w:rsidRPr="000B1730" w:rsidRDefault="00007623" w:rsidP="00007623">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2A4CEB07" w14:textId="77777777" w:rsidR="00007623" w:rsidRPr="000B1730" w:rsidRDefault="00007623" w:rsidP="00007623">
      <w:pPr>
        <w:numPr>
          <w:ilvl w:val="0"/>
          <w:numId w:val="2"/>
        </w:numPr>
        <w:rPr>
          <w:sz w:val="22"/>
        </w:rPr>
      </w:pPr>
      <w:r>
        <w:rPr>
          <w:sz w:val="22"/>
        </w:rPr>
        <w:t>Selected requirements from the Massachusetts Board of Education’s Physical Restraint regulations (603 CMR 46.00).</w:t>
      </w:r>
    </w:p>
    <w:p w14:paraId="63E1412F" w14:textId="77777777" w:rsidR="00007623" w:rsidRPr="000B1730" w:rsidRDefault="00007623" w:rsidP="00007623">
      <w:pPr>
        <w:numPr>
          <w:ilvl w:val="0"/>
          <w:numId w:val="2"/>
        </w:numPr>
        <w:rPr>
          <w:sz w:val="22"/>
        </w:rPr>
      </w:pPr>
      <w:r>
        <w:rPr>
          <w:sz w:val="22"/>
        </w:rPr>
        <w:t>Selected requirements from the Massachusetts Board of Education’s Student Learning Time regulations (603 CMR 27.00).</w:t>
      </w:r>
    </w:p>
    <w:p w14:paraId="538E9984" w14:textId="77777777" w:rsidR="00007623" w:rsidRPr="00970C4F" w:rsidRDefault="00007623" w:rsidP="00007623">
      <w:pPr>
        <w:numPr>
          <w:ilvl w:val="0"/>
          <w:numId w:val="5"/>
        </w:numPr>
        <w:rPr>
          <w:sz w:val="22"/>
        </w:rPr>
      </w:pPr>
      <w:r>
        <w:rPr>
          <w:sz w:val="22"/>
        </w:rPr>
        <w:t>Various requirements under other federal and state laws.</w:t>
      </w:r>
    </w:p>
    <w:p w14:paraId="20A436F2" w14:textId="77777777" w:rsidR="00007623" w:rsidRPr="005A789B" w:rsidRDefault="00007623" w:rsidP="00007623">
      <w:pPr>
        <w:pStyle w:val="BodyText"/>
        <w:tabs>
          <w:tab w:val="left" w:pos="1080"/>
        </w:tabs>
        <w:rPr>
          <w:b/>
          <w:bCs/>
          <w:sz w:val="16"/>
          <w:szCs w:val="16"/>
          <w:u w:val="single"/>
        </w:rPr>
      </w:pPr>
    </w:p>
    <w:p w14:paraId="56DC9B29" w14:textId="77777777" w:rsidR="00007623" w:rsidRDefault="00007623" w:rsidP="00007623">
      <w:pPr>
        <w:pStyle w:val="BodyText"/>
        <w:tabs>
          <w:tab w:val="left" w:pos="1080"/>
        </w:tabs>
      </w:pPr>
      <w:r>
        <w:rPr>
          <w:b/>
          <w:bCs/>
          <w:u w:val="single"/>
        </w:rPr>
        <w:t>PSM Team:</w:t>
      </w:r>
      <w:r>
        <w:tab/>
      </w:r>
    </w:p>
    <w:p w14:paraId="6839450A" w14:textId="77777777" w:rsidR="00007623" w:rsidRDefault="00007623" w:rsidP="0000762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81A85F8" w14:textId="77777777" w:rsidR="00007623" w:rsidRPr="005A789B" w:rsidRDefault="00007623" w:rsidP="00007623">
      <w:pPr>
        <w:tabs>
          <w:tab w:val="left" w:pos="1080"/>
        </w:tabs>
        <w:rPr>
          <w:sz w:val="16"/>
          <w:szCs w:val="16"/>
        </w:rPr>
      </w:pPr>
    </w:p>
    <w:p w14:paraId="2C92662B" w14:textId="77777777" w:rsidR="00007623" w:rsidRDefault="00007623" w:rsidP="00007623">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076648D4" w14:textId="77777777" w:rsidR="00007623" w:rsidRDefault="00007623" w:rsidP="00007623">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7A04B23F" w14:textId="77777777" w:rsidR="00007623" w:rsidRPr="005A789B" w:rsidRDefault="00007623" w:rsidP="00007623">
      <w:pPr>
        <w:pStyle w:val="paragraph"/>
        <w:spacing w:before="0" w:beforeAutospacing="0" w:after="0" w:afterAutospacing="0"/>
        <w:textAlignment w:val="baseline"/>
        <w:rPr>
          <w:rStyle w:val="normaltextrun"/>
          <w:rFonts w:ascii="Calibri" w:hAnsi="Calibri" w:cs="Calibri"/>
          <w:sz w:val="16"/>
          <w:szCs w:val="16"/>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tblGrid>
      <w:tr w:rsidR="00007623" w:rsidRPr="00242569" w14:paraId="4A9BD3E8" w14:textId="77777777" w:rsidTr="00007623">
        <w:tc>
          <w:tcPr>
            <w:tcW w:w="895" w:type="dxa"/>
            <w:shd w:val="clear" w:color="auto" w:fill="D0CECE"/>
          </w:tcPr>
          <w:p w14:paraId="213714CC" w14:textId="77777777" w:rsidR="00007623" w:rsidRPr="00242569" w:rsidRDefault="00007623" w:rsidP="00007623">
            <w:pPr>
              <w:tabs>
                <w:tab w:val="left" w:pos="1080"/>
              </w:tabs>
              <w:rPr>
                <w:sz w:val="22"/>
                <w:szCs w:val="22"/>
              </w:rPr>
            </w:pPr>
            <w:r w:rsidRPr="00242569">
              <w:rPr>
                <w:sz w:val="22"/>
                <w:szCs w:val="22"/>
              </w:rPr>
              <w:t>Tier</w:t>
            </w:r>
          </w:p>
        </w:tc>
        <w:tc>
          <w:tcPr>
            <w:tcW w:w="2700" w:type="dxa"/>
            <w:shd w:val="clear" w:color="auto" w:fill="D0CECE"/>
          </w:tcPr>
          <w:p w14:paraId="59259DF7" w14:textId="77777777" w:rsidR="00007623" w:rsidRPr="00242569" w:rsidRDefault="00007623" w:rsidP="00007623">
            <w:pPr>
              <w:tabs>
                <w:tab w:val="left" w:pos="1080"/>
              </w:tabs>
              <w:rPr>
                <w:bCs/>
                <w:sz w:val="22"/>
                <w:szCs w:val="22"/>
              </w:rPr>
            </w:pPr>
            <w:r w:rsidRPr="00242569">
              <w:rPr>
                <w:bCs/>
                <w:sz w:val="22"/>
                <w:szCs w:val="22"/>
              </w:rPr>
              <w:t>Title</w:t>
            </w:r>
          </w:p>
        </w:tc>
        <w:tc>
          <w:tcPr>
            <w:tcW w:w="3417" w:type="dxa"/>
            <w:shd w:val="clear" w:color="auto" w:fill="D0CECE"/>
          </w:tcPr>
          <w:p w14:paraId="1329EDFE" w14:textId="77777777" w:rsidR="00007623" w:rsidRPr="00242569" w:rsidRDefault="00007623" w:rsidP="00007623">
            <w:pPr>
              <w:tabs>
                <w:tab w:val="left" w:pos="1080"/>
              </w:tabs>
              <w:rPr>
                <w:bCs/>
                <w:sz w:val="22"/>
                <w:szCs w:val="22"/>
              </w:rPr>
            </w:pPr>
            <w:r w:rsidRPr="00242569">
              <w:rPr>
                <w:bCs/>
                <w:sz w:val="22"/>
                <w:szCs w:val="22"/>
              </w:rPr>
              <w:t>Description</w:t>
            </w:r>
          </w:p>
        </w:tc>
      </w:tr>
      <w:tr w:rsidR="00007623" w:rsidRPr="00242569" w14:paraId="51217BDE" w14:textId="77777777" w:rsidTr="00007623">
        <w:tc>
          <w:tcPr>
            <w:tcW w:w="895" w:type="dxa"/>
            <w:shd w:val="clear" w:color="auto" w:fill="auto"/>
          </w:tcPr>
          <w:p w14:paraId="571D52AE" w14:textId="77777777" w:rsidR="00007623" w:rsidRPr="00242569" w:rsidRDefault="00007623" w:rsidP="00007623">
            <w:pPr>
              <w:tabs>
                <w:tab w:val="left" w:pos="1080"/>
              </w:tabs>
              <w:rPr>
                <w:bCs/>
                <w:sz w:val="22"/>
                <w:szCs w:val="22"/>
              </w:rPr>
            </w:pPr>
            <w:r w:rsidRPr="00242569">
              <w:rPr>
                <w:bCs/>
                <w:sz w:val="22"/>
                <w:szCs w:val="22"/>
              </w:rPr>
              <w:t>1</w:t>
            </w:r>
          </w:p>
        </w:tc>
        <w:tc>
          <w:tcPr>
            <w:tcW w:w="2700" w:type="dxa"/>
            <w:shd w:val="clear" w:color="auto" w:fill="auto"/>
          </w:tcPr>
          <w:p w14:paraId="1AF9D087" w14:textId="77777777" w:rsidR="00007623" w:rsidRPr="00242569" w:rsidRDefault="00007623" w:rsidP="00007623">
            <w:pPr>
              <w:tabs>
                <w:tab w:val="left" w:pos="1080"/>
              </w:tabs>
              <w:rPr>
                <w:bCs/>
                <w:sz w:val="22"/>
                <w:szCs w:val="22"/>
              </w:rPr>
            </w:pPr>
            <w:r w:rsidRPr="00242569">
              <w:rPr>
                <w:bCs/>
                <w:sz w:val="22"/>
                <w:szCs w:val="22"/>
              </w:rPr>
              <w:t>Self-Directed Improvement</w:t>
            </w:r>
          </w:p>
        </w:tc>
        <w:tc>
          <w:tcPr>
            <w:tcW w:w="3417" w:type="dxa"/>
            <w:shd w:val="clear" w:color="auto" w:fill="auto"/>
          </w:tcPr>
          <w:p w14:paraId="7CC1936C" w14:textId="77777777" w:rsidR="00007623" w:rsidRPr="00242569" w:rsidRDefault="00007623" w:rsidP="00007623">
            <w:pPr>
              <w:tabs>
                <w:tab w:val="left" w:pos="1080"/>
              </w:tabs>
              <w:rPr>
                <w:bCs/>
                <w:sz w:val="22"/>
                <w:szCs w:val="22"/>
              </w:rPr>
            </w:pPr>
            <w:r w:rsidRPr="00242569">
              <w:rPr>
                <w:bCs/>
                <w:sz w:val="22"/>
                <w:szCs w:val="22"/>
              </w:rPr>
              <w:t>Data points indicate no concern on compliance and student outcomes.</w:t>
            </w:r>
          </w:p>
          <w:p w14:paraId="294181E8" w14:textId="77777777" w:rsidR="00007623" w:rsidRPr="00242569" w:rsidRDefault="00007623" w:rsidP="00007623">
            <w:pPr>
              <w:tabs>
                <w:tab w:val="left" w:pos="1080"/>
              </w:tabs>
              <w:rPr>
                <w:bCs/>
                <w:sz w:val="22"/>
                <w:szCs w:val="22"/>
              </w:rPr>
            </w:pPr>
          </w:p>
        </w:tc>
      </w:tr>
      <w:tr w:rsidR="00007623" w:rsidRPr="00242569" w14:paraId="71D651C4" w14:textId="77777777" w:rsidTr="00007623">
        <w:tc>
          <w:tcPr>
            <w:tcW w:w="895" w:type="dxa"/>
            <w:shd w:val="clear" w:color="auto" w:fill="auto"/>
          </w:tcPr>
          <w:p w14:paraId="0C99E4A5" w14:textId="77777777" w:rsidR="00007623" w:rsidRPr="00242569" w:rsidRDefault="00007623" w:rsidP="00007623">
            <w:pPr>
              <w:tabs>
                <w:tab w:val="left" w:pos="1080"/>
              </w:tabs>
              <w:rPr>
                <w:bCs/>
                <w:sz w:val="22"/>
                <w:szCs w:val="22"/>
              </w:rPr>
            </w:pPr>
            <w:r w:rsidRPr="00242569">
              <w:rPr>
                <w:bCs/>
                <w:sz w:val="22"/>
                <w:szCs w:val="22"/>
              </w:rPr>
              <w:t>2</w:t>
            </w:r>
          </w:p>
        </w:tc>
        <w:tc>
          <w:tcPr>
            <w:tcW w:w="2700" w:type="dxa"/>
            <w:shd w:val="clear" w:color="auto" w:fill="auto"/>
          </w:tcPr>
          <w:p w14:paraId="06E53E20" w14:textId="77777777" w:rsidR="00007623" w:rsidRPr="00242569" w:rsidRDefault="00007623" w:rsidP="00007623">
            <w:pPr>
              <w:tabs>
                <w:tab w:val="left" w:pos="1080"/>
              </w:tabs>
              <w:rPr>
                <w:bCs/>
                <w:sz w:val="22"/>
                <w:szCs w:val="22"/>
              </w:rPr>
            </w:pPr>
            <w:r w:rsidRPr="00242569">
              <w:rPr>
                <w:bCs/>
                <w:sz w:val="22"/>
                <w:szCs w:val="22"/>
              </w:rPr>
              <w:t>Directed Improvement</w:t>
            </w:r>
          </w:p>
        </w:tc>
        <w:tc>
          <w:tcPr>
            <w:tcW w:w="3417" w:type="dxa"/>
            <w:shd w:val="clear" w:color="auto" w:fill="auto"/>
          </w:tcPr>
          <w:p w14:paraId="238CFD3C" w14:textId="77777777" w:rsidR="00007623" w:rsidRPr="00242569" w:rsidRDefault="00007623" w:rsidP="00007623">
            <w:pPr>
              <w:tabs>
                <w:tab w:val="left" w:pos="1080"/>
              </w:tabs>
              <w:rPr>
                <w:bCs/>
                <w:sz w:val="22"/>
                <w:szCs w:val="22"/>
              </w:rPr>
            </w:pPr>
            <w:r w:rsidRPr="00242569">
              <w:rPr>
                <w:bCs/>
                <w:sz w:val="22"/>
                <w:szCs w:val="22"/>
              </w:rPr>
              <w:t>No demonstrated risk in areas with close link to student outcomes.</w:t>
            </w:r>
          </w:p>
          <w:p w14:paraId="72DBB5B2" w14:textId="77777777" w:rsidR="00007623" w:rsidRPr="00242569" w:rsidRDefault="00007623" w:rsidP="00007623">
            <w:pPr>
              <w:tabs>
                <w:tab w:val="left" w:pos="1080"/>
              </w:tabs>
              <w:rPr>
                <w:bCs/>
                <w:sz w:val="22"/>
                <w:szCs w:val="22"/>
              </w:rPr>
            </w:pPr>
          </w:p>
        </w:tc>
      </w:tr>
      <w:tr w:rsidR="00007623" w:rsidRPr="00242569" w14:paraId="39F301D1" w14:textId="77777777" w:rsidTr="00007623">
        <w:tc>
          <w:tcPr>
            <w:tcW w:w="895" w:type="dxa"/>
            <w:shd w:val="clear" w:color="auto" w:fill="auto"/>
          </w:tcPr>
          <w:p w14:paraId="460BBFD1" w14:textId="77777777" w:rsidR="00007623" w:rsidRPr="00242569" w:rsidRDefault="00007623" w:rsidP="00007623">
            <w:pPr>
              <w:tabs>
                <w:tab w:val="left" w:pos="1080"/>
              </w:tabs>
              <w:rPr>
                <w:bCs/>
                <w:sz w:val="22"/>
                <w:szCs w:val="22"/>
              </w:rPr>
            </w:pPr>
            <w:r w:rsidRPr="00242569">
              <w:rPr>
                <w:bCs/>
                <w:sz w:val="22"/>
                <w:szCs w:val="22"/>
              </w:rPr>
              <w:t>3</w:t>
            </w:r>
          </w:p>
        </w:tc>
        <w:tc>
          <w:tcPr>
            <w:tcW w:w="2700" w:type="dxa"/>
            <w:shd w:val="clear" w:color="auto" w:fill="auto"/>
          </w:tcPr>
          <w:p w14:paraId="4BCA9941" w14:textId="77777777" w:rsidR="00007623" w:rsidRPr="00242569" w:rsidRDefault="00007623" w:rsidP="00007623">
            <w:pPr>
              <w:tabs>
                <w:tab w:val="left" w:pos="1080"/>
              </w:tabs>
              <w:rPr>
                <w:bCs/>
                <w:sz w:val="22"/>
                <w:szCs w:val="22"/>
              </w:rPr>
            </w:pPr>
            <w:r w:rsidRPr="00242569">
              <w:rPr>
                <w:bCs/>
                <w:sz w:val="22"/>
                <w:szCs w:val="22"/>
              </w:rPr>
              <w:t>Corrective Action</w:t>
            </w:r>
          </w:p>
        </w:tc>
        <w:tc>
          <w:tcPr>
            <w:tcW w:w="3417" w:type="dxa"/>
            <w:shd w:val="clear" w:color="auto" w:fill="auto"/>
          </w:tcPr>
          <w:p w14:paraId="366634C5" w14:textId="77777777" w:rsidR="00007623" w:rsidRPr="00242569" w:rsidRDefault="00007623" w:rsidP="00007623">
            <w:pPr>
              <w:tabs>
                <w:tab w:val="left" w:pos="1080"/>
              </w:tabs>
              <w:rPr>
                <w:bCs/>
                <w:sz w:val="22"/>
                <w:szCs w:val="22"/>
              </w:rPr>
            </w:pPr>
            <w:r w:rsidRPr="00242569">
              <w:rPr>
                <w:bCs/>
                <w:sz w:val="22"/>
                <w:szCs w:val="22"/>
              </w:rPr>
              <w:t>Areas of concern include both compliance and student outcomes.</w:t>
            </w:r>
          </w:p>
          <w:p w14:paraId="0A034176" w14:textId="77777777" w:rsidR="00007623" w:rsidRPr="00242569" w:rsidRDefault="00007623" w:rsidP="00007623">
            <w:pPr>
              <w:tabs>
                <w:tab w:val="left" w:pos="1080"/>
              </w:tabs>
              <w:rPr>
                <w:bCs/>
                <w:sz w:val="22"/>
                <w:szCs w:val="22"/>
              </w:rPr>
            </w:pPr>
          </w:p>
        </w:tc>
      </w:tr>
      <w:tr w:rsidR="00007623" w:rsidRPr="00242569" w14:paraId="31D59963" w14:textId="77777777" w:rsidTr="00007623">
        <w:tc>
          <w:tcPr>
            <w:tcW w:w="895" w:type="dxa"/>
            <w:shd w:val="clear" w:color="auto" w:fill="auto"/>
          </w:tcPr>
          <w:p w14:paraId="3A998060" w14:textId="77777777" w:rsidR="00007623" w:rsidRPr="00242569" w:rsidRDefault="00007623" w:rsidP="00007623">
            <w:pPr>
              <w:tabs>
                <w:tab w:val="left" w:pos="1080"/>
              </w:tabs>
              <w:rPr>
                <w:bCs/>
                <w:sz w:val="22"/>
                <w:szCs w:val="22"/>
              </w:rPr>
            </w:pPr>
            <w:r w:rsidRPr="00242569">
              <w:rPr>
                <w:bCs/>
                <w:sz w:val="22"/>
                <w:szCs w:val="22"/>
              </w:rPr>
              <w:t>4</w:t>
            </w:r>
          </w:p>
        </w:tc>
        <w:tc>
          <w:tcPr>
            <w:tcW w:w="2700" w:type="dxa"/>
            <w:shd w:val="clear" w:color="auto" w:fill="auto"/>
          </w:tcPr>
          <w:p w14:paraId="2DDEA75C" w14:textId="77777777" w:rsidR="00007623" w:rsidRPr="00242569" w:rsidRDefault="00007623" w:rsidP="00007623">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51C74F02" w14:textId="77777777" w:rsidR="00007623" w:rsidRPr="00242569" w:rsidRDefault="00007623" w:rsidP="00007623">
            <w:pPr>
              <w:tabs>
                <w:tab w:val="left" w:pos="1080"/>
              </w:tabs>
              <w:rPr>
                <w:bCs/>
                <w:sz w:val="22"/>
                <w:szCs w:val="22"/>
              </w:rPr>
            </w:pPr>
            <w:r w:rsidRPr="00242569">
              <w:rPr>
                <w:bCs/>
                <w:sz w:val="22"/>
                <w:szCs w:val="22"/>
              </w:rPr>
              <w:t>Areas of concern have a profound effect on student outcomes and ongoing compliance.</w:t>
            </w:r>
          </w:p>
          <w:p w14:paraId="662EF0B7" w14:textId="77777777" w:rsidR="00007623" w:rsidRPr="00242569" w:rsidRDefault="00007623" w:rsidP="00007623">
            <w:pPr>
              <w:tabs>
                <w:tab w:val="left" w:pos="1080"/>
              </w:tabs>
              <w:rPr>
                <w:bCs/>
                <w:sz w:val="22"/>
                <w:szCs w:val="22"/>
              </w:rPr>
            </w:pPr>
          </w:p>
        </w:tc>
      </w:tr>
    </w:tbl>
    <w:p w14:paraId="6A6A3CEF" w14:textId="77777777" w:rsidR="00007623" w:rsidRPr="005A789B" w:rsidRDefault="00007623" w:rsidP="00007623">
      <w:pPr>
        <w:pStyle w:val="paragraph"/>
        <w:tabs>
          <w:tab w:val="left" w:pos="1080"/>
        </w:tabs>
        <w:spacing w:before="0" w:beforeAutospacing="0" w:after="0" w:afterAutospacing="0"/>
        <w:textAlignment w:val="baseline"/>
        <w:rPr>
          <w:sz w:val="16"/>
          <w:szCs w:val="16"/>
        </w:rPr>
      </w:pPr>
    </w:p>
    <w:p w14:paraId="08B09217" w14:textId="77777777" w:rsidR="00007623" w:rsidRPr="005160DD" w:rsidRDefault="00007623" w:rsidP="00007623">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78E13A18" w14:textId="77777777" w:rsidR="00007623" w:rsidRDefault="00007623" w:rsidP="002D7917">
      <w:pPr>
        <w:pStyle w:val="paragraph"/>
        <w:numPr>
          <w:ilvl w:val="0"/>
          <w:numId w:val="6"/>
        </w:numPr>
        <w:tabs>
          <w:tab w:val="clear" w:pos="720"/>
          <w:tab w:val="num" w:pos="72"/>
        </w:tabs>
        <w:spacing w:before="0" w:beforeAutospacing="0" w:after="0" w:afterAutospacing="0"/>
        <w:ind w:left="432" w:firstLine="0"/>
        <w:rPr>
          <w:rStyle w:val="normaltextrun"/>
          <w:sz w:val="22"/>
          <w:szCs w:val="22"/>
        </w:rPr>
      </w:pPr>
      <w:r w:rsidRPr="00EC6FB3">
        <w:rPr>
          <w:rStyle w:val="normaltextrun"/>
          <w:sz w:val="22"/>
          <w:szCs w:val="22"/>
        </w:rPr>
        <w:t>Annual drop-out rate for students with disabilities</w:t>
      </w:r>
    </w:p>
    <w:p w14:paraId="737E9E55" w14:textId="77777777" w:rsidR="00007623" w:rsidRPr="002D7917" w:rsidRDefault="00007623" w:rsidP="002D7917">
      <w:pPr>
        <w:pStyle w:val="paragraph"/>
        <w:numPr>
          <w:ilvl w:val="0"/>
          <w:numId w:val="6"/>
        </w:numPr>
        <w:tabs>
          <w:tab w:val="clear" w:pos="720"/>
          <w:tab w:val="num" w:pos="72"/>
        </w:tabs>
        <w:spacing w:before="0" w:beforeAutospacing="0" w:after="0" w:afterAutospacing="0"/>
        <w:ind w:left="432" w:firstLine="0"/>
        <w:rPr>
          <w:rStyle w:val="normaltextrun"/>
        </w:rPr>
      </w:pPr>
      <w:r w:rsidRPr="68186C95">
        <w:rPr>
          <w:rStyle w:val="normaltextrun"/>
          <w:sz w:val="22"/>
          <w:szCs w:val="22"/>
        </w:rPr>
        <w:t>Five-year cohort graduation rate for students with disabilities </w:t>
      </w:r>
    </w:p>
    <w:p w14:paraId="5B8D0735" w14:textId="77777777" w:rsidR="00007623" w:rsidRPr="005160DD" w:rsidRDefault="00007623" w:rsidP="00007623">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4C5A5E7C" w14:textId="77777777" w:rsidR="00007623" w:rsidRPr="005160DD" w:rsidRDefault="00007623" w:rsidP="00007623">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41E799E8" w14:textId="77777777" w:rsidR="00007623" w:rsidRPr="005160DD" w:rsidRDefault="00007623" w:rsidP="00007623">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6D083178" w14:textId="77777777" w:rsidR="00007623" w:rsidRDefault="00007623" w:rsidP="00007623">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6E5EC0C7" w14:textId="77777777" w:rsidR="00007623" w:rsidRPr="00EC6FB3" w:rsidRDefault="00007623" w:rsidP="00007623">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4416799F" w14:textId="77777777" w:rsidR="00007623" w:rsidRDefault="00007623" w:rsidP="00007623">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2D448ED2" w14:textId="77777777" w:rsidR="00007623" w:rsidRPr="00EC6FB3" w:rsidRDefault="00007623" w:rsidP="00007623">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3A27E1C3" w14:textId="77777777" w:rsidR="00007623" w:rsidRPr="00EC6FB3" w:rsidRDefault="00007623" w:rsidP="00007623">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270CB6A8" w14:textId="77777777" w:rsidR="00007623" w:rsidRPr="00EC6FB3" w:rsidRDefault="00007623" w:rsidP="00007623">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2DC80314" w14:textId="77777777" w:rsidR="00007623" w:rsidRPr="005160DD" w:rsidRDefault="00007623" w:rsidP="00007623">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6D2AEB02" w14:textId="77777777" w:rsidR="00007623" w:rsidRPr="005160DD" w:rsidRDefault="00007623" w:rsidP="00007623">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22869647" w14:textId="77777777" w:rsidR="00007623" w:rsidRPr="005160DD" w:rsidRDefault="00007623" w:rsidP="00007623">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203FE0A9" w14:textId="77777777" w:rsidR="00007623" w:rsidRPr="005160DD" w:rsidRDefault="00007623" w:rsidP="00007623">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4D9A7615" w14:textId="77777777" w:rsidR="00007623" w:rsidRDefault="00007623" w:rsidP="00007623">
      <w:pPr>
        <w:rPr>
          <w:sz w:val="22"/>
        </w:rPr>
      </w:pPr>
      <w:r w:rsidRPr="68186C95">
        <w:rPr>
          <w:rStyle w:val="normaltextrun"/>
          <w:sz w:val="22"/>
          <w:szCs w:val="22"/>
        </w:rPr>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9B0D06E" w14:textId="77777777" w:rsidR="00007623" w:rsidRDefault="00007623" w:rsidP="00007623">
      <w:pPr>
        <w:rPr>
          <w:b/>
          <w:bCs/>
          <w:sz w:val="22"/>
          <w:szCs w:val="22"/>
        </w:rPr>
      </w:pPr>
    </w:p>
    <w:p w14:paraId="4F38ECC5" w14:textId="77777777" w:rsidR="00007623" w:rsidRDefault="00007623" w:rsidP="00007623">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55E00F1E" w14:textId="77777777" w:rsidR="00007623" w:rsidRDefault="00007623" w:rsidP="005A789B">
      <w:pPr>
        <w:pStyle w:val="Heading1"/>
        <w:rPr>
          <w:b/>
          <w:bCs/>
          <w:sz w:val="22"/>
          <w:szCs w:val="22"/>
        </w:rPr>
      </w:pPr>
      <w:r>
        <w:rPr>
          <w:sz w:val="22"/>
          <w:szCs w:val="22"/>
        </w:rPr>
        <w:br w:type="page"/>
      </w:r>
      <w:r>
        <w:rPr>
          <w:b/>
          <w:sz w:val="22"/>
        </w:rPr>
        <w:fldChar w:fldCharType="begin"/>
      </w:r>
      <w:r>
        <w:rPr>
          <w:b/>
          <w:sz w:val="22"/>
        </w:rPr>
        <w:instrText xml:space="preserve"> TC  "</w:instrText>
      </w:r>
      <w:bookmarkStart w:id="4" w:name="_Toc128129552"/>
      <w:r>
        <w:rPr>
          <w:b/>
          <w:sz w:val="22"/>
          <w:lang w:val="en-US"/>
        </w:rPr>
        <w:instrText>TIERED FOCUSED MONITORING FINAL REPORT</w:instrText>
      </w:r>
      <w:bookmarkEnd w:id="4"/>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0FB0CBAA" w14:textId="17365B44" w:rsidR="00007623" w:rsidRDefault="00007623" w:rsidP="00007623">
      <w:pPr>
        <w:jc w:val="center"/>
        <w:rPr>
          <w:b/>
          <w:bCs/>
          <w:sz w:val="22"/>
          <w:szCs w:val="22"/>
        </w:rPr>
      </w:pPr>
      <w:r>
        <w:rPr>
          <w:b/>
          <w:bCs/>
          <w:sz w:val="22"/>
          <w:szCs w:val="22"/>
        </w:rPr>
        <w:t xml:space="preserve"> </w:t>
      </w:r>
      <w:r w:rsidR="006135BC">
        <w:rPr>
          <w:b/>
          <w:bCs/>
          <w:sz w:val="22"/>
          <w:szCs w:val="22"/>
        </w:rPr>
        <w:t>Prospect Hill Academy Charter School</w:t>
      </w:r>
    </w:p>
    <w:p w14:paraId="0C820377" w14:textId="77777777" w:rsidR="00007623" w:rsidRDefault="00007623" w:rsidP="00007623">
      <w:pPr>
        <w:rPr>
          <w:sz w:val="22"/>
        </w:rPr>
      </w:pPr>
    </w:p>
    <w:p w14:paraId="72CBA360" w14:textId="235EC4BC" w:rsidR="00007623" w:rsidRDefault="00007623" w:rsidP="00007623">
      <w:pPr>
        <w:rPr>
          <w:sz w:val="22"/>
        </w:rPr>
      </w:pPr>
      <w:r>
        <w:rPr>
          <w:sz w:val="22"/>
        </w:rPr>
        <w:t xml:space="preserve">The Massachusetts Department of Elementary and Secondary Education conducted a Tiered Focused Monitoring Review </w:t>
      </w:r>
      <w:r w:rsidR="006135BC">
        <w:rPr>
          <w:sz w:val="22"/>
        </w:rPr>
        <w:t xml:space="preserve">at Prospect Hill Academy Charter School </w:t>
      </w:r>
      <w:r>
        <w:rPr>
          <w:sz w:val="22"/>
        </w:rPr>
        <w:t xml:space="preserve">during the week of </w:t>
      </w:r>
      <w:r w:rsidR="0033084D">
        <w:rPr>
          <w:sz w:val="22"/>
        </w:rPr>
        <w:t xml:space="preserve">November </w:t>
      </w:r>
      <w:r w:rsidR="00A71044">
        <w:rPr>
          <w:sz w:val="22"/>
        </w:rPr>
        <w:t>28</w:t>
      </w:r>
      <w:r w:rsidR="0033084D">
        <w:rPr>
          <w:sz w:val="22"/>
        </w:rPr>
        <w:t>, 2022,</w:t>
      </w:r>
      <w:r>
        <w:rPr>
          <w:sz w:val="22"/>
        </w:rPr>
        <w:t xml:space="preserve"> to evaluate the implementation of </w:t>
      </w:r>
      <w:bookmarkStart w:id="5" w:name="CrGroup2"/>
      <w:r>
        <w:rPr>
          <w:sz w:val="22"/>
        </w:rPr>
        <w:t xml:space="preserve">Group </w:t>
      </w:r>
      <w:bookmarkEnd w:id="5"/>
      <w:r w:rsidR="00A71044">
        <w:rPr>
          <w:sz w:val="22"/>
        </w:rPr>
        <w:t>B</w:t>
      </w:r>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bookmarkStart w:id="6" w:name="CommendableBlock"/>
    </w:p>
    <w:p w14:paraId="05AE326C" w14:textId="501F3344" w:rsidR="001A1CE5" w:rsidRDefault="001A1CE5" w:rsidP="00007623">
      <w:pPr>
        <w:rPr>
          <w:sz w:val="22"/>
        </w:rPr>
      </w:pPr>
    </w:p>
    <w:p w14:paraId="27756743" w14:textId="4C4F2D99" w:rsidR="001A1CE5" w:rsidRDefault="001A1CE5" w:rsidP="001A1CE5">
      <w:pPr>
        <w:rPr>
          <w:sz w:val="22"/>
        </w:rPr>
      </w:pPr>
      <w:r>
        <w:rPr>
          <w:sz w:val="22"/>
        </w:rPr>
        <w:t xml:space="preserve">The onsite team would like to commend the following areas that were brought to its attention and that it believes have a significant and positive impact on the delivery of educational services for students enrolled in the </w:t>
      </w:r>
      <w:r w:rsidR="00374717">
        <w:rPr>
          <w:sz w:val="22"/>
        </w:rPr>
        <w:t>school</w:t>
      </w:r>
      <w:r>
        <w:rPr>
          <w:sz w:val="22"/>
        </w:rPr>
        <w:t>. These areas are as follows:</w:t>
      </w:r>
    </w:p>
    <w:p w14:paraId="5E073ACC" w14:textId="77777777" w:rsidR="001A1CE5" w:rsidRDefault="001A1CE5" w:rsidP="001A1CE5">
      <w:pPr>
        <w:rPr>
          <w:sz w:val="22"/>
        </w:rPr>
      </w:pPr>
    </w:p>
    <w:p w14:paraId="57CCBF46" w14:textId="77777777" w:rsidR="001F241C" w:rsidRDefault="002B2138" w:rsidP="002B2138">
      <w:pPr>
        <w:pStyle w:val="Normal0"/>
        <w:keepNext/>
        <w:rPr>
          <w:rFonts w:cs="Arial"/>
          <w:i/>
          <w:iCs/>
          <w:sz w:val="22"/>
          <w:szCs w:val="22"/>
        </w:rPr>
      </w:pPr>
      <w:r w:rsidRPr="00512448">
        <w:rPr>
          <w:rFonts w:cs="Arial"/>
          <w:i/>
          <w:iCs/>
          <w:sz w:val="22"/>
          <w:szCs w:val="22"/>
        </w:rPr>
        <w:t xml:space="preserve">Prospect Hill Academy (PHA) Charter School, a regional charter school, serves students in Pre-K through grade twelve across four campuses in Somerville and Cambridge, Massachusetts. Document review, interviews, and observations indicate that while PHA’s Student Rights and Responsibilities handbook and codes of conduct contain all required information, the charter school takes specific actions to further affirm and support its diverse community of students and families as evidenced by the following actions: </w:t>
      </w:r>
    </w:p>
    <w:p w14:paraId="4B5F2357" w14:textId="77777777" w:rsidR="001F241C" w:rsidRDefault="002B2138" w:rsidP="002B2138">
      <w:pPr>
        <w:pStyle w:val="Normal0"/>
        <w:keepNext/>
        <w:numPr>
          <w:ilvl w:val="0"/>
          <w:numId w:val="13"/>
        </w:numPr>
        <w:rPr>
          <w:rFonts w:cs="Arial"/>
          <w:i/>
          <w:iCs/>
          <w:sz w:val="22"/>
          <w:szCs w:val="22"/>
        </w:rPr>
      </w:pPr>
      <w:r w:rsidRPr="00512448">
        <w:rPr>
          <w:rFonts w:cs="Arial"/>
          <w:i/>
          <w:iCs/>
          <w:sz w:val="22"/>
          <w:szCs w:val="22"/>
        </w:rPr>
        <w:t>Launching annual professional development with the Department of Elementary and Secondary Education’s Office of Safe and Supportive Schools to explore topics related to gender identity, sexual orientation, and school climate;</w:t>
      </w:r>
    </w:p>
    <w:p w14:paraId="19FEE25E"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Orienting every faculty and staff member to Zaretta L. Hammond's Culturally Responsive Teaching and The Brain: Promoting Authentic Engagement and Rigor Among Culturally and Linguistically Diverse Students;</w:t>
      </w:r>
    </w:p>
    <w:p w14:paraId="5C999BD9"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Developing a webpage dedicated to anti-racism and related resources which states, "In our restorative school community at Prospect Hill Academy, we are a uniquely diverse community of belongingness and inclusiveness. While we embrace and build upon the collective strength of our differences, we fiercely reject racism, bigotry, and hate";</w:t>
      </w:r>
    </w:p>
    <w:p w14:paraId="65FEDD15"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Developing a Non-Discrimination on the Basis of Gender Identity policy;</w:t>
      </w:r>
    </w:p>
    <w:p w14:paraId="0CA26282"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 xml:space="preserve">Actively planning and implementing a health curriculum to provide a structure and space for students to make sense of self-regulation, human development, gender identity, and consent grounded in the belief that health education can be inclusive and absent of assumptions; </w:t>
      </w:r>
    </w:p>
    <w:p w14:paraId="69C7CC0C"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Investing in families by employing a Family and Community Engagement Coordinator and family liaisons capable of communicating in the top three languages. The family liaisons run routine forums for</w:t>
      </w:r>
      <w:r w:rsidR="00804630" w:rsidRPr="001F241C">
        <w:rPr>
          <w:rFonts w:cs="Arial"/>
          <w:i/>
          <w:iCs/>
          <w:sz w:val="22"/>
          <w:szCs w:val="22"/>
        </w:rPr>
        <w:t xml:space="preserve"> </w:t>
      </w:r>
      <w:r w:rsidRPr="001F241C">
        <w:rPr>
          <w:rFonts w:cs="Arial"/>
          <w:i/>
          <w:iCs/>
          <w:sz w:val="22"/>
          <w:szCs w:val="22"/>
        </w:rPr>
        <w:t xml:space="preserve">families to connect, share, and learn, thus allowing parents to be active stakeholders who provide feedback on and influence the school's direction;  </w:t>
      </w:r>
    </w:p>
    <w:p w14:paraId="378D20F1" w14:textId="77777777" w:rsidR="001F241C" w:rsidRDefault="002B2138" w:rsidP="002B2138">
      <w:pPr>
        <w:pStyle w:val="Normal0"/>
        <w:keepNext/>
        <w:numPr>
          <w:ilvl w:val="0"/>
          <w:numId w:val="13"/>
        </w:numPr>
        <w:rPr>
          <w:rFonts w:cs="Arial"/>
          <w:i/>
          <w:iCs/>
          <w:sz w:val="22"/>
          <w:szCs w:val="22"/>
        </w:rPr>
      </w:pPr>
      <w:r w:rsidRPr="001F241C">
        <w:rPr>
          <w:rFonts w:cs="Arial"/>
          <w:i/>
          <w:iCs/>
          <w:sz w:val="22"/>
          <w:szCs w:val="22"/>
        </w:rPr>
        <w:t xml:space="preserve">Hosting a weekly virtual gathering (Family Advisory Board: FAB HOUR) for families to discuss all aspects of PHA, build community and support among families, and deepen connections with teachers and staff; </w:t>
      </w:r>
    </w:p>
    <w:p w14:paraId="28F45286" w14:textId="58227EC9" w:rsidR="001F241C" w:rsidRDefault="002B2138" w:rsidP="00804630">
      <w:pPr>
        <w:pStyle w:val="Normal0"/>
        <w:keepNext/>
        <w:numPr>
          <w:ilvl w:val="0"/>
          <w:numId w:val="13"/>
        </w:numPr>
        <w:rPr>
          <w:rFonts w:cs="Arial"/>
          <w:i/>
          <w:iCs/>
          <w:sz w:val="22"/>
          <w:szCs w:val="22"/>
        </w:rPr>
      </w:pPr>
      <w:r w:rsidRPr="001F241C">
        <w:rPr>
          <w:rFonts w:cs="Arial"/>
          <w:i/>
          <w:iCs/>
          <w:sz w:val="22"/>
          <w:szCs w:val="22"/>
        </w:rPr>
        <w:t>Addressing food insecurity through Thrive, a volunteer group of families, staff, and community members who provide weekend snacks, grocery bags, or grocery gift cards to students who do not have regular access to food during weekends and school breaks. During the COVID school closure, Thrive coordinated a weekly COVID food relief program for school families. While Thrive centers around the weekly snack bags, the group also developed a free monthly community dinner to build community among school families, students, staff, and faculty. In addition, Thrive runs a monthly free School Market providing the PHA community with fresh produce and staple groceries items. While Thrive was founded by two parents and a PHA nurse in 2014, the growth and success of Thrive led the school to allocate a full-time school staff member to support the work; and</w:t>
      </w:r>
    </w:p>
    <w:p w14:paraId="1342AC56" w14:textId="13DD3985" w:rsidR="00804630" w:rsidRPr="001F241C" w:rsidRDefault="00804630" w:rsidP="00804630">
      <w:pPr>
        <w:pStyle w:val="Normal0"/>
        <w:keepNext/>
        <w:numPr>
          <w:ilvl w:val="0"/>
          <w:numId w:val="13"/>
        </w:numPr>
        <w:rPr>
          <w:rFonts w:cs="Arial"/>
          <w:i/>
          <w:iCs/>
          <w:sz w:val="22"/>
          <w:szCs w:val="22"/>
        </w:rPr>
      </w:pPr>
      <w:r w:rsidRPr="001F241C">
        <w:rPr>
          <w:rFonts w:cs="Arial"/>
          <w:i/>
          <w:iCs/>
          <w:sz w:val="22"/>
          <w:szCs w:val="22"/>
        </w:rPr>
        <w:t xml:space="preserve">Implementing the New &amp; Returning Student &amp; Family Orientation Program for grades seven through nine when students returned to school in-person in fall 2021, in response to concerns from both parents and students that they felt detached from and unfamiliar with school. PHA now provides an orientation that includes presentations from teachers, school administrators, and other key staff to ensure families and students receive a warm welcome and are provided with necessary information about PHA. </w:t>
      </w:r>
    </w:p>
    <w:p w14:paraId="7FDA0A3F" w14:textId="77777777" w:rsidR="00804630" w:rsidRPr="00804630" w:rsidRDefault="00804630" w:rsidP="00804630">
      <w:pPr>
        <w:keepNext/>
        <w:rPr>
          <w:rFonts w:cs="Arial"/>
          <w:i/>
          <w:iCs/>
          <w:sz w:val="22"/>
          <w:szCs w:val="22"/>
        </w:rPr>
      </w:pPr>
    </w:p>
    <w:p w14:paraId="6AC81D21" w14:textId="77777777" w:rsidR="00804630" w:rsidRPr="00804630" w:rsidRDefault="00804630" w:rsidP="00804630">
      <w:pPr>
        <w:keepNext/>
        <w:rPr>
          <w:rFonts w:cs="Arial"/>
          <w:i/>
          <w:iCs/>
          <w:sz w:val="22"/>
          <w:szCs w:val="22"/>
        </w:rPr>
      </w:pPr>
      <w:r w:rsidRPr="00804630">
        <w:rPr>
          <w:rFonts w:cs="Arial"/>
          <w:i/>
          <w:iCs/>
          <w:sz w:val="22"/>
          <w:szCs w:val="22"/>
        </w:rPr>
        <w:t>The affirmation of these efforts is evident in the students' attendance rates, as described below.</w:t>
      </w:r>
    </w:p>
    <w:p w14:paraId="1A1259C6" w14:textId="77777777" w:rsidR="00804630" w:rsidRPr="00804630" w:rsidRDefault="00804630" w:rsidP="00804630">
      <w:pPr>
        <w:keepNext/>
        <w:rPr>
          <w:rFonts w:cs="Arial"/>
          <w:i/>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444"/>
        <w:gridCol w:w="1166"/>
        <w:gridCol w:w="1444"/>
        <w:gridCol w:w="1305"/>
        <w:gridCol w:w="1305"/>
        <w:gridCol w:w="1305"/>
      </w:tblGrid>
      <w:tr w:rsidR="00804630" w:rsidRPr="00804630" w14:paraId="07DBE956" w14:textId="77777777" w:rsidTr="0099166C">
        <w:tc>
          <w:tcPr>
            <w:tcW w:w="1165" w:type="dxa"/>
            <w:shd w:val="clear" w:color="auto" w:fill="D0CECE" w:themeFill="background2" w:themeFillShade="E6"/>
          </w:tcPr>
          <w:p w14:paraId="4D0AD23A" w14:textId="77777777" w:rsidR="00804630" w:rsidRPr="00804630" w:rsidRDefault="00804630" w:rsidP="00804630">
            <w:pPr>
              <w:keepNext/>
              <w:spacing w:line="257" w:lineRule="auto"/>
              <w:rPr>
                <w:i/>
                <w:iCs/>
                <w:sz w:val="22"/>
                <w:szCs w:val="22"/>
              </w:rPr>
            </w:pPr>
          </w:p>
        </w:tc>
        <w:tc>
          <w:tcPr>
            <w:tcW w:w="2610" w:type="dxa"/>
            <w:gridSpan w:val="2"/>
            <w:shd w:val="clear" w:color="auto" w:fill="D0CECE" w:themeFill="background2" w:themeFillShade="E6"/>
          </w:tcPr>
          <w:p w14:paraId="332FD7FC" w14:textId="77777777" w:rsidR="00804630" w:rsidRPr="00804630" w:rsidRDefault="00804630" w:rsidP="00804630">
            <w:pPr>
              <w:keepNext/>
              <w:spacing w:line="257" w:lineRule="auto"/>
              <w:rPr>
                <w:i/>
                <w:iCs/>
                <w:sz w:val="22"/>
                <w:szCs w:val="22"/>
              </w:rPr>
            </w:pPr>
            <w:r w:rsidRPr="00804630">
              <w:rPr>
                <w:i/>
                <w:iCs/>
                <w:sz w:val="22"/>
                <w:szCs w:val="22"/>
              </w:rPr>
              <w:t xml:space="preserve">Overall </w:t>
            </w:r>
          </w:p>
          <w:p w14:paraId="4D7D9B03" w14:textId="77777777" w:rsidR="00804630" w:rsidRPr="00804630" w:rsidRDefault="00804630" w:rsidP="00804630">
            <w:pPr>
              <w:keepNext/>
              <w:spacing w:line="257" w:lineRule="auto"/>
              <w:rPr>
                <w:i/>
                <w:iCs/>
                <w:sz w:val="22"/>
                <w:szCs w:val="22"/>
              </w:rPr>
            </w:pPr>
            <w:r w:rsidRPr="00804630">
              <w:rPr>
                <w:i/>
                <w:iCs/>
                <w:sz w:val="22"/>
                <w:szCs w:val="22"/>
              </w:rPr>
              <w:t>Attendance Rate</w:t>
            </w:r>
          </w:p>
        </w:tc>
        <w:tc>
          <w:tcPr>
            <w:tcW w:w="2749" w:type="dxa"/>
            <w:gridSpan w:val="2"/>
            <w:shd w:val="clear" w:color="auto" w:fill="D0CECE" w:themeFill="background2" w:themeFillShade="E6"/>
          </w:tcPr>
          <w:p w14:paraId="66B0B255" w14:textId="77777777" w:rsidR="00804630" w:rsidRPr="00804630" w:rsidRDefault="00804630" w:rsidP="00804630">
            <w:pPr>
              <w:keepNext/>
              <w:spacing w:line="257" w:lineRule="auto"/>
              <w:rPr>
                <w:i/>
                <w:iCs/>
                <w:sz w:val="22"/>
                <w:szCs w:val="22"/>
              </w:rPr>
            </w:pPr>
            <w:r w:rsidRPr="00804630">
              <w:rPr>
                <w:i/>
                <w:iCs/>
                <w:sz w:val="22"/>
                <w:szCs w:val="22"/>
              </w:rPr>
              <w:t xml:space="preserve">10% Chronic </w:t>
            </w:r>
          </w:p>
          <w:p w14:paraId="23B64477" w14:textId="77777777" w:rsidR="00804630" w:rsidRPr="00804630" w:rsidRDefault="00804630" w:rsidP="00804630">
            <w:pPr>
              <w:keepNext/>
              <w:spacing w:line="257" w:lineRule="auto"/>
              <w:rPr>
                <w:i/>
                <w:iCs/>
                <w:sz w:val="22"/>
                <w:szCs w:val="22"/>
              </w:rPr>
            </w:pPr>
            <w:r w:rsidRPr="00804630">
              <w:rPr>
                <w:i/>
                <w:iCs/>
                <w:sz w:val="22"/>
                <w:szCs w:val="22"/>
              </w:rPr>
              <w:t>Absenteeism Rate</w:t>
            </w:r>
          </w:p>
        </w:tc>
        <w:tc>
          <w:tcPr>
            <w:tcW w:w="2610" w:type="dxa"/>
            <w:gridSpan w:val="2"/>
            <w:shd w:val="clear" w:color="auto" w:fill="D0CECE" w:themeFill="background2" w:themeFillShade="E6"/>
          </w:tcPr>
          <w:p w14:paraId="226D5E0D" w14:textId="77777777" w:rsidR="00804630" w:rsidRPr="00804630" w:rsidRDefault="00804630" w:rsidP="00804630">
            <w:pPr>
              <w:keepNext/>
              <w:spacing w:line="257" w:lineRule="auto"/>
              <w:rPr>
                <w:i/>
                <w:iCs/>
                <w:sz w:val="22"/>
                <w:szCs w:val="22"/>
              </w:rPr>
            </w:pPr>
            <w:r w:rsidRPr="00804630">
              <w:rPr>
                <w:i/>
                <w:iCs/>
                <w:sz w:val="22"/>
                <w:szCs w:val="22"/>
              </w:rPr>
              <w:t xml:space="preserve">20% Chronic </w:t>
            </w:r>
          </w:p>
          <w:p w14:paraId="58BDE3E0" w14:textId="77777777" w:rsidR="00804630" w:rsidRPr="00804630" w:rsidRDefault="00804630" w:rsidP="00804630">
            <w:pPr>
              <w:keepNext/>
              <w:spacing w:line="257" w:lineRule="auto"/>
              <w:rPr>
                <w:i/>
                <w:iCs/>
                <w:sz w:val="22"/>
                <w:szCs w:val="22"/>
              </w:rPr>
            </w:pPr>
            <w:r w:rsidRPr="00804630">
              <w:rPr>
                <w:i/>
                <w:iCs/>
                <w:sz w:val="22"/>
                <w:szCs w:val="22"/>
              </w:rPr>
              <w:t>Absenteeism Rate</w:t>
            </w:r>
          </w:p>
        </w:tc>
      </w:tr>
      <w:tr w:rsidR="00804630" w:rsidRPr="00804630" w14:paraId="423D301B" w14:textId="77777777" w:rsidTr="0099166C">
        <w:tc>
          <w:tcPr>
            <w:tcW w:w="1165" w:type="dxa"/>
            <w:shd w:val="clear" w:color="auto" w:fill="auto"/>
          </w:tcPr>
          <w:p w14:paraId="1A933D5E" w14:textId="77777777" w:rsidR="00804630" w:rsidRPr="00804630" w:rsidRDefault="00804630" w:rsidP="00804630">
            <w:pPr>
              <w:keepNext/>
              <w:spacing w:line="257" w:lineRule="auto"/>
              <w:rPr>
                <w:i/>
                <w:iCs/>
                <w:sz w:val="22"/>
                <w:szCs w:val="22"/>
              </w:rPr>
            </w:pPr>
          </w:p>
        </w:tc>
        <w:tc>
          <w:tcPr>
            <w:tcW w:w="1444" w:type="dxa"/>
            <w:shd w:val="clear" w:color="auto" w:fill="auto"/>
          </w:tcPr>
          <w:p w14:paraId="1DA610AC" w14:textId="77777777" w:rsidR="00804630" w:rsidRPr="00804630" w:rsidRDefault="00804630" w:rsidP="00804630">
            <w:pPr>
              <w:keepNext/>
              <w:spacing w:line="257" w:lineRule="auto"/>
              <w:rPr>
                <w:i/>
                <w:iCs/>
                <w:sz w:val="22"/>
                <w:szCs w:val="22"/>
              </w:rPr>
            </w:pPr>
            <w:r w:rsidRPr="00804630">
              <w:rPr>
                <w:i/>
                <w:iCs/>
                <w:sz w:val="22"/>
                <w:szCs w:val="22"/>
              </w:rPr>
              <w:t>PHA</w:t>
            </w:r>
          </w:p>
        </w:tc>
        <w:tc>
          <w:tcPr>
            <w:tcW w:w="1166" w:type="dxa"/>
            <w:shd w:val="clear" w:color="auto" w:fill="auto"/>
          </w:tcPr>
          <w:p w14:paraId="06DA61F1" w14:textId="77777777" w:rsidR="00804630" w:rsidRPr="00804630" w:rsidRDefault="00804630" w:rsidP="00804630">
            <w:pPr>
              <w:keepNext/>
              <w:spacing w:line="257" w:lineRule="auto"/>
              <w:rPr>
                <w:i/>
                <w:iCs/>
                <w:sz w:val="22"/>
                <w:szCs w:val="22"/>
              </w:rPr>
            </w:pPr>
            <w:r w:rsidRPr="00804630">
              <w:rPr>
                <w:i/>
                <w:iCs/>
                <w:sz w:val="22"/>
                <w:szCs w:val="22"/>
              </w:rPr>
              <w:t>State</w:t>
            </w:r>
          </w:p>
        </w:tc>
        <w:tc>
          <w:tcPr>
            <w:tcW w:w="1444" w:type="dxa"/>
            <w:shd w:val="clear" w:color="auto" w:fill="auto"/>
          </w:tcPr>
          <w:p w14:paraId="02EC0AA9" w14:textId="77777777" w:rsidR="00804630" w:rsidRPr="00804630" w:rsidRDefault="00804630" w:rsidP="00804630">
            <w:pPr>
              <w:keepNext/>
              <w:spacing w:line="257" w:lineRule="auto"/>
              <w:rPr>
                <w:i/>
                <w:iCs/>
                <w:sz w:val="22"/>
                <w:szCs w:val="22"/>
              </w:rPr>
            </w:pPr>
            <w:r w:rsidRPr="00804630">
              <w:rPr>
                <w:i/>
                <w:iCs/>
                <w:sz w:val="22"/>
                <w:szCs w:val="22"/>
              </w:rPr>
              <w:t>PHA</w:t>
            </w:r>
          </w:p>
        </w:tc>
        <w:tc>
          <w:tcPr>
            <w:tcW w:w="1305" w:type="dxa"/>
            <w:shd w:val="clear" w:color="auto" w:fill="auto"/>
          </w:tcPr>
          <w:p w14:paraId="34619A09" w14:textId="77777777" w:rsidR="00804630" w:rsidRPr="00804630" w:rsidRDefault="00804630" w:rsidP="00804630">
            <w:pPr>
              <w:keepNext/>
              <w:spacing w:line="257" w:lineRule="auto"/>
              <w:rPr>
                <w:i/>
                <w:iCs/>
                <w:sz w:val="22"/>
                <w:szCs w:val="22"/>
              </w:rPr>
            </w:pPr>
            <w:r w:rsidRPr="00804630">
              <w:rPr>
                <w:i/>
                <w:iCs/>
                <w:sz w:val="22"/>
                <w:szCs w:val="22"/>
              </w:rPr>
              <w:t>State</w:t>
            </w:r>
          </w:p>
        </w:tc>
        <w:tc>
          <w:tcPr>
            <w:tcW w:w="1305" w:type="dxa"/>
            <w:shd w:val="clear" w:color="auto" w:fill="auto"/>
          </w:tcPr>
          <w:p w14:paraId="1F5F1E4B" w14:textId="77777777" w:rsidR="00804630" w:rsidRPr="00804630" w:rsidRDefault="00804630" w:rsidP="00804630">
            <w:pPr>
              <w:keepNext/>
              <w:spacing w:line="257" w:lineRule="auto"/>
              <w:rPr>
                <w:i/>
                <w:iCs/>
                <w:sz w:val="22"/>
                <w:szCs w:val="22"/>
              </w:rPr>
            </w:pPr>
            <w:r w:rsidRPr="00804630">
              <w:rPr>
                <w:i/>
                <w:iCs/>
                <w:sz w:val="22"/>
                <w:szCs w:val="22"/>
              </w:rPr>
              <w:t>PHA</w:t>
            </w:r>
          </w:p>
        </w:tc>
        <w:tc>
          <w:tcPr>
            <w:tcW w:w="1305" w:type="dxa"/>
            <w:shd w:val="clear" w:color="auto" w:fill="auto"/>
          </w:tcPr>
          <w:p w14:paraId="1F19F79E" w14:textId="77777777" w:rsidR="00804630" w:rsidRPr="00804630" w:rsidRDefault="00804630" w:rsidP="00804630">
            <w:pPr>
              <w:keepNext/>
              <w:spacing w:line="257" w:lineRule="auto"/>
              <w:rPr>
                <w:i/>
                <w:iCs/>
                <w:sz w:val="22"/>
                <w:szCs w:val="22"/>
              </w:rPr>
            </w:pPr>
            <w:r w:rsidRPr="00804630">
              <w:rPr>
                <w:i/>
                <w:iCs/>
                <w:sz w:val="22"/>
                <w:szCs w:val="22"/>
              </w:rPr>
              <w:t>State</w:t>
            </w:r>
          </w:p>
        </w:tc>
      </w:tr>
      <w:tr w:rsidR="00804630" w:rsidRPr="00804630" w14:paraId="361A5874" w14:textId="77777777" w:rsidTr="0099166C">
        <w:tc>
          <w:tcPr>
            <w:tcW w:w="1165" w:type="dxa"/>
            <w:shd w:val="clear" w:color="auto" w:fill="auto"/>
          </w:tcPr>
          <w:p w14:paraId="406B4F21" w14:textId="77777777" w:rsidR="00804630" w:rsidRPr="00804630" w:rsidRDefault="00804630" w:rsidP="00804630">
            <w:pPr>
              <w:keepNext/>
              <w:spacing w:line="257" w:lineRule="auto"/>
              <w:rPr>
                <w:i/>
                <w:iCs/>
                <w:sz w:val="22"/>
                <w:szCs w:val="22"/>
              </w:rPr>
            </w:pPr>
            <w:r w:rsidRPr="00804630">
              <w:rPr>
                <w:i/>
                <w:iCs/>
                <w:sz w:val="22"/>
                <w:szCs w:val="22"/>
              </w:rPr>
              <w:t>African American/ Black</w:t>
            </w:r>
          </w:p>
        </w:tc>
        <w:tc>
          <w:tcPr>
            <w:tcW w:w="1444" w:type="dxa"/>
            <w:shd w:val="clear" w:color="auto" w:fill="auto"/>
            <w:vAlign w:val="center"/>
          </w:tcPr>
          <w:p w14:paraId="6FC77E3A" w14:textId="77777777" w:rsidR="00804630" w:rsidRPr="00804630" w:rsidRDefault="00804630" w:rsidP="00804630">
            <w:pPr>
              <w:keepNext/>
              <w:spacing w:line="257" w:lineRule="auto"/>
              <w:rPr>
                <w:i/>
                <w:iCs/>
                <w:sz w:val="22"/>
                <w:szCs w:val="22"/>
              </w:rPr>
            </w:pPr>
            <w:r w:rsidRPr="00804630">
              <w:rPr>
                <w:i/>
                <w:iCs/>
                <w:color w:val="000000"/>
                <w:sz w:val="22"/>
                <w:szCs w:val="22"/>
              </w:rPr>
              <w:t>93.5%</w:t>
            </w:r>
          </w:p>
        </w:tc>
        <w:tc>
          <w:tcPr>
            <w:tcW w:w="1166" w:type="dxa"/>
            <w:shd w:val="clear" w:color="auto" w:fill="auto"/>
            <w:vAlign w:val="center"/>
          </w:tcPr>
          <w:p w14:paraId="53425DB9" w14:textId="77777777" w:rsidR="00804630" w:rsidRPr="00804630" w:rsidRDefault="00804630" w:rsidP="00804630">
            <w:pPr>
              <w:keepNext/>
              <w:spacing w:line="257" w:lineRule="auto"/>
              <w:rPr>
                <w:i/>
                <w:iCs/>
                <w:sz w:val="22"/>
                <w:szCs w:val="22"/>
              </w:rPr>
            </w:pPr>
            <w:r w:rsidRPr="00804630">
              <w:rPr>
                <w:i/>
                <w:iCs/>
                <w:color w:val="000000"/>
                <w:sz w:val="22"/>
                <w:szCs w:val="22"/>
              </w:rPr>
              <w:t>90.6%</w:t>
            </w:r>
          </w:p>
        </w:tc>
        <w:tc>
          <w:tcPr>
            <w:tcW w:w="1444" w:type="dxa"/>
            <w:shd w:val="clear" w:color="auto" w:fill="auto"/>
            <w:vAlign w:val="center"/>
          </w:tcPr>
          <w:p w14:paraId="3412565A" w14:textId="77777777" w:rsidR="00804630" w:rsidRPr="00804630" w:rsidRDefault="00804630" w:rsidP="00804630">
            <w:pPr>
              <w:keepNext/>
              <w:spacing w:line="257" w:lineRule="auto"/>
              <w:rPr>
                <w:i/>
                <w:iCs/>
                <w:sz w:val="22"/>
                <w:szCs w:val="22"/>
              </w:rPr>
            </w:pPr>
            <w:r w:rsidRPr="00804630">
              <w:rPr>
                <w:i/>
                <w:iCs/>
                <w:color w:val="000000"/>
                <w:sz w:val="22"/>
                <w:szCs w:val="22"/>
              </w:rPr>
              <w:t>16.8%</w:t>
            </w:r>
          </w:p>
        </w:tc>
        <w:tc>
          <w:tcPr>
            <w:tcW w:w="1305" w:type="dxa"/>
            <w:shd w:val="clear" w:color="auto" w:fill="auto"/>
            <w:vAlign w:val="center"/>
          </w:tcPr>
          <w:p w14:paraId="3E8793DC" w14:textId="77777777" w:rsidR="00804630" w:rsidRPr="00804630" w:rsidRDefault="00804630" w:rsidP="00804630">
            <w:pPr>
              <w:keepNext/>
              <w:spacing w:line="257" w:lineRule="auto"/>
              <w:rPr>
                <w:i/>
                <w:iCs/>
                <w:sz w:val="22"/>
                <w:szCs w:val="22"/>
              </w:rPr>
            </w:pPr>
            <w:r w:rsidRPr="00804630">
              <w:rPr>
                <w:i/>
                <w:iCs/>
                <w:color w:val="000000"/>
                <w:sz w:val="22"/>
                <w:szCs w:val="22"/>
              </w:rPr>
              <w:t>32.0%</w:t>
            </w:r>
          </w:p>
        </w:tc>
        <w:tc>
          <w:tcPr>
            <w:tcW w:w="1305" w:type="dxa"/>
            <w:shd w:val="clear" w:color="auto" w:fill="auto"/>
            <w:vAlign w:val="center"/>
          </w:tcPr>
          <w:p w14:paraId="72403E9A" w14:textId="77777777" w:rsidR="00804630" w:rsidRPr="00804630" w:rsidRDefault="00804630" w:rsidP="00804630">
            <w:pPr>
              <w:keepNext/>
              <w:spacing w:line="257" w:lineRule="auto"/>
              <w:rPr>
                <w:i/>
                <w:iCs/>
                <w:sz w:val="22"/>
                <w:szCs w:val="22"/>
              </w:rPr>
            </w:pPr>
            <w:r w:rsidRPr="00804630">
              <w:rPr>
                <w:i/>
                <w:iCs/>
                <w:color w:val="000000"/>
                <w:sz w:val="22"/>
                <w:szCs w:val="22"/>
              </w:rPr>
              <w:t>4.5%</w:t>
            </w:r>
          </w:p>
        </w:tc>
        <w:tc>
          <w:tcPr>
            <w:tcW w:w="1305" w:type="dxa"/>
            <w:shd w:val="clear" w:color="auto" w:fill="auto"/>
            <w:vAlign w:val="center"/>
          </w:tcPr>
          <w:p w14:paraId="25AE986D" w14:textId="77777777" w:rsidR="00804630" w:rsidRPr="00804630" w:rsidRDefault="00804630" w:rsidP="00804630">
            <w:pPr>
              <w:keepNext/>
              <w:spacing w:line="257" w:lineRule="auto"/>
              <w:rPr>
                <w:i/>
                <w:iCs/>
                <w:sz w:val="22"/>
                <w:szCs w:val="22"/>
              </w:rPr>
            </w:pPr>
            <w:r w:rsidRPr="00804630">
              <w:rPr>
                <w:i/>
                <w:iCs/>
                <w:color w:val="000000"/>
                <w:sz w:val="22"/>
                <w:szCs w:val="22"/>
              </w:rPr>
              <w:t>11.1%</w:t>
            </w:r>
          </w:p>
        </w:tc>
      </w:tr>
      <w:tr w:rsidR="00804630" w:rsidRPr="00804630" w14:paraId="3C951A80" w14:textId="77777777" w:rsidTr="0099166C">
        <w:tc>
          <w:tcPr>
            <w:tcW w:w="1165" w:type="dxa"/>
            <w:shd w:val="clear" w:color="auto" w:fill="auto"/>
          </w:tcPr>
          <w:p w14:paraId="2BC01F3A" w14:textId="77777777" w:rsidR="00804630" w:rsidRPr="00804630" w:rsidRDefault="00804630" w:rsidP="00804630">
            <w:pPr>
              <w:keepNext/>
              <w:spacing w:line="257" w:lineRule="auto"/>
              <w:rPr>
                <w:i/>
                <w:iCs/>
                <w:sz w:val="22"/>
                <w:szCs w:val="22"/>
              </w:rPr>
            </w:pPr>
            <w:r w:rsidRPr="00804630">
              <w:rPr>
                <w:i/>
                <w:iCs/>
                <w:sz w:val="22"/>
                <w:szCs w:val="22"/>
              </w:rPr>
              <w:t>Hispanic or Latino</w:t>
            </w:r>
          </w:p>
        </w:tc>
        <w:tc>
          <w:tcPr>
            <w:tcW w:w="1444" w:type="dxa"/>
            <w:shd w:val="clear" w:color="auto" w:fill="auto"/>
            <w:vAlign w:val="center"/>
          </w:tcPr>
          <w:p w14:paraId="047AB9AF" w14:textId="77777777" w:rsidR="00804630" w:rsidRPr="00804630" w:rsidRDefault="00804630" w:rsidP="00804630">
            <w:pPr>
              <w:keepNext/>
              <w:spacing w:line="257" w:lineRule="auto"/>
              <w:rPr>
                <w:i/>
                <w:iCs/>
                <w:sz w:val="22"/>
                <w:szCs w:val="22"/>
              </w:rPr>
            </w:pPr>
            <w:r w:rsidRPr="00804630">
              <w:rPr>
                <w:i/>
                <w:iCs/>
                <w:color w:val="000000"/>
                <w:sz w:val="22"/>
                <w:szCs w:val="22"/>
              </w:rPr>
              <w:t>90.9%</w:t>
            </w:r>
          </w:p>
        </w:tc>
        <w:tc>
          <w:tcPr>
            <w:tcW w:w="1166" w:type="dxa"/>
            <w:shd w:val="clear" w:color="auto" w:fill="auto"/>
            <w:vAlign w:val="center"/>
          </w:tcPr>
          <w:p w14:paraId="7332183B" w14:textId="77777777" w:rsidR="00804630" w:rsidRPr="00804630" w:rsidRDefault="00804630" w:rsidP="00804630">
            <w:pPr>
              <w:keepNext/>
              <w:spacing w:line="257" w:lineRule="auto"/>
              <w:rPr>
                <w:i/>
                <w:iCs/>
                <w:sz w:val="22"/>
                <w:szCs w:val="22"/>
              </w:rPr>
            </w:pPr>
            <w:r w:rsidRPr="00804630">
              <w:rPr>
                <w:i/>
                <w:iCs/>
                <w:color w:val="000000"/>
                <w:sz w:val="22"/>
                <w:szCs w:val="22"/>
              </w:rPr>
              <w:t>88.5%</w:t>
            </w:r>
          </w:p>
        </w:tc>
        <w:tc>
          <w:tcPr>
            <w:tcW w:w="1444" w:type="dxa"/>
            <w:shd w:val="clear" w:color="auto" w:fill="auto"/>
            <w:vAlign w:val="center"/>
          </w:tcPr>
          <w:p w14:paraId="63D88F56" w14:textId="77777777" w:rsidR="00804630" w:rsidRPr="00804630" w:rsidRDefault="00804630" w:rsidP="00804630">
            <w:pPr>
              <w:keepNext/>
              <w:spacing w:line="257" w:lineRule="auto"/>
              <w:rPr>
                <w:i/>
                <w:iCs/>
                <w:sz w:val="22"/>
                <w:szCs w:val="22"/>
              </w:rPr>
            </w:pPr>
            <w:r w:rsidRPr="00804630">
              <w:rPr>
                <w:i/>
                <w:iCs/>
                <w:color w:val="000000"/>
                <w:sz w:val="22"/>
                <w:szCs w:val="22"/>
              </w:rPr>
              <w:t>29.6%</w:t>
            </w:r>
          </w:p>
        </w:tc>
        <w:tc>
          <w:tcPr>
            <w:tcW w:w="1305" w:type="dxa"/>
            <w:shd w:val="clear" w:color="auto" w:fill="auto"/>
            <w:vAlign w:val="center"/>
          </w:tcPr>
          <w:p w14:paraId="05FFB27C" w14:textId="77777777" w:rsidR="00804630" w:rsidRPr="00804630" w:rsidRDefault="00804630" w:rsidP="00804630">
            <w:pPr>
              <w:keepNext/>
              <w:spacing w:line="257" w:lineRule="auto"/>
              <w:rPr>
                <w:i/>
                <w:iCs/>
                <w:sz w:val="22"/>
                <w:szCs w:val="22"/>
              </w:rPr>
            </w:pPr>
            <w:r w:rsidRPr="00804630">
              <w:rPr>
                <w:i/>
                <w:iCs/>
                <w:color w:val="000000"/>
                <w:sz w:val="22"/>
                <w:szCs w:val="22"/>
              </w:rPr>
              <w:t>42.3%</w:t>
            </w:r>
          </w:p>
        </w:tc>
        <w:tc>
          <w:tcPr>
            <w:tcW w:w="1305" w:type="dxa"/>
            <w:shd w:val="clear" w:color="auto" w:fill="auto"/>
            <w:vAlign w:val="center"/>
          </w:tcPr>
          <w:p w14:paraId="3D6EE32A" w14:textId="77777777" w:rsidR="00804630" w:rsidRPr="00804630" w:rsidRDefault="00804630" w:rsidP="00804630">
            <w:pPr>
              <w:keepNext/>
              <w:spacing w:line="257" w:lineRule="auto"/>
              <w:rPr>
                <w:i/>
                <w:iCs/>
                <w:sz w:val="22"/>
                <w:szCs w:val="22"/>
              </w:rPr>
            </w:pPr>
            <w:r w:rsidRPr="00804630">
              <w:rPr>
                <w:i/>
                <w:iCs/>
                <w:color w:val="000000"/>
                <w:sz w:val="22"/>
                <w:szCs w:val="22"/>
              </w:rPr>
              <w:t>8.1%</w:t>
            </w:r>
          </w:p>
        </w:tc>
        <w:tc>
          <w:tcPr>
            <w:tcW w:w="1305" w:type="dxa"/>
            <w:shd w:val="clear" w:color="auto" w:fill="auto"/>
            <w:vAlign w:val="center"/>
          </w:tcPr>
          <w:p w14:paraId="620D8ADD" w14:textId="77777777" w:rsidR="00804630" w:rsidRPr="00804630" w:rsidRDefault="00804630" w:rsidP="00804630">
            <w:pPr>
              <w:keepNext/>
              <w:spacing w:line="257" w:lineRule="auto"/>
              <w:rPr>
                <w:i/>
                <w:iCs/>
                <w:sz w:val="22"/>
                <w:szCs w:val="22"/>
              </w:rPr>
            </w:pPr>
            <w:r w:rsidRPr="00804630">
              <w:rPr>
                <w:i/>
                <w:iCs/>
                <w:color w:val="000000"/>
                <w:sz w:val="22"/>
                <w:szCs w:val="22"/>
              </w:rPr>
              <w:t>14.5%</w:t>
            </w:r>
          </w:p>
        </w:tc>
      </w:tr>
      <w:tr w:rsidR="00804630" w:rsidRPr="00804630" w14:paraId="3E53F32A" w14:textId="77777777" w:rsidTr="0099166C">
        <w:tc>
          <w:tcPr>
            <w:tcW w:w="1165" w:type="dxa"/>
            <w:shd w:val="clear" w:color="auto" w:fill="auto"/>
          </w:tcPr>
          <w:p w14:paraId="3F266EA7" w14:textId="77777777" w:rsidR="00804630" w:rsidRPr="00804630" w:rsidRDefault="00804630" w:rsidP="00804630">
            <w:pPr>
              <w:keepNext/>
              <w:spacing w:line="257" w:lineRule="auto"/>
              <w:rPr>
                <w:i/>
                <w:iCs/>
                <w:sz w:val="22"/>
                <w:szCs w:val="22"/>
              </w:rPr>
            </w:pPr>
          </w:p>
        </w:tc>
        <w:tc>
          <w:tcPr>
            <w:tcW w:w="2610" w:type="dxa"/>
            <w:gridSpan w:val="2"/>
            <w:shd w:val="clear" w:color="auto" w:fill="auto"/>
          </w:tcPr>
          <w:p w14:paraId="406FC174" w14:textId="77777777" w:rsidR="00804630" w:rsidRPr="00804630" w:rsidRDefault="00804630" w:rsidP="00804630">
            <w:pPr>
              <w:keepNext/>
              <w:spacing w:line="257" w:lineRule="auto"/>
              <w:rPr>
                <w:i/>
                <w:iCs/>
                <w:sz w:val="22"/>
                <w:szCs w:val="22"/>
              </w:rPr>
            </w:pPr>
            <w:r w:rsidRPr="00804630">
              <w:rPr>
                <w:i/>
                <w:iCs/>
                <w:sz w:val="22"/>
                <w:szCs w:val="22"/>
              </w:rPr>
              <w:t>The overall attendance rate for Hispanic/Latino and African American/Black students at PHA is higher than the statewide average. The difference in days is nearly four additional days of school for Hispanic/Latino students and nearly five days of school for African American/Black students.</w:t>
            </w:r>
          </w:p>
        </w:tc>
        <w:tc>
          <w:tcPr>
            <w:tcW w:w="2749" w:type="dxa"/>
            <w:gridSpan w:val="2"/>
            <w:shd w:val="clear" w:color="auto" w:fill="auto"/>
          </w:tcPr>
          <w:p w14:paraId="1A5D4F3E" w14:textId="77777777" w:rsidR="00804630" w:rsidRPr="00804630" w:rsidRDefault="00804630" w:rsidP="00804630">
            <w:pPr>
              <w:keepNext/>
              <w:spacing w:line="257" w:lineRule="auto"/>
              <w:rPr>
                <w:i/>
                <w:iCs/>
                <w:sz w:val="22"/>
                <w:szCs w:val="22"/>
              </w:rPr>
            </w:pPr>
            <w:r w:rsidRPr="00804630">
              <w:rPr>
                <w:i/>
                <w:iCs/>
                <w:sz w:val="22"/>
                <w:szCs w:val="22"/>
              </w:rPr>
              <w:t>The 10% Chronic Absenteeism rate at PHA is significantly lower than the state rate for Hispanic/Latino students, and nearly half the state rate for African American/Black students.</w:t>
            </w:r>
          </w:p>
        </w:tc>
        <w:tc>
          <w:tcPr>
            <w:tcW w:w="2610" w:type="dxa"/>
            <w:gridSpan w:val="2"/>
            <w:shd w:val="clear" w:color="auto" w:fill="auto"/>
          </w:tcPr>
          <w:p w14:paraId="08B5B7AC" w14:textId="77777777" w:rsidR="00804630" w:rsidRPr="00804630" w:rsidRDefault="00804630" w:rsidP="00804630">
            <w:pPr>
              <w:keepNext/>
              <w:spacing w:line="257" w:lineRule="auto"/>
              <w:rPr>
                <w:i/>
                <w:iCs/>
                <w:sz w:val="22"/>
                <w:szCs w:val="22"/>
              </w:rPr>
            </w:pPr>
            <w:r w:rsidRPr="00804630">
              <w:rPr>
                <w:i/>
                <w:iCs/>
                <w:sz w:val="22"/>
                <w:szCs w:val="22"/>
              </w:rPr>
              <w:t>The 20% Chronic Absenteeism rate at PHA is significantly lower than the state rate for Hispanic/Latino students, and less than half the state rate for African American/Black students.</w:t>
            </w:r>
          </w:p>
        </w:tc>
      </w:tr>
    </w:tbl>
    <w:p w14:paraId="2B0D964E" w14:textId="77777777" w:rsidR="00804630" w:rsidRDefault="00804630" w:rsidP="00007623">
      <w:pPr>
        <w:rPr>
          <w:sz w:val="22"/>
        </w:rPr>
      </w:pPr>
      <w:bookmarkStart w:id="7" w:name="CommendableList"/>
      <w:bookmarkEnd w:id="6"/>
      <w:bookmarkEnd w:id="7"/>
    </w:p>
    <w:p w14:paraId="1922D7B5" w14:textId="187F41AA" w:rsidR="00007623" w:rsidRDefault="00007623" w:rsidP="00007623">
      <w:pPr>
        <w:rPr>
          <w:sz w:val="22"/>
        </w:rPr>
      </w:pPr>
      <w:r>
        <w:rPr>
          <w:sz w:val="22"/>
        </w:rPr>
        <w:t xml:space="preserve">In preparing this report, the team reviewed extensive written documentation regarding the operation of the </w:t>
      </w:r>
      <w:r w:rsidR="001F241C">
        <w:rPr>
          <w:sz w:val="22"/>
        </w:rPr>
        <w:t>school</w:t>
      </w:r>
      <w:r>
        <w:rPr>
          <w:sz w:val="22"/>
        </w:rPr>
        <w:t xml:space="preserve">'s programs, together with information gathered by means of the following Department program review methods: </w:t>
      </w:r>
    </w:p>
    <w:p w14:paraId="68B9FBF0" w14:textId="77777777" w:rsidR="00007623" w:rsidRDefault="00007623" w:rsidP="00007623">
      <w:pPr>
        <w:pStyle w:val="BodyText"/>
        <w:tabs>
          <w:tab w:val="left" w:pos="1080"/>
        </w:tabs>
      </w:pPr>
    </w:p>
    <w:p w14:paraId="42032770" w14:textId="77777777" w:rsidR="00007623" w:rsidRDefault="00007623" w:rsidP="00007623">
      <w:pPr>
        <w:pStyle w:val="BodyText3"/>
        <w:jc w:val="left"/>
        <w:rPr>
          <w:sz w:val="22"/>
        </w:rPr>
      </w:pPr>
      <w:r w:rsidRPr="00C23194">
        <w:rPr>
          <w:b/>
          <w:bCs/>
          <w:sz w:val="22"/>
        </w:rPr>
        <w:t>Self-</w:t>
      </w:r>
      <w:r>
        <w:rPr>
          <w:b/>
          <w:bCs/>
          <w:sz w:val="22"/>
        </w:rPr>
        <w:t>Assessment Phase:</w:t>
      </w:r>
    </w:p>
    <w:p w14:paraId="0E0CDA31" w14:textId="6506DAF1" w:rsidR="00007623" w:rsidRDefault="001F241C" w:rsidP="00007623">
      <w:pPr>
        <w:pStyle w:val="ListParagraph"/>
        <w:numPr>
          <w:ilvl w:val="0"/>
          <w:numId w:val="11"/>
        </w:numPr>
        <w:rPr>
          <w:rFonts w:ascii="Times New Roman" w:hAnsi="Times New Roman" w:cs="Times New Roman"/>
          <w:sz w:val="22"/>
        </w:rPr>
      </w:pPr>
      <w:r>
        <w:rPr>
          <w:rFonts w:ascii="Times New Roman" w:hAnsi="Times New Roman" w:cs="Times New Roman"/>
          <w:sz w:val="22"/>
        </w:rPr>
        <w:t>School</w:t>
      </w:r>
      <w:r w:rsidRPr="00944C1C">
        <w:rPr>
          <w:rFonts w:ascii="Times New Roman" w:hAnsi="Times New Roman" w:cs="Times New Roman"/>
          <w:sz w:val="22"/>
        </w:rPr>
        <w:t xml:space="preserve"> </w:t>
      </w:r>
      <w:r w:rsidR="00007623" w:rsidRPr="00944C1C">
        <w:rPr>
          <w:rFonts w:ascii="Times New Roman" w:hAnsi="Times New Roman" w:cs="Times New Roman"/>
          <w:sz w:val="22"/>
        </w:rPr>
        <w:t xml:space="preserve">review of special </w:t>
      </w:r>
      <w:r w:rsidR="00007623" w:rsidRPr="00944C1C">
        <w:rPr>
          <w:rFonts w:ascii="Times New Roman" w:hAnsi="Times New Roman" w:cs="Times New Roman"/>
          <w:sz w:val="22"/>
          <w:szCs w:val="22"/>
        </w:rPr>
        <w:t>education and civil rights documentation</w:t>
      </w:r>
      <w:r w:rsidR="00007623" w:rsidRPr="00944C1C">
        <w:rPr>
          <w:rFonts w:ascii="Times New Roman" w:hAnsi="Times New Roman" w:cs="Times New Roman"/>
          <w:sz w:val="22"/>
        </w:rPr>
        <w:t xml:space="preserve"> for required elements including document uploads. </w:t>
      </w:r>
    </w:p>
    <w:p w14:paraId="04A4A982" w14:textId="729EB4CD" w:rsidR="00007623" w:rsidRPr="00CA3DA7" w:rsidRDefault="00007623" w:rsidP="00CA3DA7">
      <w:pPr>
        <w:pStyle w:val="ListParagraph"/>
        <w:numPr>
          <w:ilvl w:val="0"/>
          <w:numId w:val="11"/>
        </w:numPr>
        <w:rPr>
          <w:rFonts w:ascii="Times New Roman" w:hAnsi="Times New Roman" w:cs="Times New Roman"/>
          <w:sz w:val="22"/>
        </w:rPr>
      </w:pPr>
      <w:bookmarkStart w:id="8" w:name="_Hlk84233526"/>
      <w:r w:rsidRPr="00944C1C">
        <w:rPr>
          <w:rFonts w:ascii="Times New Roman" w:hAnsi="Times New Roman" w:cs="Times New Roman"/>
          <w:sz w:val="22"/>
        </w:rPr>
        <w:t xml:space="preserve">Upon completion of the self-assessment, the </w:t>
      </w:r>
      <w:r w:rsidR="008F1F32">
        <w:rPr>
          <w:rFonts w:ascii="Times New Roman" w:hAnsi="Times New Roman" w:cs="Times New Roman"/>
          <w:sz w:val="22"/>
        </w:rPr>
        <w:t>school</w:t>
      </w:r>
      <w:r w:rsidRPr="00944C1C">
        <w:rPr>
          <w:rFonts w:ascii="Times New Roman" w:hAnsi="Times New Roman" w:cs="Times New Roman"/>
          <w:sz w:val="22"/>
        </w:rPr>
        <w:t xml:space="preserve">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8"/>
    <w:p w14:paraId="3C079846" w14:textId="77777777" w:rsidR="00007623" w:rsidRDefault="00007623" w:rsidP="00007623">
      <w:pPr>
        <w:pStyle w:val="BodyText3"/>
        <w:jc w:val="left"/>
        <w:rPr>
          <w:sz w:val="22"/>
        </w:rPr>
      </w:pPr>
    </w:p>
    <w:p w14:paraId="0A698A2D" w14:textId="77777777" w:rsidR="00007623" w:rsidRDefault="00007623" w:rsidP="00007623">
      <w:pPr>
        <w:pStyle w:val="BodyText3"/>
        <w:jc w:val="left"/>
        <w:rPr>
          <w:sz w:val="22"/>
        </w:rPr>
      </w:pPr>
      <w:r>
        <w:rPr>
          <w:b/>
          <w:bCs/>
          <w:sz w:val="22"/>
        </w:rPr>
        <w:t>On-site Phase:</w:t>
      </w:r>
    </w:p>
    <w:p w14:paraId="0DE6A489" w14:textId="77777777" w:rsidR="00007623" w:rsidRPr="00944C1C" w:rsidRDefault="00007623" w:rsidP="00007623">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442DA7C" w14:textId="77777777" w:rsidR="00007623" w:rsidRDefault="00007623" w:rsidP="00007623">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parents or members of the general public.</w:t>
      </w:r>
    </w:p>
    <w:p w14:paraId="73C4A228" w14:textId="77777777" w:rsidR="00007623" w:rsidRDefault="00007623" w:rsidP="00007623">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98DD3F0" w14:textId="4991DF9A" w:rsidR="00007623" w:rsidRDefault="00007623" w:rsidP="00007623">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1F241C">
        <w:rPr>
          <w:rFonts w:ascii="Times New Roman" w:hAnsi="Times New Roman" w:cs="Times New Roman"/>
          <w:sz w:val="22"/>
          <w:szCs w:val="22"/>
        </w:rPr>
        <w:t>school</w:t>
      </w:r>
      <w:r w:rsidRPr="30FB98FD">
        <w:rPr>
          <w:rFonts w:ascii="Times New Roman" w:hAnsi="Times New Roman" w:cs="Times New Roman"/>
          <w:sz w:val="22"/>
          <w:szCs w:val="22"/>
        </w:rPr>
        <w:t>’s implementation of special education programs, related services, and procedural requirements.</w:t>
      </w:r>
    </w:p>
    <w:p w14:paraId="2DE2EB5A" w14:textId="77777777" w:rsidR="005A789B" w:rsidRPr="0033084D" w:rsidRDefault="005A789B" w:rsidP="0033084D">
      <w:pPr>
        <w:pStyle w:val="ListParagraph"/>
        <w:numPr>
          <w:ilvl w:val="0"/>
          <w:numId w:val="12"/>
        </w:numPr>
        <w:autoSpaceDE w:val="0"/>
        <w:autoSpaceDN w:val="0"/>
        <w:adjustRightInd w:val="0"/>
        <w:rPr>
          <w:rFonts w:ascii="Times New Roman" w:hAnsi="Times New Roman" w:cs="Times New Roman"/>
          <w:sz w:val="22"/>
          <w:szCs w:val="22"/>
        </w:rPr>
      </w:pPr>
      <w:r w:rsidRPr="005A789B">
        <w:rPr>
          <w:rFonts w:ascii="Times New Roman" w:hAnsi="Times New Roman" w:cs="Times New Roman"/>
          <w:sz w:val="22"/>
          <w:szCs w:val="22"/>
        </w:rPr>
        <w:t>Observations of classrooms and other facilities</w:t>
      </w:r>
      <w:r>
        <w:rPr>
          <w:rFonts w:ascii="Times New Roman" w:hAnsi="Times New Roman" w:cs="Times New Roman"/>
          <w:sz w:val="22"/>
          <w:szCs w:val="22"/>
        </w:rPr>
        <w:t>.</w:t>
      </w:r>
    </w:p>
    <w:tbl>
      <w:tblPr>
        <w:tblW w:w="0" w:type="auto"/>
        <w:tblLook w:val="04A0" w:firstRow="1" w:lastRow="0" w:firstColumn="1" w:lastColumn="0" w:noHBand="0" w:noVBand="1"/>
      </w:tblPr>
      <w:tblGrid>
        <w:gridCol w:w="106"/>
        <w:gridCol w:w="9254"/>
      </w:tblGrid>
      <w:tr w:rsidR="00007623" w:rsidRPr="00D351C4" w14:paraId="3FEC5CC5" w14:textId="77777777" w:rsidTr="00007623">
        <w:trPr>
          <w:gridBefore w:val="1"/>
          <w:wBefore w:w="108" w:type="dxa"/>
        </w:trPr>
        <w:tc>
          <w:tcPr>
            <w:tcW w:w="9468" w:type="dxa"/>
            <w:shd w:val="clear" w:color="auto" w:fill="auto"/>
          </w:tcPr>
          <w:p w14:paraId="756BB42F" w14:textId="77777777" w:rsidR="00007623" w:rsidRPr="00D351C4" w:rsidRDefault="00007623" w:rsidP="00007623">
            <w:pPr>
              <w:pStyle w:val="BodyText3"/>
              <w:jc w:val="left"/>
              <w:rPr>
                <w:b/>
                <w:sz w:val="22"/>
              </w:rPr>
            </w:pPr>
          </w:p>
        </w:tc>
      </w:tr>
      <w:tr w:rsidR="00007623" w:rsidRPr="00D351C4" w14:paraId="17A82BA1" w14:textId="77777777" w:rsidTr="00007623">
        <w:tc>
          <w:tcPr>
            <w:tcW w:w="9576" w:type="dxa"/>
            <w:gridSpan w:val="2"/>
            <w:shd w:val="clear" w:color="auto" w:fill="auto"/>
          </w:tcPr>
          <w:p w14:paraId="69AFC868" w14:textId="77777777" w:rsidR="00007623" w:rsidRPr="00D351C4" w:rsidRDefault="00007623" w:rsidP="00007623">
            <w:pPr>
              <w:rPr>
                <w:sz w:val="22"/>
              </w:rPr>
            </w:pPr>
            <w:bookmarkStart w:id="9" w:name="blockFinalAllImplemented"/>
            <w:r>
              <w:rPr>
                <w:sz w:val="22"/>
              </w:rPr>
              <w:t xml:space="preserve">   </w:t>
            </w:r>
            <w:bookmarkEnd w:id="9"/>
          </w:p>
        </w:tc>
      </w:tr>
    </w:tbl>
    <w:p w14:paraId="299E7DE8" w14:textId="0453617C" w:rsidR="00007623" w:rsidRDefault="00007623" w:rsidP="00007623">
      <w:pPr>
        <w:jc w:val="center"/>
        <w:rPr>
          <w:b/>
          <w:sz w:val="22"/>
        </w:rPr>
      </w:pPr>
      <w:r>
        <w:rPr>
          <w:sz w:val="22"/>
          <w:szCs w:val="22"/>
        </w:rPr>
        <w:br w:type="page"/>
      </w:r>
      <w:r>
        <w:rPr>
          <w:b/>
          <w:sz w:val="22"/>
        </w:rPr>
        <w:fldChar w:fldCharType="begin"/>
      </w:r>
      <w:r>
        <w:rPr>
          <w:b/>
          <w:sz w:val="22"/>
        </w:rPr>
        <w:instrText xml:space="preserve"> TC  </w:instrText>
      </w:r>
      <w:r w:rsidR="001F241C">
        <w:rPr>
          <w:b/>
          <w:sz w:val="22"/>
        </w:rPr>
        <w:instrText>“</w:instrText>
      </w:r>
      <w:bookmarkStart w:id="10" w:name="_Toc128129553"/>
      <w:r>
        <w:rPr>
          <w:b/>
          <w:sz w:val="22"/>
        </w:rPr>
        <w:instrText>DEFINITION OF COMPLIANCE RATINGS</w:instrText>
      </w:r>
      <w:bookmarkEnd w:id="10"/>
      <w:r w:rsidR="001F241C">
        <w:rPr>
          <w:b/>
          <w:sz w:val="22"/>
        </w:rPr>
        <w:instrText>”</w:instrText>
      </w:r>
      <w:r>
        <w:rPr>
          <w:b/>
          <w:sz w:val="22"/>
        </w:rPr>
        <w:instrText xml:space="preserve"> </w:instrText>
      </w:r>
      <w:r>
        <w:rPr>
          <w:b/>
          <w:sz w:val="22"/>
        </w:rPr>
        <w:fldChar w:fldCharType="end"/>
      </w:r>
      <w:r>
        <w:rPr>
          <w:b/>
          <w:sz w:val="22"/>
        </w:rPr>
        <w:t>D</w:t>
      </w:r>
      <w:r w:rsidRPr="007E5338">
        <w:rPr>
          <w:b/>
          <w:sz w:val="22"/>
        </w:rPr>
        <w:t>EFINITION OF COMPLIANCE RATINGS</w:t>
      </w:r>
    </w:p>
    <w:p w14:paraId="4050EC85" w14:textId="77777777" w:rsidR="00007623" w:rsidRDefault="00007623" w:rsidP="00007623">
      <w:pPr>
        <w:rPr>
          <w:lang w:val="x-none" w:eastAsia="x-none"/>
        </w:rPr>
      </w:pPr>
    </w:p>
    <w:p w14:paraId="7B8E8FD7" w14:textId="77777777" w:rsidR="00007623" w:rsidRPr="009706DB" w:rsidRDefault="00007623" w:rsidP="00007623">
      <w:pPr>
        <w:rPr>
          <w:lang w:val="x-none" w:eastAsia="x-none"/>
        </w:rPr>
      </w:pPr>
    </w:p>
    <w:p w14:paraId="27313008" w14:textId="77777777" w:rsidR="00007623" w:rsidRDefault="00007623" w:rsidP="00007623">
      <w:pPr>
        <w:rPr>
          <w:b/>
          <w:sz w:val="22"/>
        </w:rPr>
      </w:pPr>
    </w:p>
    <w:p w14:paraId="250C5F60" w14:textId="77777777" w:rsidR="00007623" w:rsidRPr="00F917FE" w:rsidRDefault="00007623" w:rsidP="00007623">
      <w:pPr>
        <w:rPr>
          <w:b/>
          <w:sz w:val="22"/>
        </w:rPr>
        <w:sectPr w:rsidR="00007623" w:rsidRPr="00F917FE" w:rsidSect="00007623">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007623" w14:paraId="44F49038" w14:textId="77777777" w:rsidTr="00007623">
        <w:tc>
          <w:tcPr>
            <w:tcW w:w="3888" w:type="dxa"/>
            <w:tcBorders>
              <w:top w:val="nil"/>
              <w:left w:val="nil"/>
              <w:bottom w:val="nil"/>
              <w:right w:val="nil"/>
            </w:tcBorders>
          </w:tcPr>
          <w:p w14:paraId="66B3AFC1" w14:textId="77777777" w:rsidR="00007623" w:rsidRDefault="00007623" w:rsidP="00007623">
            <w:pPr>
              <w:pStyle w:val="BodyText"/>
              <w:jc w:val="both"/>
              <w:rPr>
                <w:b/>
              </w:rPr>
            </w:pPr>
          </w:p>
          <w:p w14:paraId="166A5CB4" w14:textId="77777777" w:rsidR="00007623" w:rsidRDefault="00007623" w:rsidP="00007623">
            <w:pPr>
              <w:pStyle w:val="BodyText"/>
              <w:jc w:val="both"/>
              <w:rPr>
                <w:b/>
              </w:rPr>
            </w:pPr>
            <w:r>
              <w:rPr>
                <w:b/>
              </w:rPr>
              <w:t>Commendable</w:t>
            </w:r>
          </w:p>
        </w:tc>
        <w:tc>
          <w:tcPr>
            <w:tcW w:w="5202" w:type="dxa"/>
            <w:tcBorders>
              <w:top w:val="nil"/>
              <w:left w:val="nil"/>
              <w:bottom w:val="nil"/>
              <w:right w:val="nil"/>
            </w:tcBorders>
          </w:tcPr>
          <w:p w14:paraId="097313DA" w14:textId="77777777" w:rsidR="00007623" w:rsidRDefault="00007623" w:rsidP="00007623">
            <w:pPr>
              <w:pStyle w:val="BodyText"/>
            </w:pPr>
          </w:p>
          <w:p w14:paraId="1ECD36FD" w14:textId="77777777" w:rsidR="00007623" w:rsidRDefault="00007623" w:rsidP="00007623">
            <w:pPr>
              <w:pStyle w:val="BodyText"/>
            </w:pPr>
            <w:r>
              <w:t>Any requirement or aspect of a requirement implemented in an exemplary manner significantly beyond the requirements of law or regulation.</w:t>
            </w:r>
          </w:p>
          <w:p w14:paraId="41C34281" w14:textId="77777777" w:rsidR="00007623" w:rsidRDefault="00007623" w:rsidP="00007623">
            <w:pPr>
              <w:pStyle w:val="BodyText"/>
            </w:pPr>
          </w:p>
          <w:p w14:paraId="7ADB2A59" w14:textId="77777777" w:rsidR="00007623" w:rsidRDefault="00007623" w:rsidP="00007623">
            <w:pPr>
              <w:pStyle w:val="BodyText"/>
            </w:pPr>
          </w:p>
        </w:tc>
      </w:tr>
      <w:tr w:rsidR="00007623" w14:paraId="7CF377EA" w14:textId="77777777" w:rsidTr="00007623">
        <w:tc>
          <w:tcPr>
            <w:tcW w:w="3888" w:type="dxa"/>
            <w:tcBorders>
              <w:top w:val="nil"/>
              <w:left w:val="nil"/>
              <w:bottom w:val="nil"/>
              <w:right w:val="nil"/>
            </w:tcBorders>
          </w:tcPr>
          <w:p w14:paraId="754D7FCB" w14:textId="77777777" w:rsidR="00007623" w:rsidRDefault="00007623" w:rsidP="00007623">
            <w:pPr>
              <w:pStyle w:val="BodyText"/>
              <w:jc w:val="both"/>
              <w:rPr>
                <w:b/>
              </w:rPr>
            </w:pPr>
          </w:p>
        </w:tc>
        <w:tc>
          <w:tcPr>
            <w:tcW w:w="5202" w:type="dxa"/>
            <w:tcBorders>
              <w:top w:val="nil"/>
              <w:left w:val="nil"/>
              <w:bottom w:val="nil"/>
              <w:right w:val="nil"/>
            </w:tcBorders>
          </w:tcPr>
          <w:p w14:paraId="392C8B94" w14:textId="77777777" w:rsidR="00007623" w:rsidRDefault="00007623" w:rsidP="00007623">
            <w:pPr>
              <w:pStyle w:val="BodyText"/>
            </w:pPr>
          </w:p>
        </w:tc>
      </w:tr>
      <w:tr w:rsidR="00007623" w14:paraId="5250CD3E" w14:textId="77777777" w:rsidTr="00007623">
        <w:trPr>
          <w:trHeight w:val="459"/>
        </w:trPr>
        <w:tc>
          <w:tcPr>
            <w:tcW w:w="3888" w:type="dxa"/>
            <w:tcBorders>
              <w:top w:val="nil"/>
              <w:left w:val="nil"/>
              <w:bottom w:val="nil"/>
              <w:right w:val="nil"/>
            </w:tcBorders>
          </w:tcPr>
          <w:p w14:paraId="234C5355" w14:textId="77777777" w:rsidR="00007623" w:rsidRDefault="00007623" w:rsidP="00007623">
            <w:pPr>
              <w:pStyle w:val="BodyText"/>
              <w:jc w:val="both"/>
              <w:rPr>
                <w:b/>
              </w:rPr>
            </w:pPr>
            <w:r>
              <w:rPr>
                <w:b/>
              </w:rPr>
              <w:t>Implemented</w:t>
            </w:r>
          </w:p>
        </w:tc>
        <w:tc>
          <w:tcPr>
            <w:tcW w:w="5202" w:type="dxa"/>
            <w:tcBorders>
              <w:top w:val="nil"/>
              <w:left w:val="nil"/>
              <w:bottom w:val="nil"/>
              <w:right w:val="nil"/>
            </w:tcBorders>
          </w:tcPr>
          <w:p w14:paraId="42259927" w14:textId="77777777" w:rsidR="00007623" w:rsidRDefault="00007623" w:rsidP="00007623">
            <w:pPr>
              <w:pStyle w:val="BodyText"/>
            </w:pPr>
            <w:r>
              <w:t>The requirement is substantially met in all important aspects.</w:t>
            </w:r>
          </w:p>
          <w:p w14:paraId="37714CA1" w14:textId="77777777" w:rsidR="00007623" w:rsidRDefault="00007623" w:rsidP="00007623">
            <w:pPr>
              <w:pStyle w:val="BodyText"/>
            </w:pPr>
          </w:p>
          <w:p w14:paraId="10957FB4" w14:textId="77777777" w:rsidR="00007623" w:rsidRDefault="00007623" w:rsidP="00007623">
            <w:pPr>
              <w:pStyle w:val="BodyText"/>
            </w:pPr>
          </w:p>
        </w:tc>
      </w:tr>
      <w:tr w:rsidR="00007623" w14:paraId="5CB1C3D7" w14:textId="77777777" w:rsidTr="00007623">
        <w:tc>
          <w:tcPr>
            <w:tcW w:w="3888" w:type="dxa"/>
            <w:tcBorders>
              <w:top w:val="nil"/>
              <w:left w:val="nil"/>
              <w:bottom w:val="nil"/>
              <w:right w:val="nil"/>
            </w:tcBorders>
          </w:tcPr>
          <w:p w14:paraId="00DEADDA" w14:textId="77777777" w:rsidR="00007623" w:rsidRDefault="00007623" w:rsidP="00007623">
            <w:pPr>
              <w:pStyle w:val="BodyText"/>
              <w:jc w:val="both"/>
              <w:rPr>
                <w:b/>
              </w:rPr>
            </w:pPr>
          </w:p>
        </w:tc>
        <w:tc>
          <w:tcPr>
            <w:tcW w:w="5202" w:type="dxa"/>
            <w:tcBorders>
              <w:top w:val="nil"/>
              <w:left w:val="nil"/>
              <w:bottom w:val="nil"/>
              <w:right w:val="nil"/>
            </w:tcBorders>
          </w:tcPr>
          <w:p w14:paraId="79C02E01" w14:textId="77777777" w:rsidR="00007623" w:rsidRDefault="00007623" w:rsidP="00007623">
            <w:pPr>
              <w:pStyle w:val="BodyText"/>
            </w:pPr>
          </w:p>
        </w:tc>
      </w:tr>
      <w:tr w:rsidR="00007623" w14:paraId="371DCA50" w14:textId="77777777" w:rsidTr="00007623">
        <w:tc>
          <w:tcPr>
            <w:tcW w:w="3888" w:type="dxa"/>
            <w:tcBorders>
              <w:top w:val="nil"/>
              <w:left w:val="nil"/>
              <w:bottom w:val="nil"/>
              <w:right w:val="nil"/>
            </w:tcBorders>
          </w:tcPr>
          <w:p w14:paraId="2AB2EEA4" w14:textId="77777777" w:rsidR="00007623" w:rsidRDefault="00007623" w:rsidP="00007623">
            <w:pPr>
              <w:pStyle w:val="BodyText"/>
              <w:jc w:val="both"/>
              <w:rPr>
                <w:b/>
              </w:rPr>
            </w:pPr>
            <w:r>
              <w:rPr>
                <w:b/>
              </w:rPr>
              <w:t>Implementation in Progress</w:t>
            </w:r>
          </w:p>
        </w:tc>
        <w:tc>
          <w:tcPr>
            <w:tcW w:w="5202" w:type="dxa"/>
            <w:tcBorders>
              <w:top w:val="nil"/>
              <w:left w:val="nil"/>
              <w:bottom w:val="nil"/>
              <w:right w:val="nil"/>
            </w:tcBorders>
          </w:tcPr>
          <w:p w14:paraId="2D79D3C2" w14:textId="77777777" w:rsidR="00007623" w:rsidRDefault="00007623" w:rsidP="00007623">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5BD8C93" w14:textId="77777777" w:rsidR="00007623" w:rsidRDefault="00007623" w:rsidP="00007623">
            <w:pPr>
              <w:pStyle w:val="BodyText"/>
            </w:pPr>
          </w:p>
          <w:p w14:paraId="43C6A7BD" w14:textId="77777777" w:rsidR="00007623" w:rsidRDefault="00007623" w:rsidP="00007623">
            <w:pPr>
              <w:pStyle w:val="BodyText"/>
            </w:pPr>
          </w:p>
        </w:tc>
      </w:tr>
      <w:tr w:rsidR="00007623" w14:paraId="1C73739F" w14:textId="77777777" w:rsidTr="00007623">
        <w:trPr>
          <w:trHeight w:val="333"/>
        </w:trPr>
        <w:tc>
          <w:tcPr>
            <w:tcW w:w="9090" w:type="dxa"/>
            <w:gridSpan w:val="2"/>
            <w:tcBorders>
              <w:top w:val="nil"/>
              <w:left w:val="nil"/>
              <w:bottom w:val="nil"/>
              <w:right w:val="nil"/>
            </w:tcBorders>
          </w:tcPr>
          <w:p w14:paraId="0CE731F0" w14:textId="77777777" w:rsidR="00007623" w:rsidRDefault="00007623" w:rsidP="00007623">
            <w:pPr>
              <w:rPr>
                <w:sz w:val="22"/>
              </w:rPr>
            </w:pPr>
          </w:p>
        </w:tc>
      </w:tr>
      <w:tr w:rsidR="00007623" w14:paraId="3A1C7871" w14:textId="77777777" w:rsidTr="00007623">
        <w:tc>
          <w:tcPr>
            <w:tcW w:w="3888" w:type="dxa"/>
            <w:tcBorders>
              <w:top w:val="nil"/>
              <w:left w:val="nil"/>
              <w:bottom w:val="nil"/>
              <w:right w:val="nil"/>
            </w:tcBorders>
          </w:tcPr>
          <w:p w14:paraId="14274D6B" w14:textId="77777777" w:rsidR="00007623" w:rsidRDefault="00007623" w:rsidP="00007623">
            <w:pPr>
              <w:ind w:right="-180"/>
              <w:jc w:val="both"/>
              <w:rPr>
                <w:b/>
                <w:sz w:val="22"/>
              </w:rPr>
            </w:pPr>
            <w:r>
              <w:rPr>
                <w:b/>
                <w:sz w:val="22"/>
              </w:rPr>
              <w:t>Partially Implemented</w:t>
            </w:r>
          </w:p>
        </w:tc>
        <w:tc>
          <w:tcPr>
            <w:tcW w:w="5202" w:type="dxa"/>
            <w:tcBorders>
              <w:top w:val="nil"/>
              <w:left w:val="nil"/>
              <w:bottom w:val="nil"/>
              <w:right w:val="nil"/>
            </w:tcBorders>
          </w:tcPr>
          <w:p w14:paraId="42D1AD41" w14:textId="77777777" w:rsidR="00007623" w:rsidRDefault="00007623" w:rsidP="00007623">
            <w:pPr>
              <w:ind w:right="-180"/>
              <w:rPr>
                <w:sz w:val="22"/>
              </w:rPr>
            </w:pPr>
            <w:r>
              <w:rPr>
                <w:sz w:val="22"/>
              </w:rPr>
              <w:t>The requirement, in one or several important aspects, is not entirely met.</w:t>
            </w:r>
          </w:p>
          <w:p w14:paraId="00F076FA" w14:textId="77777777" w:rsidR="00007623" w:rsidRDefault="00007623" w:rsidP="00007623">
            <w:pPr>
              <w:ind w:right="-180"/>
              <w:rPr>
                <w:sz w:val="22"/>
              </w:rPr>
            </w:pPr>
          </w:p>
          <w:p w14:paraId="2410F890" w14:textId="77777777" w:rsidR="00007623" w:rsidRDefault="00007623" w:rsidP="00007623">
            <w:pPr>
              <w:ind w:right="-180"/>
              <w:rPr>
                <w:sz w:val="22"/>
              </w:rPr>
            </w:pPr>
          </w:p>
        </w:tc>
      </w:tr>
      <w:tr w:rsidR="00007623" w14:paraId="0CC136B1" w14:textId="77777777" w:rsidTr="00007623">
        <w:trPr>
          <w:trHeight w:val="306"/>
        </w:trPr>
        <w:tc>
          <w:tcPr>
            <w:tcW w:w="9090" w:type="dxa"/>
            <w:gridSpan w:val="2"/>
            <w:tcBorders>
              <w:top w:val="nil"/>
              <w:left w:val="nil"/>
              <w:bottom w:val="nil"/>
              <w:right w:val="nil"/>
            </w:tcBorders>
          </w:tcPr>
          <w:p w14:paraId="71455B01" w14:textId="77777777" w:rsidR="00007623" w:rsidRDefault="00007623" w:rsidP="00007623">
            <w:pPr>
              <w:rPr>
                <w:sz w:val="22"/>
              </w:rPr>
            </w:pPr>
          </w:p>
        </w:tc>
      </w:tr>
      <w:tr w:rsidR="00007623" w14:paraId="7027A231" w14:textId="77777777" w:rsidTr="00007623">
        <w:tc>
          <w:tcPr>
            <w:tcW w:w="3888" w:type="dxa"/>
            <w:tcBorders>
              <w:top w:val="nil"/>
              <w:left w:val="nil"/>
              <w:bottom w:val="nil"/>
              <w:right w:val="nil"/>
            </w:tcBorders>
          </w:tcPr>
          <w:p w14:paraId="6B5BEB8E" w14:textId="77777777" w:rsidR="00007623" w:rsidRDefault="00007623" w:rsidP="00007623">
            <w:pPr>
              <w:pStyle w:val="BodyText"/>
              <w:jc w:val="both"/>
              <w:rPr>
                <w:b/>
              </w:rPr>
            </w:pPr>
            <w:r>
              <w:rPr>
                <w:b/>
              </w:rPr>
              <w:t>Not Implemented</w:t>
            </w:r>
          </w:p>
          <w:p w14:paraId="40689CD3" w14:textId="77777777" w:rsidR="00007623" w:rsidRDefault="00007623" w:rsidP="00007623">
            <w:pPr>
              <w:pStyle w:val="BodyText"/>
              <w:jc w:val="both"/>
              <w:rPr>
                <w:b/>
              </w:rPr>
            </w:pPr>
          </w:p>
        </w:tc>
        <w:tc>
          <w:tcPr>
            <w:tcW w:w="5202" w:type="dxa"/>
            <w:tcBorders>
              <w:top w:val="nil"/>
              <w:left w:val="nil"/>
              <w:bottom w:val="nil"/>
              <w:right w:val="nil"/>
            </w:tcBorders>
          </w:tcPr>
          <w:p w14:paraId="08551669" w14:textId="77777777" w:rsidR="00007623" w:rsidRDefault="00007623" w:rsidP="00007623">
            <w:pPr>
              <w:pStyle w:val="BodyText"/>
            </w:pPr>
            <w:r>
              <w:t>The requirement is totally or substantially not met.</w:t>
            </w:r>
          </w:p>
          <w:p w14:paraId="43495FC2" w14:textId="77777777" w:rsidR="00007623" w:rsidRDefault="00007623" w:rsidP="00007623">
            <w:pPr>
              <w:pStyle w:val="BodyText"/>
            </w:pPr>
          </w:p>
          <w:p w14:paraId="70EB765B" w14:textId="77777777" w:rsidR="00007623" w:rsidRDefault="00007623" w:rsidP="00007623">
            <w:pPr>
              <w:pStyle w:val="BodyText"/>
            </w:pPr>
          </w:p>
          <w:p w14:paraId="14287BF2" w14:textId="77777777" w:rsidR="00007623" w:rsidRDefault="00007623" w:rsidP="00007623">
            <w:pPr>
              <w:pStyle w:val="BodyText"/>
            </w:pPr>
          </w:p>
        </w:tc>
      </w:tr>
      <w:tr w:rsidR="00007623" w14:paraId="24E861CE" w14:textId="77777777" w:rsidTr="00007623">
        <w:tc>
          <w:tcPr>
            <w:tcW w:w="3888" w:type="dxa"/>
            <w:tcBorders>
              <w:top w:val="nil"/>
              <w:left w:val="nil"/>
              <w:bottom w:val="nil"/>
              <w:right w:val="nil"/>
            </w:tcBorders>
          </w:tcPr>
          <w:p w14:paraId="3B86233E" w14:textId="77777777" w:rsidR="00007623" w:rsidRDefault="00007623" w:rsidP="00007623">
            <w:pPr>
              <w:pStyle w:val="BodyText"/>
              <w:jc w:val="both"/>
              <w:rPr>
                <w:b/>
              </w:rPr>
            </w:pPr>
            <w:r>
              <w:rPr>
                <w:b/>
              </w:rPr>
              <w:t xml:space="preserve">Not Applicable </w:t>
            </w:r>
          </w:p>
          <w:p w14:paraId="2402DBAA" w14:textId="77777777" w:rsidR="00007623" w:rsidRDefault="00007623" w:rsidP="00007623">
            <w:pPr>
              <w:pStyle w:val="BodyText"/>
              <w:jc w:val="both"/>
              <w:rPr>
                <w:b/>
              </w:rPr>
            </w:pPr>
          </w:p>
          <w:p w14:paraId="1CB1CFF1" w14:textId="77777777" w:rsidR="00007623" w:rsidRDefault="00007623" w:rsidP="00007623">
            <w:pPr>
              <w:pStyle w:val="BodyText"/>
              <w:jc w:val="both"/>
              <w:rPr>
                <w:b/>
              </w:rPr>
            </w:pPr>
          </w:p>
          <w:p w14:paraId="6C831974" w14:textId="77777777" w:rsidR="00007623" w:rsidRDefault="00007623" w:rsidP="00007623">
            <w:pPr>
              <w:pStyle w:val="BodyText"/>
              <w:jc w:val="both"/>
              <w:rPr>
                <w:b/>
              </w:rPr>
            </w:pPr>
          </w:p>
          <w:p w14:paraId="7C746D39" w14:textId="77777777" w:rsidR="00007623" w:rsidRDefault="00007623" w:rsidP="00007623">
            <w:pPr>
              <w:pStyle w:val="BodyText"/>
              <w:jc w:val="both"/>
              <w:rPr>
                <w:b/>
              </w:rPr>
            </w:pPr>
            <w:r>
              <w:rPr>
                <w:b/>
              </w:rPr>
              <w:t xml:space="preserve"> </w:t>
            </w:r>
          </w:p>
        </w:tc>
        <w:tc>
          <w:tcPr>
            <w:tcW w:w="5202" w:type="dxa"/>
            <w:tcBorders>
              <w:top w:val="nil"/>
              <w:left w:val="nil"/>
              <w:bottom w:val="nil"/>
              <w:right w:val="nil"/>
            </w:tcBorders>
          </w:tcPr>
          <w:p w14:paraId="198F2E1A" w14:textId="77777777" w:rsidR="00007623" w:rsidRDefault="00007623" w:rsidP="00007623">
            <w:pPr>
              <w:pStyle w:val="BodyText"/>
            </w:pPr>
            <w:r>
              <w:t>The requirement does not apply to the school district or charter school.</w:t>
            </w:r>
          </w:p>
        </w:tc>
      </w:tr>
    </w:tbl>
    <w:p w14:paraId="01FCE4D2" w14:textId="77777777" w:rsidR="00007623" w:rsidRDefault="00007623" w:rsidP="00007623">
      <w:pPr>
        <w:rPr>
          <w:sz w:val="22"/>
        </w:rPr>
      </w:pPr>
    </w:p>
    <w:p w14:paraId="5DE2FC9E" w14:textId="77777777" w:rsidR="00007623" w:rsidRPr="00A91EDE" w:rsidRDefault="00007623" w:rsidP="00007623">
      <w:pPr>
        <w:rPr>
          <w:sz w:val="22"/>
        </w:rPr>
      </w:pPr>
    </w:p>
    <w:p w14:paraId="0960DB8B" w14:textId="4CB82AB2" w:rsidR="003E4771" w:rsidRPr="00BC0047" w:rsidRDefault="00007623" w:rsidP="00BC0047">
      <w:pPr>
        <w:jc w:val="center"/>
        <w:rPr>
          <w:b/>
          <w:bCs/>
          <w:sz w:val="28"/>
          <w:szCs w:val="28"/>
          <w:u w:val="single"/>
        </w:rPr>
      </w:pPr>
      <w:r>
        <w:rPr>
          <w:b/>
          <w:sz w:val="26"/>
        </w:rPr>
        <w:br w:type="page"/>
      </w:r>
      <w:bookmarkStart w:id="11" w:name="rptName3"/>
      <w:r w:rsidR="003E4771" w:rsidRPr="003E4771">
        <w:rPr>
          <w:b/>
          <w:bCs/>
          <w:sz w:val="28"/>
          <w:szCs w:val="28"/>
        </w:rPr>
        <w:t xml:space="preserve">Prospect Hill Academy Charter </w:t>
      </w:r>
      <w:bookmarkEnd w:id="11"/>
      <w:r w:rsidR="003E4771">
        <w:rPr>
          <w:b/>
          <w:bCs/>
          <w:sz w:val="28"/>
          <w:szCs w:val="28"/>
        </w:rPr>
        <w:t>School</w:t>
      </w:r>
      <w:bookmarkStart w:id="12" w:name="_Hlk127195743"/>
    </w:p>
    <w:p w14:paraId="63D32C40" w14:textId="77777777" w:rsidR="003E4771" w:rsidRPr="003E4771" w:rsidRDefault="003E4771" w:rsidP="003E4771">
      <w:pPr>
        <w:ind w:left="-720" w:right="-720"/>
        <w:jc w:val="both"/>
        <w:rPr>
          <w:sz w:val="22"/>
          <w:u w:val="single"/>
        </w:rPr>
      </w:pPr>
    </w:p>
    <w:tbl>
      <w:tblPr>
        <w:tblW w:w="97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00"/>
        <w:gridCol w:w="2124"/>
        <w:gridCol w:w="2366"/>
        <w:gridCol w:w="2413"/>
      </w:tblGrid>
      <w:tr w:rsidR="003E4771" w:rsidRPr="003E4771" w14:paraId="547FA24C" w14:textId="77777777" w:rsidTr="000B5B8D">
        <w:trPr>
          <w:trHeight w:val="932"/>
          <w:jc w:val="center"/>
        </w:trPr>
        <w:tc>
          <w:tcPr>
            <w:tcW w:w="9703" w:type="dxa"/>
            <w:gridSpan w:val="4"/>
            <w:tcBorders>
              <w:top w:val="nil"/>
              <w:left w:val="nil"/>
              <w:bottom w:val="nil"/>
              <w:right w:val="nil"/>
            </w:tcBorders>
          </w:tcPr>
          <w:p w14:paraId="37557B67" w14:textId="77777777" w:rsidR="003E4771" w:rsidRPr="003E4771" w:rsidRDefault="003E4771" w:rsidP="003E4771">
            <w:pPr>
              <w:tabs>
                <w:tab w:val="center" w:pos="4680"/>
              </w:tabs>
              <w:ind w:left="-720" w:right="-720"/>
              <w:jc w:val="center"/>
              <w:rPr>
                <w:b/>
                <w:sz w:val="22"/>
              </w:rPr>
            </w:pPr>
            <w:bookmarkStart w:id="13" w:name="_Hlk127195465"/>
            <w:bookmarkStart w:id="14" w:name="_Hlk127195408"/>
            <w:r w:rsidRPr="003E4771">
              <w:rPr>
                <w:b/>
                <w:sz w:val="22"/>
              </w:rPr>
              <w:t xml:space="preserve">SUMMARY OF COMPLIANCE CRITERIA INCLUDED IN THIS REPORT </w:t>
            </w:r>
          </w:p>
          <w:p w14:paraId="656BE453" w14:textId="77777777" w:rsidR="003E4771" w:rsidRPr="003E4771" w:rsidRDefault="003E4771" w:rsidP="003E4771">
            <w:pPr>
              <w:tabs>
                <w:tab w:val="center" w:pos="4680"/>
              </w:tabs>
              <w:ind w:left="-720" w:right="-720"/>
              <w:jc w:val="center"/>
              <w:rPr>
                <w:b/>
                <w:sz w:val="22"/>
              </w:rPr>
            </w:pPr>
            <w:r w:rsidRPr="003E4771">
              <w:rPr>
                <w:b/>
                <w:sz w:val="22"/>
              </w:rPr>
              <w:t>RECEIVING A COMMENDABLE RATING</w:t>
            </w:r>
          </w:p>
          <w:p w14:paraId="7723300C" w14:textId="77777777" w:rsidR="003E4771" w:rsidRPr="003E4771" w:rsidRDefault="003E4771" w:rsidP="003E4771">
            <w:pPr>
              <w:tabs>
                <w:tab w:val="center" w:pos="4680"/>
              </w:tabs>
              <w:ind w:left="-720" w:right="-720"/>
              <w:jc w:val="center"/>
              <w:rPr>
                <w:b/>
                <w:sz w:val="22"/>
                <w:u w:val="single"/>
              </w:rPr>
            </w:pPr>
            <w:r w:rsidRPr="003E4771">
              <w:rPr>
                <w:b/>
                <w:sz w:val="22"/>
              </w:rPr>
              <w:t>FROM THE DEPARTMENT OF ELEMENTARY AND SECONDARY EDUCATION</w:t>
            </w:r>
            <w:r w:rsidRPr="003E4771">
              <w:rPr>
                <w:b/>
                <w:sz w:val="22"/>
                <w:u w:val="single"/>
              </w:rPr>
              <w:t xml:space="preserve"> </w:t>
            </w:r>
          </w:p>
          <w:p w14:paraId="1BF72BC8" w14:textId="77777777" w:rsidR="003E4771" w:rsidRPr="003E4771" w:rsidRDefault="003E4771" w:rsidP="003E4771">
            <w:pPr>
              <w:ind w:left="-720" w:right="-720"/>
              <w:jc w:val="both"/>
              <w:rPr>
                <w:sz w:val="22"/>
                <w:u w:val="single"/>
              </w:rPr>
            </w:pPr>
          </w:p>
          <w:p w14:paraId="74574F07" w14:textId="77777777" w:rsidR="003E4771" w:rsidRPr="003E4771" w:rsidRDefault="003E4771" w:rsidP="003E4771">
            <w:pPr>
              <w:jc w:val="center"/>
              <w:rPr>
                <w:b/>
                <w:bCs/>
                <w:sz w:val="22"/>
              </w:rPr>
            </w:pPr>
          </w:p>
        </w:tc>
      </w:tr>
      <w:tr w:rsidR="003E4771" w:rsidRPr="003E4771" w14:paraId="4A80849A" w14:textId="77777777" w:rsidTr="000B5B8D">
        <w:trPr>
          <w:gridBefore w:val="1"/>
          <w:gridAfter w:val="1"/>
          <w:wBefore w:w="2800" w:type="dxa"/>
          <w:wAfter w:w="2413" w:type="dxa"/>
          <w:trHeight w:val="1303"/>
          <w:jc w:val="center"/>
        </w:trPr>
        <w:tc>
          <w:tcPr>
            <w:tcW w:w="2124" w:type="dxa"/>
            <w:tcBorders>
              <w:top w:val="double" w:sz="12" w:space="0" w:color="000000"/>
              <w:bottom w:val="single" w:sz="6" w:space="0" w:color="000000"/>
            </w:tcBorders>
          </w:tcPr>
          <w:p w14:paraId="3F822709" w14:textId="77777777" w:rsidR="003E4771" w:rsidRPr="003E4771" w:rsidRDefault="003E4771" w:rsidP="00274618">
            <w:pPr>
              <w:ind w:left="-109"/>
              <w:jc w:val="center"/>
              <w:rPr>
                <w:b/>
                <w:bCs/>
                <w:sz w:val="22"/>
              </w:rPr>
            </w:pPr>
          </w:p>
          <w:p w14:paraId="7F204D8C" w14:textId="77777777" w:rsidR="003E4771" w:rsidRPr="003E4771" w:rsidRDefault="003E4771" w:rsidP="003E4771">
            <w:pPr>
              <w:jc w:val="center"/>
              <w:rPr>
                <w:b/>
                <w:bCs/>
                <w:sz w:val="22"/>
              </w:rPr>
            </w:pPr>
            <w:r w:rsidRPr="003E4771">
              <w:rPr>
                <w:b/>
                <w:bCs/>
                <w:sz w:val="22"/>
              </w:rPr>
              <w:t>Universal</w:t>
            </w:r>
          </w:p>
          <w:p w14:paraId="154BE66D" w14:textId="77777777" w:rsidR="003E4771" w:rsidRPr="003E4771" w:rsidRDefault="003E4771" w:rsidP="003E4771">
            <w:pPr>
              <w:jc w:val="center"/>
              <w:rPr>
                <w:b/>
                <w:bCs/>
                <w:sz w:val="22"/>
              </w:rPr>
            </w:pPr>
            <w:r w:rsidRPr="003E4771">
              <w:rPr>
                <w:b/>
                <w:bCs/>
                <w:sz w:val="22"/>
              </w:rPr>
              <w:t xml:space="preserve"> Standards</w:t>
            </w:r>
          </w:p>
          <w:p w14:paraId="1BD3B319" w14:textId="77777777" w:rsidR="003E4771" w:rsidRPr="003E4771" w:rsidRDefault="003E4771" w:rsidP="003E4771">
            <w:pPr>
              <w:jc w:val="center"/>
              <w:rPr>
                <w:b/>
                <w:bCs/>
                <w:sz w:val="22"/>
              </w:rPr>
            </w:pPr>
            <w:r w:rsidRPr="003E4771">
              <w:rPr>
                <w:b/>
                <w:bCs/>
                <w:sz w:val="22"/>
              </w:rPr>
              <w:t xml:space="preserve"> Special</w:t>
            </w:r>
          </w:p>
          <w:p w14:paraId="238A9535" w14:textId="77777777" w:rsidR="003E4771" w:rsidRPr="003E4771" w:rsidRDefault="003E4771" w:rsidP="003E4771">
            <w:pPr>
              <w:jc w:val="center"/>
              <w:rPr>
                <w:b/>
                <w:bCs/>
                <w:sz w:val="22"/>
              </w:rPr>
            </w:pPr>
            <w:r w:rsidRPr="003E4771">
              <w:rPr>
                <w:b/>
                <w:bCs/>
                <w:sz w:val="22"/>
              </w:rPr>
              <w:t>Education</w:t>
            </w:r>
          </w:p>
        </w:tc>
        <w:tc>
          <w:tcPr>
            <w:tcW w:w="2366" w:type="dxa"/>
            <w:tcBorders>
              <w:top w:val="double" w:sz="12" w:space="0" w:color="000000"/>
              <w:bottom w:val="single" w:sz="6" w:space="0" w:color="000000"/>
            </w:tcBorders>
          </w:tcPr>
          <w:p w14:paraId="168AE4E7" w14:textId="77777777" w:rsidR="003E4771" w:rsidRPr="003E4771" w:rsidRDefault="003E4771" w:rsidP="003E4771">
            <w:pPr>
              <w:jc w:val="center"/>
              <w:rPr>
                <w:b/>
                <w:bCs/>
                <w:sz w:val="22"/>
              </w:rPr>
            </w:pPr>
          </w:p>
          <w:p w14:paraId="697C32CE" w14:textId="77777777" w:rsidR="003E4771" w:rsidRPr="003E4771" w:rsidRDefault="003E4771" w:rsidP="003E4771">
            <w:pPr>
              <w:jc w:val="center"/>
              <w:rPr>
                <w:b/>
                <w:bCs/>
                <w:sz w:val="22"/>
              </w:rPr>
            </w:pPr>
            <w:r w:rsidRPr="003E4771">
              <w:rPr>
                <w:b/>
                <w:bCs/>
                <w:sz w:val="22"/>
              </w:rPr>
              <w:t>Universal Standards</w:t>
            </w:r>
          </w:p>
          <w:p w14:paraId="454B7DAE" w14:textId="77777777" w:rsidR="003E4771" w:rsidRDefault="003E4771" w:rsidP="003E4771">
            <w:pPr>
              <w:jc w:val="center"/>
              <w:rPr>
                <w:b/>
                <w:bCs/>
                <w:sz w:val="22"/>
              </w:rPr>
            </w:pPr>
            <w:r w:rsidRPr="003E4771">
              <w:rPr>
                <w:b/>
                <w:bCs/>
                <w:sz w:val="22"/>
              </w:rPr>
              <w:t xml:space="preserve"> Civil Rights and Other General Education Requirements</w:t>
            </w:r>
          </w:p>
          <w:p w14:paraId="5CB5EE36" w14:textId="5ADF584E" w:rsidR="00F97BE9" w:rsidRPr="003E4771" w:rsidRDefault="00F97BE9" w:rsidP="003E4771">
            <w:pPr>
              <w:jc w:val="center"/>
              <w:rPr>
                <w:b/>
                <w:bCs/>
                <w:sz w:val="22"/>
              </w:rPr>
            </w:pPr>
          </w:p>
        </w:tc>
      </w:tr>
      <w:tr w:rsidR="003E4771" w:rsidRPr="003E4771" w14:paraId="5FE787C3" w14:textId="77777777" w:rsidTr="000B5B8D">
        <w:trPr>
          <w:gridBefore w:val="1"/>
          <w:gridAfter w:val="1"/>
          <w:wBefore w:w="2800" w:type="dxa"/>
          <w:wAfter w:w="2413" w:type="dxa"/>
          <w:trHeight w:val="188"/>
          <w:jc w:val="center"/>
        </w:trPr>
        <w:tc>
          <w:tcPr>
            <w:tcW w:w="2124" w:type="dxa"/>
          </w:tcPr>
          <w:p w14:paraId="3F6BF2DE" w14:textId="77777777" w:rsidR="003E4771" w:rsidRPr="003E4771" w:rsidRDefault="003E4771" w:rsidP="003E4771">
            <w:pPr>
              <w:jc w:val="both"/>
              <w:rPr>
                <w:sz w:val="22"/>
              </w:rPr>
            </w:pPr>
            <w:bookmarkStart w:id="15" w:name="seCritCommendable"/>
            <w:bookmarkEnd w:id="15"/>
          </w:p>
        </w:tc>
        <w:tc>
          <w:tcPr>
            <w:tcW w:w="2366" w:type="dxa"/>
            <w:tcBorders>
              <w:top w:val="single" w:sz="6" w:space="0" w:color="000000"/>
            </w:tcBorders>
          </w:tcPr>
          <w:p w14:paraId="010E3255" w14:textId="77777777" w:rsidR="003E4771" w:rsidRDefault="003E4771" w:rsidP="003E4771">
            <w:pPr>
              <w:jc w:val="both"/>
              <w:rPr>
                <w:sz w:val="22"/>
              </w:rPr>
            </w:pPr>
            <w:bookmarkStart w:id="16" w:name="crCritCommendable"/>
            <w:r w:rsidRPr="003E4771">
              <w:rPr>
                <w:sz w:val="22"/>
              </w:rPr>
              <w:t>CR 10A</w:t>
            </w:r>
            <w:bookmarkEnd w:id="16"/>
          </w:p>
          <w:p w14:paraId="2B511035" w14:textId="4133F36B" w:rsidR="00BC0047" w:rsidRPr="003E4771" w:rsidRDefault="00BC0047" w:rsidP="003E4771">
            <w:pPr>
              <w:jc w:val="both"/>
              <w:rPr>
                <w:sz w:val="22"/>
                <w:u w:val="single"/>
              </w:rPr>
            </w:pPr>
          </w:p>
        </w:tc>
      </w:tr>
      <w:bookmarkEnd w:id="12"/>
      <w:bookmarkEnd w:id="13"/>
    </w:tbl>
    <w:p w14:paraId="48BD2EC1" w14:textId="77777777" w:rsidR="003E4771" w:rsidRPr="003E4771" w:rsidRDefault="003E4771" w:rsidP="00BC0047">
      <w:pPr>
        <w:ind w:right="-720"/>
        <w:jc w:val="both"/>
        <w:rPr>
          <w:sz w:val="22"/>
          <w:u w:val="single"/>
        </w:rPr>
      </w:pPr>
    </w:p>
    <w:p w14:paraId="1CB78818" w14:textId="0EB7D816" w:rsidR="003E4771" w:rsidRPr="003E4771" w:rsidRDefault="003E4771" w:rsidP="003E4771">
      <w:pPr>
        <w:tabs>
          <w:tab w:val="center" w:pos="4680"/>
        </w:tabs>
        <w:ind w:left="-720" w:right="-720"/>
        <w:jc w:val="center"/>
        <w:rPr>
          <w:b/>
          <w:sz w:val="22"/>
        </w:rPr>
      </w:pPr>
      <w:r w:rsidRPr="003E4771">
        <w:rPr>
          <w:b/>
          <w:sz w:val="22"/>
        </w:rPr>
        <w:fldChar w:fldCharType="begin"/>
      </w:r>
      <w:r w:rsidRPr="003E4771">
        <w:rPr>
          <w:b/>
          <w:sz w:val="22"/>
        </w:rPr>
        <w:instrText xml:space="preserve"> TC  </w:instrText>
      </w:r>
      <w:bookmarkStart w:id="17" w:name="_Toc89688821"/>
      <w:r w:rsidR="001F241C">
        <w:rPr>
          <w:b/>
          <w:sz w:val="22"/>
        </w:rPr>
        <w:instrText>“</w:instrText>
      </w:r>
      <w:bookmarkStart w:id="18" w:name="_Toc128129554"/>
      <w:r w:rsidRPr="003E4771">
        <w:rPr>
          <w:b/>
          <w:sz w:val="22"/>
        </w:rPr>
        <w:instrText>SUMMARY OF COMPLIANCE RATINGS</w:instrText>
      </w:r>
      <w:bookmarkEnd w:id="17"/>
      <w:bookmarkEnd w:id="18"/>
      <w:r w:rsidR="001F241C">
        <w:rPr>
          <w:b/>
          <w:sz w:val="22"/>
        </w:rPr>
        <w:instrText>”</w:instrText>
      </w:r>
      <w:r w:rsidRPr="003E4771">
        <w:rPr>
          <w:b/>
          <w:sz w:val="22"/>
        </w:rPr>
        <w:instrText xml:space="preserve"> </w:instrText>
      </w:r>
      <w:r w:rsidRPr="003E4771">
        <w:rPr>
          <w:b/>
          <w:sz w:val="22"/>
        </w:rPr>
        <w:fldChar w:fldCharType="end"/>
      </w:r>
      <w:r w:rsidRPr="003E4771">
        <w:rPr>
          <w:b/>
          <w:sz w:val="22"/>
        </w:rPr>
        <w:t xml:space="preserve">SUMMARY OF COMPLIANCE RATINGS </w:t>
      </w:r>
    </w:p>
    <w:p w14:paraId="47ECBC5D" w14:textId="77777777" w:rsidR="003E4771" w:rsidRPr="003E4771" w:rsidRDefault="003E4771" w:rsidP="003E4771">
      <w:pPr>
        <w:ind w:left="-720" w:right="-720"/>
        <w:jc w:val="both"/>
        <w:rPr>
          <w:sz w:val="22"/>
          <w:u w:val="single"/>
        </w:rPr>
      </w:pPr>
    </w:p>
    <w:tbl>
      <w:tblPr>
        <w:tblW w:w="84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2880"/>
        <w:gridCol w:w="3420"/>
      </w:tblGrid>
      <w:tr w:rsidR="000B5B8D" w:rsidRPr="003E4771" w14:paraId="1CA758B3" w14:textId="77777777" w:rsidTr="00236636">
        <w:trPr>
          <w:jc w:val="center"/>
        </w:trPr>
        <w:tc>
          <w:tcPr>
            <w:tcW w:w="2115" w:type="dxa"/>
          </w:tcPr>
          <w:p w14:paraId="600305BD" w14:textId="77777777" w:rsidR="000B5B8D" w:rsidRPr="003E4771" w:rsidRDefault="000B5B8D" w:rsidP="003E4771">
            <w:pPr>
              <w:jc w:val="center"/>
              <w:rPr>
                <w:b/>
                <w:bCs/>
                <w:sz w:val="22"/>
              </w:rPr>
            </w:pPr>
          </w:p>
        </w:tc>
        <w:tc>
          <w:tcPr>
            <w:tcW w:w="2880" w:type="dxa"/>
          </w:tcPr>
          <w:p w14:paraId="6F000836" w14:textId="77777777" w:rsidR="000B5B8D" w:rsidRPr="003E4771" w:rsidRDefault="000B5B8D" w:rsidP="003E4771">
            <w:pPr>
              <w:jc w:val="center"/>
              <w:rPr>
                <w:b/>
                <w:bCs/>
                <w:sz w:val="22"/>
              </w:rPr>
            </w:pPr>
          </w:p>
          <w:p w14:paraId="6F47F6AD" w14:textId="77777777" w:rsidR="000B5B8D" w:rsidRPr="003E4771" w:rsidRDefault="000B5B8D" w:rsidP="003E4771">
            <w:pPr>
              <w:jc w:val="center"/>
              <w:rPr>
                <w:b/>
                <w:bCs/>
                <w:sz w:val="22"/>
              </w:rPr>
            </w:pPr>
            <w:r w:rsidRPr="003E4771">
              <w:rPr>
                <w:b/>
                <w:bCs/>
                <w:sz w:val="22"/>
              </w:rPr>
              <w:t>Universal Standards</w:t>
            </w:r>
          </w:p>
          <w:p w14:paraId="36CF3CD1" w14:textId="77777777" w:rsidR="000B5B8D" w:rsidRPr="003E4771" w:rsidRDefault="000B5B8D" w:rsidP="003E4771">
            <w:pPr>
              <w:jc w:val="center"/>
              <w:rPr>
                <w:b/>
                <w:bCs/>
                <w:sz w:val="22"/>
              </w:rPr>
            </w:pPr>
          </w:p>
          <w:p w14:paraId="475CDC0B" w14:textId="77777777" w:rsidR="000B5B8D" w:rsidRPr="003E4771" w:rsidRDefault="000B5B8D" w:rsidP="003E4771">
            <w:pPr>
              <w:jc w:val="center"/>
              <w:rPr>
                <w:b/>
                <w:bCs/>
                <w:sz w:val="22"/>
              </w:rPr>
            </w:pPr>
            <w:r w:rsidRPr="003E4771">
              <w:rPr>
                <w:b/>
                <w:bCs/>
                <w:sz w:val="22"/>
              </w:rPr>
              <w:t xml:space="preserve"> Special Education</w:t>
            </w:r>
          </w:p>
        </w:tc>
        <w:tc>
          <w:tcPr>
            <w:tcW w:w="3420" w:type="dxa"/>
          </w:tcPr>
          <w:p w14:paraId="50725BBA" w14:textId="77777777" w:rsidR="000B5B8D" w:rsidRPr="003E4771" w:rsidRDefault="000B5B8D" w:rsidP="003E4771">
            <w:pPr>
              <w:jc w:val="center"/>
              <w:rPr>
                <w:b/>
                <w:bCs/>
                <w:sz w:val="22"/>
              </w:rPr>
            </w:pPr>
          </w:p>
          <w:p w14:paraId="4E35BE38" w14:textId="77777777" w:rsidR="000B5B8D" w:rsidRPr="003E4771" w:rsidRDefault="000B5B8D" w:rsidP="003E4771">
            <w:pPr>
              <w:jc w:val="center"/>
              <w:rPr>
                <w:b/>
                <w:bCs/>
                <w:sz w:val="22"/>
              </w:rPr>
            </w:pPr>
            <w:r w:rsidRPr="003E4771">
              <w:rPr>
                <w:b/>
                <w:bCs/>
                <w:sz w:val="22"/>
              </w:rPr>
              <w:t>Universal Standards</w:t>
            </w:r>
          </w:p>
          <w:p w14:paraId="7ECF4767" w14:textId="77777777" w:rsidR="000B5B8D" w:rsidRPr="003E4771" w:rsidRDefault="000B5B8D" w:rsidP="003E4771">
            <w:pPr>
              <w:jc w:val="center"/>
              <w:rPr>
                <w:b/>
                <w:bCs/>
                <w:sz w:val="22"/>
              </w:rPr>
            </w:pPr>
          </w:p>
          <w:p w14:paraId="254B29C5" w14:textId="77777777" w:rsidR="000B5B8D" w:rsidRDefault="000B5B8D" w:rsidP="003E4771">
            <w:pPr>
              <w:jc w:val="center"/>
              <w:rPr>
                <w:b/>
                <w:bCs/>
                <w:sz w:val="22"/>
              </w:rPr>
            </w:pPr>
            <w:r w:rsidRPr="003E4771">
              <w:rPr>
                <w:b/>
                <w:bCs/>
                <w:sz w:val="22"/>
              </w:rPr>
              <w:t xml:space="preserve"> Civil Rights and Other General Education Requirements</w:t>
            </w:r>
          </w:p>
          <w:p w14:paraId="70F32B2F" w14:textId="7C2151C7" w:rsidR="000B5B8D" w:rsidRPr="003E4771" w:rsidRDefault="000B5B8D" w:rsidP="003E4771">
            <w:pPr>
              <w:jc w:val="center"/>
              <w:rPr>
                <w:b/>
                <w:bCs/>
                <w:sz w:val="22"/>
              </w:rPr>
            </w:pPr>
          </w:p>
        </w:tc>
      </w:tr>
      <w:tr w:rsidR="000B5B8D" w:rsidRPr="003E4771" w14:paraId="7E234D24" w14:textId="77777777" w:rsidTr="00236636">
        <w:trPr>
          <w:jc w:val="center"/>
        </w:trPr>
        <w:tc>
          <w:tcPr>
            <w:tcW w:w="2115" w:type="dxa"/>
          </w:tcPr>
          <w:p w14:paraId="5B028F96" w14:textId="77777777" w:rsidR="000B5B8D" w:rsidRPr="003E4771" w:rsidRDefault="000B5B8D" w:rsidP="003E4771">
            <w:pPr>
              <w:ind w:right="-720"/>
              <w:jc w:val="both"/>
              <w:rPr>
                <w:sz w:val="22"/>
              </w:rPr>
            </w:pPr>
            <w:r w:rsidRPr="003E4771">
              <w:rPr>
                <w:b/>
                <w:sz w:val="22"/>
              </w:rPr>
              <w:t>IMPLEMENTED</w:t>
            </w:r>
          </w:p>
        </w:tc>
        <w:tc>
          <w:tcPr>
            <w:tcW w:w="2880" w:type="dxa"/>
          </w:tcPr>
          <w:p w14:paraId="0C4B4F0D" w14:textId="19360B57" w:rsidR="000B5B8D" w:rsidRPr="003E4771" w:rsidRDefault="000B5B8D" w:rsidP="003E4771">
            <w:pPr>
              <w:rPr>
                <w:sz w:val="22"/>
              </w:rPr>
            </w:pPr>
            <w:bookmarkStart w:id="19" w:name="seImplCnt"/>
            <w:r w:rsidRPr="003E4771">
              <w:rPr>
                <w:sz w:val="22"/>
              </w:rPr>
              <w:t>SE 15, SE 32, SE 35</w:t>
            </w:r>
            <w:r>
              <w:rPr>
                <w:sz w:val="22"/>
              </w:rPr>
              <w:t xml:space="preserve">, </w:t>
            </w:r>
            <w:r w:rsidRPr="003E4771">
              <w:rPr>
                <w:sz w:val="22"/>
              </w:rPr>
              <w:t>SE 36, SE 50, SE 51, SE 52, SE 54, SE 55, SE 56</w:t>
            </w:r>
            <w:bookmarkEnd w:id="19"/>
          </w:p>
        </w:tc>
        <w:tc>
          <w:tcPr>
            <w:tcW w:w="3420" w:type="dxa"/>
          </w:tcPr>
          <w:p w14:paraId="061BBE84" w14:textId="5C7967DC" w:rsidR="000B5B8D" w:rsidRDefault="000B5B8D" w:rsidP="3CCD2352">
            <w:pPr>
              <w:rPr>
                <w:sz w:val="22"/>
                <w:szCs w:val="22"/>
              </w:rPr>
            </w:pPr>
            <w:bookmarkStart w:id="20" w:name="crImplCnt"/>
            <w:r w:rsidRPr="3CCD2352">
              <w:rPr>
                <w:sz w:val="22"/>
                <w:szCs w:val="22"/>
              </w:rPr>
              <w:t>CR 3, CR 7,</w:t>
            </w:r>
            <w:r>
              <w:rPr>
                <w:sz w:val="22"/>
                <w:szCs w:val="22"/>
              </w:rPr>
              <w:t xml:space="preserve"> </w:t>
            </w:r>
            <w:r w:rsidRPr="3CCD2352">
              <w:rPr>
                <w:sz w:val="22"/>
                <w:szCs w:val="22"/>
              </w:rPr>
              <w:t xml:space="preserve">CR 7A, CR 7B, </w:t>
            </w:r>
            <w:r w:rsidR="00236636">
              <w:rPr>
                <w:sz w:val="22"/>
                <w:szCs w:val="22"/>
              </w:rPr>
              <w:t xml:space="preserve">       </w:t>
            </w:r>
            <w:r w:rsidRPr="3CCD2352">
              <w:rPr>
                <w:sz w:val="22"/>
                <w:szCs w:val="22"/>
              </w:rPr>
              <w:t xml:space="preserve">CR 7C, CR 8, CR 10B, CR 10C, CR 12A, CR 16, CR 17A, CR 20, CR 21, CR 22, CR 23, CR 24, </w:t>
            </w:r>
          </w:p>
          <w:p w14:paraId="5DA4D156" w14:textId="77777777" w:rsidR="000B5B8D" w:rsidRDefault="000B5B8D" w:rsidP="3CCD2352">
            <w:pPr>
              <w:rPr>
                <w:sz w:val="22"/>
                <w:szCs w:val="22"/>
              </w:rPr>
            </w:pPr>
            <w:r w:rsidRPr="3CCD2352">
              <w:rPr>
                <w:sz w:val="22"/>
                <w:szCs w:val="22"/>
              </w:rPr>
              <w:t>CR 25</w:t>
            </w:r>
            <w:bookmarkEnd w:id="20"/>
          </w:p>
          <w:p w14:paraId="40246C3B" w14:textId="38923FC2" w:rsidR="00236636" w:rsidRPr="003E4771" w:rsidRDefault="00236636" w:rsidP="3CCD2352">
            <w:pPr>
              <w:rPr>
                <w:sz w:val="22"/>
                <w:szCs w:val="22"/>
              </w:rPr>
            </w:pPr>
          </w:p>
        </w:tc>
      </w:tr>
      <w:tr w:rsidR="000B5B8D" w:rsidRPr="003E4771" w14:paraId="77D331DC" w14:textId="77777777" w:rsidTr="00236636">
        <w:trPr>
          <w:jc w:val="center"/>
        </w:trPr>
        <w:tc>
          <w:tcPr>
            <w:tcW w:w="2115" w:type="dxa"/>
          </w:tcPr>
          <w:p w14:paraId="7A7E60FE" w14:textId="77777777" w:rsidR="000B5B8D" w:rsidRDefault="000B5B8D" w:rsidP="003E4771">
            <w:pPr>
              <w:ind w:right="-720"/>
              <w:jc w:val="both"/>
              <w:rPr>
                <w:b/>
                <w:sz w:val="22"/>
              </w:rPr>
            </w:pPr>
            <w:r>
              <w:rPr>
                <w:b/>
                <w:sz w:val="22"/>
              </w:rPr>
              <w:t xml:space="preserve">PARTIALLY </w:t>
            </w:r>
          </w:p>
          <w:p w14:paraId="1D53A5FE" w14:textId="77777777" w:rsidR="000B5B8D" w:rsidRDefault="000B5B8D" w:rsidP="003E4771">
            <w:pPr>
              <w:ind w:right="-720"/>
              <w:jc w:val="both"/>
              <w:rPr>
                <w:b/>
                <w:sz w:val="22"/>
              </w:rPr>
            </w:pPr>
            <w:r>
              <w:rPr>
                <w:b/>
                <w:sz w:val="22"/>
              </w:rPr>
              <w:t>IMPLEMENTED</w:t>
            </w:r>
          </w:p>
          <w:p w14:paraId="05898526" w14:textId="7044E009" w:rsidR="000B5B8D" w:rsidRPr="003E4771" w:rsidRDefault="000B5B8D" w:rsidP="003E4771">
            <w:pPr>
              <w:ind w:right="-720"/>
              <w:jc w:val="both"/>
              <w:rPr>
                <w:b/>
                <w:sz w:val="22"/>
              </w:rPr>
            </w:pPr>
          </w:p>
        </w:tc>
        <w:tc>
          <w:tcPr>
            <w:tcW w:w="2880" w:type="dxa"/>
          </w:tcPr>
          <w:p w14:paraId="07C5ACFE" w14:textId="586AEA35" w:rsidR="000B5B8D" w:rsidRPr="003E4771" w:rsidRDefault="000B5B8D" w:rsidP="003E4771">
            <w:pPr>
              <w:rPr>
                <w:sz w:val="22"/>
              </w:rPr>
            </w:pPr>
            <w:r>
              <w:rPr>
                <w:sz w:val="22"/>
              </w:rPr>
              <w:t>None</w:t>
            </w:r>
          </w:p>
        </w:tc>
        <w:tc>
          <w:tcPr>
            <w:tcW w:w="3420" w:type="dxa"/>
          </w:tcPr>
          <w:p w14:paraId="458A49DD" w14:textId="77777777" w:rsidR="000B5B8D" w:rsidRPr="003E4771" w:rsidRDefault="000B5B8D" w:rsidP="003E4771">
            <w:pPr>
              <w:jc w:val="both"/>
              <w:rPr>
                <w:sz w:val="22"/>
              </w:rPr>
            </w:pPr>
          </w:p>
        </w:tc>
      </w:tr>
      <w:tr w:rsidR="000B5B8D" w:rsidRPr="003E4771" w14:paraId="70B9DCF4" w14:textId="77777777" w:rsidTr="00236636">
        <w:trPr>
          <w:jc w:val="center"/>
        </w:trPr>
        <w:tc>
          <w:tcPr>
            <w:tcW w:w="2115" w:type="dxa"/>
          </w:tcPr>
          <w:p w14:paraId="1F5F352E" w14:textId="77777777" w:rsidR="000B5B8D" w:rsidRDefault="000B5B8D" w:rsidP="003E4771">
            <w:pPr>
              <w:ind w:right="-720"/>
              <w:jc w:val="both"/>
              <w:rPr>
                <w:b/>
                <w:sz w:val="22"/>
              </w:rPr>
            </w:pPr>
            <w:r>
              <w:rPr>
                <w:b/>
                <w:sz w:val="22"/>
              </w:rPr>
              <w:t xml:space="preserve">NOT </w:t>
            </w:r>
          </w:p>
          <w:p w14:paraId="2B397485" w14:textId="4D610DE7" w:rsidR="000B5B8D" w:rsidRDefault="000B5B8D" w:rsidP="003E4771">
            <w:pPr>
              <w:ind w:right="-720"/>
              <w:jc w:val="both"/>
              <w:rPr>
                <w:b/>
                <w:sz w:val="22"/>
              </w:rPr>
            </w:pPr>
            <w:r>
              <w:rPr>
                <w:b/>
                <w:sz w:val="22"/>
              </w:rPr>
              <w:t>IMPLEMENTED</w:t>
            </w:r>
          </w:p>
          <w:p w14:paraId="21E81343" w14:textId="0E7B4CAE" w:rsidR="000B5B8D" w:rsidRPr="003E4771" w:rsidRDefault="000B5B8D" w:rsidP="003E4771">
            <w:pPr>
              <w:ind w:right="-720"/>
              <w:jc w:val="both"/>
              <w:rPr>
                <w:b/>
                <w:sz w:val="22"/>
              </w:rPr>
            </w:pPr>
          </w:p>
        </w:tc>
        <w:tc>
          <w:tcPr>
            <w:tcW w:w="2880" w:type="dxa"/>
          </w:tcPr>
          <w:p w14:paraId="5F37B706" w14:textId="4DF3F925" w:rsidR="000B5B8D" w:rsidRPr="003E4771" w:rsidRDefault="000B5B8D" w:rsidP="003E4771">
            <w:pPr>
              <w:rPr>
                <w:sz w:val="22"/>
              </w:rPr>
            </w:pPr>
            <w:r>
              <w:rPr>
                <w:sz w:val="22"/>
              </w:rPr>
              <w:t>None</w:t>
            </w:r>
          </w:p>
        </w:tc>
        <w:tc>
          <w:tcPr>
            <w:tcW w:w="3420" w:type="dxa"/>
          </w:tcPr>
          <w:p w14:paraId="7775382B" w14:textId="77777777" w:rsidR="000B5B8D" w:rsidRPr="003E4771" w:rsidRDefault="000B5B8D" w:rsidP="003E4771">
            <w:pPr>
              <w:jc w:val="both"/>
              <w:rPr>
                <w:sz w:val="22"/>
              </w:rPr>
            </w:pPr>
          </w:p>
        </w:tc>
      </w:tr>
      <w:tr w:rsidR="000B5B8D" w:rsidRPr="003E4771" w14:paraId="19186E77" w14:textId="77777777" w:rsidTr="00236636">
        <w:trPr>
          <w:jc w:val="center"/>
        </w:trPr>
        <w:tc>
          <w:tcPr>
            <w:tcW w:w="2115" w:type="dxa"/>
          </w:tcPr>
          <w:p w14:paraId="545C364C" w14:textId="77777777" w:rsidR="000B5B8D" w:rsidRDefault="000B5B8D" w:rsidP="003E4771">
            <w:pPr>
              <w:ind w:right="-720"/>
              <w:jc w:val="both"/>
              <w:rPr>
                <w:b/>
                <w:sz w:val="22"/>
              </w:rPr>
            </w:pPr>
            <w:r w:rsidRPr="003E4771">
              <w:rPr>
                <w:b/>
                <w:sz w:val="22"/>
              </w:rPr>
              <w:t xml:space="preserve">NOT </w:t>
            </w:r>
          </w:p>
          <w:p w14:paraId="5211C0EF" w14:textId="77777777" w:rsidR="000B5B8D" w:rsidRDefault="000B5B8D" w:rsidP="003E4771">
            <w:pPr>
              <w:ind w:right="-720"/>
              <w:jc w:val="both"/>
              <w:rPr>
                <w:b/>
                <w:sz w:val="22"/>
              </w:rPr>
            </w:pPr>
            <w:r w:rsidRPr="003E4771">
              <w:rPr>
                <w:b/>
                <w:sz w:val="22"/>
              </w:rPr>
              <w:t>APPLICABLE</w:t>
            </w:r>
          </w:p>
          <w:p w14:paraId="2B53651A" w14:textId="7168870C" w:rsidR="000B5B8D" w:rsidRPr="003E4771" w:rsidRDefault="000B5B8D" w:rsidP="003E4771">
            <w:pPr>
              <w:ind w:right="-720"/>
              <w:jc w:val="both"/>
              <w:rPr>
                <w:b/>
                <w:sz w:val="22"/>
              </w:rPr>
            </w:pPr>
          </w:p>
        </w:tc>
        <w:tc>
          <w:tcPr>
            <w:tcW w:w="2880" w:type="dxa"/>
          </w:tcPr>
          <w:p w14:paraId="395A5636" w14:textId="77777777" w:rsidR="000B5B8D" w:rsidRPr="003E4771" w:rsidRDefault="000B5B8D" w:rsidP="003E4771">
            <w:pPr>
              <w:rPr>
                <w:sz w:val="22"/>
              </w:rPr>
            </w:pPr>
            <w:bookmarkStart w:id="21" w:name="seNotApplCnt"/>
            <w:r w:rsidRPr="003E4771">
              <w:rPr>
                <w:sz w:val="22"/>
              </w:rPr>
              <w:t>SE 52A</w:t>
            </w:r>
            <w:bookmarkEnd w:id="21"/>
          </w:p>
        </w:tc>
        <w:tc>
          <w:tcPr>
            <w:tcW w:w="3420" w:type="dxa"/>
          </w:tcPr>
          <w:p w14:paraId="59AA1F32" w14:textId="77777777" w:rsidR="000B5B8D" w:rsidRPr="003E4771" w:rsidRDefault="000B5B8D" w:rsidP="003E4771">
            <w:pPr>
              <w:jc w:val="both"/>
              <w:rPr>
                <w:sz w:val="22"/>
              </w:rPr>
            </w:pPr>
            <w:bookmarkStart w:id="22" w:name="crNotApplCnt"/>
            <w:bookmarkEnd w:id="22"/>
          </w:p>
        </w:tc>
        <w:bookmarkStart w:id="23" w:name="tgtNotApplCrit"/>
        <w:bookmarkEnd w:id="23"/>
      </w:tr>
      <w:bookmarkEnd w:id="14"/>
    </w:tbl>
    <w:p w14:paraId="595294E2" w14:textId="77777777" w:rsidR="003E4771" w:rsidRPr="003E4771" w:rsidRDefault="003E4771" w:rsidP="003E4771">
      <w:pPr>
        <w:tabs>
          <w:tab w:val="center" w:pos="4680"/>
        </w:tabs>
        <w:ind w:left="-720" w:right="-720"/>
        <w:jc w:val="both"/>
        <w:rPr>
          <w:sz w:val="22"/>
        </w:rPr>
      </w:pPr>
    </w:p>
    <w:p w14:paraId="1DE18EC1" w14:textId="6CF507C3" w:rsidR="00007623" w:rsidRPr="00D1531F" w:rsidRDefault="003E4771" w:rsidP="00DB4C2B">
      <w:pPr>
        <w:rPr>
          <w:b/>
          <w:sz w:val="22"/>
          <w:szCs w:val="22"/>
        </w:rPr>
      </w:pPr>
      <w:r w:rsidRPr="003E4771">
        <w:rPr>
          <w:sz w:val="22"/>
        </w:rPr>
        <w:t xml:space="preserve">The full list of criteria and information regarding the requirements can be found in Appendix B of the Tiered Focused Monitoring Toolkit available at &lt; </w:t>
      </w:r>
      <w:hyperlink r:id="rId14" w:history="1">
        <w:r w:rsidRPr="003E4771">
          <w:rPr>
            <w:color w:val="0000FF"/>
            <w:sz w:val="22"/>
            <w:szCs w:val="22"/>
            <w:u w:val="single"/>
          </w:rPr>
          <w:t>https://www.doe.mass.edu/psm/resources/tfm-toolkit.docx</w:t>
        </w:r>
      </w:hyperlink>
      <w:r w:rsidRPr="003E4771">
        <w:rPr>
          <w:sz w:val="22"/>
        </w:rPr>
        <w:t>&gt;.</w:t>
      </w:r>
    </w:p>
    <w:sectPr w:rsidR="00007623" w:rsidRPr="00D1531F" w:rsidSect="00007623">
      <w:footerReference w:type="even"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A9F69" w14:textId="77777777" w:rsidR="00F063E5" w:rsidRDefault="00F063E5">
      <w:r>
        <w:separator/>
      </w:r>
    </w:p>
  </w:endnote>
  <w:endnote w:type="continuationSeparator" w:id="0">
    <w:p w14:paraId="5D5611E1" w14:textId="77777777" w:rsidR="00F063E5" w:rsidRDefault="00F063E5">
      <w:r>
        <w:continuationSeparator/>
      </w:r>
    </w:p>
  </w:endnote>
  <w:endnote w:type="continuationNotice" w:id="1">
    <w:p w14:paraId="6B994D0D" w14:textId="77777777" w:rsidR="00F063E5" w:rsidRDefault="00F06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8E87" w14:textId="77777777" w:rsidR="00007623" w:rsidRDefault="00007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BF790E1" w14:textId="77777777" w:rsidR="00007623" w:rsidRDefault="00007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0A42" w14:textId="77777777" w:rsidR="00007623" w:rsidRDefault="00007623" w:rsidP="00007623">
    <w:pPr>
      <w:pStyle w:val="Footer"/>
      <w:pBdr>
        <w:top w:val="single" w:sz="4" w:space="1" w:color="auto"/>
      </w:pBdr>
      <w:ind w:right="360"/>
      <w:jc w:val="right"/>
      <w:rPr>
        <w:sz w:val="16"/>
        <w:szCs w:val="16"/>
      </w:rPr>
    </w:pPr>
    <w:r>
      <w:rPr>
        <w:sz w:val="16"/>
        <w:szCs w:val="16"/>
      </w:rPr>
      <w:t>Template Version 113022</w:t>
    </w:r>
  </w:p>
  <w:p w14:paraId="17596BA8" w14:textId="77777777" w:rsidR="00007623" w:rsidRPr="00E97E9E" w:rsidRDefault="00007623" w:rsidP="00007623">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C83D22A" w14:textId="77777777" w:rsidR="00007623" w:rsidRDefault="00007623">
    <w:pPr>
      <w:pStyle w:val="Footer"/>
      <w:pBdr>
        <w:top w:val="single" w:sz="4" w:space="1" w:color="auto"/>
      </w:pBdr>
      <w:tabs>
        <w:tab w:val="clear" w:pos="8640"/>
      </w:tabs>
      <w:ind w:right="360"/>
      <w:jc w:val="center"/>
    </w:pPr>
    <w:r>
      <w:t>Massachusetts Department of Elementary and Secondary Education – Office of Public School Monitoring</w:t>
    </w:r>
  </w:p>
  <w:p w14:paraId="48226FB2" w14:textId="5F1DB8D6" w:rsidR="00007623" w:rsidRDefault="0054756B">
    <w:pPr>
      <w:pStyle w:val="Footer"/>
      <w:tabs>
        <w:tab w:val="clear" w:pos="8640"/>
      </w:tabs>
      <w:ind w:right="360"/>
      <w:jc w:val="center"/>
    </w:pPr>
    <w:r>
      <w:t xml:space="preserve">Prospect Hill </w:t>
    </w:r>
    <w:r w:rsidR="001F241C">
      <w:t xml:space="preserve">Academy </w:t>
    </w:r>
    <w:r>
      <w:t>Charter</w:t>
    </w:r>
    <w:r w:rsidR="0033084D">
      <w:t xml:space="preserve"> School </w:t>
    </w:r>
    <w:r w:rsidR="00007623">
      <w:t xml:space="preserve">Tiered Focused Monitoring Report – </w:t>
    </w:r>
    <w:r w:rsidR="00531BAC">
      <w:t xml:space="preserve">February </w:t>
    </w:r>
    <w:r w:rsidR="001F241C">
      <w:t>24</w:t>
    </w:r>
    <w:r w:rsidR="00531BAC">
      <w:t>, 2023</w:t>
    </w:r>
  </w:p>
  <w:p w14:paraId="6C23E2B8" w14:textId="77777777" w:rsidR="00007623" w:rsidRDefault="00007623">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NUMPAGES</w:instrText>
    </w:r>
    <w:r>
      <w:fldChar w:fldCharType="separate"/>
    </w:r>
    <w:r>
      <w:rPr>
        <w:noProof/>
      </w:rPr>
      <w:t>95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639E" w14:textId="49D6A647" w:rsidR="00007623" w:rsidRDefault="00007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41C">
      <w:rPr>
        <w:rStyle w:val="PageNumber"/>
        <w:noProof/>
      </w:rPr>
      <w:t>1</w:t>
    </w:r>
    <w:r>
      <w:rPr>
        <w:rStyle w:val="PageNumber"/>
      </w:rPr>
      <w:fldChar w:fldCharType="end"/>
    </w:r>
  </w:p>
  <w:p w14:paraId="0352AC79" w14:textId="77777777" w:rsidR="00007623" w:rsidRDefault="0000762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4EA50" w14:textId="77777777" w:rsidR="00007623" w:rsidRDefault="00007623" w:rsidP="00007623">
    <w:pPr>
      <w:pStyle w:val="Footer"/>
      <w:pBdr>
        <w:top w:val="single" w:sz="4" w:space="1" w:color="auto"/>
      </w:pBdr>
      <w:ind w:right="360"/>
      <w:jc w:val="right"/>
      <w:rPr>
        <w:sz w:val="16"/>
        <w:szCs w:val="16"/>
      </w:rPr>
    </w:pPr>
    <w:r>
      <w:rPr>
        <w:sz w:val="16"/>
        <w:szCs w:val="16"/>
      </w:rPr>
      <w:t>Template Version 072820</w:t>
    </w:r>
  </w:p>
  <w:p w14:paraId="349DBEE7" w14:textId="77777777" w:rsidR="00007623" w:rsidRPr="00E97E9E" w:rsidRDefault="00007623" w:rsidP="00007623">
    <w:pPr>
      <w:pStyle w:val="Footer"/>
      <w:pBdr>
        <w:top w:val="single" w:sz="4" w:space="1" w:color="auto"/>
      </w:pBdr>
      <w:tabs>
        <w:tab w:val="clear" w:pos="8640"/>
      </w:tabs>
      <w:ind w:right="360"/>
      <w:jc w:val="right"/>
      <w:rPr>
        <w:sz w:val="16"/>
        <w:szCs w:val="16"/>
      </w:rPr>
    </w:pPr>
  </w:p>
  <w:p w14:paraId="22B17478" w14:textId="77777777" w:rsidR="00007623" w:rsidRDefault="00007623">
    <w:pPr>
      <w:pStyle w:val="Footer"/>
      <w:pBdr>
        <w:top w:val="single" w:sz="4" w:space="1" w:color="auto"/>
      </w:pBdr>
      <w:tabs>
        <w:tab w:val="clear" w:pos="8640"/>
      </w:tabs>
      <w:ind w:right="360"/>
      <w:jc w:val="center"/>
    </w:pPr>
    <w:r>
      <w:t>Massachusetts Department of Elementary and Secondary Education – Office of Public School Monitoring</w:t>
    </w:r>
  </w:p>
  <w:p w14:paraId="7451AFA6" w14:textId="44E24C4D" w:rsidR="00D1531F" w:rsidRDefault="00D1531F">
    <w:pPr>
      <w:pStyle w:val="Footer"/>
      <w:tabs>
        <w:tab w:val="clear" w:pos="8640"/>
      </w:tabs>
      <w:ind w:right="360"/>
      <w:jc w:val="center"/>
    </w:pPr>
    <w:r>
      <w:t xml:space="preserve">Prospect Hill </w:t>
    </w:r>
    <w:r w:rsidR="00236636">
      <w:t xml:space="preserve">Academy </w:t>
    </w:r>
    <w:r>
      <w:t xml:space="preserve">Charter School Tiered Focused Monitoring Report – February </w:t>
    </w:r>
    <w:r w:rsidR="00236636">
      <w:t>24</w:t>
    </w:r>
    <w:r>
      <w:t>, 2023</w:t>
    </w:r>
  </w:p>
  <w:p w14:paraId="526475E6" w14:textId="262F014D" w:rsidR="00007623" w:rsidRDefault="0000762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9CEDA" w14:textId="77777777" w:rsidR="00F063E5" w:rsidRDefault="00F063E5">
      <w:r>
        <w:separator/>
      </w:r>
    </w:p>
  </w:footnote>
  <w:footnote w:type="continuationSeparator" w:id="0">
    <w:p w14:paraId="0DA7C3A9" w14:textId="77777777" w:rsidR="00F063E5" w:rsidRDefault="00F063E5">
      <w:r>
        <w:continuationSeparator/>
      </w:r>
    </w:p>
  </w:footnote>
  <w:footnote w:type="continuationNotice" w:id="1">
    <w:p w14:paraId="2ED37733" w14:textId="77777777" w:rsidR="00F063E5" w:rsidRDefault="00F063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FE64C532">
      <w:start w:val="1"/>
      <w:numFmt w:val="bullet"/>
      <w:lvlText w:val=""/>
      <w:lvlJc w:val="left"/>
      <w:pPr>
        <w:tabs>
          <w:tab w:val="num" w:pos="720"/>
        </w:tabs>
        <w:ind w:left="720" w:hanging="360"/>
      </w:pPr>
      <w:rPr>
        <w:rFonts w:ascii="Symbol" w:hAnsi="Symbol" w:hint="default"/>
      </w:rPr>
    </w:lvl>
    <w:lvl w:ilvl="1" w:tplc="90022D14" w:tentative="1">
      <w:start w:val="1"/>
      <w:numFmt w:val="bullet"/>
      <w:lvlText w:val="o"/>
      <w:lvlJc w:val="left"/>
      <w:pPr>
        <w:tabs>
          <w:tab w:val="num" w:pos="1440"/>
        </w:tabs>
        <w:ind w:left="1440" w:hanging="360"/>
      </w:pPr>
      <w:rPr>
        <w:rFonts w:ascii="Courier New" w:hAnsi="Courier New" w:hint="default"/>
      </w:rPr>
    </w:lvl>
    <w:lvl w:ilvl="2" w:tplc="D9F428DE" w:tentative="1">
      <w:start w:val="1"/>
      <w:numFmt w:val="bullet"/>
      <w:lvlText w:val=""/>
      <w:lvlJc w:val="left"/>
      <w:pPr>
        <w:tabs>
          <w:tab w:val="num" w:pos="2160"/>
        </w:tabs>
        <w:ind w:left="2160" w:hanging="360"/>
      </w:pPr>
      <w:rPr>
        <w:rFonts w:ascii="Wingdings" w:hAnsi="Wingdings" w:hint="default"/>
      </w:rPr>
    </w:lvl>
    <w:lvl w:ilvl="3" w:tplc="10D4E17E" w:tentative="1">
      <w:start w:val="1"/>
      <w:numFmt w:val="bullet"/>
      <w:lvlText w:val=""/>
      <w:lvlJc w:val="left"/>
      <w:pPr>
        <w:tabs>
          <w:tab w:val="num" w:pos="2880"/>
        </w:tabs>
        <w:ind w:left="2880" w:hanging="360"/>
      </w:pPr>
      <w:rPr>
        <w:rFonts w:ascii="Symbol" w:hAnsi="Symbol" w:hint="default"/>
      </w:rPr>
    </w:lvl>
    <w:lvl w:ilvl="4" w:tplc="3DA8E2D2" w:tentative="1">
      <w:start w:val="1"/>
      <w:numFmt w:val="bullet"/>
      <w:lvlText w:val="o"/>
      <w:lvlJc w:val="left"/>
      <w:pPr>
        <w:tabs>
          <w:tab w:val="num" w:pos="3600"/>
        </w:tabs>
        <w:ind w:left="3600" w:hanging="360"/>
      </w:pPr>
      <w:rPr>
        <w:rFonts w:ascii="Courier New" w:hAnsi="Courier New" w:hint="default"/>
      </w:rPr>
    </w:lvl>
    <w:lvl w:ilvl="5" w:tplc="57605A82" w:tentative="1">
      <w:start w:val="1"/>
      <w:numFmt w:val="bullet"/>
      <w:lvlText w:val=""/>
      <w:lvlJc w:val="left"/>
      <w:pPr>
        <w:tabs>
          <w:tab w:val="num" w:pos="4320"/>
        </w:tabs>
        <w:ind w:left="4320" w:hanging="360"/>
      </w:pPr>
      <w:rPr>
        <w:rFonts w:ascii="Wingdings" w:hAnsi="Wingdings" w:hint="default"/>
      </w:rPr>
    </w:lvl>
    <w:lvl w:ilvl="6" w:tplc="AC92D4D4" w:tentative="1">
      <w:start w:val="1"/>
      <w:numFmt w:val="bullet"/>
      <w:lvlText w:val=""/>
      <w:lvlJc w:val="left"/>
      <w:pPr>
        <w:tabs>
          <w:tab w:val="num" w:pos="5040"/>
        </w:tabs>
        <w:ind w:left="5040" w:hanging="360"/>
      </w:pPr>
      <w:rPr>
        <w:rFonts w:ascii="Symbol" w:hAnsi="Symbol" w:hint="default"/>
      </w:rPr>
    </w:lvl>
    <w:lvl w:ilvl="7" w:tplc="4FFAA310" w:tentative="1">
      <w:start w:val="1"/>
      <w:numFmt w:val="bullet"/>
      <w:lvlText w:val="o"/>
      <w:lvlJc w:val="left"/>
      <w:pPr>
        <w:tabs>
          <w:tab w:val="num" w:pos="5760"/>
        </w:tabs>
        <w:ind w:left="5760" w:hanging="360"/>
      </w:pPr>
      <w:rPr>
        <w:rFonts w:ascii="Courier New" w:hAnsi="Courier New" w:hint="default"/>
      </w:rPr>
    </w:lvl>
    <w:lvl w:ilvl="8" w:tplc="19F2CD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3A6C9100">
      <w:start w:val="1"/>
      <w:numFmt w:val="bullet"/>
      <w:lvlText w:val=""/>
      <w:lvlJc w:val="left"/>
      <w:pPr>
        <w:ind w:left="720" w:hanging="360"/>
      </w:pPr>
      <w:rPr>
        <w:rFonts w:ascii="Symbol" w:hAnsi="Symbol" w:hint="default"/>
      </w:rPr>
    </w:lvl>
    <w:lvl w:ilvl="1" w:tplc="26085A7E" w:tentative="1">
      <w:start w:val="1"/>
      <w:numFmt w:val="bullet"/>
      <w:lvlText w:val="o"/>
      <w:lvlJc w:val="left"/>
      <w:pPr>
        <w:ind w:left="1440" w:hanging="360"/>
      </w:pPr>
      <w:rPr>
        <w:rFonts w:ascii="Courier New" w:hAnsi="Courier New" w:cs="Courier New" w:hint="default"/>
      </w:rPr>
    </w:lvl>
    <w:lvl w:ilvl="2" w:tplc="1D521D38" w:tentative="1">
      <w:start w:val="1"/>
      <w:numFmt w:val="bullet"/>
      <w:lvlText w:val=""/>
      <w:lvlJc w:val="left"/>
      <w:pPr>
        <w:ind w:left="2160" w:hanging="360"/>
      </w:pPr>
      <w:rPr>
        <w:rFonts w:ascii="Wingdings" w:hAnsi="Wingdings" w:hint="default"/>
      </w:rPr>
    </w:lvl>
    <w:lvl w:ilvl="3" w:tplc="4404B0D6" w:tentative="1">
      <w:start w:val="1"/>
      <w:numFmt w:val="bullet"/>
      <w:lvlText w:val=""/>
      <w:lvlJc w:val="left"/>
      <w:pPr>
        <w:ind w:left="2880" w:hanging="360"/>
      </w:pPr>
      <w:rPr>
        <w:rFonts w:ascii="Symbol" w:hAnsi="Symbol" w:hint="default"/>
      </w:rPr>
    </w:lvl>
    <w:lvl w:ilvl="4" w:tplc="9B2A1DD2" w:tentative="1">
      <w:start w:val="1"/>
      <w:numFmt w:val="bullet"/>
      <w:lvlText w:val="o"/>
      <w:lvlJc w:val="left"/>
      <w:pPr>
        <w:ind w:left="3600" w:hanging="360"/>
      </w:pPr>
      <w:rPr>
        <w:rFonts w:ascii="Courier New" w:hAnsi="Courier New" w:cs="Courier New" w:hint="default"/>
      </w:rPr>
    </w:lvl>
    <w:lvl w:ilvl="5" w:tplc="575E2C4A" w:tentative="1">
      <w:start w:val="1"/>
      <w:numFmt w:val="bullet"/>
      <w:lvlText w:val=""/>
      <w:lvlJc w:val="left"/>
      <w:pPr>
        <w:ind w:left="4320" w:hanging="360"/>
      </w:pPr>
      <w:rPr>
        <w:rFonts w:ascii="Wingdings" w:hAnsi="Wingdings" w:hint="default"/>
      </w:rPr>
    </w:lvl>
    <w:lvl w:ilvl="6" w:tplc="6A6C4676" w:tentative="1">
      <w:start w:val="1"/>
      <w:numFmt w:val="bullet"/>
      <w:lvlText w:val=""/>
      <w:lvlJc w:val="left"/>
      <w:pPr>
        <w:ind w:left="5040" w:hanging="360"/>
      </w:pPr>
      <w:rPr>
        <w:rFonts w:ascii="Symbol" w:hAnsi="Symbol" w:hint="default"/>
      </w:rPr>
    </w:lvl>
    <w:lvl w:ilvl="7" w:tplc="9340903C" w:tentative="1">
      <w:start w:val="1"/>
      <w:numFmt w:val="bullet"/>
      <w:lvlText w:val="o"/>
      <w:lvlJc w:val="left"/>
      <w:pPr>
        <w:ind w:left="5760" w:hanging="360"/>
      </w:pPr>
      <w:rPr>
        <w:rFonts w:ascii="Courier New" w:hAnsi="Courier New" w:cs="Courier New" w:hint="default"/>
      </w:rPr>
    </w:lvl>
    <w:lvl w:ilvl="8" w:tplc="F1B41974"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51E2F10"/>
    <w:multiLevelType w:val="hybridMultilevel"/>
    <w:tmpl w:val="4770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646"/>
    <w:multiLevelType w:val="hybridMultilevel"/>
    <w:tmpl w:val="B5E212F4"/>
    <w:lvl w:ilvl="0" w:tplc="B3CAFC68">
      <w:start w:val="13"/>
      <w:numFmt w:val="bullet"/>
      <w:lvlText w:val=""/>
      <w:lvlJc w:val="left"/>
      <w:pPr>
        <w:tabs>
          <w:tab w:val="num" w:pos="720"/>
        </w:tabs>
        <w:ind w:left="720" w:hanging="360"/>
      </w:pPr>
      <w:rPr>
        <w:rFonts w:ascii="Symbol" w:hAnsi="Symbol" w:hint="default"/>
      </w:rPr>
    </w:lvl>
    <w:lvl w:ilvl="1" w:tplc="B93EF234" w:tentative="1">
      <w:start w:val="1"/>
      <w:numFmt w:val="bullet"/>
      <w:lvlText w:val="o"/>
      <w:lvlJc w:val="left"/>
      <w:pPr>
        <w:tabs>
          <w:tab w:val="num" w:pos="1080"/>
        </w:tabs>
        <w:ind w:left="1080" w:hanging="360"/>
      </w:pPr>
      <w:rPr>
        <w:rFonts w:ascii="Courier New" w:hAnsi="Courier New" w:hint="default"/>
      </w:rPr>
    </w:lvl>
    <w:lvl w:ilvl="2" w:tplc="72E2D95A" w:tentative="1">
      <w:start w:val="1"/>
      <w:numFmt w:val="bullet"/>
      <w:lvlText w:val=""/>
      <w:lvlJc w:val="left"/>
      <w:pPr>
        <w:tabs>
          <w:tab w:val="num" w:pos="1800"/>
        </w:tabs>
        <w:ind w:left="1800" w:hanging="360"/>
      </w:pPr>
      <w:rPr>
        <w:rFonts w:ascii="Wingdings" w:hAnsi="Wingdings" w:hint="default"/>
      </w:rPr>
    </w:lvl>
    <w:lvl w:ilvl="3" w:tplc="E5CC8420" w:tentative="1">
      <w:start w:val="1"/>
      <w:numFmt w:val="bullet"/>
      <w:lvlText w:val=""/>
      <w:lvlJc w:val="left"/>
      <w:pPr>
        <w:tabs>
          <w:tab w:val="num" w:pos="2520"/>
        </w:tabs>
        <w:ind w:left="2520" w:hanging="360"/>
      </w:pPr>
      <w:rPr>
        <w:rFonts w:ascii="Symbol" w:hAnsi="Symbol" w:hint="default"/>
      </w:rPr>
    </w:lvl>
    <w:lvl w:ilvl="4" w:tplc="6406CD0A" w:tentative="1">
      <w:start w:val="1"/>
      <w:numFmt w:val="bullet"/>
      <w:lvlText w:val="o"/>
      <w:lvlJc w:val="left"/>
      <w:pPr>
        <w:tabs>
          <w:tab w:val="num" w:pos="3240"/>
        </w:tabs>
        <w:ind w:left="3240" w:hanging="360"/>
      </w:pPr>
      <w:rPr>
        <w:rFonts w:ascii="Courier New" w:hAnsi="Courier New" w:hint="default"/>
      </w:rPr>
    </w:lvl>
    <w:lvl w:ilvl="5" w:tplc="9BFE0B56" w:tentative="1">
      <w:start w:val="1"/>
      <w:numFmt w:val="bullet"/>
      <w:lvlText w:val=""/>
      <w:lvlJc w:val="left"/>
      <w:pPr>
        <w:tabs>
          <w:tab w:val="num" w:pos="3960"/>
        </w:tabs>
        <w:ind w:left="3960" w:hanging="360"/>
      </w:pPr>
      <w:rPr>
        <w:rFonts w:ascii="Wingdings" w:hAnsi="Wingdings" w:hint="default"/>
      </w:rPr>
    </w:lvl>
    <w:lvl w:ilvl="6" w:tplc="24FC2C5A" w:tentative="1">
      <w:start w:val="1"/>
      <w:numFmt w:val="bullet"/>
      <w:lvlText w:val=""/>
      <w:lvlJc w:val="left"/>
      <w:pPr>
        <w:tabs>
          <w:tab w:val="num" w:pos="4680"/>
        </w:tabs>
        <w:ind w:left="4680" w:hanging="360"/>
      </w:pPr>
      <w:rPr>
        <w:rFonts w:ascii="Symbol" w:hAnsi="Symbol" w:hint="default"/>
      </w:rPr>
    </w:lvl>
    <w:lvl w:ilvl="7" w:tplc="C2DE7164" w:tentative="1">
      <w:start w:val="1"/>
      <w:numFmt w:val="bullet"/>
      <w:lvlText w:val="o"/>
      <w:lvlJc w:val="left"/>
      <w:pPr>
        <w:tabs>
          <w:tab w:val="num" w:pos="5400"/>
        </w:tabs>
        <w:ind w:left="5400" w:hanging="360"/>
      </w:pPr>
      <w:rPr>
        <w:rFonts w:ascii="Courier New" w:hAnsi="Courier New" w:hint="default"/>
      </w:rPr>
    </w:lvl>
    <w:lvl w:ilvl="8" w:tplc="6406A10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8" w15:restartNumberingAfterBreak="0">
    <w:nsid w:val="6A9D5F8D"/>
    <w:multiLevelType w:val="hybridMultilevel"/>
    <w:tmpl w:val="E0F4A8F4"/>
    <w:lvl w:ilvl="0" w:tplc="D8AE1DA0">
      <w:start w:val="1"/>
      <w:numFmt w:val="bullet"/>
      <w:lvlText w:val=""/>
      <w:lvlJc w:val="left"/>
      <w:pPr>
        <w:ind w:left="720" w:hanging="360"/>
      </w:pPr>
      <w:rPr>
        <w:rFonts w:ascii="Symbol" w:hAnsi="Symbol" w:hint="default"/>
      </w:rPr>
    </w:lvl>
    <w:lvl w:ilvl="1" w:tplc="E3D63EDA" w:tentative="1">
      <w:start w:val="1"/>
      <w:numFmt w:val="bullet"/>
      <w:lvlText w:val="o"/>
      <w:lvlJc w:val="left"/>
      <w:pPr>
        <w:ind w:left="1440" w:hanging="360"/>
      </w:pPr>
      <w:rPr>
        <w:rFonts w:ascii="Courier New" w:hAnsi="Courier New" w:cs="Courier New" w:hint="default"/>
      </w:rPr>
    </w:lvl>
    <w:lvl w:ilvl="2" w:tplc="998639F0" w:tentative="1">
      <w:start w:val="1"/>
      <w:numFmt w:val="bullet"/>
      <w:lvlText w:val=""/>
      <w:lvlJc w:val="left"/>
      <w:pPr>
        <w:ind w:left="2160" w:hanging="360"/>
      </w:pPr>
      <w:rPr>
        <w:rFonts w:ascii="Wingdings" w:hAnsi="Wingdings" w:hint="default"/>
      </w:rPr>
    </w:lvl>
    <w:lvl w:ilvl="3" w:tplc="3B58E822" w:tentative="1">
      <w:start w:val="1"/>
      <w:numFmt w:val="bullet"/>
      <w:lvlText w:val=""/>
      <w:lvlJc w:val="left"/>
      <w:pPr>
        <w:ind w:left="2880" w:hanging="360"/>
      </w:pPr>
      <w:rPr>
        <w:rFonts w:ascii="Symbol" w:hAnsi="Symbol" w:hint="default"/>
      </w:rPr>
    </w:lvl>
    <w:lvl w:ilvl="4" w:tplc="FB34932A" w:tentative="1">
      <w:start w:val="1"/>
      <w:numFmt w:val="bullet"/>
      <w:lvlText w:val="o"/>
      <w:lvlJc w:val="left"/>
      <w:pPr>
        <w:ind w:left="3600" w:hanging="360"/>
      </w:pPr>
      <w:rPr>
        <w:rFonts w:ascii="Courier New" w:hAnsi="Courier New" w:cs="Courier New" w:hint="default"/>
      </w:rPr>
    </w:lvl>
    <w:lvl w:ilvl="5" w:tplc="5754CDD0" w:tentative="1">
      <w:start w:val="1"/>
      <w:numFmt w:val="bullet"/>
      <w:lvlText w:val=""/>
      <w:lvlJc w:val="left"/>
      <w:pPr>
        <w:ind w:left="4320" w:hanging="360"/>
      </w:pPr>
      <w:rPr>
        <w:rFonts w:ascii="Wingdings" w:hAnsi="Wingdings" w:hint="default"/>
      </w:rPr>
    </w:lvl>
    <w:lvl w:ilvl="6" w:tplc="62F00E72" w:tentative="1">
      <w:start w:val="1"/>
      <w:numFmt w:val="bullet"/>
      <w:lvlText w:val=""/>
      <w:lvlJc w:val="left"/>
      <w:pPr>
        <w:ind w:left="5040" w:hanging="360"/>
      </w:pPr>
      <w:rPr>
        <w:rFonts w:ascii="Symbol" w:hAnsi="Symbol" w:hint="default"/>
      </w:rPr>
    </w:lvl>
    <w:lvl w:ilvl="7" w:tplc="99328C00" w:tentative="1">
      <w:start w:val="1"/>
      <w:numFmt w:val="bullet"/>
      <w:lvlText w:val="o"/>
      <w:lvlJc w:val="left"/>
      <w:pPr>
        <w:ind w:left="5760" w:hanging="360"/>
      </w:pPr>
      <w:rPr>
        <w:rFonts w:ascii="Courier New" w:hAnsi="Courier New" w:cs="Courier New" w:hint="default"/>
      </w:rPr>
    </w:lvl>
    <w:lvl w:ilvl="8" w:tplc="5A7009AC" w:tentative="1">
      <w:start w:val="1"/>
      <w:numFmt w:val="bullet"/>
      <w:lvlText w:val=""/>
      <w:lvlJc w:val="left"/>
      <w:pPr>
        <w:ind w:left="6480" w:hanging="360"/>
      </w:pPr>
      <w:rPr>
        <w:rFonts w:ascii="Wingdings" w:hAnsi="Wingdings" w:hint="default"/>
      </w:rPr>
    </w:lvl>
  </w:abstractNum>
  <w:abstractNum w:abstractNumId="9"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D833F0"/>
    <w:multiLevelType w:val="hybridMultilevel"/>
    <w:tmpl w:val="8B64103E"/>
    <w:lvl w:ilvl="0" w:tplc="83FE1894">
      <w:start w:val="1"/>
      <w:numFmt w:val="bullet"/>
      <w:lvlText w:val=""/>
      <w:lvlJc w:val="left"/>
      <w:pPr>
        <w:ind w:left="720" w:hanging="360"/>
      </w:pPr>
      <w:rPr>
        <w:rFonts w:ascii="Symbol" w:hAnsi="Symbol" w:hint="default"/>
      </w:rPr>
    </w:lvl>
    <w:lvl w:ilvl="1" w:tplc="2974BAF6" w:tentative="1">
      <w:start w:val="1"/>
      <w:numFmt w:val="bullet"/>
      <w:lvlText w:val="o"/>
      <w:lvlJc w:val="left"/>
      <w:pPr>
        <w:ind w:left="1440" w:hanging="360"/>
      </w:pPr>
      <w:rPr>
        <w:rFonts w:ascii="Courier New" w:hAnsi="Courier New" w:cs="Courier New" w:hint="default"/>
      </w:rPr>
    </w:lvl>
    <w:lvl w:ilvl="2" w:tplc="EFC4D7CE" w:tentative="1">
      <w:start w:val="1"/>
      <w:numFmt w:val="bullet"/>
      <w:lvlText w:val=""/>
      <w:lvlJc w:val="left"/>
      <w:pPr>
        <w:ind w:left="2160" w:hanging="360"/>
      </w:pPr>
      <w:rPr>
        <w:rFonts w:ascii="Wingdings" w:hAnsi="Wingdings" w:hint="default"/>
      </w:rPr>
    </w:lvl>
    <w:lvl w:ilvl="3" w:tplc="742422D4" w:tentative="1">
      <w:start w:val="1"/>
      <w:numFmt w:val="bullet"/>
      <w:lvlText w:val=""/>
      <w:lvlJc w:val="left"/>
      <w:pPr>
        <w:ind w:left="2880" w:hanging="360"/>
      </w:pPr>
      <w:rPr>
        <w:rFonts w:ascii="Symbol" w:hAnsi="Symbol" w:hint="default"/>
      </w:rPr>
    </w:lvl>
    <w:lvl w:ilvl="4" w:tplc="9CA4BD4C" w:tentative="1">
      <w:start w:val="1"/>
      <w:numFmt w:val="bullet"/>
      <w:lvlText w:val="o"/>
      <w:lvlJc w:val="left"/>
      <w:pPr>
        <w:ind w:left="3600" w:hanging="360"/>
      </w:pPr>
      <w:rPr>
        <w:rFonts w:ascii="Courier New" w:hAnsi="Courier New" w:cs="Courier New" w:hint="default"/>
      </w:rPr>
    </w:lvl>
    <w:lvl w:ilvl="5" w:tplc="9A229C4A" w:tentative="1">
      <w:start w:val="1"/>
      <w:numFmt w:val="bullet"/>
      <w:lvlText w:val=""/>
      <w:lvlJc w:val="left"/>
      <w:pPr>
        <w:ind w:left="4320" w:hanging="360"/>
      </w:pPr>
      <w:rPr>
        <w:rFonts w:ascii="Wingdings" w:hAnsi="Wingdings" w:hint="default"/>
      </w:rPr>
    </w:lvl>
    <w:lvl w:ilvl="6" w:tplc="485454BE" w:tentative="1">
      <w:start w:val="1"/>
      <w:numFmt w:val="bullet"/>
      <w:lvlText w:val=""/>
      <w:lvlJc w:val="left"/>
      <w:pPr>
        <w:ind w:left="5040" w:hanging="360"/>
      </w:pPr>
      <w:rPr>
        <w:rFonts w:ascii="Symbol" w:hAnsi="Symbol" w:hint="default"/>
      </w:rPr>
    </w:lvl>
    <w:lvl w:ilvl="7" w:tplc="4F48DFFC" w:tentative="1">
      <w:start w:val="1"/>
      <w:numFmt w:val="bullet"/>
      <w:lvlText w:val="o"/>
      <w:lvlJc w:val="left"/>
      <w:pPr>
        <w:ind w:left="5760" w:hanging="360"/>
      </w:pPr>
      <w:rPr>
        <w:rFonts w:ascii="Courier New" w:hAnsi="Courier New" w:cs="Courier New" w:hint="default"/>
      </w:rPr>
    </w:lvl>
    <w:lvl w:ilvl="8" w:tplc="48F2CDFE"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9"/>
  </w:num>
  <w:num w:numId="7">
    <w:abstractNumId w:val="7"/>
  </w:num>
  <w:num w:numId="8">
    <w:abstractNumId w:val="10"/>
  </w:num>
  <w:num w:numId="9">
    <w:abstractNumId w:val="11"/>
  </w:num>
  <w:num w:numId="10">
    <w:abstractNumId w:val="3"/>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7623"/>
    <w:rsid w:val="000626EC"/>
    <w:rsid w:val="00077FA7"/>
    <w:rsid w:val="000B5B8D"/>
    <w:rsid w:val="000E7DDA"/>
    <w:rsid w:val="001438B5"/>
    <w:rsid w:val="00154C33"/>
    <w:rsid w:val="00160768"/>
    <w:rsid w:val="00171289"/>
    <w:rsid w:val="001A1CE5"/>
    <w:rsid w:val="001F241C"/>
    <w:rsid w:val="00236636"/>
    <w:rsid w:val="00250D25"/>
    <w:rsid w:val="00266BB2"/>
    <w:rsid w:val="00274618"/>
    <w:rsid w:val="0029777B"/>
    <w:rsid w:val="0029781E"/>
    <w:rsid w:val="002A0C22"/>
    <w:rsid w:val="002B2138"/>
    <w:rsid w:val="002C4C6A"/>
    <w:rsid w:val="002D7917"/>
    <w:rsid w:val="002E06D3"/>
    <w:rsid w:val="002E651D"/>
    <w:rsid w:val="0031697B"/>
    <w:rsid w:val="0033084D"/>
    <w:rsid w:val="00372453"/>
    <w:rsid w:val="00374717"/>
    <w:rsid w:val="003B163D"/>
    <w:rsid w:val="003E0906"/>
    <w:rsid w:val="003E4771"/>
    <w:rsid w:val="003E6B3C"/>
    <w:rsid w:val="00432A51"/>
    <w:rsid w:val="00445796"/>
    <w:rsid w:val="004A355C"/>
    <w:rsid w:val="0051122F"/>
    <w:rsid w:val="0051164A"/>
    <w:rsid w:val="00512448"/>
    <w:rsid w:val="00531BAC"/>
    <w:rsid w:val="00534E0A"/>
    <w:rsid w:val="0054756B"/>
    <w:rsid w:val="00561A32"/>
    <w:rsid w:val="005A789B"/>
    <w:rsid w:val="005D0F04"/>
    <w:rsid w:val="005E2ADA"/>
    <w:rsid w:val="006135BC"/>
    <w:rsid w:val="006213B0"/>
    <w:rsid w:val="006D69C5"/>
    <w:rsid w:val="006E251B"/>
    <w:rsid w:val="006E5692"/>
    <w:rsid w:val="00723006"/>
    <w:rsid w:val="00732DCA"/>
    <w:rsid w:val="007961D4"/>
    <w:rsid w:val="007D511E"/>
    <w:rsid w:val="007F6FCC"/>
    <w:rsid w:val="00804630"/>
    <w:rsid w:val="008A5451"/>
    <w:rsid w:val="008F10EC"/>
    <w:rsid w:val="008F1F32"/>
    <w:rsid w:val="008F69FB"/>
    <w:rsid w:val="00942F97"/>
    <w:rsid w:val="00954694"/>
    <w:rsid w:val="0099166C"/>
    <w:rsid w:val="009B6A78"/>
    <w:rsid w:val="00A56B0C"/>
    <w:rsid w:val="00A64C69"/>
    <w:rsid w:val="00A6646B"/>
    <w:rsid w:val="00A71044"/>
    <w:rsid w:val="00AC529C"/>
    <w:rsid w:val="00B3004B"/>
    <w:rsid w:val="00B40A13"/>
    <w:rsid w:val="00BA4FFA"/>
    <w:rsid w:val="00BA69AA"/>
    <w:rsid w:val="00BA7800"/>
    <w:rsid w:val="00BC0047"/>
    <w:rsid w:val="00C0301F"/>
    <w:rsid w:val="00C879A1"/>
    <w:rsid w:val="00C87D1C"/>
    <w:rsid w:val="00CA3DA7"/>
    <w:rsid w:val="00CD382C"/>
    <w:rsid w:val="00D0683A"/>
    <w:rsid w:val="00D1531F"/>
    <w:rsid w:val="00D26613"/>
    <w:rsid w:val="00D46DCB"/>
    <w:rsid w:val="00D47765"/>
    <w:rsid w:val="00DB4C2B"/>
    <w:rsid w:val="00DF6CC2"/>
    <w:rsid w:val="00E5498F"/>
    <w:rsid w:val="00E635B4"/>
    <w:rsid w:val="00E87009"/>
    <w:rsid w:val="00EE2842"/>
    <w:rsid w:val="00F063E5"/>
    <w:rsid w:val="00F12610"/>
    <w:rsid w:val="00F97BE9"/>
    <w:rsid w:val="00FC62E6"/>
    <w:rsid w:val="00FD4207"/>
    <w:rsid w:val="11179419"/>
    <w:rsid w:val="3CCD2352"/>
    <w:rsid w:val="7D4E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685F9"/>
  <w15:chartTrackingRefBased/>
  <w15:docId w15:val="{5373400B-D175-429C-8C69-C06209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customStyle="1" w:styleId="Normal0">
    <w:name w:val="Normal_0"/>
    <w:qFormat/>
    <w:rsid w:val="002B2138"/>
    <w:rPr>
      <w:sz w:val="24"/>
      <w:szCs w:val="24"/>
    </w:rPr>
  </w:style>
  <w:style w:type="paragraph" w:styleId="Revision">
    <w:name w:val="Revision"/>
    <w:hidden/>
    <w:uiPriority w:val="99"/>
    <w:semiHidden/>
    <w:rsid w:val="001F2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2211</Words>
  <Characters>13051</Characters>
  <Application>Microsoft Office Word</Application>
  <DocSecurity>0</DocSecurity>
  <Lines>466</Lines>
  <Paragraphs>218</Paragraphs>
  <ScaleCrop>false</ScaleCrop>
  <HeadingPairs>
    <vt:vector size="2" baseType="variant">
      <vt:variant>
        <vt:lpstr>Title</vt:lpstr>
      </vt:variant>
      <vt:variant>
        <vt:i4>1</vt:i4>
      </vt:variant>
    </vt:vector>
  </HeadingPairs>
  <TitlesOfParts>
    <vt:vector size="1" baseType="lpstr">
      <vt:lpstr>2022-23 Prospect Hill Academy Charter School TFM Report</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Prospect Hill Academy Charter School TFM Report</dc:title>
  <dc:subject/>
  <dc:creator>DESE</dc:creator>
  <cp:keywords/>
  <cp:lastModifiedBy>Zou, Dong (EOE)</cp:lastModifiedBy>
  <cp:revision>4</cp:revision>
  <cp:lastPrinted>2015-01-08T14:35:00Z</cp:lastPrinted>
  <dcterms:created xsi:type="dcterms:W3CDTF">2023-03-10T15:37:00Z</dcterms:created>
  <dcterms:modified xsi:type="dcterms:W3CDTF">2023-03-10T19:54:00Z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2023 12:00AM</vt:lpwstr>
  </property>
</Properties>
</file>