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00" w:rsidRDefault="00921700" w:rsidP="00516638">
      <w:pPr>
        <w:widowControl w:val="0"/>
        <w:spacing w:line="360" w:lineRule="auto"/>
        <w:jc w:val="center"/>
        <w:rPr>
          <w:b/>
          <w:sz w:val="28"/>
          <w:szCs w:val="28"/>
        </w:rPr>
      </w:pPr>
      <w:bookmarkStart w:id="0" w:name="_GoBack"/>
      <w:bookmarkEnd w:id="0"/>
    </w:p>
    <w:p w:rsidR="00921700" w:rsidRDefault="00921700" w:rsidP="00516638">
      <w:pPr>
        <w:widowControl w:val="0"/>
        <w:spacing w:line="360" w:lineRule="auto"/>
        <w:jc w:val="center"/>
        <w:rPr>
          <w:b/>
          <w:sz w:val="28"/>
          <w:szCs w:val="28"/>
        </w:rPr>
      </w:pPr>
    </w:p>
    <w:p w:rsidR="00921700" w:rsidRDefault="00921700" w:rsidP="00516638">
      <w:pPr>
        <w:widowControl w:val="0"/>
        <w:spacing w:line="360" w:lineRule="auto"/>
        <w:jc w:val="center"/>
        <w:rPr>
          <w:b/>
          <w:sz w:val="28"/>
          <w:szCs w:val="28"/>
        </w:rPr>
      </w:pPr>
    </w:p>
    <w:p w:rsidR="00921700" w:rsidRDefault="00921700" w:rsidP="00516638">
      <w:pPr>
        <w:widowControl w:val="0"/>
        <w:spacing w:line="360" w:lineRule="auto"/>
        <w:jc w:val="center"/>
        <w:rPr>
          <w:b/>
          <w:sz w:val="28"/>
          <w:szCs w:val="28"/>
        </w:rPr>
      </w:pPr>
    </w:p>
    <w:p w:rsidR="00921700" w:rsidRDefault="00921700" w:rsidP="00516638">
      <w:pPr>
        <w:widowControl w:val="0"/>
        <w:spacing w:line="360" w:lineRule="auto"/>
        <w:jc w:val="center"/>
        <w:rPr>
          <w:b/>
          <w:sz w:val="28"/>
          <w:szCs w:val="28"/>
        </w:rPr>
      </w:pPr>
    </w:p>
    <w:p w:rsidR="00921700" w:rsidRDefault="00921700" w:rsidP="00516638">
      <w:pPr>
        <w:widowControl w:val="0"/>
        <w:spacing w:line="360" w:lineRule="auto"/>
        <w:jc w:val="center"/>
        <w:rPr>
          <w:b/>
          <w:sz w:val="28"/>
          <w:szCs w:val="28"/>
        </w:rPr>
      </w:pPr>
    </w:p>
    <w:p w:rsidR="003C7DDA" w:rsidRPr="00CC397F" w:rsidRDefault="00CC397F" w:rsidP="00516638">
      <w:pPr>
        <w:widowControl w:val="0"/>
        <w:spacing w:before="120" w:after="120"/>
        <w:jc w:val="center"/>
        <w:rPr>
          <w:b/>
          <w:snapToGrid w:val="0"/>
          <w:sz w:val="32"/>
          <w:szCs w:val="32"/>
        </w:rPr>
      </w:pPr>
      <w:r w:rsidRPr="00CC397F">
        <w:rPr>
          <w:b/>
          <w:snapToGrid w:val="0"/>
          <w:sz w:val="32"/>
          <w:szCs w:val="32"/>
        </w:rPr>
        <w:t xml:space="preserve">The </w:t>
      </w:r>
      <w:r>
        <w:rPr>
          <w:b/>
          <w:snapToGrid w:val="0"/>
          <w:sz w:val="32"/>
          <w:szCs w:val="32"/>
        </w:rPr>
        <w:t>C</w:t>
      </w:r>
      <w:r w:rsidRPr="00CC397F">
        <w:rPr>
          <w:b/>
          <w:snapToGrid w:val="0"/>
          <w:sz w:val="32"/>
          <w:szCs w:val="32"/>
        </w:rPr>
        <w:t xml:space="preserve">onsequences of </w:t>
      </w:r>
      <w:r>
        <w:rPr>
          <w:b/>
          <w:snapToGrid w:val="0"/>
          <w:sz w:val="32"/>
          <w:szCs w:val="32"/>
        </w:rPr>
        <w:t>MCAS E</w:t>
      </w:r>
      <w:r w:rsidRPr="00CC397F">
        <w:rPr>
          <w:b/>
          <w:snapToGrid w:val="0"/>
          <w:sz w:val="32"/>
          <w:szCs w:val="32"/>
        </w:rPr>
        <w:t xml:space="preserve">xit </w:t>
      </w:r>
      <w:r>
        <w:rPr>
          <w:b/>
          <w:snapToGrid w:val="0"/>
          <w:sz w:val="32"/>
          <w:szCs w:val="32"/>
        </w:rPr>
        <w:t>E</w:t>
      </w:r>
      <w:r w:rsidRPr="00CC397F">
        <w:rPr>
          <w:b/>
          <w:snapToGrid w:val="0"/>
          <w:sz w:val="32"/>
          <w:szCs w:val="32"/>
        </w:rPr>
        <w:t xml:space="preserve">xaminations for </w:t>
      </w:r>
      <w:r>
        <w:rPr>
          <w:b/>
          <w:snapToGrid w:val="0"/>
          <w:sz w:val="32"/>
          <w:szCs w:val="32"/>
        </w:rPr>
        <w:t>S</w:t>
      </w:r>
      <w:r w:rsidRPr="00CC397F">
        <w:rPr>
          <w:b/>
          <w:snapToGrid w:val="0"/>
          <w:sz w:val="32"/>
          <w:szCs w:val="32"/>
        </w:rPr>
        <w:t xml:space="preserve">truggling </w:t>
      </w:r>
      <w:r>
        <w:rPr>
          <w:b/>
          <w:snapToGrid w:val="0"/>
          <w:sz w:val="32"/>
          <w:szCs w:val="32"/>
        </w:rPr>
        <w:t>L</w:t>
      </w:r>
      <w:r w:rsidRPr="00CC397F">
        <w:rPr>
          <w:b/>
          <w:snapToGrid w:val="0"/>
          <w:sz w:val="32"/>
          <w:szCs w:val="32"/>
        </w:rPr>
        <w:t>ow-</w:t>
      </w:r>
      <w:r>
        <w:rPr>
          <w:b/>
          <w:snapToGrid w:val="0"/>
          <w:sz w:val="32"/>
          <w:szCs w:val="32"/>
        </w:rPr>
        <w:t>I</w:t>
      </w:r>
      <w:r w:rsidRPr="00CC397F">
        <w:rPr>
          <w:b/>
          <w:snapToGrid w:val="0"/>
          <w:sz w:val="32"/>
          <w:szCs w:val="32"/>
        </w:rPr>
        <w:t xml:space="preserve">ncome </w:t>
      </w:r>
      <w:r>
        <w:rPr>
          <w:b/>
          <w:snapToGrid w:val="0"/>
          <w:sz w:val="32"/>
          <w:szCs w:val="32"/>
        </w:rPr>
        <w:t>U</w:t>
      </w:r>
      <w:r w:rsidRPr="00CC397F">
        <w:rPr>
          <w:b/>
          <w:snapToGrid w:val="0"/>
          <w:sz w:val="32"/>
          <w:szCs w:val="32"/>
        </w:rPr>
        <w:t xml:space="preserve">rban </w:t>
      </w:r>
      <w:r>
        <w:rPr>
          <w:b/>
          <w:snapToGrid w:val="0"/>
          <w:sz w:val="32"/>
          <w:szCs w:val="32"/>
        </w:rPr>
        <w:t>S</w:t>
      </w:r>
      <w:r w:rsidRPr="00CC397F">
        <w:rPr>
          <w:b/>
          <w:snapToGrid w:val="0"/>
          <w:sz w:val="32"/>
          <w:szCs w:val="32"/>
        </w:rPr>
        <w:t>tudents</w:t>
      </w:r>
    </w:p>
    <w:p w:rsidR="00921700" w:rsidRDefault="00921700" w:rsidP="00516638">
      <w:pPr>
        <w:widowControl w:val="0"/>
        <w:spacing w:line="360" w:lineRule="auto"/>
        <w:rPr>
          <w:b/>
          <w:i/>
        </w:rPr>
      </w:pPr>
    </w:p>
    <w:p w:rsidR="00921700" w:rsidRDefault="00921700" w:rsidP="00516638">
      <w:pPr>
        <w:widowControl w:val="0"/>
        <w:spacing w:line="360" w:lineRule="auto"/>
        <w:rPr>
          <w:b/>
          <w:i/>
        </w:rPr>
      </w:pPr>
    </w:p>
    <w:p w:rsidR="00921700" w:rsidRDefault="00921700" w:rsidP="00516638">
      <w:pPr>
        <w:widowControl w:val="0"/>
        <w:rPr>
          <w:b/>
          <w:i/>
        </w:rPr>
      </w:pPr>
    </w:p>
    <w:p w:rsidR="00921700" w:rsidRDefault="00921700" w:rsidP="00516638">
      <w:pPr>
        <w:widowControl w:val="0"/>
        <w:rPr>
          <w:b/>
          <w:i/>
        </w:rPr>
      </w:pPr>
    </w:p>
    <w:p w:rsidR="00921700" w:rsidRDefault="00921700" w:rsidP="00516638">
      <w:pPr>
        <w:widowControl w:val="0"/>
        <w:rPr>
          <w:b/>
          <w:i/>
        </w:rPr>
      </w:pPr>
    </w:p>
    <w:p w:rsidR="00921700" w:rsidRDefault="00921700" w:rsidP="00516638">
      <w:pPr>
        <w:widowControl w:val="0"/>
        <w:rPr>
          <w:b/>
          <w:i/>
        </w:rPr>
      </w:pPr>
    </w:p>
    <w:p w:rsidR="00921700" w:rsidRDefault="00921700" w:rsidP="00516638">
      <w:pPr>
        <w:widowControl w:val="0"/>
        <w:rPr>
          <w:b/>
          <w:i/>
        </w:rPr>
      </w:pPr>
    </w:p>
    <w:p w:rsidR="00921700" w:rsidRDefault="00921700" w:rsidP="00516638">
      <w:pPr>
        <w:widowControl w:val="0"/>
        <w:rPr>
          <w:b/>
          <w:i/>
        </w:rPr>
      </w:pPr>
    </w:p>
    <w:p w:rsidR="00921700" w:rsidRPr="002E3C15" w:rsidRDefault="00921700" w:rsidP="00516638">
      <w:pPr>
        <w:widowControl w:val="0"/>
        <w:rPr>
          <w:b/>
          <w:i/>
          <w:sz w:val="28"/>
          <w:szCs w:val="28"/>
        </w:rPr>
      </w:pPr>
    </w:p>
    <w:p w:rsidR="003C7DDA" w:rsidRPr="002E3C15" w:rsidRDefault="00921700" w:rsidP="00516638">
      <w:pPr>
        <w:widowControl w:val="0"/>
        <w:jc w:val="center"/>
        <w:rPr>
          <w:sz w:val="28"/>
          <w:szCs w:val="28"/>
        </w:rPr>
      </w:pPr>
      <w:r w:rsidRPr="002E3C15">
        <w:rPr>
          <w:sz w:val="28"/>
          <w:szCs w:val="28"/>
        </w:rPr>
        <w:t xml:space="preserve">John </w:t>
      </w:r>
      <w:r w:rsidR="003C7DDA" w:rsidRPr="002E3C15">
        <w:rPr>
          <w:sz w:val="28"/>
          <w:szCs w:val="28"/>
        </w:rPr>
        <w:t xml:space="preserve">P. </w:t>
      </w:r>
      <w:r w:rsidRPr="002E3C15">
        <w:rPr>
          <w:sz w:val="28"/>
          <w:szCs w:val="28"/>
        </w:rPr>
        <w:t>Papay</w:t>
      </w:r>
    </w:p>
    <w:p w:rsidR="00921700" w:rsidRPr="002E3C15" w:rsidRDefault="003C7DDA" w:rsidP="00516638">
      <w:pPr>
        <w:widowControl w:val="0"/>
        <w:jc w:val="center"/>
        <w:rPr>
          <w:sz w:val="28"/>
          <w:szCs w:val="28"/>
        </w:rPr>
      </w:pPr>
      <w:r w:rsidRPr="002E3C15">
        <w:rPr>
          <w:sz w:val="28"/>
          <w:szCs w:val="28"/>
        </w:rPr>
        <w:t>Richard J. Murnane</w:t>
      </w:r>
    </w:p>
    <w:p w:rsidR="003C7DDA" w:rsidRPr="002E3C15" w:rsidRDefault="003C7DDA" w:rsidP="00516638">
      <w:pPr>
        <w:widowControl w:val="0"/>
        <w:jc w:val="center"/>
        <w:rPr>
          <w:sz w:val="28"/>
          <w:szCs w:val="28"/>
        </w:rPr>
      </w:pPr>
      <w:r w:rsidRPr="002E3C15">
        <w:rPr>
          <w:sz w:val="28"/>
          <w:szCs w:val="28"/>
        </w:rPr>
        <w:t>John B. Willett</w:t>
      </w:r>
    </w:p>
    <w:p w:rsidR="003C7DDA" w:rsidRPr="002E3C15" w:rsidRDefault="003C7DDA" w:rsidP="00516638">
      <w:pPr>
        <w:widowControl w:val="0"/>
        <w:jc w:val="center"/>
        <w:rPr>
          <w:sz w:val="28"/>
          <w:szCs w:val="28"/>
        </w:rPr>
      </w:pPr>
    </w:p>
    <w:p w:rsidR="00921700" w:rsidRPr="002E3C15" w:rsidRDefault="00921700" w:rsidP="00516638">
      <w:pPr>
        <w:widowControl w:val="0"/>
        <w:jc w:val="center"/>
        <w:rPr>
          <w:sz w:val="28"/>
          <w:szCs w:val="28"/>
        </w:rPr>
      </w:pPr>
      <w:smartTag w:uri="urn:schemas-microsoft-com:office:smarttags" w:element="place">
        <w:smartTag w:uri="urn:schemas-microsoft-com:office:smarttags" w:element="PlaceName">
          <w:r w:rsidRPr="002E3C15">
            <w:rPr>
              <w:sz w:val="28"/>
              <w:szCs w:val="28"/>
            </w:rPr>
            <w:t>Harvard</w:t>
          </w:r>
        </w:smartTag>
        <w:r w:rsidRPr="002E3C15">
          <w:rPr>
            <w:sz w:val="28"/>
            <w:szCs w:val="28"/>
          </w:rPr>
          <w:t xml:space="preserve"> </w:t>
        </w:r>
        <w:smartTag w:uri="urn:schemas-microsoft-com:office:smarttags" w:element="PlaceName">
          <w:r w:rsidRPr="002E3C15">
            <w:rPr>
              <w:sz w:val="28"/>
              <w:szCs w:val="28"/>
            </w:rPr>
            <w:t>Graduate</w:t>
          </w:r>
        </w:smartTag>
        <w:r w:rsidRPr="002E3C15">
          <w:rPr>
            <w:sz w:val="28"/>
            <w:szCs w:val="28"/>
          </w:rPr>
          <w:t xml:space="preserve"> </w:t>
        </w:r>
        <w:smartTag w:uri="urn:schemas-microsoft-com:office:smarttags" w:element="PlaceType">
          <w:r w:rsidRPr="002E3C15">
            <w:rPr>
              <w:sz w:val="28"/>
              <w:szCs w:val="28"/>
            </w:rPr>
            <w:t>School</w:t>
          </w:r>
        </w:smartTag>
      </w:smartTag>
      <w:r w:rsidRPr="002E3C15">
        <w:rPr>
          <w:sz w:val="28"/>
          <w:szCs w:val="28"/>
        </w:rPr>
        <w:t xml:space="preserve"> of Education</w:t>
      </w:r>
      <w:r w:rsidR="007F0A5C" w:rsidRPr="002E3C15">
        <w:rPr>
          <w:rStyle w:val="FootnoteReference"/>
          <w:sz w:val="28"/>
          <w:szCs w:val="28"/>
        </w:rPr>
        <w:footnoteReference w:id="1"/>
      </w:r>
    </w:p>
    <w:p w:rsidR="00921700" w:rsidRPr="002E3C15" w:rsidRDefault="00FB2C94" w:rsidP="00516638">
      <w:pPr>
        <w:widowControl w:val="0"/>
        <w:jc w:val="center"/>
        <w:rPr>
          <w:sz w:val="28"/>
          <w:szCs w:val="28"/>
        </w:rPr>
      </w:pPr>
      <w:r>
        <w:rPr>
          <w:sz w:val="28"/>
          <w:szCs w:val="28"/>
        </w:rPr>
        <w:t>July</w:t>
      </w:r>
      <w:r w:rsidR="004014CD" w:rsidRPr="002E3C15">
        <w:rPr>
          <w:sz w:val="28"/>
          <w:szCs w:val="28"/>
        </w:rPr>
        <w:t xml:space="preserve"> 2008</w:t>
      </w:r>
    </w:p>
    <w:p w:rsidR="00921700" w:rsidRPr="002E3C15" w:rsidRDefault="00921700" w:rsidP="00516638">
      <w:pPr>
        <w:widowControl w:val="0"/>
        <w:rPr>
          <w:sz w:val="28"/>
          <w:szCs w:val="28"/>
        </w:rPr>
      </w:pPr>
    </w:p>
    <w:p w:rsidR="00921700" w:rsidRPr="002E3C15" w:rsidRDefault="00921700" w:rsidP="00516638">
      <w:pPr>
        <w:widowControl w:val="0"/>
        <w:rPr>
          <w:sz w:val="28"/>
          <w:szCs w:val="28"/>
        </w:rPr>
      </w:pPr>
    </w:p>
    <w:p w:rsidR="00921700" w:rsidRDefault="00FC4A2C" w:rsidP="00B0202E">
      <w:pPr>
        <w:widowControl w:val="0"/>
        <w:spacing w:line="480" w:lineRule="auto"/>
        <w:jc w:val="center"/>
        <w:rPr>
          <w:b/>
        </w:rPr>
      </w:pPr>
      <w:r>
        <w:rPr>
          <w:b/>
        </w:rPr>
        <w:br w:type="page"/>
      </w:r>
      <w:r w:rsidR="00CA77AC">
        <w:rPr>
          <w:b/>
        </w:rPr>
        <w:lastRenderedPageBreak/>
        <w:t>Abstract</w:t>
      </w:r>
    </w:p>
    <w:p w:rsidR="00921700" w:rsidRPr="00921700" w:rsidRDefault="00CA77AC" w:rsidP="00B0202E">
      <w:pPr>
        <w:widowControl w:val="0"/>
        <w:spacing w:line="480" w:lineRule="auto"/>
        <w:sectPr w:rsidR="00921700" w:rsidRPr="00921700" w:rsidSect="00C00FA0">
          <w:headerReference w:type="even" r:id="rId7"/>
          <w:headerReference w:type="default" r:id="rId8"/>
          <w:footerReference w:type="even" r:id="rId9"/>
          <w:footerReference w:type="default" r:id="rId10"/>
          <w:headerReference w:type="first" r:id="rId11"/>
          <w:footerReference w:type="first" r:id="rId12"/>
          <w:footnotePr>
            <w:numFmt w:val="chicago"/>
          </w:footnotePr>
          <w:pgSz w:w="12240" w:h="15840"/>
          <w:pgMar w:top="1440" w:right="1440" w:bottom="1440" w:left="1440" w:header="720" w:footer="720" w:gutter="0"/>
          <w:cols w:space="720"/>
          <w:titlePg/>
          <w:docGrid w:linePitch="360"/>
        </w:sectPr>
      </w:pPr>
      <w:r>
        <w:t>The growing prominence of high-stakes exit examinations has made questions</w:t>
      </w:r>
      <w:r w:rsidR="006A0F90">
        <w:t xml:space="preserve"> about</w:t>
      </w:r>
      <w:r>
        <w:t xml:space="preserve"> their effects on student outcomes increasingly </w:t>
      </w:r>
      <w:r w:rsidR="006A0F90">
        <w:t>important</w:t>
      </w:r>
      <w:r>
        <w:t xml:space="preserve">. We </w:t>
      </w:r>
      <w:r w:rsidR="000E628D">
        <w:t>capitalize on</w:t>
      </w:r>
      <w:r>
        <w:t xml:space="preserve"> a </w:t>
      </w:r>
      <w:r w:rsidR="003F207E">
        <w:t>natural experiment</w:t>
      </w:r>
      <w:r w:rsidR="000E628D">
        <w:t xml:space="preserve"> </w:t>
      </w:r>
      <w:r>
        <w:t xml:space="preserve">to evaluate the </w:t>
      </w:r>
      <w:r w:rsidR="00067AD3">
        <w:t xml:space="preserve">causal </w:t>
      </w:r>
      <w:r>
        <w:t xml:space="preserve">effects of </w:t>
      </w:r>
      <w:r w:rsidR="000E628D">
        <w:t>failing a high-stakes test</w:t>
      </w:r>
      <w:r>
        <w:t xml:space="preserve"> on high school completion for </w:t>
      </w:r>
      <w:r w:rsidR="0003212A">
        <w:t>students</w:t>
      </w:r>
      <w:r>
        <w:t xml:space="preserve"> </w:t>
      </w:r>
      <w:r w:rsidR="006A0F90">
        <w:t xml:space="preserve">scheduled to graduate from </w:t>
      </w:r>
      <w:smartTag w:uri="urn:schemas-microsoft-com:office:smarttags" w:element="place">
        <w:smartTag w:uri="urn:schemas-microsoft-com:office:smarttags" w:element="State">
          <w:r>
            <w:t>Massachusetts</w:t>
          </w:r>
        </w:smartTag>
      </w:smartTag>
      <w:r w:rsidR="006A0F90">
        <w:t xml:space="preserve"> high schools in 2006</w:t>
      </w:r>
      <w:r>
        <w:t xml:space="preserve">. </w:t>
      </w:r>
      <w:r w:rsidR="000E628D">
        <w:t xml:space="preserve">With these exit examinations, states divide a continuous test score into two categories – pass and fail – so students with essentially identical performance may have different </w:t>
      </w:r>
      <w:r w:rsidR="007B1340">
        <w:t xml:space="preserve">test </w:t>
      </w:r>
      <w:r w:rsidR="000E628D">
        <w:t xml:space="preserve">outcomes. </w:t>
      </w:r>
      <w:r w:rsidR="00C667E8">
        <w:t>We find that, f</w:t>
      </w:r>
      <w:r w:rsidR="003F3BCC">
        <w:t xml:space="preserve">or </w:t>
      </w:r>
      <w:r w:rsidR="004700B6">
        <w:t>low-income</w:t>
      </w:r>
      <w:r w:rsidR="003F3BCC">
        <w:t xml:space="preserve"> urban students on the margin of passing, failing the</w:t>
      </w:r>
      <w:r w:rsidR="0067699C">
        <w:t xml:space="preserve"> </w:t>
      </w:r>
      <w:r w:rsidR="003F3BCC">
        <w:t>10</w:t>
      </w:r>
      <w:r w:rsidR="003F3BCC" w:rsidRPr="00271AE0">
        <w:rPr>
          <w:vertAlign w:val="superscript"/>
        </w:rPr>
        <w:t>th</w:t>
      </w:r>
      <w:r w:rsidR="003F3BCC">
        <w:t xml:space="preserve"> grade mathematics examination reduces the probability of on-time graduation by </w:t>
      </w:r>
      <w:r w:rsidR="004D134A">
        <w:t xml:space="preserve">eight </w:t>
      </w:r>
      <w:r w:rsidR="003F3BCC">
        <w:t>percentage points</w:t>
      </w:r>
      <w:r w:rsidR="00DF6467">
        <w:t xml:space="preserve">. </w:t>
      </w:r>
      <w:r w:rsidR="000E628D">
        <w:t xml:space="preserve">The large majority (89%) of students who fail the 10th grade mathematics examination retake it. However, although low-income urban students are just as likely to retake the test as apparently equally skilled suburban students, they are much less likely to pass this retest. Furthermore, failing the 8th grade mathematics examination reduces by three percentage points the probability that low-income urban students stay in school through 10th grade. Importantly, we find no effects for suburban students or wealthier urban students. </w:t>
      </w:r>
    </w:p>
    <w:p w:rsidR="00E779BC" w:rsidRPr="00CC397F" w:rsidRDefault="00CC397F" w:rsidP="00E779BC">
      <w:pPr>
        <w:widowControl w:val="0"/>
        <w:jc w:val="center"/>
        <w:rPr>
          <w:b/>
          <w:snapToGrid w:val="0"/>
        </w:rPr>
      </w:pPr>
      <w:r w:rsidRPr="00CC397F">
        <w:rPr>
          <w:b/>
          <w:snapToGrid w:val="0"/>
        </w:rPr>
        <w:lastRenderedPageBreak/>
        <w:t xml:space="preserve">The </w:t>
      </w:r>
      <w:r>
        <w:rPr>
          <w:b/>
          <w:snapToGrid w:val="0"/>
        </w:rPr>
        <w:t>C</w:t>
      </w:r>
      <w:r w:rsidRPr="00CC397F">
        <w:rPr>
          <w:b/>
          <w:snapToGrid w:val="0"/>
        </w:rPr>
        <w:t xml:space="preserve">onsequences of </w:t>
      </w:r>
      <w:r>
        <w:rPr>
          <w:b/>
          <w:snapToGrid w:val="0"/>
        </w:rPr>
        <w:t>MCAS</w:t>
      </w:r>
      <w:r w:rsidRPr="00CC397F">
        <w:rPr>
          <w:b/>
          <w:snapToGrid w:val="0"/>
        </w:rPr>
        <w:t xml:space="preserve"> </w:t>
      </w:r>
      <w:r>
        <w:rPr>
          <w:b/>
          <w:snapToGrid w:val="0"/>
        </w:rPr>
        <w:t>E</w:t>
      </w:r>
      <w:r w:rsidRPr="00CC397F">
        <w:rPr>
          <w:b/>
          <w:snapToGrid w:val="0"/>
        </w:rPr>
        <w:t xml:space="preserve">xit </w:t>
      </w:r>
      <w:r>
        <w:rPr>
          <w:b/>
          <w:snapToGrid w:val="0"/>
        </w:rPr>
        <w:t>E</w:t>
      </w:r>
      <w:r w:rsidRPr="00CC397F">
        <w:rPr>
          <w:b/>
          <w:snapToGrid w:val="0"/>
        </w:rPr>
        <w:t xml:space="preserve">xaminations for </w:t>
      </w:r>
      <w:r>
        <w:rPr>
          <w:b/>
          <w:snapToGrid w:val="0"/>
        </w:rPr>
        <w:t>S</w:t>
      </w:r>
      <w:r w:rsidRPr="00CC397F">
        <w:rPr>
          <w:b/>
          <w:snapToGrid w:val="0"/>
        </w:rPr>
        <w:t xml:space="preserve">truggling </w:t>
      </w:r>
      <w:r>
        <w:rPr>
          <w:b/>
          <w:snapToGrid w:val="0"/>
        </w:rPr>
        <w:t>L</w:t>
      </w:r>
      <w:r w:rsidRPr="00CC397F">
        <w:rPr>
          <w:b/>
          <w:snapToGrid w:val="0"/>
        </w:rPr>
        <w:t>ow</w:t>
      </w:r>
      <w:r>
        <w:rPr>
          <w:b/>
          <w:snapToGrid w:val="0"/>
        </w:rPr>
        <w:t>-I</w:t>
      </w:r>
      <w:r w:rsidRPr="00CC397F">
        <w:rPr>
          <w:b/>
          <w:snapToGrid w:val="0"/>
        </w:rPr>
        <w:t xml:space="preserve">ncome </w:t>
      </w:r>
      <w:r>
        <w:rPr>
          <w:b/>
          <w:snapToGrid w:val="0"/>
        </w:rPr>
        <w:t>U</w:t>
      </w:r>
      <w:r w:rsidRPr="00CC397F">
        <w:rPr>
          <w:b/>
          <w:snapToGrid w:val="0"/>
        </w:rPr>
        <w:t xml:space="preserve">rban </w:t>
      </w:r>
      <w:r>
        <w:rPr>
          <w:b/>
          <w:snapToGrid w:val="0"/>
        </w:rPr>
        <w:t>S</w:t>
      </w:r>
      <w:r w:rsidRPr="00CC397F">
        <w:rPr>
          <w:b/>
          <w:snapToGrid w:val="0"/>
        </w:rPr>
        <w:t>tudents</w:t>
      </w:r>
    </w:p>
    <w:p w:rsidR="00CC397F" w:rsidRDefault="00CC397F" w:rsidP="00E779BC">
      <w:pPr>
        <w:widowControl w:val="0"/>
        <w:jc w:val="center"/>
        <w:rPr>
          <w:b/>
          <w:i/>
        </w:rPr>
      </w:pPr>
    </w:p>
    <w:p w:rsidR="00B429FB" w:rsidRDefault="00B06968" w:rsidP="00B0202E">
      <w:pPr>
        <w:widowControl w:val="0"/>
        <w:spacing w:line="480" w:lineRule="auto"/>
        <w:rPr>
          <w:b/>
          <w:i/>
        </w:rPr>
      </w:pPr>
      <w:r>
        <w:rPr>
          <w:b/>
          <w:i/>
        </w:rPr>
        <w:t xml:space="preserve">I. </w:t>
      </w:r>
      <w:r w:rsidR="00B429FB" w:rsidRPr="00B429FB">
        <w:rPr>
          <w:b/>
          <w:i/>
        </w:rPr>
        <w:t>Introduction</w:t>
      </w:r>
    </w:p>
    <w:p w:rsidR="00D04355" w:rsidRDefault="00921700" w:rsidP="00B0202E">
      <w:pPr>
        <w:widowControl w:val="0"/>
        <w:spacing w:line="480" w:lineRule="auto"/>
      </w:pPr>
      <w:r>
        <w:tab/>
      </w:r>
      <w:r w:rsidR="00846751">
        <w:t xml:space="preserve">As part of standards-based educational reforms introduced over the past two decades, many states </w:t>
      </w:r>
      <w:r w:rsidR="00FB4A15">
        <w:t xml:space="preserve">have </w:t>
      </w:r>
      <w:r w:rsidR="00846751">
        <w:t xml:space="preserve">implemented exit examinations that </w:t>
      </w:r>
      <w:r w:rsidR="00B251DD">
        <w:t>students must pass in order to earn</w:t>
      </w:r>
      <w:r w:rsidR="00846751">
        <w:t xml:space="preserve"> high school</w:t>
      </w:r>
      <w:r w:rsidR="00B251DD">
        <w:t xml:space="preserve"> diplomas</w:t>
      </w:r>
      <w:r w:rsidR="00846751">
        <w:t xml:space="preserve">. </w:t>
      </w:r>
      <w:r w:rsidR="00787734">
        <w:t>Advocates argue that s</w:t>
      </w:r>
      <w:r w:rsidR="008D30DF">
        <w:t>uch exam</w:t>
      </w:r>
      <w:r w:rsidR="00846751">
        <w:t xml:space="preserve">inations create incentives for students to work at </w:t>
      </w:r>
      <w:r w:rsidR="00FE0F51">
        <w:t>learning</w:t>
      </w:r>
      <w:r w:rsidR="00846751">
        <w:t xml:space="preserve"> important cognitive skills. </w:t>
      </w:r>
      <w:r w:rsidR="006A06FD">
        <w:t>B</w:t>
      </w:r>
      <w:r w:rsidR="00846751">
        <w:t>y</w:t>
      </w:r>
      <w:r w:rsidR="008D30DF">
        <w:t xml:space="preserve"> certify</w:t>
      </w:r>
      <w:r w:rsidR="00846751">
        <w:t xml:space="preserve">ing </w:t>
      </w:r>
      <w:r w:rsidR="008D30DF">
        <w:t xml:space="preserve">that </w:t>
      </w:r>
      <w:r w:rsidR="00846751">
        <w:t xml:space="preserve">high school graduates </w:t>
      </w:r>
      <w:r w:rsidR="008D30DF">
        <w:t xml:space="preserve">have mastered the </w:t>
      </w:r>
      <w:r w:rsidR="00FB4A15">
        <w:t xml:space="preserve">state-defined </w:t>
      </w:r>
      <w:r w:rsidR="008D30DF">
        <w:t xml:space="preserve">academic content standards, </w:t>
      </w:r>
      <w:r w:rsidR="00846751">
        <w:t>the examinations</w:t>
      </w:r>
      <w:r w:rsidR="00B251DD">
        <w:t xml:space="preserve"> may</w:t>
      </w:r>
      <w:r w:rsidR="00846751">
        <w:t xml:space="preserve"> </w:t>
      </w:r>
      <w:r w:rsidR="006A06FD">
        <w:t xml:space="preserve">also </w:t>
      </w:r>
      <w:r w:rsidR="00846751">
        <w:t>increase the economic value of</w:t>
      </w:r>
      <w:r w:rsidR="008D30DF">
        <w:t xml:space="preserve"> a high school diploma</w:t>
      </w:r>
      <w:r w:rsidR="005728C6">
        <w:t xml:space="preserve"> (Evers &amp; Walberg, 2002)</w:t>
      </w:r>
      <w:r w:rsidR="008D30DF">
        <w:t xml:space="preserve">. Opponents of these tests suggest that they put unnecessary stress on students and </w:t>
      </w:r>
      <w:r w:rsidR="000A61AD">
        <w:t>encourage</w:t>
      </w:r>
      <w:r w:rsidR="008D30DF">
        <w:t xml:space="preserve"> them to drop out of high school</w:t>
      </w:r>
      <w:r w:rsidR="00787734">
        <w:t>. They also</w:t>
      </w:r>
      <w:r w:rsidR="000F604B">
        <w:t xml:space="preserve"> </w:t>
      </w:r>
      <w:r w:rsidR="008D30DF">
        <w:t xml:space="preserve">argue that such tests place </w:t>
      </w:r>
      <w:r w:rsidR="00846751">
        <w:t xml:space="preserve">the greatest </w:t>
      </w:r>
      <w:r w:rsidR="008D30DF">
        <w:t xml:space="preserve">burden on the very groups </w:t>
      </w:r>
      <w:r w:rsidR="00B0202E">
        <w:t xml:space="preserve">who are </w:t>
      </w:r>
      <w:r w:rsidR="008D30DF">
        <w:t xml:space="preserve">already struggling in the educational system, </w:t>
      </w:r>
      <w:r w:rsidR="002D1B48">
        <w:t>such as</w:t>
      </w:r>
      <w:r w:rsidR="008D30DF">
        <w:t xml:space="preserve"> </w:t>
      </w:r>
      <w:r w:rsidR="004700B6">
        <w:t>low-income</w:t>
      </w:r>
      <w:r w:rsidR="002D1B48">
        <w:t xml:space="preserve"> and special needs students</w:t>
      </w:r>
      <w:r w:rsidR="005728C6">
        <w:t xml:space="preserve"> (Thomas, 2005; Jones, Jones, &amp; Hargrove, 2003)</w:t>
      </w:r>
      <w:r w:rsidR="002D1B48">
        <w:t>. Because</w:t>
      </w:r>
      <w:r w:rsidR="000F604B">
        <w:t xml:space="preserve"> high school graduation is associated with many positive life outcomes, </w:t>
      </w:r>
      <w:r w:rsidR="00E24506">
        <w:t xml:space="preserve">the question of </w:t>
      </w:r>
      <w:r w:rsidR="00E77028">
        <w:t>how</w:t>
      </w:r>
      <w:r w:rsidR="000F604B">
        <w:t xml:space="preserve"> high-stakes test</w:t>
      </w:r>
      <w:r w:rsidR="00BC0EB7">
        <w:t>ing</w:t>
      </w:r>
      <w:r w:rsidR="000F604B">
        <w:t xml:space="preserve"> </w:t>
      </w:r>
      <w:r w:rsidR="00E77028">
        <w:t>affect</w:t>
      </w:r>
      <w:r w:rsidR="00740A2D">
        <w:t>s</w:t>
      </w:r>
      <w:r w:rsidR="00E77028">
        <w:t xml:space="preserve"> high school completion </w:t>
      </w:r>
      <w:r w:rsidR="00846751">
        <w:t xml:space="preserve">rates is important </w:t>
      </w:r>
      <w:r w:rsidR="00E24506">
        <w:t>to educational policymakers</w:t>
      </w:r>
      <w:r w:rsidR="000F604B">
        <w:t>.</w:t>
      </w:r>
    </w:p>
    <w:p w:rsidR="00C550D2" w:rsidRDefault="0095794F" w:rsidP="0095794F">
      <w:pPr>
        <w:pStyle w:val="Default"/>
        <w:spacing w:line="480" w:lineRule="auto"/>
        <w:ind w:firstLine="720"/>
      </w:pPr>
      <w:r>
        <w:t xml:space="preserve">While past research has focused primarily on the overall effects of imposing high-stakes accountability on aggregate student outcomes, we look at the consequences of exit examinations on individual students within a high-stakes testing regime. </w:t>
      </w:r>
      <w:r w:rsidR="00C550D2">
        <w:t xml:space="preserve">Using data from </w:t>
      </w:r>
      <w:smartTag w:uri="urn:schemas-microsoft-com:office:smarttags" w:element="place">
        <w:smartTag w:uri="urn:schemas-microsoft-com:office:smarttags" w:element="State">
          <w:r w:rsidR="00C550D2">
            <w:t>Massachusetts</w:t>
          </w:r>
        </w:smartTag>
      </w:smartTag>
      <w:r w:rsidR="00C550D2">
        <w:t xml:space="preserve">, a state that has earned a national reputation for rigorous content standards and </w:t>
      </w:r>
      <w:r w:rsidR="00D5325F">
        <w:t xml:space="preserve">for </w:t>
      </w:r>
      <w:r w:rsidR="00C550D2">
        <w:t xml:space="preserve">English </w:t>
      </w:r>
      <w:r w:rsidR="00483C71">
        <w:t>l</w:t>
      </w:r>
      <w:r w:rsidR="00C550D2">
        <w:t xml:space="preserve">anguage </w:t>
      </w:r>
      <w:r w:rsidR="00483C71">
        <w:t>a</w:t>
      </w:r>
      <w:r w:rsidR="00C550D2">
        <w:t>rts (ELA) and mathematics assessments that are well aligned to the standards, we examine whether failing the 10</w:t>
      </w:r>
      <w:r w:rsidR="00C550D2" w:rsidRPr="00432139">
        <w:rPr>
          <w:vertAlign w:val="superscript"/>
        </w:rPr>
        <w:t>th</w:t>
      </w:r>
      <w:r w:rsidR="00C550D2">
        <w:t xml:space="preserve"> grade mathematics exam</w:t>
      </w:r>
      <w:r w:rsidR="00D5325F">
        <w:t>ination</w:t>
      </w:r>
      <w:r w:rsidR="00C550D2">
        <w:t xml:space="preserve"> on the first try affects </w:t>
      </w:r>
      <w:r w:rsidR="00D5325F">
        <w:t xml:space="preserve">the probability of </w:t>
      </w:r>
      <w:r w:rsidR="00C550D2">
        <w:t xml:space="preserve">on-time high school graduation. </w:t>
      </w:r>
    </w:p>
    <w:p w:rsidR="008436E5" w:rsidRDefault="00C550D2" w:rsidP="00516638">
      <w:pPr>
        <w:widowControl w:val="0"/>
        <w:spacing w:line="480" w:lineRule="auto"/>
        <w:ind w:firstLine="720"/>
      </w:pPr>
      <w:r>
        <w:t xml:space="preserve">The </w:t>
      </w:r>
      <w:r w:rsidR="00D5325F">
        <w:t xml:space="preserve">greatest </w:t>
      </w:r>
      <w:r>
        <w:t xml:space="preserve">challenge in determining the effect of failing the MCAS on </w:t>
      </w:r>
      <w:r w:rsidR="00D5325F">
        <w:t xml:space="preserve">the probability of on-time </w:t>
      </w:r>
      <w:r>
        <w:t xml:space="preserve">high school graduation </w:t>
      </w:r>
      <w:r w:rsidR="00D5325F">
        <w:t xml:space="preserve">lies in </w:t>
      </w:r>
      <w:r>
        <w:t xml:space="preserve">identifying </w:t>
      </w:r>
      <w:r w:rsidR="00483C71">
        <w:t xml:space="preserve">a </w:t>
      </w:r>
      <w:r>
        <w:t>reasonable comparison</w:t>
      </w:r>
      <w:r w:rsidR="00483C71">
        <w:t xml:space="preserve"> group</w:t>
      </w:r>
      <w:r>
        <w:t xml:space="preserve">. </w:t>
      </w:r>
      <w:r w:rsidR="0095794F">
        <w:t xml:space="preserve">Because </w:t>
      </w:r>
      <w:r w:rsidR="0095794F">
        <w:lastRenderedPageBreak/>
        <w:t>students who pass the test have different abilities, on average, than those who fail, we cannot simply compare the outcomes of these two groups. However, r</w:t>
      </w:r>
      <w:r>
        <w:t>ecognizing that the state determines who passes and who fails using an arbitrarily</w:t>
      </w:r>
      <w:r w:rsidR="00D5325F">
        <w:t xml:space="preserve"> </w:t>
      </w:r>
      <w:r>
        <w:t xml:space="preserve">defined cut score, we compare students who barely passed with those who just failed. These students are quite similar, </w:t>
      </w:r>
      <w:r w:rsidR="00D5325F">
        <w:t xml:space="preserve">with scores on the test </w:t>
      </w:r>
      <w:r>
        <w:t>differing in some cases by just one point</w:t>
      </w:r>
      <w:r w:rsidR="00D5325F">
        <w:t xml:space="preserve">. </w:t>
      </w:r>
      <w:r w:rsidR="005C4E8E">
        <w:t>W</w:t>
      </w:r>
      <w:r w:rsidR="00B0202E">
        <w:t xml:space="preserve">e </w:t>
      </w:r>
      <w:r w:rsidR="003F207E">
        <w:t xml:space="preserve">capitalize on </w:t>
      </w:r>
      <w:r>
        <w:t>th</w:t>
      </w:r>
      <w:r w:rsidR="00CE2315">
        <w:t>e</w:t>
      </w:r>
      <w:r w:rsidR="00B0202E">
        <w:t xml:space="preserve"> </w:t>
      </w:r>
      <w:r w:rsidR="00CE2315">
        <w:t>“</w:t>
      </w:r>
      <w:r w:rsidR="003F207E">
        <w:t>natural experiment</w:t>
      </w:r>
      <w:r w:rsidR="00CE2315">
        <w:t xml:space="preserve">” provided by the minimum passing score </w:t>
      </w:r>
      <w:r w:rsidR="00B0202E">
        <w:t>to</w:t>
      </w:r>
      <w:r w:rsidR="008E0FEC">
        <w:t xml:space="preserve"> </w:t>
      </w:r>
      <w:r w:rsidR="0081532B">
        <w:t>examine the causal impact of failing the statewide 10</w:t>
      </w:r>
      <w:r w:rsidR="0081532B" w:rsidRPr="0081532B">
        <w:rPr>
          <w:vertAlign w:val="superscript"/>
        </w:rPr>
        <w:t>th</w:t>
      </w:r>
      <w:r w:rsidR="0081532B">
        <w:t xml:space="preserve"> grade mathematics examination on the probability of on-time high school graduation.</w:t>
      </w:r>
      <w:r w:rsidR="008436E5">
        <w:t xml:space="preserve">  </w:t>
      </w:r>
    </w:p>
    <w:p w:rsidR="00B46B23" w:rsidRDefault="00B46B23" w:rsidP="00516638">
      <w:pPr>
        <w:widowControl w:val="0"/>
        <w:spacing w:line="480" w:lineRule="auto"/>
        <w:ind w:firstLine="720"/>
      </w:pPr>
      <w:r>
        <w:t xml:space="preserve">An exit examination can prevent students from graduating from high school in three ways: fear of failing may cause them to drop out before taking the test; failing the examination may cause them to drop out before re-taking it; and failure to pass even after multiple attempts may prevent graduation. We refer to these mechanisms as </w:t>
      </w:r>
      <w:r w:rsidRPr="00B0202E">
        <w:rPr>
          <w:i/>
        </w:rPr>
        <w:t>Fear</w:t>
      </w:r>
      <w:r>
        <w:t xml:space="preserve">, </w:t>
      </w:r>
      <w:r w:rsidRPr="00B0202E">
        <w:rPr>
          <w:i/>
        </w:rPr>
        <w:t>Discouragement</w:t>
      </w:r>
      <w:r>
        <w:t xml:space="preserve">, and </w:t>
      </w:r>
      <w:r w:rsidRPr="00B0202E">
        <w:rPr>
          <w:i/>
        </w:rPr>
        <w:t>Repeated Failur</w:t>
      </w:r>
      <w:r>
        <w:rPr>
          <w:i/>
        </w:rPr>
        <w:t>e</w:t>
      </w:r>
      <w:r w:rsidRPr="00B46B23">
        <w:t>.</w:t>
      </w:r>
      <w:r>
        <w:t xml:space="preserve"> We use causal and descriptive analyses to explore which of these mechanisms </w:t>
      </w:r>
      <w:r w:rsidR="007B1340">
        <w:t>– if any – a</w:t>
      </w:r>
      <w:r>
        <w:t>ffects students.</w:t>
      </w:r>
    </w:p>
    <w:p w:rsidR="0095794F" w:rsidRDefault="0095794F" w:rsidP="0095794F">
      <w:pPr>
        <w:pStyle w:val="Default"/>
        <w:spacing w:line="480" w:lineRule="auto"/>
        <w:ind w:firstLine="720"/>
      </w:pPr>
      <w:r>
        <w:t>We find that, for equally able low-income, urban students near the cutoff, failing the 10</w:t>
      </w:r>
      <w:r w:rsidRPr="0095794F">
        <w:rPr>
          <w:vertAlign w:val="superscript"/>
        </w:rPr>
        <w:t>th</w:t>
      </w:r>
      <w:r>
        <w:t xml:space="preserve"> grade mathematics exit examination reduces the probability of on-time graduation by eight percentage points. In contrast, failing the test does not </w:t>
      </w:r>
      <w:r w:rsidR="007B1340">
        <w:t>affect</w:t>
      </w:r>
      <w:r>
        <w:t xml:space="preserve"> the probability of on-time graduation for wealthier urban students or suburban students on the margin of passing. Thus, the combination of low family income and urban schooling makes students particularly susceptible to the effects of failing. Importantly, we cannot distinguish here between a negative effect of failing the examination and a positive effect of passing it – students who fail the test may be disappointed with their performance and drop out of school, while students who pass may be encouraged </w:t>
      </w:r>
      <w:r w:rsidR="0003212A">
        <w:t xml:space="preserve">to </w:t>
      </w:r>
      <w:r>
        <w:t xml:space="preserve">persist in school. Regardless, the practice of dividing students with essentially the </w:t>
      </w:r>
      <w:r>
        <w:lastRenderedPageBreak/>
        <w:t xml:space="preserve">same ability into two categories by this cut score has an impact on student outcomes; this effect poses an important challenge for urban districts. </w:t>
      </w:r>
    </w:p>
    <w:p w:rsidR="00775CDC" w:rsidRDefault="00775CDC" w:rsidP="00775CDC">
      <w:pPr>
        <w:pStyle w:val="Default"/>
        <w:spacing w:line="480" w:lineRule="auto"/>
        <w:ind w:firstLine="720"/>
        <w:rPr>
          <w:color w:val="auto"/>
        </w:rPr>
      </w:pPr>
      <w:r>
        <w:t>Furthermore, for a typical low-income urban student on the margin of passing the 8</w:t>
      </w:r>
      <w:r w:rsidRPr="00775CDC">
        <w:rPr>
          <w:vertAlign w:val="superscript"/>
        </w:rPr>
        <w:t>th</w:t>
      </w:r>
      <w:r>
        <w:t xml:space="preserve"> </w:t>
      </w:r>
      <w:r>
        <w:rPr>
          <w:color w:val="auto"/>
        </w:rPr>
        <w:t>grade mathematics examination, failing that test also reduces the probability of persisting through 10</w:t>
      </w:r>
      <w:r w:rsidRPr="00775CDC">
        <w:rPr>
          <w:color w:val="auto"/>
          <w:vertAlign w:val="superscript"/>
        </w:rPr>
        <w:t>th</w:t>
      </w:r>
      <w:r>
        <w:rPr>
          <w:color w:val="auto"/>
        </w:rPr>
        <w:t xml:space="preserve"> grade by three percentage points</w:t>
      </w:r>
      <w:r w:rsidR="0003212A">
        <w:rPr>
          <w:color w:val="auto"/>
        </w:rPr>
        <w:t>.  This provides</w:t>
      </w:r>
      <w:r>
        <w:rPr>
          <w:color w:val="auto"/>
        </w:rPr>
        <w:t xml:space="preserve"> some evidence that </w:t>
      </w:r>
      <w:r>
        <w:rPr>
          <w:i/>
          <w:iCs/>
          <w:color w:val="auto"/>
        </w:rPr>
        <w:t xml:space="preserve">Fear of Failure </w:t>
      </w:r>
      <w:r>
        <w:rPr>
          <w:color w:val="auto"/>
        </w:rPr>
        <w:t>may play a role in students’ decisions. Interestingly, we find that failing the 10</w:t>
      </w:r>
      <w:r w:rsidRPr="00775CDC">
        <w:rPr>
          <w:color w:val="auto"/>
          <w:vertAlign w:val="superscript"/>
        </w:rPr>
        <w:t>th</w:t>
      </w:r>
      <w:r>
        <w:rPr>
          <w:color w:val="auto"/>
        </w:rPr>
        <w:t xml:space="preserve"> grade ELA examination does not affect the probability of graduation for low-income urban students on the margin of passing. </w:t>
      </w:r>
    </w:p>
    <w:p w:rsidR="00775CDC" w:rsidRDefault="00775CDC" w:rsidP="00775CDC">
      <w:pPr>
        <w:pStyle w:val="Default"/>
        <w:spacing w:line="480" w:lineRule="auto"/>
        <w:ind w:firstLine="720"/>
      </w:pPr>
      <w:r>
        <w:t xml:space="preserve">We supplement these causal conclusions with descriptive analyses that explore possible sources of these effects for urban students with low family income. Here, we focus on students who fail the mathematics exit examination when they first take it at the end of grade 10, exploring their persistence and success on retests. Students who fail have many opportunities to retake the examination before graduation, with some students completing six retests. At each retest opportunity, more than 80% of students who fail continue to retake the test. </w:t>
      </w:r>
      <w:smartTag w:uri="urn:schemas-microsoft-com:office:smarttags" w:element="place">
        <w:smartTag w:uri="urn:schemas-microsoft-com:office:smarttags" w:element="State">
          <w:r>
            <w:t>Massachusetts</w:t>
          </w:r>
        </w:smartTag>
      </w:smartTag>
      <w:r>
        <w:t xml:space="preserve"> students show remarkable persistence, but relatively few students exhaust all of their retest opportunities. Instead, of the students who fail and never pass the examination, nearly two-thirds stop taking retests and drop out of school, presumably because their poor test performance has discouraged them. Here, we find important differences for urban, low-income students compared to their suburban peers. Among students with the same initial test scores, low-income urban students who fail the statewide mathematics examination at the end of the 10</w:t>
      </w:r>
      <w:r w:rsidRPr="00775CDC">
        <w:rPr>
          <w:vertAlign w:val="superscript"/>
        </w:rPr>
        <w:t>th</w:t>
      </w:r>
      <w:r>
        <w:t xml:space="preserve"> grade are just as likely as suburban students to retake the test, but they are much less likely to pass on retest. Differences in academic support could explain this pattern. </w:t>
      </w:r>
    </w:p>
    <w:p w:rsidR="003439A9" w:rsidRPr="007B1340" w:rsidRDefault="00B0202E" w:rsidP="007B1340">
      <w:pPr>
        <w:pStyle w:val="Default"/>
        <w:spacing w:line="480" w:lineRule="auto"/>
        <w:ind w:firstLine="720"/>
      </w:pPr>
      <w:r>
        <w:lastRenderedPageBreak/>
        <w:t xml:space="preserve">In </w:t>
      </w:r>
      <w:r w:rsidR="0083626F">
        <w:t>Section II</w:t>
      </w:r>
      <w:r>
        <w:t xml:space="preserve">, we provide </w:t>
      </w:r>
      <w:r w:rsidR="0083626F">
        <w:t>a brief discussion of standards-based reforms</w:t>
      </w:r>
      <w:r w:rsidR="00100428">
        <w:t xml:space="preserve">, their development in </w:t>
      </w:r>
      <w:smartTag w:uri="urn:schemas-microsoft-com:office:smarttags" w:element="place">
        <w:smartTag w:uri="urn:schemas-microsoft-com:office:smarttags" w:element="State">
          <w:r w:rsidR="00100428">
            <w:t>Massachusetts</w:t>
          </w:r>
        </w:smartTag>
      </w:smartTag>
      <w:r w:rsidR="00100428">
        <w:t xml:space="preserve">, and </w:t>
      </w:r>
      <w:r w:rsidR="0083626F">
        <w:t xml:space="preserve">past research on the effects of high-stakes testing. </w:t>
      </w:r>
      <w:r>
        <w:t xml:space="preserve">In </w:t>
      </w:r>
      <w:r w:rsidR="0083626F">
        <w:t>Section III</w:t>
      </w:r>
      <w:r>
        <w:t>, we</w:t>
      </w:r>
      <w:r w:rsidR="0083626F">
        <w:t xml:space="preserve"> explain</w:t>
      </w:r>
      <w:r>
        <w:t xml:space="preserve"> our</w:t>
      </w:r>
      <w:r w:rsidR="0083626F">
        <w:t xml:space="preserve"> </w:t>
      </w:r>
      <w:r w:rsidR="00A22653">
        <w:t xml:space="preserve">data sources, </w:t>
      </w:r>
      <w:r w:rsidR="0083626F">
        <w:t>measures</w:t>
      </w:r>
      <w:r w:rsidR="00A22653">
        <w:t xml:space="preserve">, and analytic strategy. Here, we </w:t>
      </w:r>
      <w:r w:rsidR="00C667E8">
        <w:t>justify</w:t>
      </w:r>
      <w:r w:rsidR="0083626F">
        <w:t xml:space="preserve"> our ability to </w:t>
      </w:r>
      <w:r w:rsidR="00FC1A08">
        <w:t>make</w:t>
      </w:r>
      <w:r w:rsidR="0083626F">
        <w:t xml:space="preserve"> causal </w:t>
      </w:r>
      <w:r w:rsidR="00FC1A08">
        <w:t xml:space="preserve">claims </w:t>
      </w:r>
      <w:r w:rsidR="0083626F">
        <w:t xml:space="preserve">from these </w:t>
      </w:r>
      <w:r>
        <w:t>data</w:t>
      </w:r>
      <w:r w:rsidR="0083626F">
        <w:t xml:space="preserve">. </w:t>
      </w:r>
      <w:r>
        <w:t xml:space="preserve">In </w:t>
      </w:r>
      <w:r w:rsidR="0083626F">
        <w:t xml:space="preserve">Section </w:t>
      </w:r>
      <w:r w:rsidR="00A22653">
        <w:t>I</w:t>
      </w:r>
      <w:r w:rsidR="0083626F">
        <w:t>V</w:t>
      </w:r>
      <w:r>
        <w:t>, we detail</w:t>
      </w:r>
      <w:r w:rsidR="00C50A9C">
        <w:t xml:space="preserve"> our </w:t>
      </w:r>
      <w:r w:rsidR="0083626F">
        <w:t>main findings</w:t>
      </w:r>
      <w:r w:rsidR="00990101">
        <w:t>.  I</w:t>
      </w:r>
      <w:r w:rsidR="00C50A9C">
        <w:t>n</w:t>
      </w:r>
      <w:r w:rsidR="0083626F">
        <w:t xml:space="preserve"> Section V</w:t>
      </w:r>
      <w:r w:rsidR="00C50A9C">
        <w:t xml:space="preserve">, </w:t>
      </w:r>
      <w:r w:rsidR="007B1340">
        <w:t>we perform several sensitivity analyses to verify the robustness of our results</w:t>
      </w:r>
      <w:r w:rsidR="0083626F">
        <w:t>.</w:t>
      </w:r>
      <w:r w:rsidR="00C50A9C">
        <w:t xml:space="preserve"> </w:t>
      </w:r>
      <w:r w:rsidR="003250B0">
        <w:t>W</w:t>
      </w:r>
      <w:r w:rsidR="00C50A9C">
        <w:t xml:space="preserve">e conclude </w:t>
      </w:r>
      <w:r w:rsidR="0083626F">
        <w:t xml:space="preserve">with a discussion of </w:t>
      </w:r>
      <w:r w:rsidR="00C50A9C">
        <w:t xml:space="preserve">our </w:t>
      </w:r>
      <w:r w:rsidR="0083626F">
        <w:t>finding</w:t>
      </w:r>
      <w:r w:rsidR="00DE70BF">
        <w:t>s</w:t>
      </w:r>
      <w:r w:rsidR="0083626F">
        <w:t xml:space="preserve"> and </w:t>
      </w:r>
      <w:r w:rsidR="00990101">
        <w:t xml:space="preserve">the questions they raise for policy-makers.  </w:t>
      </w:r>
    </w:p>
    <w:p w:rsidR="00990101" w:rsidRDefault="00990101" w:rsidP="00990101">
      <w:pPr>
        <w:widowControl w:val="0"/>
        <w:spacing w:line="480" w:lineRule="auto"/>
        <w:ind w:firstLine="720"/>
        <w:rPr>
          <w:b/>
          <w:i/>
        </w:rPr>
      </w:pPr>
    </w:p>
    <w:p w:rsidR="00B429FB" w:rsidRDefault="00B06968" w:rsidP="00516638">
      <w:pPr>
        <w:widowControl w:val="0"/>
        <w:spacing w:line="480" w:lineRule="auto"/>
      </w:pPr>
      <w:r>
        <w:rPr>
          <w:b/>
          <w:i/>
        </w:rPr>
        <w:t xml:space="preserve">II. </w:t>
      </w:r>
      <w:r w:rsidR="00B429FB">
        <w:rPr>
          <w:b/>
          <w:i/>
        </w:rPr>
        <w:t>Background and Context</w:t>
      </w:r>
    </w:p>
    <w:p w:rsidR="007C0E1E" w:rsidRPr="007C0E1E" w:rsidRDefault="00990101" w:rsidP="00516638">
      <w:pPr>
        <w:widowControl w:val="0"/>
        <w:spacing w:line="480" w:lineRule="auto"/>
        <w:rPr>
          <w:u w:val="single"/>
        </w:rPr>
      </w:pPr>
      <w:r>
        <w:rPr>
          <w:u w:val="single"/>
        </w:rPr>
        <w:t>Standards-Based Educational Reforms and</w:t>
      </w:r>
      <w:r w:rsidR="007C0E1E" w:rsidRPr="007C0E1E">
        <w:rPr>
          <w:u w:val="single"/>
        </w:rPr>
        <w:t xml:space="preserve"> High-Stakes Testing</w:t>
      </w:r>
    </w:p>
    <w:p w:rsidR="005C2962" w:rsidRDefault="007C0E1E" w:rsidP="00516638">
      <w:pPr>
        <w:widowControl w:val="0"/>
        <w:spacing w:line="480" w:lineRule="auto"/>
        <w:ind w:firstLine="720"/>
      </w:pPr>
      <w:r>
        <w:t xml:space="preserve">In the years since the 1983 publication of </w:t>
      </w:r>
      <w:r>
        <w:rPr>
          <w:i/>
        </w:rPr>
        <w:t xml:space="preserve">A Nation at </w:t>
      </w:r>
      <w:r w:rsidRPr="000E2EC5">
        <w:rPr>
          <w:i/>
        </w:rPr>
        <w:t>Risk</w:t>
      </w:r>
      <w:r>
        <w:t xml:space="preserve">, </w:t>
      </w:r>
      <w:r w:rsidRPr="000E2EC5">
        <w:t>the</w:t>
      </w:r>
      <w:r>
        <w:t xml:space="preserve"> standards-based reform movement has gained momentum and exerted substantial influence on state and </w:t>
      </w:r>
      <w:r w:rsidR="00B52044">
        <w:t>federal</w:t>
      </w:r>
      <w:r>
        <w:t xml:space="preserve"> education policy. </w:t>
      </w:r>
      <w:r w:rsidR="00990101">
        <w:t>While the details of these reform efforts vary greatly from state to state, common components include content standards in core academic subjects</w:t>
      </w:r>
      <w:r w:rsidR="005C2962">
        <w:t xml:space="preserve"> and</w:t>
      </w:r>
      <w:r w:rsidR="00990101">
        <w:t xml:space="preserve"> </w:t>
      </w:r>
      <w:r w:rsidR="008F35E2">
        <w:t xml:space="preserve">regular </w:t>
      </w:r>
      <w:r w:rsidR="00B52044">
        <w:t>testing</w:t>
      </w:r>
      <w:r>
        <w:t xml:space="preserve"> to monitor student progress toward mastering </w:t>
      </w:r>
      <w:r w:rsidR="008F35E2">
        <w:t xml:space="preserve">these </w:t>
      </w:r>
      <w:r>
        <w:t xml:space="preserve">standards. </w:t>
      </w:r>
      <w:r w:rsidRPr="00DD2DF4">
        <w:t>In addition to developing accountability structures for schools</w:t>
      </w:r>
      <w:r w:rsidR="005C2962">
        <w:t xml:space="preserve">, </w:t>
      </w:r>
      <w:r w:rsidRPr="00DD2DF4">
        <w:t xml:space="preserve">many states have begun attaching consequences </w:t>
      </w:r>
      <w:r>
        <w:t xml:space="preserve">for </w:t>
      </w:r>
      <w:r w:rsidRPr="00DD2DF4">
        <w:t>student</w:t>
      </w:r>
      <w:r>
        <w:t xml:space="preserve">s to their performance on the </w:t>
      </w:r>
      <w:r w:rsidR="005C2962">
        <w:t xml:space="preserve">state-wide </w:t>
      </w:r>
      <w:r w:rsidRPr="00DD2DF4">
        <w:t>exam</w:t>
      </w:r>
      <w:r>
        <w:t>ination</w:t>
      </w:r>
      <w:r w:rsidRPr="00DD2DF4">
        <w:t xml:space="preserve">s. </w:t>
      </w:r>
      <w:r w:rsidR="00A7233D">
        <w:t xml:space="preserve">Currently, 25 </w:t>
      </w:r>
      <w:r w:rsidRPr="00DD2DF4">
        <w:t xml:space="preserve">states </w:t>
      </w:r>
      <w:r w:rsidR="00A7233D">
        <w:t>have or are phasing in examinations, typically in Engli</w:t>
      </w:r>
      <w:r w:rsidRPr="00DD2DF4">
        <w:t>sh</w:t>
      </w:r>
      <w:r w:rsidR="003131E8">
        <w:t xml:space="preserve"> l</w:t>
      </w:r>
      <w:r w:rsidRPr="00DD2DF4">
        <w:t xml:space="preserve">anguage </w:t>
      </w:r>
      <w:r w:rsidR="003131E8">
        <w:t>a</w:t>
      </w:r>
      <w:r w:rsidRPr="00DD2DF4">
        <w:t xml:space="preserve">rts (ELA) and mathematics, </w:t>
      </w:r>
      <w:r w:rsidR="00A7233D">
        <w:t>that high school student</w:t>
      </w:r>
      <w:r w:rsidR="003250B0">
        <w:t>s</w:t>
      </w:r>
      <w:r w:rsidR="00A7233D">
        <w:t xml:space="preserve"> must pass in order to graduate </w:t>
      </w:r>
      <w:r w:rsidRPr="00DD2DF4">
        <w:t xml:space="preserve">(Center on Education Policy, 2007). </w:t>
      </w:r>
      <w:r w:rsidR="00A7233D">
        <w:t xml:space="preserve">In most states, including </w:t>
      </w:r>
      <w:smartTag w:uri="urn:schemas-microsoft-com:office:smarttags" w:element="place">
        <w:smartTag w:uri="urn:schemas-microsoft-com:office:smarttags" w:element="State">
          <w:r w:rsidR="00A7233D">
            <w:t>Massachusetts</w:t>
          </w:r>
        </w:smartTag>
      </w:smartTag>
      <w:r w:rsidR="00A7233D">
        <w:t>, students first take these exit examinations as 10</w:t>
      </w:r>
      <w:r w:rsidR="00A7233D" w:rsidRPr="00A7233D">
        <w:rPr>
          <w:vertAlign w:val="superscript"/>
        </w:rPr>
        <w:t>th</w:t>
      </w:r>
      <w:r w:rsidR="00A7233D">
        <w:t xml:space="preserve"> graders</w:t>
      </w:r>
      <w:r w:rsidR="00FB4A15">
        <w:t>. Students who fail typically have multiple opportunities to retake the examination before graduation</w:t>
      </w:r>
      <w:r w:rsidR="00A7233D">
        <w:t>.</w:t>
      </w:r>
    </w:p>
    <w:p w:rsidR="007C0E1E" w:rsidRDefault="000917B9" w:rsidP="00516638">
      <w:pPr>
        <w:widowControl w:val="0"/>
        <w:spacing w:line="480" w:lineRule="auto"/>
        <w:ind w:firstLine="720"/>
      </w:pPr>
      <w:r>
        <w:t xml:space="preserve">Critics of high-stakes examinations argue that they may </w:t>
      </w:r>
      <w:r w:rsidR="00C81273">
        <w:t xml:space="preserve">lead some </w:t>
      </w:r>
      <w:r>
        <w:t>students to drop out of high school (Thomas, 2005; Jones, Jones, &amp; Hargrove, 2003).</w:t>
      </w:r>
      <w:r w:rsidR="00766A93" w:rsidRPr="00766A93">
        <w:t xml:space="preserve"> </w:t>
      </w:r>
      <w:r w:rsidR="00766A93">
        <w:t xml:space="preserve">A </w:t>
      </w:r>
      <w:r w:rsidR="00766A93" w:rsidRPr="00DD2DF4">
        <w:t xml:space="preserve">1999 </w:t>
      </w:r>
      <w:r w:rsidR="00766A93" w:rsidRPr="001B1C15">
        <w:rPr>
          <w:i/>
          <w:iCs/>
        </w:rPr>
        <w:t xml:space="preserve">National Research </w:t>
      </w:r>
      <w:r w:rsidR="00766A93" w:rsidRPr="001B1C15">
        <w:rPr>
          <w:i/>
          <w:iCs/>
        </w:rPr>
        <w:lastRenderedPageBreak/>
        <w:t>Council</w:t>
      </w:r>
      <w:r w:rsidR="00766A93" w:rsidRPr="00DD2DF4">
        <w:t xml:space="preserve"> report</w:t>
      </w:r>
      <w:r w:rsidR="00766A93">
        <w:t xml:space="preserve"> </w:t>
      </w:r>
      <w:r w:rsidR="00766A93" w:rsidRPr="00DD2DF4">
        <w:t>cite</w:t>
      </w:r>
      <w:r w:rsidR="00766A93">
        <w:t>s</w:t>
      </w:r>
      <w:r w:rsidR="00766A93" w:rsidRPr="00DD2DF4">
        <w:t xml:space="preserve"> qualitative work suggesting that “graduation tests pose no threat to most students, but, among those who fail them, they increase a sense of discouragement and contribute to the likelihood of dropping out” (</w:t>
      </w:r>
      <w:r w:rsidR="00766A93">
        <w:t xml:space="preserve">Heubert &amp; Hauser, </w:t>
      </w:r>
      <w:r w:rsidR="00766A93" w:rsidRPr="00DD2DF4">
        <w:t xml:space="preserve">p. 175). </w:t>
      </w:r>
    </w:p>
    <w:p w:rsidR="00A41432" w:rsidRDefault="00775CDC" w:rsidP="00775CDC">
      <w:pPr>
        <w:pStyle w:val="Default"/>
        <w:spacing w:line="480" w:lineRule="auto"/>
        <w:ind w:firstLine="720"/>
        <w:rPr>
          <w:b/>
        </w:rPr>
      </w:pPr>
      <w:r>
        <w:t xml:space="preserve">Any policy that causes students to drop out of school has substantial consequences because high school graduation remains a gateway into better paying jobs and post-secondary education. Employers recognize and reward </w:t>
      </w:r>
      <w:r>
        <w:rPr>
          <w:color w:val="auto"/>
        </w:rPr>
        <w:t xml:space="preserve">the skills that college graduates possess, especially the ability to engage in non-routine problem-solving and to communicate effectively (Levy &amp; Murnane, 2004). Because it causes students to complete less education, dropping out also reduces students’ quality of life in a variety of dimensions, including reduced health, wealth, and happiness (Oreopoulos, 2007), increased criminality (Lochner &amp; Moretti, 2004), and increased mortality rates (Lleras-Muney, 2005). </w:t>
      </w:r>
    </w:p>
    <w:p w:rsidR="00766A93" w:rsidRDefault="00362CAA" w:rsidP="00516638">
      <w:pPr>
        <w:widowControl w:val="0"/>
        <w:spacing w:line="480" w:lineRule="auto"/>
        <w:ind w:firstLine="720"/>
      </w:pPr>
      <w:r>
        <w:t>Given the importance of high school completion and the possible negative consequences of high-stakes testing, many scholars have ex</w:t>
      </w:r>
      <w:r w:rsidR="00FB4A15">
        <w:t>plor</w:t>
      </w:r>
      <w:r>
        <w:t>ed whether exit examinations reduce graduation rates. This work has taken two main forms: some researchers have ex</w:t>
      </w:r>
      <w:r w:rsidR="00FB4A15">
        <w:t>amin</w:t>
      </w:r>
      <w:r>
        <w:t xml:space="preserve">ed the effect of statewide policy changes on aggregate student outcomes, while others </w:t>
      </w:r>
      <w:r w:rsidR="00FB4A15">
        <w:t xml:space="preserve">have </w:t>
      </w:r>
      <w:r>
        <w:t>focus</w:t>
      </w:r>
      <w:r w:rsidR="00FB4A15">
        <w:t>ed</w:t>
      </w:r>
      <w:r>
        <w:t xml:space="preserve"> on the relationship between an individual student’s performance on the test and that student’s probability of graduating</w:t>
      </w:r>
      <w:r w:rsidR="00775CDC">
        <w:t xml:space="preserve"> in states with high-stakes testing regimes</w:t>
      </w:r>
      <w:r>
        <w:t>.</w:t>
      </w:r>
    </w:p>
    <w:p w:rsidR="007C0E1E" w:rsidRDefault="00EF410A" w:rsidP="00516638">
      <w:pPr>
        <w:widowControl w:val="0"/>
        <w:spacing w:line="480" w:lineRule="auto"/>
        <w:ind w:firstLine="720"/>
      </w:pPr>
      <w:r>
        <w:t xml:space="preserve">Much early work examining aggregate outcomes used correlational evidence; </w:t>
      </w:r>
      <w:r w:rsidR="007C0E1E" w:rsidRPr="00DD2DF4">
        <w:t xml:space="preserve">Clarke, Haney, &amp; Madaus (2000) review </w:t>
      </w:r>
      <w:r>
        <w:t xml:space="preserve">this literature </w:t>
      </w:r>
      <w:r w:rsidR="00574EF3">
        <w:t>and</w:t>
      </w:r>
      <w:r w:rsidR="00574EF3" w:rsidRPr="00DD2DF4">
        <w:t xml:space="preserve"> </w:t>
      </w:r>
      <w:r w:rsidR="007C0E1E" w:rsidRPr="00DD2DF4">
        <w:t>conclude that “high stakes testing programs are linked to decreased rates of hig</w:t>
      </w:r>
      <w:r w:rsidR="00F95F5E">
        <w:t>h school completion.</w:t>
      </w:r>
      <w:r w:rsidR="006E51E0">
        <w:t xml:space="preserve">” </w:t>
      </w:r>
      <w:r>
        <w:t>E</w:t>
      </w:r>
      <w:r w:rsidR="00107E3B">
        <w:t>xploit</w:t>
      </w:r>
      <w:r>
        <w:t>ing</w:t>
      </w:r>
      <w:r w:rsidR="00107E3B">
        <w:t xml:space="preserve"> variation in exit examination policies across state</w:t>
      </w:r>
      <w:r w:rsidR="00780858">
        <w:t>s</w:t>
      </w:r>
      <w:r w:rsidR="00107E3B">
        <w:t xml:space="preserve"> and/or over time, </w:t>
      </w:r>
      <w:r>
        <w:t xml:space="preserve">some recent work </w:t>
      </w:r>
      <w:r w:rsidR="007C0E1E" w:rsidRPr="00DD2DF4">
        <w:t>provide</w:t>
      </w:r>
      <w:r>
        <w:t>s</w:t>
      </w:r>
      <w:r w:rsidR="007C0E1E" w:rsidRPr="00DD2DF4">
        <w:t xml:space="preserve"> at least tentative support for these </w:t>
      </w:r>
      <w:r w:rsidR="003250B0">
        <w:t xml:space="preserve">correlational </w:t>
      </w:r>
      <w:r w:rsidR="007C0E1E" w:rsidRPr="00DD2DF4">
        <w:t>conclusions</w:t>
      </w:r>
      <w:r>
        <w:t xml:space="preserve"> (</w:t>
      </w:r>
      <w:r w:rsidRPr="00DD2DF4">
        <w:t>Reardo</w:t>
      </w:r>
      <w:r>
        <w:t>n &amp; Galindo, 2002; Warren, Jenkins, &amp; Kulick, 2006; Nichols,</w:t>
      </w:r>
      <w:r w:rsidRPr="00DD2DF4">
        <w:t xml:space="preserve"> Glass</w:t>
      </w:r>
      <w:r>
        <w:t xml:space="preserve"> &amp; Berliner,</w:t>
      </w:r>
      <w:r w:rsidRPr="00DD2DF4">
        <w:t xml:space="preserve"> 2006)</w:t>
      </w:r>
      <w:r w:rsidR="007C0E1E" w:rsidRPr="00DD2DF4">
        <w:t>. In contrast, Carnoy &amp; Loeb (2002)</w:t>
      </w:r>
      <w:r>
        <w:t>, Greene &amp; Winters (2004),</w:t>
      </w:r>
      <w:r w:rsidR="00107E3B">
        <w:t xml:space="preserve"> </w:t>
      </w:r>
      <w:r w:rsidR="00107E3B">
        <w:lastRenderedPageBreak/>
        <w:t xml:space="preserve">and Carnoy (2005) find no relationship between </w:t>
      </w:r>
      <w:r w:rsidR="007C0E1E" w:rsidRPr="00DD2DF4">
        <w:t xml:space="preserve">state accountability </w:t>
      </w:r>
      <w:r w:rsidR="00107E3B">
        <w:t xml:space="preserve">policies, including high school exit examinations, and </w:t>
      </w:r>
      <w:r w:rsidR="007C0E1E" w:rsidRPr="00DD2DF4">
        <w:t>high school completion</w:t>
      </w:r>
      <w:r w:rsidR="00574EF3">
        <w:t xml:space="preserve"> rates</w:t>
      </w:r>
      <w:r w:rsidR="007C0E1E" w:rsidRPr="00DD2DF4">
        <w:t xml:space="preserve">. </w:t>
      </w:r>
      <w:r w:rsidR="00FB4A15">
        <w:t>Some recent work suggests that exploring aggregate patterns may obscure heterogeneity in effects for different groups of students. Dee and Jacob (2006) find increased dropout rates only for urban and minority students,</w:t>
      </w:r>
      <w:r w:rsidR="00FB4A15" w:rsidRPr="00DD2DF4">
        <w:t xml:space="preserve"> while Jacob (2001) finds similar patterns only for the lowest achieving students</w:t>
      </w:r>
      <w:r w:rsidR="00FB4A15">
        <w:t xml:space="preserve">. </w:t>
      </w:r>
    </w:p>
    <w:p w:rsidR="007C0E1E" w:rsidRDefault="00107E3B" w:rsidP="00516638">
      <w:pPr>
        <w:widowControl w:val="0"/>
        <w:spacing w:line="480" w:lineRule="auto"/>
        <w:ind w:firstLine="720"/>
      </w:pPr>
      <w:r>
        <w:t xml:space="preserve">Research that </w:t>
      </w:r>
      <w:r w:rsidR="006E51E0">
        <w:t>examine</w:t>
      </w:r>
      <w:r>
        <w:t>s</w:t>
      </w:r>
      <w:r w:rsidR="006E51E0">
        <w:t xml:space="preserve"> the relationship between </w:t>
      </w:r>
      <w:r>
        <w:t xml:space="preserve">individual </w:t>
      </w:r>
      <w:r w:rsidR="006E51E0">
        <w:t>student</w:t>
      </w:r>
      <w:r>
        <w:t xml:space="preserve"> </w:t>
      </w:r>
      <w:r w:rsidR="006E51E0">
        <w:t xml:space="preserve">performance </w:t>
      </w:r>
      <w:r>
        <w:t xml:space="preserve">on exit examinations </w:t>
      </w:r>
      <w:r w:rsidR="006E51E0">
        <w:t xml:space="preserve">and </w:t>
      </w:r>
      <w:r>
        <w:t>high school completion remains much less common.</w:t>
      </w:r>
      <w:r w:rsidR="000917B9">
        <w:t xml:space="preserve"> </w:t>
      </w:r>
      <w:r w:rsidR="006E51E0">
        <w:t>Using</w:t>
      </w:r>
      <w:r w:rsidR="006E51E0" w:rsidRPr="00DD2DF4">
        <w:t xml:space="preserve"> data from the </w:t>
      </w:r>
      <w:smartTag w:uri="urn:schemas-microsoft-com:office:smarttags" w:element="place">
        <w:smartTag w:uri="urn:schemas-microsoft-com:office:smarttags" w:element="State">
          <w:r w:rsidR="006E51E0" w:rsidRPr="001B1C15">
            <w:rPr>
              <w:i/>
              <w:iCs/>
            </w:rPr>
            <w:t>Florida</w:t>
          </w:r>
        </w:smartTag>
      </w:smartTag>
      <w:r w:rsidR="006E51E0" w:rsidRPr="001B1C15">
        <w:rPr>
          <w:i/>
          <w:iCs/>
        </w:rPr>
        <w:t xml:space="preserve"> Minimum Competency Test</w:t>
      </w:r>
      <w:r w:rsidR="006E51E0">
        <w:t xml:space="preserve"> from 1987-91, </w:t>
      </w:r>
      <w:r w:rsidR="007C0E1E" w:rsidRPr="00DD2DF4">
        <w:t>Griffin &amp; Heidorn</w:t>
      </w:r>
      <w:r w:rsidR="006E51E0">
        <w:t xml:space="preserve"> (</w:t>
      </w:r>
      <w:r w:rsidR="007C0E1E" w:rsidRPr="00DD2DF4">
        <w:t>1996</w:t>
      </w:r>
      <w:r w:rsidR="007C0E1E">
        <w:t>)</w:t>
      </w:r>
      <w:r w:rsidR="007C0E1E" w:rsidRPr="00DD2DF4">
        <w:t xml:space="preserve"> find a relationship between </w:t>
      </w:r>
      <w:r w:rsidR="007C0E1E">
        <w:t xml:space="preserve">student </w:t>
      </w:r>
      <w:r w:rsidR="007C0E1E" w:rsidRPr="00DD2DF4">
        <w:t>performance and drop-out rate only for students</w:t>
      </w:r>
      <w:r w:rsidR="00574EF3" w:rsidRPr="00574EF3">
        <w:t xml:space="preserve"> </w:t>
      </w:r>
      <w:r w:rsidR="00574EF3">
        <w:t xml:space="preserve">with </w:t>
      </w:r>
      <w:r w:rsidR="00574EF3" w:rsidRPr="00DD2DF4">
        <w:t>high GPA</w:t>
      </w:r>
      <w:r w:rsidR="00187470">
        <w:t>s</w:t>
      </w:r>
      <w:r w:rsidR="007C0E1E" w:rsidRPr="00DD2DF4">
        <w:t xml:space="preserve">. </w:t>
      </w:r>
      <w:r w:rsidR="006E51E0">
        <w:t xml:space="preserve">While the authors control for </w:t>
      </w:r>
      <w:r w:rsidR="00574EF3">
        <w:t>selected</w:t>
      </w:r>
      <w:r w:rsidR="006E51E0">
        <w:t xml:space="preserve"> student characteristics, t</w:t>
      </w:r>
      <w:r w:rsidR="007C0E1E" w:rsidRPr="00DD2DF4">
        <w:t xml:space="preserve">he results cannot be interpreted </w:t>
      </w:r>
      <w:r w:rsidR="007C0E1E">
        <w:t xml:space="preserve">causally </w:t>
      </w:r>
      <w:r w:rsidR="008F35E2">
        <w:t>because students who fail</w:t>
      </w:r>
      <w:r w:rsidR="007C0E1E">
        <w:t xml:space="preserve"> the examination</w:t>
      </w:r>
      <w:r w:rsidR="007C0E1E" w:rsidRPr="00446C12">
        <w:t xml:space="preserve"> </w:t>
      </w:r>
      <w:r w:rsidR="003250B0">
        <w:t xml:space="preserve">likely </w:t>
      </w:r>
      <w:r w:rsidR="008F35E2">
        <w:t>differ from those who pass</w:t>
      </w:r>
      <w:r w:rsidR="007C0E1E">
        <w:t xml:space="preserve"> in critical unobserved dimensions</w:t>
      </w:r>
      <w:r w:rsidR="007C0E1E" w:rsidRPr="00DD2DF4">
        <w:t xml:space="preserve">. </w:t>
      </w:r>
      <w:r w:rsidR="00A85B94">
        <w:t>Griffin &amp; Heidorn</w:t>
      </w:r>
      <w:r w:rsidR="007C0E1E" w:rsidRPr="00DD2DF4">
        <w:t xml:space="preserve"> </w:t>
      </w:r>
      <w:r w:rsidR="006E51E0">
        <w:t xml:space="preserve">also </w:t>
      </w:r>
      <w:r w:rsidR="00A85B94">
        <w:t>focus</w:t>
      </w:r>
      <w:r w:rsidR="007C0E1E" w:rsidRPr="00DD2DF4">
        <w:t xml:space="preserve"> on </w:t>
      </w:r>
      <w:r w:rsidR="007C0E1E">
        <w:t xml:space="preserve">the impact of </w:t>
      </w:r>
      <w:r w:rsidR="00187470">
        <w:t xml:space="preserve">a </w:t>
      </w:r>
      <w:r w:rsidR="007C0E1E" w:rsidRPr="00DD2DF4">
        <w:t>minimum competency test, which differ</w:t>
      </w:r>
      <w:r w:rsidR="00187470">
        <w:t>s</w:t>
      </w:r>
      <w:r w:rsidR="007C0E1E" w:rsidRPr="00DD2DF4">
        <w:t xml:space="preserve"> substantially from the current incarnation of state-mandated high school exit </w:t>
      </w:r>
      <w:r w:rsidR="007C0E1E">
        <w:t>examinations</w:t>
      </w:r>
      <w:r w:rsidR="007C0E1E" w:rsidRPr="00DD2DF4">
        <w:t>.</w:t>
      </w:r>
      <w:r>
        <w:t xml:space="preserve"> </w:t>
      </w:r>
      <w:r w:rsidRPr="00DD2DF4">
        <w:t xml:space="preserve">Cornell, Krosnik &amp; Chang (2006) </w:t>
      </w:r>
      <w:r>
        <w:t xml:space="preserve">examine a group of </w:t>
      </w:r>
      <w:r w:rsidRPr="00DD2DF4">
        <w:t xml:space="preserve">students </w:t>
      </w:r>
      <w:r>
        <w:t xml:space="preserve">who </w:t>
      </w:r>
      <w:r w:rsidRPr="00DD2DF4">
        <w:t xml:space="preserve">were wrongly informed that they had failed </w:t>
      </w:r>
      <w:r>
        <w:t xml:space="preserve">the </w:t>
      </w:r>
      <w:smartTag w:uri="urn:schemas-microsoft-com:office:smarttags" w:element="place">
        <w:smartTag w:uri="urn:schemas-microsoft-com:office:smarttags" w:element="State">
          <w:r w:rsidR="00780858">
            <w:t>Minnesota</w:t>
          </w:r>
        </w:smartTag>
      </w:smartTag>
      <w:r w:rsidR="00780858">
        <w:t xml:space="preserve"> </w:t>
      </w:r>
      <w:r w:rsidRPr="00DD2DF4">
        <w:t xml:space="preserve">high-stakes </w:t>
      </w:r>
      <w:r>
        <w:t>examination. Most of these students reported some negative academic impact</w:t>
      </w:r>
      <w:r w:rsidR="00780858">
        <w:t xml:space="preserve"> of “failing” this test</w:t>
      </w:r>
      <w:r w:rsidRPr="00DD2DF4">
        <w:t>.</w:t>
      </w:r>
    </w:p>
    <w:p w:rsidR="00A01EE4" w:rsidRDefault="00DC69BC" w:rsidP="00516638">
      <w:pPr>
        <w:widowControl w:val="0"/>
        <w:spacing w:line="480" w:lineRule="auto"/>
        <w:ind w:firstLine="720"/>
      </w:pPr>
      <w:r>
        <w:t>Martorell (2005)</w:t>
      </w:r>
      <w:r w:rsidR="00517894">
        <w:t xml:space="preserve"> provides causal estimates of the effect of failing a high school exit exam</w:t>
      </w:r>
      <w:r w:rsidR="008A3FD5">
        <w:t>ination</w:t>
      </w:r>
      <w:r w:rsidR="00517894">
        <w:t xml:space="preserve"> on </w:t>
      </w:r>
      <w:r w:rsidR="002A7BDE">
        <w:t xml:space="preserve">high school </w:t>
      </w:r>
      <w:r w:rsidR="00517894">
        <w:t xml:space="preserve">graduation, using a regression discontinuity </w:t>
      </w:r>
      <w:r w:rsidR="002A7BDE">
        <w:t xml:space="preserve">analysis </w:t>
      </w:r>
      <w:r w:rsidR="00517894">
        <w:t xml:space="preserve">similar to the one </w:t>
      </w:r>
      <w:r w:rsidR="00D93228">
        <w:t xml:space="preserve">we employ </w:t>
      </w:r>
      <w:r w:rsidR="00517894">
        <w:t>in this paper. He f</w:t>
      </w:r>
      <w:r w:rsidR="00FB4A15">
        <w:t>i</w:t>
      </w:r>
      <w:r w:rsidR="00517894">
        <w:t>nd</w:t>
      </w:r>
      <w:r w:rsidR="00FB4A15">
        <w:t>s</w:t>
      </w:r>
      <w:r w:rsidR="007C0E1E">
        <w:t xml:space="preserve"> no effect of failing the </w:t>
      </w:r>
      <w:smartTag w:uri="urn:schemas-microsoft-com:office:smarttags" w:element="place">
        <w:smartTag w:uri="urn:schemas-microsoft-com:office:smarttags" w:element="State">
          <w:r w:rsidR="007C0E1E">
            <w:t>Texas</w:t>
          </w:r>
        </w:smartTag>
      </w:smartTag>
      <w:r w:rsidR="007C0E1E">
        <w:t xml:space="preserve"> exit examination</w:t>
      </w:r>
      <w:r w:rsidR="007C0E1E" w:rsidRPr="00446C12">
        <w:t xml:space="preserve"> </w:t>
      </w:r>
      <w:r w:rsidR="007C0E1E">
        <w:t>on high school graduation for students who barely failed. This finding h</w:t>
      </w:r>
      <w:r w:rsidR="00FB4A15">
        <w:t>o</w:t>
      </w:r>
      <w:r w:rsidR="007C0E1E">
        <w:t>ld</w:t>
      </w:r>
      <w:r w:rsidR="00FB4A15">
        <w:t>s</w:t>
      </w:r>
      <w:r w:rsidR="007C0E1E">
        <w:t xml:space="preserve"> for every examination</w:t>
      </w:r>
      <w:r w:rsidR="007C0E1E" w:rsidRPr="00446C12">
        <w:t xml:space="preserve"> </w:t>
      </w:r>
      <w:r w:rsidR="007C0E1E">
        <w:t>until the very last administration of a student’s senior year. As students r</w:t>
      </w:r>
      <w:r w:rsidR="00FB4A15">
        <w:t>u</w:t>
      </w:r>
      <w:r w:rsidR="007C0E1E">
        <w:t>n out of testing opportunities, failing the examination</w:t>
      </w:r>
      <w:r w:rsidR="007C0E1E" w:rsidRPr="00446C12">
        <w:t xml:space="preserve"> </w:t>
      </w:r>
      <w:r w:rsidR="00FB4A15">
        <w:t>does</w:t>
      </w:r>
      <w:r w:rsidR="007C0E1E">
        <w:t xml:space="preserve"> </w:t>
      </w:r>
      <w:r w:rsidR="000917B9">
        <w:t xml:space="preserve">prevent </w:t>
      </w:r>
      <w:r w:rsidR="00FB4A15">
        <w:t xml:space="preserve">them </w:t>
      </w:r>
      <w:r w:rsidR="000917B9">
        <w:t xml:space="preserve">from </w:t>
      </w:r>
      <w:r w:rsidR="007C0E1E">
        <w:t>graduat</w:t>
      </w:r>
      <w:r w:rsidR="000917B9">
        <w:t>ing</w:t>
      </w:r>
      <w:r w:rsidR="007C0E1E">
        <w:t xml:space="preserve"> because they c</w:t>
      </w:r>
      <w:r w:rsidR="00FB4A15">
        <w:t>annot</w:t>
      </w:r>
      <w:r w:rsidR="007C0E1E">
        <w:t xml:space="preserve"> satisfy state requirements. </w:t>
      </w:r>
    </w:p>
    <w:p w:rsidR="00775CDC" w:rsidRPr="00775CDC" w:rsidRDefault="00775CDC" w:rsidP="00775CDC">
      <w:pPr>
        <w:pStyle w:val="Default"/>
        <w:spacing w:line="480" w:lineRule="auto"/>
        <w:ind w:firstLine="720"/>
      </w:pPr>
      <w:r>
        <w:lastRenderedPageBreak/>
        <w:t xml:space="preserve">We do not address the overall consequences of standards-based accountability in </w:t>
      </w:r>
      <w:smartTag w:uri="urn:schemas-microsoft-com:office:smarttags" w:element="place">
        <w:smartTag w:uri="urn:schemas-microsoft-com:office:smarttags" w:element="State">
          <w:r>
            <w:t>Massachusetts</w:t>
          </w:r>
        </w:smartTag>
      </w:smartTag>
      <w:r>
        <w:t xml:space="preserve">. Instead, like Martorell (2005), we look at how this policy plays out in a state committed to standards-based reform. In other words, we look at the effects of dividing a continuous measure of student proficiency into two categories – pass and fail – at an arbitrary cut score. We extend Martorell’s research in several respects. Most importantly, we look for (and find) heterogeneous causal effects. In </w:t>
      </w:r>
      <w:smartTag w:uri="urn:schemas-microsoft-com:office:smarttags" w:element="place">
        <w:smartTag w:uri="urn:schemas-microsoft-com:office:smarttags" w:element="State">
          <w:r>
            <w:t>Massachusetts</w:t>
          </w:r>
        </w:smartTag>
      </w:smartTag>
      <w:r>
        <w:t xml:space="preserve">, examining only aggregate impacts masks a </w:t>
      </w:r>
      <w:r>
        <w:rPr>
          <w:color w:val="auto"/>
        </w:rPr>
        <w:t>substantial effect for low-income urban students; as a result, we focus our analyses on this group. Second, we examine additional mechanisms by which exit examinations may decrease high school graduation, including the possibility that students drop out even before taking the 10</w:t>
      </w:r>
      <w:r w:rsidRPr="00775CDC">
        <w:rPr>
          <w:color w:val="auto"/>
          <w:vertAlign w:val="superscript"/>
        </w:rPr>
        <w:t>th</w:t>
      </w:r>
      <w:r>
        <w:rPr>
          <w:color w:val="auto"/>
        </w:rPr>
        <w:t xml:space="preserve"> </w:t>
      </w:r>
      <w:r>
        <w:t>g</w:t>
      </w:r>
      <w:r>
        <w:rPr>
          <w:color w:val="auto"/>
        </w:rPr>
        <w:t xml:space="preserve">rade test. Third, we conduct descriptive analyses that shed light on the sources of the heterogeneous causal impacts. Finally, we make use of data from a state quite different from </w:t>
      </w:r>
      <w:smartTag w:uri="urn:schemas-microsoft-com:office:smarttags" w:element="place">
        <w:smartTag w:uri="urn:schemas-microsoft-com:office:smarttags" w:element="State">
          <w:r>
            <w:rPr>
              <w:color w:val="auto"/>
            </w:rPr>
            <w:t>Texas</w:t>
          </w:r>
        </w:smartTag>
      </w:smartTag>
      <w:r>
        <w:rPr>
          <w:color w:val="auto"/>
        </w:rPr>
        <w:t xml:space="preserve">. </w:t>
      </w:r>
    </w:p>
    <w:p w:rsidR="00103EF7" w:rsidRPr="009B6F7E" w:rsidRDefault="00D93228" w:rsidP="009B6F7E">
      <w:pPr>
        <w:widowControl w:val="0"/>
        <w:spacing w:line="480" w:lineRule="auto"/>
      </w:pPr>
      <w:r>
        <w:rPr>
          <w:u w:val="single"/>
        </w:rPr>
        <w:t xml:space="preserve">The </w:t>
      </w:r>
      <w:smartTag w:uri="urn:schemas-microsoft-com:office:smarttags" w:element="place">
        <w:smartTag w:uri="urn:schemas-microsoft-com:office:smarttags" w:element="State">
          <w:r w:rsidR="00103EF7">
            <w:rPr>
              <w:u w:val="single"/>
            </w:rPr>
            <w:t>Massachusetts</w:t>
          </w:r>
        </w:smartTag>
      </w:smartTag>
      <w:r w:rsidR="00103EF7">
        <w:rPr>
          <w:u w:val="single"/>
        </w:rPr>
        <w:t xml:space="preserve"> Context</w:t>
      </w:r>
      <w:r w:rsidR="00C00A89">
        <w:rPr>
          <w:u w:val="single"/>
        </w:rPr>
        <w:t xml:space="preserve"> </w:t>
      </w:r>
    </w:p>
    <w:p w:rsidR="00444E2E" w:rsidRDefault="00795372" w:rsidP="00775CDC">
      <w:pPr>
        <w:pStyle w:val="Default"/>
        <w:spacing w:line="480" w:lineRule="auto"/>
      </w:pPr>
      <w:r w:rsidRPr="009B6F7E">
        <w:tab/>
      </w:r>
      <w:r w:rsidR="00AE5B6C" w:rsidRPr="009B6F7E">
        <w:t xml:space="preserve">In the 15 years since the </w:t>
      </w:r>
      <w:smartTag w:uri="urn:schemas-microsoft-com:office:smarttags" w:element="place">
        <w:smartTag w:uri="urn:schemas-microsoft-com:office:smarttags" w:element="State">
          <w:r w:rsidR="003971AB" w:rsidRPr="009B6F7E">
            <w:t>Massachusetts</w:t>
          </w:r>
        </w:smartTag>
      </w:smartTag>
      <w:r w:rsidR="003971AB" w:rsidRPr="009B6F7E">
        <w:t xml:space="preserve"> </w:t>
      </w:r>
      <w:r w:rsidR="00AE5B6C" w:rsidRPr="009B6F7E">
        <w:t xml:space="preserve">legislature passed the </w:t>
      </w:r>
      <w:r w:rsidR="003971AB" w:rsidRPr="009B6F7E">
        <w:rPr>
          <w:i/>
        </w:rPr>
        <w:t>Massachusetts Education Reform Act</w:t>
      </w:r>
      <w:r w:rsidR="003971AB" w:rsidRPr="009B6F7E">
        <w:t xml:space="preserve"> of </w:t>
      </w:r>
      <w:r w:rsidR="008E3564" w:rsidRPr="009B6F7E">
        <w:t>1993,</w:t>
      </w:r>
      <w:r w:rsidR="003971AB" w:rsidRPr="009B6F7E">
        <w:t xml:space="preserve"> </w:t>
      </w:r>
      <w:r w:rsidR="00AE5B6C" w:rsidRPr="009B6F7E">
        <w:t xml:space="preserve">the state has </w:t>
      </w:r>
      <w:r w:rsidR="00775CDC">
        <w:t xml:space="preserve">invested more than one billion dollars per year in additional funding for K-12 public education. </w:t>
      </w:r>
      <w:r w:rsidR="00AE5B6C" w:rsidRPr="009B6F7E">
        <w:t>The investment ha</w:t>
      </w:r>
      <w:r w:rsidR="00125B1B">
        <w:t>s</w:t>
      </w:r>
      <w:r w:rsidR="00AE5B6C" w:rsidRPr="009B6F7E">
        <w:t xml:space="preserve"> borne considerable fruit.  </w:t>
      </w:r>
      <w:r w:rsidR="007B6699" w:rsidRPr="009B6F7E">
        <w:t xml:space="preserve">For example, a 2006 study by the Fordham Foundation praised the </w:t>
      </w:r>
      <w:smartTag w:uri="urn:schemas-microsoft-com:office:smarttags" w:element="place">
        <w:smartTag w:uri="urn:schemas-microsoft-com:office:smarttags" w:element="State">
          <w:r w:rsidR="007B6699" w:rsidRPr="009B6F7E">
            <w:t>Massachusetts</w:t>
          </w:r>
        </w:smartTag>
      </w:smartTag>
      <w:r w:rsidR="007B6699" w:rsidRPr="009B6F7E">
        <w:t xml:space="preserve"> academic standards as the most rigorous in the country</w:t>
      </w:r>
      <w:r w:rsidR="009B6F7E">
        <w:t xml:space="preserve"> (Finn, Julian, &amp; Petrilli, 2006)</w:t>
      </w:r>
      <w:r w:rsidR="007B6699" w:rsidRPr="009B6F7E">
        <w:t>.</w:t>
      </w:r>
      <w:r w:rsidR="007B6699" w:rsidRPr="009B6F7E">
        <w:rPr>
          <w:rStyle w:val="FootnoteReference"/>
        </w:rPr>
        <w:footnoteReference w:id="2"/>
      </w:r>
      <w:r w:rsidR="007B6699" w:rsidRPr="009B6F7E">
        <w:t xml:space="preserve">  A 200</w:t>
      </w:r>
      <w:r w:rsidR="00875B70" w:rsidRPr="009B6F7E">
        <w:t>6</w:t>
      </w:r>
      <w:r w:rsidR="007B6699" w:rsidRPr="009B6F7E">
        <w:t xml:space="preserve"> report by </w:t>
      </w:r>
      <w:r w:rsidR="007B6699" w:rsidRPr="009B6F7E">
        <w:rPr>
          <w:i/>
        </w:rPr>
        <w:t>Education Week</w:t>
      </w:r>
      <w:r w:rsidR="007B6699" w:rsidRPr="009B6F7E">
        <w:t xml:space="preserve"> concluded that the state-wide tests used to assess the English </w:t>
      </w:r>
      <w:r w:rsidR="008F35E2">
        <w:t>l</w:t>
      </w:r>
      <w:r w:rsidR="007B6699" w:rsidRPr="009B6F7E">
        <w:t xml:space="preserve">anguage </w:t>
      </w:r>
      <w:r w:rsidR="008F35E2">
        <w:t>a</w:t>
      </w:r>
      <w:r w:rsidR="007B6699" w:rsidRPr="009B6F7E">
        <w:t xml:space="preserve">rts and mathematical skills of </w:t>
      </w:r>
      <w:smartTag w:uri="urn:schemas-microsoft-com:office:smarttags" w:element="place">
        <w:smartTag w:uri="urn:schemas-microsoft-com:office:smarttags" w:element="State">
          <w:r w:rsidR="007B6699" w:rsidRPr="009B6F7E">
            <w:t>Massachusetts</w:t>
          </w:r>
        </w:smartTag>
      </w:smartTag>
      <w:r w:rsidR="007B6699" w:rsidRPr="009B6F7E">
        <w:t xml:space="preserve"> students </w:t>
      </w:r>
      <w:r w:rsidR="006B06E7" w:rsidRPr="009B6F7E">
        <w:t xml:space="preserve">(part of the Massachusetts Comprehensive Assessment System (MCAS)) </w:t>
      </w:r>
      <w:r w:rsidR="007B6699" w:rsidRPr="009B6F7E">
        <w:t xml:space="preserve">were well aligned with the state’s demanding academic standards.  </w:t>
      </w:r>
      <w:r w:rsidR="00875B70" w:rsidRPr="009B6F7E">
        <w:t xml:space="preserve">While this report </w:t>
      </w:r>
      <w:r w:rsidR="00875B70" w:rsidRPr="009B6F7E">
        <w:lastRenderedPageBreak/>
        <w:t xml:space="preserve">gave an average grade of B- to the standards and accountability systems developed by states, it gave a grade of A to the </w:t>
      </w:r>
      <w:smartTag w:uri="urn:schemas-microsoft-com:office:smarttags" w:element="place">
        <w:smartTag w:uri="urn:schemas-microsoft-com:office:smarttags" w:element="State">
          <w:r w:rsidR="00875B70" w:rsidRPr="009B6F7E">
            <w:t>Massachusetts</w:t>
          </w:r>
        </w:smartTag>
      </w:smartTag>
      <w:r w:rsidR="00875B70" w:rsidRPr="009B6F7E">
        <w:t xml:space="preserve"> system</w:t>
      </w:r>
      <w:r w:rsidR="00403D43">
        <w:t xml:space="preserve"> (</w:t>
      </w:r>
      <w:r w:rsidR="00403D43" w:rsidRPr="00403D43">
        <w:rPr>
          <w:i/>
        </w:rPr>
        <w:t>Quality Counts</w:t>
      </w:r>
      <w:r w:rsidR="00403D43">
        <w:t>, 2006)</w:t>
      </w:r>
      <w:r w:rsidR="00875B70" w:rsidRPr="009B6F7E">
        <w:t xml:space="preserve">.  </w:t>
      </w:r>
    </w:p>
    <w:p w:rsidR="00444E2E" w:rsidRDefault="0054699B" w:rsidP="00444E2E">
      <w:pPr>
        <w:pStyle w:val="Default"/>
        <w:spacing w:line="480" w:lineRule="auto"/>
        <w:ind w:firstLine="720"/>
      </w:pPr>
      <w:r w:rsidRPr="009B6F7E">
        <w:t>Most importantly,</w:t>
      </w:r>
      <w:r w:rsidR="009F7D76" w:rsidRPr="009B6F7E">
        <w:t xml:space="preserve"> </w:t>
      </w:r>
      <w:smartTag w:uri="urn:schemas-microsoft-com:office:smarttags" w:element="place">
        <w:smartTag w:uri="urn:schemas-microsoft-com:office:smarttags" w:element="State">
          <w:r w:rsidR="00444E2E">
            <w:t>Massachusetts</w:t>
          </w:r>
        </w:smartTag>
      </w:smartTag>
      <w:r w:rsidR="00444E2E">
        <w:t xml:space="preserve"> students are doing well and have improved</w:t>
      </w:r>
      <w:r w:rsidR="0003212A">
        <w:t xml:space="preserve"> performances</w:t>
      </w:r>
      <w:r w:rsidR="00444E2E">
        <w:t xml:space="preserve"> markedly on the National Assessment of Educational Progress (NAEP) examinations in recent years</w:t>
      </w:r>
      <w:r w:rsidR="009F7D76" w:rsidRPr="009B6F7E">
        <w:t xml:space="preserve">.  In 2007 </w:t>
      </w:r>
      <w:smartTag w:uri="urn:schemas-microsoft-com:office:smarttags" w:element="place">
        <w:smartTag w:uri="urn:schemas-microsoft-com:office:smarttags" w:element="State">
          <w:r w:rsidR="009F7D76" w:rsidRPr="009B6F7E">
            <w:t>Ma</w:t>
          </w:r>
          <w:r w:rsidR="009B6F7E">
            <w:t>ssachusetts</w:t>
          </w:r>
        </w:smartTag>
      </w:smartTag>
      <w:r w:rsidR="009B6F7E">
        <w:t xml:space="preserve">’ </w:t>
      </w:r>
      <w:r w:rsidRPr="009B6F7E">
        <w:t xml:space="preserve">4th graders ranked first nationwide on the </w:t>
      </w:r>
      <w:r w:rsidR="009F7D76" w:rsidRPr="009B6F7E">
        <w:t xml:space="preserve">NAEP </w:t>
      </w:r>
      <w:r w:rsidRPr="009B6F7E">
        <w:t>reading and math</w:t>
      </w:r>
      <w:r w:rsidR="00935007">
        <w:t>ematics</w:t>
      </w:r>
      <w:r w:rsidR="000B5F35">
        <w:t xml:space="preserve"> test</w:t>
      </w:r>
      <w:r w:rsidRPr="009B6F7E">
        <w:t>s</w:t>
      </w:r>
      <w:r w:rsidR="005427CB">
        <w:t xml:space="preserve"> and second nationwide on the writing test</w:t>
      </w:r>
      <w:r w:rsidR="009F7D76" w:rsidRPr="009B6F7E">
        <w:t xml:space="preserve">.  </w:t>
      </w:r>
      <w:r w:rsidRPr="009B6F7E">
        <w:t xml:space="preserve">The state's </w:t>
      </w:r>
      <w:r w:rsidR="000B5F35">
        <w:t>8</w:t>
      </w:r>
      <w:r w:rsidR="000B5F35" w:rsidRPr="000B5F35">
        <w:rPr>
          <w:vertAlign w:val="superscript"/>
        </w:rPr>
        <w:t>th</w:t>
      </w:r>
      <w:r w:rsidR="000B5F35">
        <w:t xml:space="preserve"> </w:t>
      </w:r>
      <w:r w:rsidRPr="009B6F7E">
        <w:t>graders ranked first in math</w:t>
      </w:r>
      <w:r w:rsidR="00B03F15">
        <w:t>ematics</w:t>
      </w:r>
      <w:r w:rsidR="005427CB">
        <w:t>,</w:t>
      </w:r>
      <w:r w:rsidRPr="009B6F7E">
        <w:t xml:space="preserve"> tied for first in reading</w:t>
      </w:r>
      <w:r w:rsidR="005427CB">
        <w:t>, and third in writing</w:t>
      </w:r>
      <w:r w:rsidRPr="009B6F7E">
        <w:t xml:space="preserve"> on the NAEP tests</w:t>
      </w:r>
      <w:r w:rsidR="00403D43">
        <w:t xml:space="preserve"> (</w:t>
      </w:r>
      <w:r w:rsidR="005427CB">
        <w:t>NCES</w:t>
      </w:r>
      <w:r w:rsidR="00403D43">
        <w:t>, 200</w:t>
      </w:r>
      <w:r w:rsidR="005427CB">
        <w:t>8</w:t>
      </w:r>
      <w:r w:rsidR="00403D43">
        <w:t>)</w:t>
      </w:r>
      <w:r w:rsidRPr="009B6F7E">
        <w:t xml:space="preserve">.  </w:t>
      </w:r>
      <w:r w:rsidR="00444E2E">
        <w:t xml:space="preserve">Furthermore, since the introduction of state testing under standards-based reform, the state’s NAEP performance has improved rapidly. As Figure 1 shows, </w:t>
      </w:r>
      <w:smartTag w:uri="urn:schemas-microsoft-com:office:smarttags" w:element="place">
        <w:smartTag w:uri="urn:schemas-microsoft-com:office:smarttags" w:element="State">
          <w:r w:rsidR="00444E2E">
            <w:t>Massachusetts</w:t>
          </w:r>
        </w:smartTag>
      </w:smartTag>
      <w:r w:rsidR="00444E2E">
        <w:t xml:space="preserve"> 8</w:t>
      </w:r>
      <w:r w:rsidR="00444E2E" w:rsidRPr="00444E2E">
        <w:rPr>
          <w:vertAlign w:val="superscript"/>
        </w:rPr>
        <w:t>th</w:t>
      </w:r>
      <w:r w:rsidR="00444E2E">
        <w:t xml:space="preserve"> graders not only far exceed the national average, but their performance has increased much more rapidly than the national average. Thus, it is in the context of a system that has brought about significant accomplishments that we examine the consequences for students of failing the MCAS examination. </w:t>
      </w:r>
    </w:p>
    <w:p w:rsidR="00444E2E" w:rsidRDefault="00444E2E" w:rsidP="00444E2E">
      <w:pPr>
        <w:pStyle w:val="Default"/>
        <w:spacing w:line="480" w:lineRule="auto"/>
        <w:jc w:val="center"/>
      </w:pPr>
      <w:r>
        <w:t>FIGURE 1 ABOUT HERE</w:t>
      </w:r>
    </w:p>
    <w:p w:rsidR="00ED7E2D" w:rsidRPr="009B6F7E" w:rsidRDefault="006B06E7" w:rsidP="009B6F7E">
      <w:pPr>
        <w:pStyle w:val="NormalWeb"/>
        <w:spacing w:before="0" w:beforeAutospacing="0" w:after="0" w:afterAutospacing="0" w:line="480" w:lineRule="auto"/>
        <w:rPr>
          <w:rFonts w:ascii="Times New Roman" w:hAnsi="Times New Roman"/>
        </w:rPr>
      </w:pPr>
      <w:r w:rsidRPr="009B6F7E">
        <w:rPr>
          <w:rFonts w:ascii="Times New Roman" w:hAnsi="Times New Roman"/>
        </w:rPr>
        <w:tab/>
      </w:r>
      <w:smartTag w:uri="urn:schemas-microsoft-com:office:smarttags" w:element="place">
        <w:smartTag w:uri="urn:schemas-microsoft-com:office:smarttags" w:element="State">
          <w:r w:rsidRPr="009B6F7E">
            <w:rPr>
              <w:rFonts w:ascii="Times New Roman" w:hAnsi="Times New Roman"/>
            </w:rPr>
            <w:t>Massachusetts</w:t>
          </w:r>
        </w:smartTag>
      </w:smartTag>
      <w:r w:rsidRPr="009B6F7E">
        <w:rPr>
          <w:rFonts w:ascii="Times New Roman" w:hAnsi="Times New Roman"/>
        </w:rPr>
        <w:t xml:space="preserve"> began administering the MCAS mathematics and ELA examinations in 1998.  </w:t>
      </w:r>
      <w:r w:rsidR="008E3564" w:rsidRPr="009B6F7E">
        <w:rPr>
          <w:rFonts w:ascii="Times New Roman" w:hAnsi="Times New Roman"/>
        </w:rPr>
        <w:t xml:space="preserve">For the class of 2003, </w:t>
      </w:r>
      <w:r w:rsidR="00DC5B1F" w:rsidRPr="009B6F7E">
        <w:rPr>
          <w:rFonts w:ascii="Times New Roman" w:hAnsi="Times New Roman"/>
        </w:rPr>
        <w:t>the 10</w:t>
      </w:r>
      <w:r w:rsidR="00DC5B1F" w:rsidRPr="009B6F7E">
        <w:rPr>
          <w:rFonts w:ascii="Times New Roman" w:hAnsi="Times New Roman"/>
          <w:vertAlign w:val="superscript"/>
        </w:rPr>
        <w:t>th</w:t>
      </w:r>
      <w:r w:rsidR="00DC5B1F" w:rsidRPr="009B6F7E">
        <w:rPr>
          <w:rFonts w:ascii="Times New Roman" w:hAnsi="Times New Roman"/>
        </w:rPr>
        <w:t xml:space="preserve"> grade tests </w:t>
      </w:r>
      <w:r w:rsidR="003971AB" w:rsidRPr="009B6F7E">
        <w:rPr>
          <w:rFonts w:ascii="Times New Roman" w:hAnsi="Times New Roman"/>
        </w:rPr>
        <w:t>became high-stakes exit exam</w:t>
      </w:r>
      <w:r w:rsidR="00DC5B1F" w:rsidRPr="009B6F7E">
        <w:rPr>
          <w:rFonts w:ascii="Times New Roman" w:hAnsi="Times New Roman"/>
        </w:rPr>
        <w:t>ination</w:t>
      </w:r>
      <w:r w:rsidR="003971AB" w:rsidRPr="009B6F7E">
        <w:rPr>
          <w:rFonts w:ascii="Times New Roman" w:hAnsi="Times New Roman"/>
        </w:rPr>
        <w:t>s</w:t>
      </w:r>
      <w:r w:rsidR="00444E2E">
        <w:rPr>
          <w:rFonts w:ascii="Times New Roman" w:hAnsi="Times New Roman"/>
        </w:rPr>
        <w:t>. S</w:t>
      </w:r>
      <w:r w:rsidR="00A85B94" w:rsidRPr="009B6F7E">
        <w:rPr>
          <w:rFonts w:ascii="Times New Roman" w:hAnsi="Times New Roman"/>
        </w:rPr>
        <w:t>tudents</w:t>
      </w:r>
      <w:r w:rsidRPr="009B6F7E">
        <w:rPr>
          <w:rFonts w:ascii="Times New Roman" w:hAnsi="Times New Roman"/>
        </w:rPr>
        <w:t xml:space="preserve"> </w:t>
      </w:r>
      <w:r w:rsidR="00A85B94" w:rsidRPr="009B6F7E">
        <w:rPr>
          <w:rFonts w:ascii="Times New Roman" w:hAnsi="Times New Roman"/>
        </w:rPr>
        <w:t>must</w:t>
      </w:r>
      <w:r w:rsidR="003971AB" w:rsidRPr="009B6F7E">
        <w:rPr>
          <w:rFonts w:ascii="Times New Roman" w:hAnsi="Times New Roman"/>
        </w:rPr>
        <w:t xml:space="preserve"> pass both </w:t>
      </w:r>
      <w:r w:rsidR="00447D22" w:rsidRPr="009B6F7E">
        <w:rPr>
          <w:rFonts w:ascii="Times New Roman" w:hAnsi="Times New Roman"/>
        </w:rPr>
        <w:t>tests</w:t>
      </w:r>
      <w:r w:rsidR="003971AB" w:rsidRPr="009B6F7E">
        <w:rPr>
          <w:rFonts w:ascii="Times New Roman" w:hAnsi="Times New Roman"/>
        </w:rPr>
        <w:t xml:space="preserve"> </w:t>
      </w:r>
      <w:r w:rsidRPr="009B6F7E">
        <w:rPr>
          <w:rFonts w:ascii="Times New Roman" w:hAnsi="Times New Roman"/>
        </w:rPr>
        <w:t xml:space="preserve">in order to receive </w:t>
      </w:r>
      <w:r w:rsidR="003971AB" w:rsidRPr="009B6F7E">
        <w:rPr>
          <w:rFonts w:ascii="Times New Roman" w:hAnsi="Times New Roman"/>
        </w:rPr>
        <w:t xml:space="preserve">a </w:t>
      </w:r>
      <w:r w:rsidRPr="009B6F7E">
        <w:rPr>
          <w:rFonts w:ascii="Times New Roman" w:hAnsi="Times New Roman"/>
        </w:rPr>
        <w:t xml:space="preserve">high school </w:t>
      </w:r>
      <w:r w:rsidR="003971AB" w:rsidRPr="009B6F7E">
        <w:rPr>
          <w:rFonts w:ascii="Times New Roman" w:hAnsi="Times New Roman"/>
        </w:rPr>
        <w:t>diploma.</w:t>
      </w:r>
      <w:r w:rsidR="00B80116" w:rsidRPr="009B6F7E">
        <w:rPr>
          <w:rFonts w:ascii="Times New Roman" w:hAnsi="Times New Roman"/>
        </w:rPr>
        <w:t xml:space="preserve"> </w:t>
      </w:r>
      <w:r w:rsidR="00ED7E2D" w:rsidRPr="009B6F7E">
        <w:rPr>
          <w:rFonts w:ascii="Times New Roman" w:hAnsi="Times New Roman"/>
        </w:rPr>
        <w:t xml:space="preserve">The state allows students to take the tests without time constraints and to retake them </w:t>
      </w:r>
      <w:r w:rsidR="00447D22" w:rsidRPr="009B6F7E">
        <w:rPr>
          <w:rFonts w:ascii="Times New Roman" w:hAnsi="Times New Roman"/>
        </w:rPr>
        <w:t xml:space="preserve">repeatedly if they fail, </w:t>
      </w:r>
      <w:r w:rsidR="00ED7E2D" w:rsidRPr="009B6F7E">
        <w:rPr>
          <w:rFonts w:ascii="Times New Roman" w:hAnsi="Times New Roman"/>
        </w:rPr>
        <w:t>attempt</w:t>
      </w:r>
      <w:r w:rsidR="00447D22" w:rsidRPr="009B6F7E">
        <w:rPr>
          <w:rFonts w:ascii="Times New Roman" w:hAnsi="Times New Roman"/>
        </w:rPr>
        <w:t>ing explicitly</w:t>
      </w:r>
      <w:r w:rsidR="00ED7E2D" w:rsidRPr="009B6F7E">
        <w:rPr>
          <w:rFonts w:ascii="Times New Roman" w:hAnsi="Times New Roman"/>
        </w:rPr>
        <w:t xml:space="preserve"> to make the MCAS as minimal a barrier to graduation as possible.</w:t>
      </w:r>
      <w:r w:rsidR="00ED7E2D" w:rsidRPr="009B6F7E">
        <w:rPr>
          <w:rStyle w:val="FootnoteReference"/>
          <w:rFonts w:ascii="Times New Roman" w:hAnsi="Times New Roman"/>
        </w:rPr>
        <w:footnoteReference w:id="3"/>
      </w:r>
      <w:r w:rsidR="00ED7E2D" w:rsidRPr="009B6F7E">
        <w:rPr>
          <w:rFonts w:ascii="Times New Roman" w:hAnsi="Times New Roman"/>
        </w:rPr>
        <w:t xml:space="preserve"> Critics, however, claim that even with these safeguards, the examinations </w:t>
      </w:r>
      <w:r w:rsidR="00D54E3B" w:rsidRPr="009B6F7E">
        <w:rPr>
          <w:rFonts w:ascii="Times New Roman" w:hAnsi="Times New Roman"/>
        </w:rPr>
        <w:t xml:space="preserve">do indeed </w:t>
      </w:r>
      <w:r w:rsidR="00ED7E2D" w:rsidRPr="009B6F7E">
        <w:rPr>
          <w:rFonts w:ascii="Times New Roman" w:hAnsi="Times New Roman"/>
        </w:rPr>
        <w:t>prevent students from graduating</w:t>
      </w:r>
      <w:r w:rsidR="00070271" w:rsidRPr="009B6F7E">
        <w:rPr>
          <w:rFonts w:ascii="Times New Roman" w:hAnsi="Times New Roman"/>
        </w:rPr>
        <w:t xml:space="preserve">.  </w:t>
      </w:r>
    </w:p>
    <w:p w:rsidR="008E23B6" w:rsidRDefault="008E23B6" w:rsidP="009B6F7E">
      <w:pPr>
        <w:widowControl w:val="0"/>
        <w:spacing w:line="480" w:lineRule="auto"/>
        <w:ind w:firstLine="720"/>
      </w:pPr>
      <w:r w:rsidRPr="009B6F7E">
        <w:t xml:space="preserve">Of the </w:t>
      </w:r>
      <w:r w:rsidR="00447D22" w:rsidRPr="009B6F7E">
        <w:t>nearly 70,000</w:t>
      </w:r>
      <w:r w:rsidRPr="009B6F7E">
        <w:t xml:space="preserve"> students who took the mathematics examination in 8</w:t>
      </w:r>
      <w:r w:rsidRPr="009B6F7E">
        <w:rPr>
          <w:vertAlign w:val="superscript"/>
        </w:rPr>
        <w:t>th</w:t>
      </w:r>
      <w:r w:rsidRPr="009B6F7E">
        <w:t xml:space="preserve"> grade</w:t>
      </w:r>
      <w:r w:rsidR="00FB4A15" w:rsidRPr="009B6F7E">
        <w:t xml:space="preserve"> in 2002</w:t>
      </w:r>
      <w:r w:rsidRPr="009B6F7E">
        <w:t>, 76% went on to graduate on</w:t>
      </w:r>
      <w:r w:rsidR="00CD00E1" w:rsidRPr="009B6F7E">
        <w:t xml:space="preserve"> </w:t>
      </w:r>
      <w:r w:rsidRPr="009B6F7E">
        <w:t xml:space="preserve">time in </w:t>
      </w:r>
      <w:smartTag w:uri="urn:schemas-microsoft-com:office:smarttags" w:element="place">
        <w:smartTag w:uri="urn:schemas-microsoft-com:office:smarttags" w:element="State">
          <w:r w:rsidRPr="009B6F7E">
            <w:t>Massachusetts</w:t>
          </w:r>
        </w:smartTag>
      </w:smartTag>
      <w:r w:rsidRPr="009B6F7E">
        <w:t xml:space="preserve"> in 2006. We can </w:t>
      </w:r>
      <w:r w:rsidR="005D51F8" w:rsidRPr="009B6F7E">
        <w:t xml:space="preserve">partition </w:t>
      </w:r>
      <w:r w:rsidRPr="009B6F7E">
        <w:t>th</w:t>
      </w:r>
      <w:r w:rsidR="006B06E7" w:rsidRPr="009B6F7E">
        <w:t>o</w:t>
      </w:r>
      <w:r w:rsidRPr="009B6F7E">
        <w:t xml:space="preserve">se </w:t>
      </w:r>
      <w:r w:rsidRPr="009B6F7E">
        <w:lastRenderedPageBreak/>
        <w:t>students who did not graduate on</w:t>
      </w:r>
      <w:r w:rsidR="00CD00E1" w:rsidRPr="009B6F7E">
        <w:t xml:space="preserve"> </w:t>
      </w:r>
      <w:r w:rsidRPr="009B6F7E">
        <w:t>time into two groups – those who did not persist to take the 10</w:t>
      </w:r>
      <w:r w:rsidRPr="009B6F7E">
        <w:rPr>
          <w:vertAlign w:val="superscript"/>
        </w:rPr>
        <w:t>th</w:t>
      </w:r>
      <w:r w:rsidR="00447D22" w:rsidRPr="009B6F7E">
        <w:t xml:space="preserve"> grade examination (9%</w:t>
      </w:r>
      <w:r w:rsidRPr="009B6F7E">
        <w:t>) and those who took the 10</w:t>
      </w:r>
      <w:r w:rsidRPr="009B6F7E">
        <w:rPr>
          <w:vertAlign w:val="superscript"/>
        </w:rPr>
        <w:t>th</w:t>
      </w:r>
      <w:r w:rsidRPr="009B6F7E">
        <w:t xml:space="preserve"> grade test but did not </w:t>
      </w:r>
      <w:r w:rsidR="00447D22" w:rsidRPr="009B6F7E">
        <w:t>graduate two years later (15%</w:t>
      </w:r>
      <w:r w:rsidRPr="009B6F7E">
        <w:t xml:space="preserve">). </w:t>
      </w:r>
      <w:r w:rsidR="0053006E" w:rsidRPr="009B6F7E">
        <w:t>Thus, most students who d</w:t>
      </w:r>
      <w:r w:rsidR="00CD00E1" w:rsidRPr="009B6F7E">
        <w:t>id not graduate left</w:t>
      </w:r>
      <w:r w:rsidR="0053006E" w:rsidRPr="009B6F7E">
        <w:t xml:space="preserve"> the system after taking the 10</w:t>
      </w:r>
      <w:r w:rsidR="0053006E" w:rsidRPr="009B6F7E">
        <w:rPr>
          <w:vertAlign w:val="superscript"/>
        </w:rPr>
        <w:t>th</w:t>
      </w:r>
      <w:r w:rsidR="0053006E" w:rsidRPr="009B6F7E">
        <w:t xml:space="preserve"> grade examination; we focus first on </w:t>
      </w:r>
      <w:r w:rsidR="0053006E">
        <w:t>this population and return to the group who drop</w:t>
      </w:r>
      <w:r w:rsidR="000B5F35">
        <w:t>ped</w:t>
      </w:r>
      <w:r w:rsidR="0053006E">
        <w:t xml:space="preserve"> out before 10</w:t>
      </w:r>
      <w:r w:rsidR="0053006E" w:rsidRPr="0053006E">
        <w:rPr>
          <w:vertAlign w:val="superscript"/>
        </w:rPr>
        <w:t>th</w:t>
      </w:r>
      <w:r w:rsidR="0053006E">
        <w:t xml:space="preserve"> grade later in the paper.</w:t>
      </w:r>
    </w:p>
    <w:p w:rsidR="00ED7E2D" w:rsidRDefault="00ED7E2D" w:rsidP="00516638">
      <w:pPr>
        <w:widowControl w:val="0"/>
        <w:spacing w:line="480" w:lineRule="auto"/>
        <w:ind w:firstLine="720"/>
      </w:pPr>
      <w:r w:rsidRPr="00DD2DF4">
        <w:t>That students who passed the 10</w:t>
      </w:r>
      <w:r w:rsidRPr="00DD2DF4">
        <w:rPr>
          <w:vertAlign w:val="superscript"/>
        </w:rPr>
        <w:t>th</w:t>
      </w:r>
      <w:r w:rsidRPr="00DD2DF4">
        <w:t xml:space="preserve"> grade MCAS </w:t>
      </w:r>
      <w:r>
        <w:t>examination</w:t>
      </w:r>
      <w:r w:rsidRPr="00446C12">
        <w:t xml:space="preserve"> </w:t>
      </w:r>
      <w:r w:rsidRPr="00DD2DF4">
        <w:t xml:space="preserve">on their first attempt graduate at greater rates than students who fail is not surprising – all students must pass the </w:t>
      </w:r>
      <w:r w:rsidR="00447D22">
        <w:t>test</w:t>
      </w:r>
      <w:r w:rsidRPr="00446C12">
        <w:t xml:space="preserve"> </w:t>
      </w:r>
      <w:r w:rsidRPr="00DD2DF4">
        <w:t>to graduate.</w:t>
      </w:r>
      <w:r w:rsidR="00FB4A15">
        <w:t xml:space="preserve"> </w:t>
      </w:r>
      <w:r w:rsidRPr="00DD2DF4">
        <w:t>Of the 6</w:t>
      </w:r>
      <w:r>
        <w:t>6</w:t>
      </w:r>
      <w:r w:rsidRPr="00DD2DF4">
        <w:t>,</w:t>
      </w:r>
      <w:r w:rsidR="00447D22">
        <w:t>347</w:t>
      </w:r>
      <w:r w:rsidRPr="00DD2DF4">
        <w:t xml:space="preserve"> students in the 2006 graduating cohort who took the 10</w:t>
      </w:r>
      <w:r w:rsidRPr="00DD2DF4">
        <w:rPr>
          <w:vertAlign w:val="superscript"/>
        </w:rPr>
        <w:t>th</w:t>
      </w:r>
      <w:r w:rsidRPr="00DD2DF4">
        <w:t xml:space="preserve"> grade MCAS </w:t>
      </w:r>
      <w:r>
        <w:t>mathematics examination</w:t>
      </w:r>
      <w:r w:rsidRPr="00446C12">
        <w:t xml:space="preserve"> </w:t>
      </w:r>
      <w:r w:rsidRPr="00DD2DF4">
        <w:t xml:space="preserve">for the first time in 2004, 87% passed on their first try. </w:t>
      </w:r>
      <w:r w:rsidR="005D51F8">
        <w:t xml:space="preserve"> </w:t>
      </w:r>
      <w:r w:rsidRPr="00DD2DF4">
        <w:t xml:space="preserve">However, students who failed faced substantial risk of dropping out: only 50% of them went on to graduate on time, compared to 90% of </w:t>
      </w:r>
      <w:r w:rsidR="00187470">
        <w:t xml:space="preserve">the </w:t>
      </w:r>
      <w:r w:rsidRPr="00DD2DF4">
        <w:t>students who passed.</w:t>
      </w:r>
    </w:p>
    <w:p w:rsidR="00C92A7F" w:rsidRDefault="00070271" w:rsidP="00516638">
      <w:pPr>
        <w:widowControl w:val="0"/>
        <w:spacing w:line="480" w:lineRule="auto"/>
        <w:ind w:firstLine="720"/>
      </w:pPr>
      <w:r>
        <w:t xml:space="preserve">While striking, this descriptive pattern does not confirm that the exit examinations pose </w:t>
      </w:r>
      <w:r w:rsidR="00ED7E2D" w:rsidRPr="00DD2DF4">
        <w:t xml:space="preserve">a barrier to graduation. </w:t>
      </w:r>
      <w:r w:rsidR="00FB4A15">
        <w:t xml:space="preserve">A student’s </w:t>
      </w:r>
      <w:r w:rsidR="00FB4A15" w:rsidRPr="00DD2DF4">
        <w:t xml:space="preserve">MCAS scores are associated with a variety of </w:t>
      </w:r>
      <w:r w:rsidR="00FB4A15">
        <w:t>other characteristics</w:t>
      </w:r>
      <w:r w:rsidR="00FB4A15" w:rsidRPr="00DD2DF4">
        <w:t>, such as academic proficiency, motivation, and access to educational resources</w:t>
      </w:r>
      <w:r w:rsidR="00FB4A15">
        <w:t>,</w:t>
      </w:r>
      <w:r w:rsidR="00403D43">
        <w:t xml:space="preserve"> </w:t>
      </w:r>
      <w:r w:rsidR="00FB4A15" w:rsidRPr="00DD2DF4">
        <w:t xml:space="preserve">that also </w:t>
      </w:r>
      <w:r w:rsidR="00FB4A15">
        <w:t>affect</w:t>
      </w:r>
      <w:r w:rsidR="00FB4A15" w:rsidRPr="00DD2DF4">
        <w:t xml:space="preserve"> </w:t>
      </w:r>
      <w:r w:rsidR="00FB4A15">
        <w:t xml:space="preserve">their probability of </w:t>
      </w:r>
      <w:r w:rsidR="00FB4A15" w:rsidRPr="00DD2DF4">
        <w:t xml:space="preserve">graduation. </w:t>
      </w:r>
      <w:r w:rsidR="00266039">
        <w:t xml:space="preserve">As a result, we would expect </w:t>
      </w:r>
      <w:r w:rsidR="00FB4A15">
        <w:t>students who fail the examination</w:t>
      </w:r>
      <w:r w:rsidR="00ED7E2D" w:rsidRPr="00DD2DF4">
        <w:t xml:space="preserve"> </w:t>
      </w:r>
      <w:r w:rsidR="00266039">
        <w:t xml:space="preserve">to </w:t>
      </w:r>
      <w:r w:rsidR="00ED7E2D" w:rsidRPr="00DD2DF4">
        <w:t>drop out at greater rates</w:t>
      </w:r>
      <w:r w:rsidR="00FB4A15" w:rsidRPr="00DD2DF4">
        <w:t xml:space="preserve">, </w:t>
      </w:r>
      <w:r w:rsidR="00FB4A15">
        <w:t xml:space="preserve">even </w:t>
      </w:r>
      <w:r w:rsidR="00FB4A15" w:rsidRPr="00DD2DF4">
        <w:t xml:space="preserve">in the absence of any </w:t>
      </w:r>
      <w:r w:rsidR="00FB4A15">
        <w:t>testing requirement</w:t>
      </w:r>
      <w:r w:rsidR="00ED7E2D" w:rsidRPr="00DD2DF4">
        <w:t xml:space="preserve">. </w:t>
      </w:r>
      <w:r w:rsidR="00517894">
        <w:t>T</w:t>
      </w:r>
      <w:r w:rsidR="00ED7E2D">
        <w:t xml:space="preserve">he </w:t>
      </w:r>
      <w:r w:rsidR="005D51F8">
        <w:t xml:space="preserve">direct </w:t>
      </w:r>
      <w:r w:rsidR="00ED7E2D">
        <w:t xml:space="preserve">relationship between MCAS score and the graduation rate among </w:t>
      </w:r>
      <w:r w:rsidR="00ED7E2D" w:rsidRPr="00DD2DF4">
        <w:t xml:space="preserve">students who </w:t>
      </w:r>
      <w:r w:rsidR="00C36411">
        <w:t xml:space="preserve">did </w:t>
      </w:r>
      <w:r w:rsidR="00ED7E2D" w:rsidRPr="00DD2DF4">
        <w:t xml:space="preserve">pass the 2004 </w:t>
      </w:r>
      <w:r w:rsidR="00447D22">
        <w:t>test</w:t>
      </w:r>
      <w:r w:rsidR="00517894">
        <w:t xml:space="preserve"> provides evidence for this conclusion</w:t>
      </w:r>
      <w:r w:rsidR="00ED7E2D" w:rsidRPr="00DD2DF4">
        <w:t xml:space="preserve">. </w:t>
      </w:r>
      <w:r w:rsidR="00ED7E2D">
        <w:t xml:space="preserve">Among these students, </w:t>
      </w:r>
      <w:r w:rsidR="00ED7E2D" w:rsidRPr="00DD2DF4">
        <w:t>73% who just passed graduated on time</w:t>
      </w:r>
      <w:r w:rsidR="00ED7E2D">
        <w:t>,</w:t>
      </w:r>
      <w:r w:rsidR="00ED7E2D" w:rsidRPr="00DD2DF4">
        <w:t xml:space="preserve"> compared to 98% of students with a perfect score. Thus, </w:t>
      </w:r>
      <w:r w:rsidR="00ED7E2D">
        <w:t>a</w:t>
      </w:r>
      <w:r w:rsidR="00ED7E2D" w:rsidRPr="00DD2DF4">
        <w:t xml:space="preserve"> challenge in </w:t>
      </w:r>
      <w:r w:rsidR="00ED7E2D">
        <w:t xml:space="preserve">our </w:t>
      </w:r>
      <w:r w:rsidR="005D51F8">
        <w:t>current</w:t>
      </w:r>
      <w:r w:rsidR="005D51F8" w:rsidRPr="00DD2DF4">
        <w:t xml:space="preserve"> </w:t>
      </w:r>
      <w:r w:rsidR="00ED7E2D" w:rsidRPr="00DD2DF4">
        <w:t xml:space="preserve">study </w:t>
      </w:r>
      <w:r w:rsidR="000917B9">
        <w:t>involves</w:t>
      </w:r>
      <w:r w:rsidR="00ED7E2D">
        <w:t xml:space="preserve"> </w:t>
      </w:r>
      <w:r w:rsidR="00ED7E2D" w:rsidRPr="00DD2DF4">
        <w:t>disentangl</w:t>
      </w:r>
      <w:r w:rsidR="000917B9">
        <w:t>ing</w:t>
      </w:r>
      <w:r w:rsidR="00ED7E2D" w:rsidRPr="00DD2DF4">
        <w:t xml:space="preserve"> the effects </w:t>
      </w:r>
      <w:r w:rsidR="00ED7E2D">
        <w:t xml:space="preserve">of failing the examination from the effects </w:t>
      </w:r>
      <w:r w:rsidR="00ED7E2D" w:rsidRPr="00DD2DF4">
        <w:t>of student ability and other background characteristics related to test performance.</w:t>
      </w:r>
    </w:p>
    <w:p w:rsidR="00B80116" w:rsidRDefault="00ED7E2D" w:rsidP="00516638">
      <w:pPr>
        <w:widowControl w:val="0"/>
        <w:spacing w:line="480" w:lineRule="auto"/>
        <w:ind w:firstLine="720"/>
      </w:pPr>
      <w:r>
        <w:t xml:space="preserve">Conceptually, we would </w:t>
      </w:r>
      <w:r w:rsidR="00C92A7F">
        <w:t xml:space="preserve">like to take students who scored identically, right at the </w:t>
      </w:r>
      <w:r w:rsidR="005D51F8">
        <w:t xml:space="preserve">pass/fail </w:t>
      </w:r>
      <w:r w:rsidR="00C92A7F">
        <w:t>cut score, and randomly assign them to</w:t>
      </w:r>
      <w:r w:rsidR="00C667E8">
        <w:t xml:space="preserve"> either </w:t>
      </w:r>
      <w:r w:rsidR="00C92A7F">
        <w:t xml:space="preserve">“pass” or “fail” </w:t>
      </w:r>
      <w:r w:rsidR="00444E2E">
        <w:t>the test</w:t>
      </w:r>
      <w:r w:rsidR="00A367F7">
        <w:t>.</w:t>
      </w:r>
      <w:r w:rsidR="00C92A7F">
        <w:t xml:space="preserve"> </w:t>
      </w:r>
      <w:r w:rsidR="00425762">
        <w:t xml:space="preserve">By randomly assigning </w:t>
      </w:r>
      <w:r w:rsidR="00425762">
        <w:lastRenderedPageBreak/>
        <w:t>students, the two groups would be “equal on average”</w:t>
      </w:r>
      <w:r w:rsidR="005D51F8">
        <w:t xml:space="preserve"> on </w:t>
      </w:r>
      <w:r w:rsidR="00C92A7F">
        <w:t xml:space="preserve">all </w:t>
      </w:r>
      <w:r w:rsidR="00425762">
        <w:t xml:space="preserve">characteristics, both </w:t>
      </w:r>
      <w:r w:rsidR="00C92A7F">
        <w:t>observable and unobservable</w:t>
      </w:r>
      <w:r w:rsidR="00425762">
        <w:t>,</w:t>
      </w:r>
      <w:r w:rsidR="005D51F8">
        <w:t xml:space="preserve"> prior to </w:t>
      </w:r>
      <w:r w:rsidR="00C667E8">
        <w:t>treatment</w:t>
      </w:r>
      <w:r w:rsidR="00425762">
        <w:t xml:space="preserve">. We could then </w:t>
      </w:r>
      <w:r w:rsidR="00C92A7F">
        <w:t xml:space="preserve">identify any differences in </w:t>
      </w:r>
      <w:r w:rsidR="005D51F8">
        <w:t xml:space="preserve">the ultimate </w:t>
      </w:r>
      <w:r w:rsidR="00C92A7F">
        <w:t>outcome</w:t>
      </w:r>
      <w:r w:rsidR="00187470">
        <w:t xml:space="preserve"> (high </w:t>
      </w:r>
      <w:r w:rsidR="005D51F8">
        <w:t>school graduation)</w:t>
      </w:r>
      <w:r w:rsidR="00C92A7F">
        <w:t xml:space="preserve"> as a</w:t>
      </w:r>
      <w:r w:rsidR="005D51F8">
        <w:t xml:space="preserve"> causal </w:t>
      </w:r>
      <w:r w:rsidR="00C92A7F">
        <w:t xml:space="preserve">effect of failing the </w:t>
      </w:r>
      <w:r w:rsidR="00A367F7">
        <w:t>examination.</w:t>
      </w:r>
      <w:r w:rsidR="00C92A7F">
        <w:t xml:space="preserve"> Such an experiment</w:t>
      </w:r>
      <w:r w:rsidR="00070271">
        <w:t xml:space="preserve"> is, of course, </w:t>
      </w:r>
      <w:r w:rsidR="00C92A7F">
        <w:t xml:space="preserve">both impossible and unethical. </w:t>
      </w:r>
      <w:r w:rsidR="00070271">
        <w:t xml:space="preserve">However, we can take advantage of </w:t>
      </w:r>
      <w:r w:rsidR="005D51F8">
        <w:t xml:space="preserve">the </w:t>
      </w:r>
      <w:r w:rsidR="00055044">
        <w:t xml:space="preserve">state’s imposition of a </w:t>
      </w:r>
      <w:r w:rsidR="00070271">
        <w:t>minimum passing score</w:t>
      </w:r>
      <w:r w:rsidR="00055044">
        <w:t xml:space="preserve"> </w:t>
      </w:r>
      <w:r w:rsidR="00070271">
        <w:t xml:space="preserve">to </w:t>
      </w:r>
      <w:r w:rsidR="00C667E8">
        <w:t xml:space="preserve">provide a natural experiment from which </w:t>
      </w:r>
      <w:r w:rsidR="00381A04">
        <w:t xml:space="preserve">we can draw </w:t>
      </w:r>
      <w:r w:rsidR="00444E2E">
        <w:t>the same</w:t>
      </w:r>
      <w:r w:rsidR="00C667E8">
        <w:t xml:space="preserve"> causal conclusions</w:t>
      </w:r>
      <w:r w:rsidR="00070271">
        <w:t xml:space="preserve">. </w:t>
      </w:r>
      <w:r w:rsidR="00C92A7F">
        <w:t>By examining students with nearly identical MCAS performance</w:t>
      </w:r>
      <w:r w:rsidR="00443E4D">
        <w:t xml:space="preserve">, but just </w:t>
      </w:r>
      <w:r w:rsidR="00C92A7F">
        <w:t xml:space="preserve">on either side of </w:t>
      </w:r>
      <w:r w:rsidR="00C95955">
        <w:t>this</w:t>
      </w:r>
      <w:r w:rsidR="005D51F8">
        <w:t xml:space="preserve"> </w:t>
      </w:r>
      <w:r w:rsidR="00C92A7F">
        <w:t>cutoff</w:t>
      </w:r>
      <w:r w:rsidR="00B80116">
        <w:t xml:space="preserve">, we </w:t>
      </w:r>
      <w:r w:rsidR="00C92A7F">
        <w:t xml:space="preserve">can interpret </w:t>
      </w:r>
      <w:r w:rsidR="00D93228">
        <w:t xml:space="preserve">any </w:t>
      </w:r>
      <w:r w:rsidR="00C92A7F">
        <w:t xml:space="preserve">differences in </w:t>
      </w:r>
      <w:r w:rsidR="00D93228">
        <w:t xml:space="preserve">their </w:t>
      </w:r>
      <w:r w:rsidR="00C92A7F">
        <w:t xml:space="preserve">graduation outcomes as the causal effect of failing the </w:t>
      </w:r>
      <w:r w:rsidR="00BC0EB7">
        <w:t xml:space="preserve">examination </w:t>
      </w:r>
      <w:r w:rsidR="00B80116">
        <w:t xml:space="preserve">for </w:t>
      </w:r>
      <w:r w:rsidR="00C667E8">
        <w:t xml:space="preserve">these </w:t>
      </w:r>
      <w:r w:rsidR="00B80116">
        <w:t>students “on the margins” of passing</w:t>
      </w:r>
      <w:r w:rsidR="00C95955">
        <w:t xml:space="preserve"> (Shadish, Cook, &amp; </w:t>
      </w:r>
      <w:smartTag w:uri="urn:schemas-microsoft-com:office:smarttags" w:element="place">
        <w:smartTag w:uri="urn:schemas-microsoft-com:office:smarttags" w:element="City">
          <w:r w:rsidR="00C95955">
            <w:t>Campbell</w:t>
          </w:r>
        </w:smartTag>
      </w:smartTag>
      <w:r w:rsidR="00C95955">
        <w:t>, 2002)</w:t>
      </w:r>
      <w:r w:rsidR="00443DB4">
        <w:t>.</w:t>
      </w:r>
      <w:r w:rsidR="00B80116">
        <w:t xml:space="preserve"> </w:t>
      </w:r>
      <w:r w:rsidR="000117E0">
        <w:t xml:space="preserve">We discuss </w:t>
      </w:r>
      <w:r w:rsidR="005D51F8">
        <w:t xml:space="preserve">this regression discontinuity approach </w:t>
      </w:r>
      <w:r w:rsidR="003F207E">
        <w:t>in more detail</w:t>
      </w:r>
      <w:r w:rsidR="000117E0">
        <w:t xml:space="preserve"> in Section I</w:t>
      </w:r>
      <w:r w:rsidR="003250B0">
        <w:t>II</w:t>
      </w:r>
      <w:r w:rsidR="000117E0">
        <w:t xml:space="preserve">. </w:t>
      </w:r>
    </w:p>
    <w:p w:rsidR="00DE1946" w:rsidRDefault="00614F80" w:rsidP="00516638">
      <w:pPr>
        <w:widowControl w:val="0"/>
        <w:spacing w:line="480" w:lineRule="auto"/>
      </w:pPr>
      <w:r>
        <w:rPr>
          <w:u w:val="single"/>
        </w:rPr>
        <w:t>Research Questions</w:t>
      </w:r>
    </w:p>
    <w:p w:rsidR="00444E2E" w:rsidRDefault="00444E2E" w:rsidP="00444E2E">
      <w:pPr>
        <w:pStyle w:val="Default"/>
        <w:spacing w:line="480" w:lineRule="auto"/>
        <w:ind w:firstLine="720"/>
      </w:pPr>
      <w:r>
        <w:t>We first examine the effect of failing the 10</w:t>
      </w:r>
      <w:r w:rsidRPr="00444E2E">
        <w:rPr>
          <w:vertAlign w:val="superscript"/>
        </w:rPr>
        <w:t>th</w:t>
      </w:r>
      <w:r>
        <w:t xml:space="preserve"> grade examination, paying particular attention to impacts on low-income, urban students. We then attempt to explore the </w:t>
      </w:r>
      <w:r>
        <w:rPr>
          <w:i/>
          <w:iCs/>
        </w:rPr>
        <w:t xml:space="preserve">Fear of Failing </w:t>
      </w:r>
      <w:r>
        <w:t>effect that may arise as students predict they will not pass the 10</w:t>
      </w:r>
      <w:r w:rsidRPr="00444E2E">
        <w:rPr>
          <w:vertAlign w:val="superscript"/>
        </w:rPr>
        <w:t>th</w:t>
      </w:r>
      <w:r>
        <w:t xml:space="preserve"> grade test and drop out before even taking it. We cannot identify this effect cleanly, but we can get some sense of its magnitude by examining student performance on the 8</w:t>
      </w:r>
      <w:r w:rsidRPr="00444E2E">
        <w:rPr>
          <w:vertAlign w:val="superscript"/>
        </w:rPr>
        <w:t>th</w:t>
      </w:r>
      <w:r>
        <w:t xml:space="preserve"> grade test. Finally, we look at students who fail their 10</w:t>
      </w:r>
      <w:r w:rsidRPr="00444E2E">
        <w:rPr>
          <w:vertAlign w:val="superscript"/>
        </w:rPr>
        <w:t>th</w:t>
      </w:r>
      <w:r>
        <w:t xml:space="preserve"> grade test, examining their persistence and success on retests. We explore whether students who fail and drop out do so because of </w:t>
      </w:r>
      <w:r>
        <w:rPr>
          <w:i/>
          <w:iCs/>
        </w:rPr>
        <w:t xml:space="preserve">Discouragement </w:t>
      </w:r>
      <w:r>
        <w:t xml:space="preserve">(students give up and drop out after failing one or more of the examinations) or through </w:t>
      </w:r>
      <w:r>
        <w:rPr>
          <w:i/>
          <w:iCs/>
        </w:rPr>
        <w:t xml:space="preserve">Repeated Failure </w:t>
      </w:r>
      <w:r>
        <w:t xml:space="preserve">(after exhausting the available retest opportunities, students still have not satisfied the testing requirements). Specifically, we address three primary research questions: </w:t>
      </w:r>
    </w:p>
    <w:p w:rsidR="00444E2E" w:rsidRDefault="00444E2E" w:rsidP="00444E2E">
      <w:pPr>
        <w:pStyle w:val="Default"/>
        <w:ind w:firstLine="720"/>
      </w:pPr>
    </w:p>
    <w:p w:rsidR="00A570EF" w:rsidRDefault="0062490A" w:rsidP="00A570EF">
      <w:pPr>
        <w:widowControl w:val="0"/>
        <w:spacing w:line="480" w:lineRule="auto"/>
        <w:ind w:left="1260" w:hanging="540"/>
      </w:pPr>
      <w:r>
        <w:t>RQ</w:t>
      </w:r>
      <w:r w:rsidR="003442D1">
        <w:t>1</w:t>
      </w:r>
      <w:r w:rsidR="00860E11">
        <w:t xml:space="preserve">. </w:t>
      </w:r>
      <w:r w:rsidR="00136B15">
        <w:t>D</w:t>
      </w:r>
      <w:r w:rsidR="004C084B">
        <w:t>oes</w:t>
      </w:r>
      <w:r>
        <w:t xml:space="preserve"> </w:t>
      </w:r>
      <w:r w:rsidR="003A64B1">
        <w:t>failing the</w:t>
      </w:r>
      <w:r w:rsidR="00443DB4">
        <w:t xml:space="preserve"> </w:t>
      </w:r>
      <w:r w:rsidR="00DF7670">
        <w:t xml:space="preserve">high school exit </w:t>
      </w:r>
      <w:r w:rsidR="003A64B1">
        <w:t>exam</w:t>
      </w:r>
      <w:r w:rsidR="00443DB4">
        <w:t>ination</w:t>
      </w:r>
      <w:r w:rsidR="004C084B">
        <w:t xml:space="preserve"> </w:t>
      </w:r>
      <w:r w:rsidR="00C36411">
        <w:t>as a 10</w:t>
      </w:r>
      <w:r w:rsidR="00C36411" w:rsidRPr="00C36411">
        <w:rPr>
          <w:vertAlign w:val="superscript"/>
        </w:rPr>
        <w:t>th</w:t>
      </w:r>
      <w:r w:rsidR="00C36411">
        <w:t xml:space="preserve"> grader </w:t>
      </w:r>
      <w:r w:rsidR="003A64B1">
        <w:t xml:space="preserve">make </w:t>
      </w:r>
      <w:r w:rsidR="00136B15">
        <w:t>students</w:t>
      </w:r>
      <w:r w:rsidR="003A64B1">
        <w:t xml:space="preserve"> </w:t>
      </w:r>
      <w:r w:rsidR="00D93228">
        <w:t xml:space="preserve">on the margin of passing </w:t>
      </w:r>
      <w:r w:rsidR="003A64B1">
        <w:t>less like</w:t>
      </w:r>
      <w:r w:rsidR="006945B7">
        <w:t>ly</w:t>
      </w:r>
      <w:r w:rsidR="00A15AB3">
        <w:t xml:space="preserve"> to graduate from high school on time?</w:t>
      </w:r>
    </w:p>
    <w:p w:rsidR="005459E2" w:rsidRDefault="00136B15" w:rsidP="00444E2E">
      <w:pPr>
        <w:pStyle w:val="Default"/>
        <w:spacing w:line="480" w:lineRule="auto"/>
        <w:ind w:left="1260" w:hanging="540"/>
      </w:pPr>
      <w:r>
        <w:lastRenderedPageBreak/>
        <w:t>RQ</w:t>
      </w:r>
      <w:r w:rsidR="003442D1">
        <w:t>2</w:t>
      </w:r>
      <w:r w:rsidR="00644E09">
        <w:t xml:space="preserve">. </w:t>
      </w:r>
      <w:r w:rsidR="00444E2E">
        <w:t>Among students who fail the 10</w:t>
      </w:r>
      <w:r w:rsidR="00444E2E" w:rsidRPr="00444E2E">
        <w:rPr>
          <w:vertAlign w:val="superscript"/>
        </w:rPr>
        <w:t>th</w:t>
      </w:r>
      <w:r w:rsidR="00444E2E">
        <w:t xml:space="preserve"> grade exit examination and do not graduate</w:t>
      </w:r>
      <w:r w:rsidR="00443DB4">
        <w:t xml:space="preserve">, </w:t>
      </w:r>
      <w:r w:rsidR="005459E2">
        <w:t xml:space="preserve">is </w:t>
      </w:r>
      <w:r w:rsidR="00D07B14">
        <w:t xml:space="preserve">the primary mechanism </w:t>
      </w:r>
      <w:r w:rsidR="005D51F8">
        <w:t xml:space="preserve">one of </w:t>
      </w:r>
      <w:r w:rsidR="00D07B14" w:rsidRPr="005D51F8">
        <w:rPr>
          <w:i/>
        </w:rPr>
        <w:t>Discouragement</w:t>
      </w:r>
      <w:r w:rsidR="00D07B14">
        <w:t xml:space="preserve"> or </w:t>
      </w:r>
      <w:r w:rsidR="00D07B14" w:rsidRPr="005D51F8">
        <w:rPr>
          <w:i/>
        </w:rPr>
        <w:t>Repeated Failure</w:t>
      </w:r>
      <w:r w:rsidR="00D07B14">
        <w:t xml:space="preserve">? </w:t>
      </w:r>
    </w:p>
    <w:p w:rsidR="003442D1" w:rsidRDefault="003442D1" w:rsidP="003442D1">
      <w:pPr>
        <w:widowControl w:val="0"/>
        <w:spacing w:line="480" w:lineRule="auto"/>
        <w:ind w:left="1260" w:hanging="540"/>
      </w:pPr>
      <w:r>
        <w:t>RQ3. Does failing the 8</w:t>
      </w:r>
      <w:r w:rsidRPr="00A570EF">
        <w:rPr>
          <w:vertAlign w:val="superscript"/>
        </w:rPr>
        <w:t>th</w:t>
      </w:r>
      <w:r>
        <w:t xml:space="preserve"> grade test cause students on the margin of passing to drop out before taking the 10</w:t>
      </w:r>
      <w:r w:rsidRPr="00A570EF">
        <w:rPr>
          <w:vertAlign w:val="superscript"/>
        </w:rPr>
        <w:t>th</w:t>
      </w:r>
      <w:r>
        <w:t xml:space="preserve"> grade examination?</w:t>
      </w:r>
    </w:p>
    <w:p w:rsidR="00404254" w:rsidRDefault="00404254" w:rsidP="00516638">
      <w:pPr>
        <w:widowControl w:val="0"/>
        <w:rPr>
          <w:b/>
          <w:i/>
        </w:rPr>
      </w:pPr>
    </w:p>
    <w:p w:rsidR="00136B15" w:rsidRDefault="00136B15" w:rsidP="00516638">
      <w:pPr>
        <w:widowControl w:val="0"/>
        <w:rPr>
          <w:b/>
          <w:i/>
        </w:rPr>
      </w:pPr>
    </w:p>
    <w:p w:rsidR="00FA5D56" w:rsidRDefault="00B06968" w:rsidP="00516638">
      <w:pPr>
        <w:widowControl w:val="0"/>
        <w:spacing w:line="480" w:lineRule="auto"/>
        <w:rPr>
          <w:b/>
          <w:i/>
        </w:rPr>
      </w:pPr>
      <w:r>
        <w:rPr>
          <w:b/>
          <w:i/>
        </w:rPr>
        <w:t xml:space="preserve">III. </w:t>
      </w:r>
      <w:r w:rsidR="005D51F8">
        <w:rPr>
          <w:b/>
          <w:i/>
        </w:rPr>
        <w:t>Research Design</w:t>
      </w:r>
    </w:p>
    <w:p w:rsidR="008962B5" w:rsidRDefault="008962B5" w:rsidP="00516638">
      <w:pPr>
        <w:widowControl w:val="0"/>
        <w:spacing w:line="480" w:lineRule="auto"/>
        <w:rPr>
          <w:u w:val="single"/>
        </w:rPr>
      </w:pPr>
      <w:r w:rsidRPr="008962B5">
        <w:rPr>
          <w:u w:val="single"/>
        </w:rPr>
        <w:t>Data</w:t>
      </w:r>
      <w:r>
        <w:rPr>
          <w:u w:val="single"/>
        </w:rPr>
        <w:t xml:space="preserve"> Sources</w:t>
      </w:r>
    </w:p>
    <w:p w:rsidR="002C311A" w:rsidRDefault="00DF7670" w:rsidP="00516638">
      <w:pPr>
        <w:widowControl w:val="0"/>
        <w:spacing w:line="480" w:lineRule="auto"/>
        <w:ind w:firstLine="720"/>
      </w:pPr>
      <w:r>
        <w:t xml:space="preserve">The </w:t>
      </w:r>
      <w:r w:rsidR="003A64B1">
        <w:t xml:space="preserve">Massachusetts Department of </w:t>
      </w:r>
      <w:r w:rsidR="00FC0340">
        <w:t xml:space="preserve">Elementary and Secondary </w:t>
      </w:r>
      <w:r w:rsidR="003A64B1">
        <w:t xml:space="preserve">Education </w:t>
      </w:r>
      <w:r w:rsidR="001530B6">
        <w:t xml:space="preserve">has </w:t>
      </w:r>
      <w:r w:rsidR="003A64B1">
        <w:t xml:space="preserve">compiled a </w:t>
      </w:r>
      <w:r w:rsidR="00D779EC">
        <w:t>comprehensive</w:t>
      </w:r>
      <w:r w:rsidR="003A64B1">
        <w:t xml:space="preserve"> </w:t>
      </w:r>
      <w:r w:rsidR="00C74FD1">
        <w:t>database</w:t>
      </w:r>
      <w:r w:rsidR="003A64B1">
        <w:t xml:space="preserve"> </w:t>
      </w:r>
      <w:r w:rsidR="00DD4E07">
        <w:t>that track</w:t>
      </w:r>
      <w:r w:rsidR="00B06968">
        <w:t>s</w:t>
      </w:r>
      <w:r w:rsidR="00DD4E07">
        <w:t xml:space="preserve"> students </w:t>
      </w:r>
      <w:r w:rsidR="005D51F8">
        <w:t xml:space="preserve">longitudinally </w:t>
      </w:r>
      <w:r w:rsidR="00DD4E07">
        <w:t xml:space="preserve">throughout high school, </w:t>
      </w:r>
      <w:r w:rsidR="00B06968">
        <w:t>allowing</w:t>
      </w:r>
      <w:r w:rsidR="00DD4E07">
        <w:t xml:space="preserve"> for clear </w:t>
      </w:r>
      <w:r w:rsidR="002C2137">
        <w:t xml:space="preserve">description </w:t>
      </w:r>
      <w:r w:rsidR="00DD4E07">
        <w:t>of student graduation outcomes</w:t>
      </w:r>
      <w:r w:rsidR="00B06968">
        <w:t>. F</w:t>
      </w:r>
      <w:r w:rsidR="003A64B1">
        <w:t xml:space="preserve">or the </w:t>
      </w:r>
      <w:r w:rsidR="00791623">
        <w:t>2006 graduatin</w:t>
      </w:r>
      <w:r w:rsidR="00187470">
        <w:t>g</w:t>
      </w:r>
      <w:r w:rsidR="00791623">
        <w:t xml:space="preserve"> </w:t>
      </w:r>
      <w:r w:rsidR="003A64B1">
        <w:t xml:space="preserve">cohort, the records </w:t>
      </w:r>
      <w:r w:rsidR="002C2137">
        <w:t xml:space="preserve">contain </w:t>
      </w:r>
      <w:r w:rsidR="003A64B1">
        <w:t xml:space="preserve">each student’s MCAS mathematics and ELA test results, demographic characteristics, and </w:t>
      </w:r>
      <w:r w:rsidR="00266039">
        <w:t>status</w:t>
      </w:r>
      <w:r>
        <w:t xml:space="preserve"> at cohort graduation</w:t>
      </w:r>
      <w:r w:rsidR="006C0E64">
        <w:t>, including</w:t>
      </w:r>
      <w:r>
        <w:t xml:space="preserve"> whether the student graduated, dropped out, is still enrolled, transferred out, was expelled, or any of eleven possible outcomes. </w:t>
      </w:r>
      <w:r w:rsidR="00C80A79">
        <w:t xml:space="preserve">This dataset allows for much more precise </w:t>
      </w:r>
      <w:r w:rsidR="00BF6D6F">
        <w:t xml:space="preserve">estimation </w:t>
      </w:r>
      <w:r w:rsidR="00C80A79">
        <w:t xml:space="preserve">of </w:t>
      </w:r>
      <w:r w:rsidR="00961BC1">
        <w:t xml:space="preserve">the probability of </w:t>
      </w:r>
      <w:r w:rsidR="00C80A79">
        <w:t xml:space="preserve">high school completion than </w:t>
      </w:r>
      <w:r w:rsidR="002C2137">
        <w:t xml:space="preserve">do </w:t>
      </w:r>
      <w:r w:rsidR="00C80A79">
        <w:t>previous studies</w:t>
      </w:r>
      <w:r w:rsidR="00BF6D6F">
        <w:t>,</w:t>
      </w:r>
      <w:r w:rsidR="00C80A79">
        <w:t xml:space="preserve"> and </w:t>
      </w:r>
      <w:r w:rsidR="00381A04">
        <w:t xml:space="preserve">it </w:t>
      </w:r>
      <w:r w:rsidR="002C2137">
        <w:t xml:space="preserve">permits investigation of the </w:t>
      </w:r>
      <w:r w:rsidR="00C80A79">
        <w:t>direct link between student performance on high-stakes test</w:t>
      </w:r>
      <w:r w:rsidR="004A19CD">
        <w:t>s</w:t>
      </w:r>
      <w:r w:rsidR="00C80A79">
        <w:t xml:space="preserve"> and graduation outcomes</w:t>
      </w:r>
      <w:r w:rsidR="002C2137">
        <w:t xml:space="preserve"> at the individual level</w:t>
      </w:r>
      <w:r w:rsidR="00C80A79">
        <w:t xml:space="preserve">. </w:t>
      </w:r>
    </w:p>
    <w:p w:rsidR="00D779EC" w:rsidRDefault="002C2137" w:rsidP="00516638">
      <w:pPr>
        <w:widowControl w:val="0"/>
        <w:spacing w:line="480" w:lineRule="auto"/>
        <w:ind w:firstLine="720"/>
      </w:pPr>
      <w:r>
        <w:t xml:space="preserve">Our </w:t>
      </w:r>
      <w:r w:rsidR="00DF7670">
        <w:t xml:space="preserve">dataset </w:t>
      </w:r>
      <w:r w:rsidR="001530B6">
        <w:t>includes 83,892 student records</w:t>
      </w:r>
      <w:r w:rsidR="00187470">
        <w:t xml:space="preserve"> from across the state of </w:t>
      </w:r>
      <w:smartTag w:uri="urn:schemas-microsoft-com:office:smarttags" w:element="place">
        <w:smartTag w:uri="urn:schemas-microsoft-com:office:smarttags" w:element="State">
          <w:r w:rsidR="00187470">
            <w:t>Massachusetts</w:t>
          </w:r>
        </w:smartTag>
      </w:smartTag>
      <w:r w:rsidR="001530B6">
        <w:t xml:space="preserve">. </w:t>
      </w:r>
      <w:r w:rsidR="004A19CD">
        <w:t>To analyze the effect of failing the 10</w:t>
      </w:r>
      <w:r w:rsidR="004A19CD" w:rsidRPr="004A19CD">
        <w:rPr>
          <w:vertAlign w:val="superscript"/>
        </w:rPr>
        <w:t>th</w:t>
      </w:r>
      <w:r w:rsidR="004A19CD">
        <w:t xml:space="preserve"> grade examination </w:t>
      </w:r>
      <w:r w:rsidR="00F41BBD">
        <w:t>(</w:t>
      </w:r>
      <w:r w:rsidR="004A19CD">
        <w:t xml:space="preserve">our </w:t>
      </w:r>
      <w:r w:rsidR="00FB4A15">
        <w:t xml:space="preserve">first </w:t>
      </w:r>
      <w:r w:rsidR="004A19CD">
        <w:t>research question</w:t>
      </w:r>
      <w:r w:rsidR="00F41BBD">
        <w:t>)</w:t>
      </w:r>
      <w:r w:rsidR="004A19CD">
        <w:t xml:space="preserve">, </w:t>
      </w:r>
      <w:r w:rsidR="00C80A79">
        <w:t xml:space="preserve">we focus on members of the </w:t>
      </w:r>
      <w:r w:rsidR="00FB4A15">
        <w:t xml:space="preserve">2006 graduating </w:t>
      </w:r>
      <w:r w:rsidR="00C80A79">
        <w:t>cohort who first took the 10</w:t>
      </w:r>
      <w:r w:rsidR="00C80A79" w:rsidRPr="00BE3A0E">
        <w:rPr>
          <w:vertAlign w:val="superscript"/>
        </w:rPr>
        <w:t>th</w:t>
      </w:r>
      <w:r w:rsidR="00C80A79">
        <w:t xml:space="preserve"> grade mathematics MCAS </w:t>
      </w:r>
      <w:r w:rsidR="00BC0EB7">
        <w:t xml:space="preserve">examination </w:t>
      </w:r>
      <w:r w:rsidR="00C80A79">
        <w:t xml:space="preserve">as sophomores in 2004 and for whom </w:t>
      </w:r>
      <w:r w:rsidR="001530B6">
        <w:t xml:space="preserve">the </w:t>
      </w:r>
      <w:r w:rsidR="00BC0EB7">
        <w:t xml:space="preserve">examination </w:t>
      </w:r>
      <w:r w:rsidR="001530B6">
        <w:t xml:space="preserve">was a high-stakes test. </w:t>
      </w:r>
      <w:r w:rsidR="004A19CD">
        <w:t>This sample thus includes students who entered the state between 8</w:t>
      </w:r>
      <w:r w:rsidR="004A19CD" w:rsidRPr="004A19CD">
        <w:rPr>
          <w:vertAlign w:val="superscript"/>
        </w:rPr>
        <w:t>th</w:t>
      </w:r>
      <w:r w:rsidR="004A19CD">
        <w:t xml:space="preserve"> and 10</w:t>
      </w:r>
      <w:r w:rsidR="004A19CD" w:rsidRPr="004A19CD">
        <w:rPr>
          <w:vertAlign w:val="superscript"/>
        </w:rPr>
        <w:t>th</w:t>
      </w:r>
      <w:r w:rsidR="004A19CD">
        <w:t xml:space="preserve"> grade and those who missed the 8</w:t>
      </w:r>
      <w:r w:rsidR="004A19CD" w:rsidRPr="004A19CD">
        <w:rPr>
          <w:vertAlign w:val="superscript"/>
        </w:rPr>
        <w:t>th</w:t>
      </w:r>
      <w:r w:rsidR="004A19CD">
        <w:t xml:space="preserve"> grade examination, but it does not include students who entered the state after 10</w:t>
      </w:r>
      <w:r w:rsidR="004A19CD" w:rsidRPr="004A19CD">
        <w:rPr>
          <w:vertAlign w:val="superscript"/>
        </w:rPr>
        <w:t>th</w:t>
      </w:r>
      <w:r w:rsidR="004A19CD">
        <w:t xml:space="preserve"> </w:t>
      </w:r>
      <w:r w:rsidR="004A19CD">
        <w:lastRenderedPageBreak/>
        <w:t xml:space="preserve">grade. </w:t>
      </w:r>
      <w:r>
        <w:t xml:space="preserve">Our </w:t>
      </w:r>
      <w:r w:rsidR="00EA0B24">
        <w:t xml:space="preserve">final sample </w:t>
      </w:r>
      <w:r w:rsidR="00C80A79">
        <w:t xml:space="preserve">for </w:t>
      </w:r>
      <w:r w:rsidR="00F41BBD">
        <w:t xml:space="preserve">addressing </w:t>
      </w:r>
      <w:r>
        <w:t xml:space="preserve">the </w:t>
      </w:r>
      <w:r w:rsidR="00FB4A15">
        <w:t xml:space="preserve">first </w:t>
      </w:r>
      <w:r>
        <w:t xml:space="preserve">research question </w:t>
      </w:r>
      <w:r w:rsidR="00EA0B24">
        <w:t>includes 66,347</w:t>
      </w:r>
      <w:r w:rsidR="004C084B">
        <w:t xml:space="preserve"> students</w:t>
      </w:r>
      <w:r w:rsidR="00181822">
        <w:t>.</w:t>
      </w:r>
      <w:r w:rsidR="00046E5C">
        <w:rPr>
          <w:rStyle w:val="FootnoteReference"/>
        </w:rPr>
        <w:footnoteReference w:id="4"/>
      </w:r>
      <w:r w:rsidR="00FB4A15">
        <w:t xml:space="preserve"> To address our third research question, we use the 69,127 students in the same cohort who took the 8</w:t>
      </w:r>
      <w:r w:rsidR="00FB4A15" w:rsidRPr="00C80A79">
        <w:rPr>
          <w:vertAlign w:val="superscript"/>
        </w:rPr>
        <w:t>th</w:t>
      </w:r>
      <w:r w:rsidR="00FB4A15">
        <w:t xml:space="preserve"> grade mathematics examination. This sample includes students who dropped out of school before 10</w:t>
      </w:r>
      <w:r w:rsidR="00FB4A15" w:rsidRPr="004A19CD">
        <w:rPr>
          <w:vertAlign w:val="superscript"/>
        </w:rPr>
        <w:t>th</w:t>
      </w:r>
      <w:r w:rsidR="00FB4A15">
        <w:t xml:space="preserve"> grade.</w:t>
      </w:r>
    </w:p>
    <w:p w:rsidR="008962B5" w:rsidRDefault="001D748D" w:rsidP="00516638">
      <w:pPr>
        <w:widowControl w:val="0"/>
        <w:spacing w:line="480" w:lineRule="auto"/>
      </w:pPr>
      <w:r>
        <w:rPr>
          <w:u w:val="single"/>
        </w:rPr>
        <w:t>Measures</w:t>
      </w:r>
    </w:p>
    <w:p w:rsidR="00F72288" w:rsidRDefault="0050504B" w:rsidP="00FC0340">
      <w:pPr>
        <w:pStyle w:val="Default"/>
        <w:spacing w:line="480" w:lineRule="auto"/>
        <w:ind w:firstLine="720"/>
      </w:pPr>
      <w:r>
        <w:t xml:space="preserve">To </w:t>
      </w:r>
      <w:r w:rsidR="003F207E">
        <w:t xml:space="preserve">address </w:t>
      </w:r>
      <w:r w:rsidR="002C2137">
        <w:t>our first research question</w:t>
      </w:r>
      <w:r>
        <w:t xml:space="preserve">, we </w:t>
      </w:r>
      <w:r w:rsidR="002C2137">
        <w:t xml:space="preserve">created </w:t>
      </w:r>
      <w:r>
        <w:t>a dichotomous outcome</w:t>
      </w:r>
      <w:r w:rsidR="002C2137">
        <w:t xml:space="preserve"> variable, </w:t>
      </w:r>
      <w:r w:rsidR="006368CA">
        <w:t xml:space="preserve">named </w:t>
      </w:r>
      <w:r w:rsidR="00C67485" w:rsidRPr="00C67485">
        <w:rPr>
          <w:i/>
        </w:rPr>
        <w:t>GRAD</w:t>
      </w:r>
      <w:r w:rsidR="00C67485">
        <w:t xml:space="preserve">, </w:t>
      </w:r>
      <w:r w:rsidR="006368CA">
        <w:t>that indicate</w:t>
      </w:r>
      <w:r w:rsidR="004014CD">
        <w:t>s</w:t>
      </w:r>
      <w:r w:rsidR="006368CA">
        <w:t xml:space="preserve"> </w:t>
      </w:r>
      <w:r w:rsidR="008E74E0">
        <w:t xml:space="preserve">whether the </w:t>
      </w:r>
      <w:r w:rsidR="002B45F4">
        <w:t xml:space="preserve">student graduated </w:t>
      </w:r>
      <w:r w:rsidR="00D55B52">
        <w:t xml:space="preserve">from </w:t>
      </w:r>
      <w:r w:rsidR="002B45F4">
        <w:t xml:space="preserve">high school </w:t>
      </w:r>
      <w:r w:rsidR="00046E5C">
        <w:t xml:space="preserve">in </w:t>
      </w:r>
      <w:smartTag w:uri="urn:schemas-microsoft-com:office:smarttags" w:element="State">
        <w:r w:rsidR="00046E5C">
          <w:t>Massachusetts</w:t>
        </w:r>
      </w:smartTag>
      <w:r w:rsidR="00046E5C">
        <w:t xml:space="preserve"> </w:t>
      </w:r>
      <w:r w:rsidR="002B45F4">
        <w:t>on time in</w:t>
      </w:r>
      <w:r w:rsidR="008E74E0">
        <w:t xml:space="preserve"> 2006</w:t>
      </w:r>
      <w:r w:rsidR="00386593">
        <w:t xml:space="preserve"> (</w:t>
      </w:r>
      <w:r w:rsidR="00C67485">
        <w:t>1</w:t>
      </w:r>
      <w:r w:rsidR="006368CA">
        <w:t xml:space="preserve">=graduated </w:t>
      </w:r>
      <w:r w:rsidR="00C67485">
        <w:t>on-time</w:t>
      </w:r>
      <w:r w:rsidR="00B02918">
        <w:t xml:space="preserve"> in </w:t>
      </w:r>
      <w:smartTag w:uri="urn:schemas-microsoft-com:office:smarttags" w:element="State">
        <w:smartTag w:uri="urn:schemas-microsoft-com:office:smarttags" w:element="place">
          <w:r w:rsidR="00B02918">
            <w:t>Massachusetts</w:t>
          </w:r>
        </w:smartTag>
      </w:smartTag>
      <w:r w:rsidR="00C67485">
        <w:t>; 0 otherwise</w:t>
      </w:r>
      <w:r w:rsidR="00386593">
        <w:t>)</w:t>
      </w:r>
      <w:r w:rsidR="00C67485">
        <w:t>.</w:t>
      </w:r>
      <w:r w:rsidR="00127F41">
        <w:t xml:space="preserve"> </w:t>
      </w:r>
      <w:r w:rsidR="00FB4A15" w:rsidRPr="0013538A">
        <w:t xml:space="preserve">Districts report </w:t>
      </w:r>
      <w:r w:rsidR="00FB4A15">
        <w:t xml:space="preserve">the values of individual </w:t>
      </w:r>
      <w:r w:rsidR="00FB4A15" w:rsidRPr="0013538A">
        <w:t xml:space="preserve">student graduation outcomes </w:t>
      </w:r>
      <w:r w:rsidR="00FB4A15">
        <w:t xml:space="preserve">to the Department of </w:t>
      </w:r>
      <w:r w:rsidR="00FC0340">
        <w:t xml:space="preserve">Elementary and Secondary </w:t>
      </w:r>
      <w:r w:rsidR="00FB4A15">
        <w:t xml:space="preserve">Education using </w:t>
      </w:r>
      <w:r w:rsidR="00FB4A15" w:rsidRPr="0013538A">
        <w:t xml:space="preserve">the </w:t>
      </w:r>
      <w:r w:rsidR="00FB4A15">
        <w:t xml:space="preserve">state’s </w:t>
      </w:r>
      <w:r w:rsidR="00FB4A15" w:rsidRPr="006368CA">
        <w:rPr>
          <w:i/>
        </w:rPr>
        <w:t>Student Information Management System</w:t>
      </w:r>
      <w:r w:rsidR="00FB4A15" w:rsidRPr="0013538A">
        <w:t xml:space="preserve"> (SIMS).</w:t>
      </w:r>
      <w:r w:rsidR="00FB4A15">
        <w:t xml:space="preserve"> Note that students can</w:t>
      </w:r>
      <w:r w:rsidR="004014CD">
        <w:t xml:space="preserve"> be coded as zero either for dropping out of school</w:t>
      </w:r>
      <w:r w:rsidR="000B5F35">
        <w:t xml:space="preserve">, </w:t>
      </w:r>
      <w:r w:rsidR="004014CD">
        <w:t xml:space="preserve">for moving </w:t>
      </w:r>
      <w:r w:rsidR="000B5F35">
        <w:t xml:space="preserve">out of state before graduation, or for continuing in high school without graduating. </w:t>
      </w:r>
      <w:r w:rsidR="00FC0340">
        <w:t>In Section V, we explore the sensitivity of our results to this outcome definition. We created several additional outcome variables for the descriptive analyses that we used to address our second research question. For students who failed the examination, we created dichotomous outcomes that indicate whether the student retook the test (</w:t>
      </w:r>
      <w:r w:rsidR="00FC0340">
        <w:rPr>
          <w:i/>
          <w:iCs/>
        </w:rPr>
        <w:t>RETAKE</w:t>
      </w:r>
      <w:r w:rsidR="00FC0340">
        <w:t>) and whether they passed this retest (</w:t>
      </w:r>
      <w:r w:rsidR="00FC0340">
        <w:rPr>
          <w:i/>
          <w:iCs/>
        </w:rPr>
        <w:t>RETAKE_PASS</w:t>
      </w:r>
      <w:r w:rsidR="00FC0340">
        <w:t xml:space="preserve">). Finally, to address our third research question, we created another dichotomous outcome measure, named </w:t>
      </w:r>
      <w:r w:rsidR="00FC0340">
        <w:rPr>
          <w:i/>
          <w:iCs/>
        </w:rPr>
        <w:t>TAKE10th</w:t>
      </w:r>
      <w:r w:rsidR="00FC0340">
        <w:t>, that indicates whether a student who took the 8</w:t>
      </w:r>
      <w:r w:rsidR="00FC0340" w:rsidRPr="00FC0340">
        <w:rPr>
          <w:vertAlign w:val="superscript"/>
        </w:rPr>
        <w:t>th</w:t>
      </w:r>
      <w:r w:rsidR="00FC0340">
        <w:t xml:space="preserve"> grade mathematics examination persisted in school to take the 10</w:t>
      </w:r>
      <w:r w:rsidR="00FC0340" w:rsidRPr="00FC0340">
        <w:rPr>
          <w:vertAlign w:val="superscript"/>
        </w:rPr>
        <w:t>th</w:t>
      </w:r>
      <w:r w:rsidR="00FC0340">
        <w:t xml:space="preserve"> grade test (1=persisted to take the test; 0 otherwise). </w:t>
      </w:r>
    </w:p>
    <w:p w:rsidR="00C67485" w:rsidRDefault="00C67485" w:rsidP="00FC0340">
      <w:pPr>
        <w:pStyle w:val="Default"/>
        <w:spacing w:line="480" w:lineRule="auto"/>
        <w:ind w:firstLine="720"/>
      </w:pPr>
      <w:r>
        <w:lastRenderedPageBreak/>
        <w:t>The dataset contains a record of scores</w:t>
      </w:r>
      <w:r w:rsidR="00447D22">
        <w:t xml:space="preserve"> from every MCAS mathematics and ELA</w:t>
      </w:r>
      <w:r>
        <w:t xml:space="preserve"> examination that </w:t>
      </w:r>
      <w:r w:rsidR="00565010">
        <w:t xml:space="preserve">each </w:t>
      </w:r>
      <w:r>
        <w:t xml:space="preserve">student took </w:t>
      </w:r>
      <w:r w:rsidR="00473E55">
        <w:t>from 8</w:t>
      </w:r>
      <w:r w:rsidR="00473E55" w:rsidRPr="00473E55">
        <w:rPr>
          <w:vertAlign w:val="superscript"/>
        </w:rPr>
        <w:t>th</w:t>
      </w:r>
      <w:r w:rsidR="00473E55">
        <w:t xml:space="preserve"> grade</w:t>
      </w:r>
      <w:r w:rsidR="00473E55">
        <w:rPr>
          <w:rStyle w:val="FootnoteReference"/>
        </w:rPr>
        <w:footnoteReference w:id="5"/>
      </w:r>
      <w:r w:rsidR="00473E55">
        <w:t xml:space="preserve"> </w:t>
      </w:r>
      <w:r>
        <w:t>through high school graduation. The state reports raw scores, scaled scores, and pe</w:t>
      </w:r>
      <w:r w:rsidR="002C311A">
        <w:t>rformance level</w:t>
      </w:r>
      <w:r w:rsidR="00F60AF9">
        <w:t xml:space="preserve"> for each test</w:t>
      </w:r>
      <w:r>
        <w:t xml:space="preserve">. A </w:t>
      </w:r>
      <w:r w:rsidR="002C311A">
        <w:t xml:space="preserve">scaled </w:t>
      </w:r>
      <w:r>
        <w:t xml:space="preserve">score of 220 qualifies as passing, with a different performance rating each 20 points, as follows: (a) </w:t>
      </w:r>
      <w:r w:rsidRPr="006368CA">
        <w:rPr>
          <w:i/>
        </w:rPr>
        <w:t>200 to 218</w:t>
      </w:r>
      <w:r>
        <w:t xml:space="preserve">: Failing, (b) </w:t>
      </w:r>
      <w:r w:rsidRPr="006368CA">
        <w:rPr>
          <w:i/>
        </w:rPr>
        <w:t>220 to 238</w:t>
      </w:r>
      <w:r>
        <w:t xml:space="preserve">: Needs Improvement, (c) </w:t>
      </w:r>
      <w:r w:rsidRPr="006368CA">
        <w:rPr>
          <w:i/>
        </w:rPr>
        <w:t>240 to 258</w:t>
      </w:r>
      <w:r>
        <w:t xml:space="preserve">: Proficient, and (d) </w:t>
      </w:r>
      <w:r w:rsidRPr="006368CA">
        <w:rPr>
          <w:i/>
        </w:rPr>
        <w:t>260 to 280</w:t>
      </w:r>
      <w:r>
        <w:t>: Advance</w:t>
      </w:r>
      <w:r w:rsidR="00447D22">
        <w:t xml:space="preserve">d. </w:t>
      </w:r>
      <w:r w:rsidR="004A4002">
        <w:t xml:space="preserve">Since </w:t>
      </w:r>
      <w:r>
        <w:t>multiple raw scores translat</w:t>
      </w:r>
      <w:r w:rsidR="004A4002">
        <w:t>e</w:t>
      </w:r>
      <w:r>
        <w:t xml:space="preserve"> to a single scaled score, we use raw scores in our analyses</w:t>
      </w:r>
      <w:r w:rsidR="004A4002">
        <w:t xml:space="preserve"> in order to preserve fine-grained performance differences on the test</w:t>
      </w:r>
      <w:r>
        <w:t>.</w:t>
      </w:r>
      <w:r>
        <w:rPr>
          <w:rStyle w:val="FootnoteReference"/>
        </w:rPr>
        <w:footnoteReference w:id="6"/>
      </w:r>
      <w:r>
        <w:t xml:space="preserve"> </w:t>
      </w:r>
      <w:r w:rsidR="000173C4">
        <w:t xml:space="preserve">For the </w:t>
      </w:r>
      <w:r w:rsidR="0088375A">
        <w:t>10</w:t>
      </w:r>
      <w:r w:rsidR="0088375A" w:rsidRPr="0088375A">
        <w:rPr>
          <w:vertAlign w:val="superscript"/>
        </w:rPr>
        <w:t>th</w:t>
      </w:r>
      <w:r w:rsidR="0088375A">
        <w:t xml:space="preserve"> grade </w:t>
      </w:r>
      <w:r w:rsidR="000173C4">
        <w:t>math</w:t>
      </w:r>
      <w:r w:rsidR="005459E2">
        <w:t>ematics</w:t>
      </w:r>
      <w:r w:rsidR="000173C4">
        <w:t xml:space="preserve"> examination, raw</w:t>
      </w:r>
      <w:r>
        <w:t xml:space="preserve"> score</w:t>
      </w:r>
      <w:r w:rsidR="000173C4">
        <w:t>s</w:t>
      </w:r>
      <w:r>
        <w:t xml:space="preserve"> ranged from 0 to 60; students who earned more than 20 points passed the </w:t>
      </w:r>
      <w:r w:rsidR="00447D22">
        <w:t>test</w:t>
      </w:r>
      <w:r>
        <w:t>.</w:t>
      </w:r>
      <w:r w:rsidR="0088375A">
        <w:rPr>
          <w:rStyle w:val="FootnoteReference"/>
        </w:rPr>
        <w:footnoteReference w:id="7"/>
      </w:r>
      <w:r>
        <w:t xml:space="preserve"> To implement our regression discontinuity </w:t>
      </w:r>
      <w:r w:rsidR="003F207E">
        <w:t>approach</w:t>
      </w:r>
      <w:r>
        <w:t>, we center</w:t>
      </w:r>
      <w:r w:rsidR="002C311A">
        <w:t>ed</w:t>
      </w:r>
      <w:r>
        <w:t xml:space="preserve"> </w:t>
      </w:r>
      <w:r w:rsidR="00D93228">
        <w:t xml:space="preserve">students’ </w:t>
      </w:r>
      <w:r>
        <w:t>raw score</w:t>
      </w:r>
      <w:r w:rsidR="006368CA">
        <w:t>s</w:t>
      </w:r>
      <w:r>
        <w:t xml:space="preserve"> by subtracting out the </w:t>
      </w:r>
      <w:r w:rsidR="006368CA">
        <w:t xml:space="preserve">value of the corresponding </w:t>
      </w:r>
      <w:r w:rsidR="00BD0A15">
        <w:t xml:space="preserve">minimum </w:t>
      </w:r>
      <w:r>
        <w:t>passing score</w:t>
      </w:r>
      <w:r w:rsidR="00BD0A15">
        <w:t xml:space="preserve">.  </w:t>
      </w:r>
      <w:r w:rsidR="00FC0340">
        <w:t xml:space="preserve">On these re-centered continuous predictors, </w:t>
      </w:r>
      <w:r w:rsidR="00FC0340">
        <w:rPr>
          <w:i/>
          <w:iCs/>
        </w:rPr>
        <w:t xml:space="preserve">MATH </w:t>
      </w:r>
      <w:r w:rsidR="00FC0340">
        <w:t xml:space="preserve">and </w:t>
      </w:r>
      <w:r w:rsidR="00FC0340">
        <w:rPr>
          <w:i/>
          <w:iCs/>
        </w:rPr>
        <w:t>ELA</w:t>
      </w:r>
      <w:r w:rsidR="00FC0340">
        <w:t xml:space="preserve">, a student with a score of zero had achieved the minimum passing score. </w:t>
      </w:r>
      <w:r>
        <w:t>We also create</w:t>
      </w:r>
      <w:r w:rsidR="000A177D">
        <w:t>d</w:t>
      </w:r>
      <w:r>
        <w:t xml:space="preserve"> a dichotomous predictor, </w:t>
      </w:r>
      <w:r w:rsidRPr="00CF01DC">
        <w:rPr>
          <w:i/>
          <w:iCs/>
        </w:rPr>
        <w:t>PASS</w:t>
      </w:r>
      <w:r>
        <w:t xml:space="preserve">, to </w:t>
      </w:r>
      <w:r w:rsidR="006368CA">
        <w:t xml:space="preserve">indicate </w:t>
      </w:r>
      <w:r>
        <w:t>whether the student passed the examination (</w:t>
      </w:r>
      <w:r w:rsidR="006368CA">
        <w:t>1=</w:t>
      </w:r>
      <w:r>
        <w:t xml:space="preserve">student passed; 0 otherwise). </w:t>
      </w:r>
    </w:p>
    <w:p w:rsidR="003F207E" w:rsidRDefault="003F207E" w:rsidP="003F207E">
      <w:pPr>
        <w:widowControl w:val="0"/>
        <w:spacing w:line="480" w:lineRule="auto"/>
        <w:ind w:firstLine="720"/>
      </w:pPr>
      <w:r w:rsidRPr="0050504B">
        <w:t>The</w:t>
      </w:r>
      <w:r>
        <w:t xml:space="preserve"> dataset also includes the values of several key control predictors, such as student race and gender as well as dichotomous variables indicating whether the student was classified as limited English proficient (</w:t>
      </w:r>
      <w:r w:rsidRPr="00127F41">
        <w:rPr>
          <w:i/>
        </w:rPr>
        <w:t>LEP</w:t>
      </w:r>
      <w:r>
        <w:t>), special education (</w:t>
      </w:r>
      <w:r w:rsidRPr="00127F41">
        <w:rPr>
          <w:i/>
        </w:rPr>
        <w:t>SPED</w:t>
      </w:r>
      <w:r>
        <w:t>), low-income (</w:t>
      </w:r>
      <w:r w:rsidRPr="00127F41">
        <w:rPr>
          <w:i/>
        </w:rPr>
        <w:t>LOWINC</w:t>
      </w:r>
      <w:r>
        <w:t>), attend</w:t>
      </w:r>
      <w:r w:rsidR="003822DE">
        <w:t>ing</w:t>
      </w:r>
      <w:r>
        <w:t xml:space="preserve"> a high school in one of Massachusetts’s 22 urban school districts (</w:t>
      </w:r>
      <w:r w:rsidRPr="00127F41">
        <w:rPr>
          <w:i/>
        </w:rPr>
        <w:t>URBAN</w:t>
      </w:r>
      <w:r>
        <w:t>), or appear</w:t>
      </w:r>
      <w:r w:rsidR="003822DE">
        <w:t>ing</w:t>
      </w:r>
      <w:r>
        <w:t xml:space="preserve"> in the 10</w:t>
      </w:r>
      <w:r w:rsidRPr="0050504B">
        <w:rPr>
          <w:vertAlign w:val="superscript"/>
        </w:rPr>
        <w:t>th</w:t>
      </w:r>
      <w:r>
        <w:t xml:space="preserve"> grade sample without an 8</w:t>
      </w:r>
      <w:r w:rsidRPr="0050504B">
        <w:rPr>
          <w:vertAlign w:val="superscript"/>
        </w:rPr>
        <w:t>th</w:t>
      </w:r>
      <w:r>
        <w:t xml:space="preserve"> grade test score (</w:t>
      </w:r>
      <w:r>
        <w:rPr>
          <w:i/>
        </w:rPr>
        <w:t>NEWSTUDENT</w:t>
      </w:r>
      <w:r>
        <w:t>).</w:t>
      </w:r>
      <w:r>
        <w:rPr>
          <w:rStyle w:val="FootnoteReference"/>
        </w:rPr>
        <w:footnoteReference w:id="8"/>
      </w:r>
      <w:r>
        <w:t xml:space="preserve"> </w:t>
      </w:r>
      <w:r w:rsidRPr="0050504B">
        <w:t>Each</w:t>
      </w:r>
      <w:r>
        <w:t xml:space="preserve"> of these indicators is coded 1 for those who belong to the category, and 0 otherwise. Overall, 26% of the students attended urban schools and 28% of students were identified as low income. Low</w:t>
      </w:r>
      <w:r w:rsidR="00FC0340">
        <w:t>-</w:t>
      </w:r>
      <w:r>
        <w:t xml:space="preserve">income students </w:t>
      </w:r>
      <w:r>
        <w:lastRenderedPageBreak/>
        <w:t>tended to cluster in urban schools: 63% of urban students lived in poverty, compared to just 16% of suburban students.</w:t>
      </w:r>
    </w:p>
    <w:p w:rsidR="008B0D76" w:rsidRPr="0067304A" w:rsidRDefault="009F29FE" w:rsidP="00484E4B">
      <w:pPr>
        <w:widowControl w:val="0"/>
        <w:spacing w:before="120" w:line="480" w:lineRule="auto"/>
      </w:pPr>
      <w:r w:rsidRPr="009F29FE">
        <w:rPr>
          <w:u w:val="single"/>
        </w:rPr>
        <w:t>Data Analyses</w:t>
      </w:r>
    </w:p>
    <w:p w:rsidR="00935007" w:rsidRDefault="00484E4B" w:rsidP="00935007">
      <w:pPr>
        <w:pStyle w:val="FootnoteText"/>
        <w:spacing w:line="480" w:lineRule="auto"/>
        <w:ind w:firstLine="720"/>
        <w:rPr>
          <w:sz w:val="24"/>
          <w:szCs w:val="24"/>
        </w:rPr>
      </w:pPr>
      <w:r w:rsidRPr="00484E4B">
        <w:rPr>
          <w:sz w:val="24"/>
          <w:szCs w:val="24"/>
        </w:rPr>
        <w:t xml:space="preserve">We address our </w:t>
      </w:r>
      <w:r w:rsidR="002337F3">
        <w:rPr>
          <w:sz w:val="24"/>
          <w:szCs w:val="24"/>
        </w:rPr>
        <w:t>first</w:t>
      </w:r>
      <w:r w:rsidR="002337F3" w:rsidRPr="00484E4B">
        <w:rPr>
          <w:sz w:val="24"/>
          <w:szCs w:val="24"/>
        </w:rPr>
        <w:t xml:space="preserve"> </w:t>
      </w:r>
      <w:r w:rsidRPr="00484E4B">
        <w:rPr>
          <w:sz w:val="24"/>
          <w:szCs w:val="24"/>
        </w:rPr>
        <w:t xml:space="preserve">and </w:t>
      </w:r>
      <w:r w:rsidR="003442D1">
        <w:rPr>
          <w:sz w:val="24"/>
          <w:szCs w:val="24"/>
        </w:rPr>
        <w:t>third</w:t>
      </w:r>
      <w:r w:rsidRPr="00484E4B">
        <w:rPr>
          <w:sz w:val="24"/>
          <w:szCs w:val="24"/>
        </w:rPr>
        <w:t xml:space="preserve"> research questions by </w:t>
      </w:r>
      <w:r>
        <w:rPr>
          <w:sz w:val="24"/>
          <w:szCs w:val="24"/>
        </w:rPr>
        <w:t>conducting</w:t>
      </w:r>
      <w:r w:rsidRPr="00484E4B">
        <w:rPr>
          <w:sz w:val="24"/>
          <w:szCs w:val="24"/>
        </w:rPr>
        <w:t xml:space="preserve"> </w:t>
      </w:r>
      <w:r>
        <w:rPr>
          <w:sz w:val="24"/>
          <w:szCs w:val="24"/>
        </w:rPr>
        <w:t>identical</w:t>
      </w:r>
      <w:r w:rsidRPr="00484E4B">
        <w:rPr>
          <w:sz w:val="24"/>
          <w:szCs w:val="24"/>
        </w:rPr>
        <w:t xml:space="preserve"> </w:t>
      </w:r>
      <w:r>
        <w:rPr>
          <w:sz w:val="24"/>
          <w:szCs w:val="24"/>
        </w:rPr>
        <w:t>analyses</w:t>
      </w:r>
      <w:r w:rsidR="000B5F35">
        <w:rPr>
          <w:sz w:val="24"/>
          <w:szCs w:val="24"/>
        </w:rPr>
        <w:t xml:space="preserve"> with </w:t>
      </w:r>
      <w:r w:rsidR="003D3742">
        <w:rPr>
          <w:sz w:val="24"/>
          <w:szCs w:val="24"/>
        </w:rPr>
        <w:t>the</w:t>
      </w:r>
      <w:r>
        <w:rPr>
          <w:sz w:val="24"/>
          <w:szCs w:val="24"/>
        </w:rPr>
        <w:t xml:space="preserve"> </w:t>
      </w:r>
      <w:r w:rsidR="003D3742">
        <w:rPr>
          <w:sz w:val="24"/>
          <w:szCs w:val="24"/>
        </w:rPr>
        <w:t>relevant</w:t>
      </w:r>
      <w:r>
        <w:rPr>
          <w:sz w:val="24"/>
          <w:szCs w:val="24"/>
        </w:rPr>
        <w:t xml:space="preserve"> </w:t>
      </w:r>
      <w:r w:rsidR="00BF6D6F">
        <w:rPr>
          <w:sz w:val="24"/>
          <w:szCs w:val="24"/>
        </w:rPr>
        <w:t>outcome variables</w:t>
      </w:r>
      <w:r w:rsidRPr="00484E4B">
        <w:rPr>
          <w:sz w:val="24"/>
          <w:szCs w:val="24"/>
        </w:rPr>
        <w:t>.</w:t>
      </w:r>
      <w:r w:rsidR="00935007">
        <w:rPr>
          <w:sz w:val="24"/>
          <w:szCs w:val="24"/>
        </w:rPr>
        <w:t xml:space="preserve">  </w:t>
      </w:r>
      <w:r w:rsidR="00F819A3">
        <w:rPr>
          <w:sz w:val="24"/>
          <w:szCs w:val="24"/>
        </w:rPr>
        <w:t>W</w:t>
      </w:r>
      <w:r w:rsidR="00935007" w:rsidRPr="00935007">
        <w:rPr>
          <w:sz w:val="24"/>
          <w:szCs w:val="24"/>
        </w:rPr>
        <w:t xml:space="preserve">e describe </w:t>
      </w:r>
      <w:r w:rsidR="00F819A3">
        <w:rPr>
          <w:sz w:val="24"/>
          <w:szCs w:val="24"/>
        </w:rPr>
        <w:t xml:space="preserve">below </w:t>
      </w:r>
      <w:r w:rsidR="00935007" w:rsidRPr="00935007">
        <w:rPr>
          <w:sz w:val="24"/>
          <w:szCs w:val="24"/>
        </w:rPr>
        <w:t xml:space="preserve">the analyses </w:t>
      </w:r>
      <w:r w:rsidR="00935007">
        <w:rPr>
          <w:sz w:val="24"/>
          <w:szCs w:val="24"/>
        </w:rPr>
        <w:t xml:space="preserve">that </w:t>
      </w:r>
      <w:r w:rsidR="00935007" w:rsidRPr="00935007">
        <w:rPr>
          <w:sz w:val="24"/>
          <w:szCs w:val="24"/>
        </w:rPr>
        <w:t xml:space="preserve">we use to address our first research question, </w:t>
      </w:r>
      <w:r w:rsidR="00F819A3">
        <w:rPr>
          <w:sz w:val="24"/>
          <w:szCs w:val="24"/>
        </w:rPr>
        <w:t xml:space="preserve">which concerns </w:t>
      </w:r>
      <w:r w:rsidR="00935007" w:rsidRPr="00935007">
        <w:rPr>
          <w:sz w:val="24"/>
          <w:szCs w:val="24"/>
        </w:rPr>
        <w:t xml:space="preserve">the impact of just failing the 10th grade mathematics examination on </w:t>
      </w:r>
      <w:r w:rsidR="00F819A3">
        <w:rPr>
          <w:sz w:val="24"/>
          <w:szCs w:val="24"/>
        </w:rPr>
        <w:t xml:space="preserve">the probability of on-time </w:t>
      </w:r>
      <w:r w:rsidR="00935007" w:rsidRPr="00935007">
        <w:rPr>
          <w:sz w:val="24"/>
          <w:szCs w:val="24"/>
        </w:rPr>
        <w:t>high school graduation. To explore whether just failing the 8t</w:t>
      </w:r>
      <w:r w:rsidR="000B5F35">
        <w:rPr>
          <w:sz w:val="24"/>
          <w:szCs w:val="24"/>
        </w:rPr>
        <w:t>h grade mathematics test reduces</w:t>
      </w:r>
      <w:r w:rsidR="00935007" w:rsidRPr="00935007">
        <w:rPr>
          <w:sz w:val="24"/>
          <w:szCs w:val="24"/>
        </w:rPr>
        <w:t xml:space="preserve"> persistence to 10th grade (our third research question), </w:t>
      </w:r>
      <w:r w:rsidR="000B5F35">
        <w:rPr>
          <w:sz w:val="24"/>
          <w:szCs w:val="24"/>
        </w:rPr>
        <w:t>we replace</w:t>
      </w:r>
      <w:r w:rsidR="00935007" w:rsidRPr="00935007">
        <w:rPr>
          <w:sz w:val="24"/>
          <w:szCs w:val="24"/>
        </w:rPr>
        <w:t xml:space="preserve"> outcome </w:t>
      </w:r>
      <w:r w:rsidR="00935007" w:rsidRPr="00935007">
        <w:rPr>
          <w:i/>
          <w:iCs/>
          <w:sz w:val="24"/>
          <w:szCs w:val="24"/>
        </w:rPr>
        <w:t>GRAD</w:t>
      </w:r>
      <w:r w:rsidR="00935007" w:rsidRPr="00935007">
        <w:rPr>
          <w:sz w:val="24"/>
          <w:szCs w:val="24"/>
        </w:rPr>
        <w:t xml:space="preserve"> by outcome </w:t>
      </w:r>
      <w:r w:rsidR="00935007" w:rsidRPr="00935007">
        <w:rPr>
          <w:i/>
          <w:iCs/>
          <w:sz w:val="24"/>
          <w:szCs w:val="24"/>
        </w:rPr>
        <w:t>TAKE10th</w:t>
      </w:r>
      <w:r w:rsidR="00935007" w:rsidRPr="00935007">
        <w:rPr>
          <w:sz w:val="24"/>
          <w:szCs w:val="24"/>
        </w:rPr>
        <w:t>.</w:t>
      </w:r>
    </w:p>
    <w:p w:rsidR="005459E2" w:rsidRPr="00273D3C" w:rsidRDefault="00DE1E76" w:rsidP="00273D3C">
      <w:pPr>
        <w:pStyle w:val="FootnoteText"/>
        <w:spacing w:line="480" w:lineRule="auto"/>
        <w:ind w:firstLine="720"/>
        <w:rPr>
          <w:sz w:val="24"/>
          <w:szCs w:val="24"/>
        </w:rPr>
      </w:pPr>
      <w:r>
        <w:rPr>
          <w:sz w:val="24"/>
          <w:szCs w:val="24"/>
        </w:rPr>
        <w:t xml:space="preserve">Because </w:t>
      </w:r>
      <w:r w:rsidR="00A952EB" w:rsidRPr="00273D3C">
        <w:rPr>
          <w:sz w:val="24"/>
          <w:szCs w:val="24"/>
        </w:rPr>
        <w:t>students who score better on the MCAS have a higher probability of graduating from high school on time</w:t>
      </w:r>
      <w:r>
        <w:rPr>
          <w:sz w:val="24"/>
          <w:szCs w:val="24"/>
        </w:rPr>
        <w:t xml:space="preserve">, </w:t>
      </w:r>
      <w:r w:rsidR="00A952EB" w:rsidRPr="00273D3C">
        <w:rPr>
          <w:sz w:val="24"/>
          <w:szCs w:val="24"/>
        </w:rPr>
        <w:t xml:space="preserve">we cannot </w:t>
      </w:r>
      <w:r w:rsidR="000B5F35">
        <w:rPr>
          <w:sz w:val="24"/>
          <w:szCs w:val="24"/>
        </w:rPr>
        <w:t>make</w:t>
      </w:r>
      <w:r w:rsidR="000B5F35" w:rsidRPr="00273D3C">
        <w:rPr>
          <w:sz w:val="24"/>
          <w:szCs w:val="24"/>
        </w:rPr>
        <w:t xml:space="preserve"> causal inferences about the impact of failing the test </w:t>
      </w:r>
      <w:r w:rsidR="00A952EB" w:rsidRPr="00273D3C">
        <w:rPr>
          <w:sz w:val="24"/>
          <w:szCs w:val="24"/>
        </w:rPr>
        <w:t xml:space="preserve">simply </w:t>
      </w:r>
      <w:r w:rsidR="000B5F35">
        <w:rPr>
          <w:sz w:val="24"/>
          <w:szCs w:val="24"/>
        </w:rPr>
        <w:t xml:space="preserve">by </w:t>
      </w:r>
      <w:r w:rsidR="00F72288" w:rsidRPr="00273D3C">
        <w:rPr>
          <w:sz w:val="24"/>
          <w:szCs w:val="24"/>
        </w:rPr>
        <w:t>compar</w:t>
      </w:r>
      <w:r w:rsidR="000B5F35">
        <w:rPr>
          <w:sz w:val="24"/>
          <w:szCs w:val="24"/>
        </w:rPr>
        <w:t>ing</w:t>
      </w:r>
      <w:r w:rsidR="00F72288" w:rsidRPr="00273D3C">
        <w:rPr>
          <w:sz w:val="24"/>
          <w:szCs w:val="24"/>
        </w:rPr>
        <w:t xml:space="preserve"> </w:t>
      </w:r>
      <w:r w:rsidR="00A952EB" w:rsidRPr="00273D3C">
        <w:rPr>
          <w:sz w:val="24"/>
          <w:szCs w:val="24"/>
        </w:rPr>
        <w:t xml:space="preserve">the graduation rates of students who pass and fail the </w:t>
      </w:r>
      <w:r w:rsidR="00A367F7" w:rsidRPr="00273D3C">
        <w:rPr>
          <w:sz w:val="24"/>
          <w:szCs w:val="24"/>
        </w:rPr>
        <w:t>examination.</w:t>
      </w:r>
      <w:r w:rsidR="00A952EB" w:rsidRPr="00273D3C">
        <w:rPr>
          <w:sz w:val="24"/>
          <w:szCs w:val="24"/>
        </w:rPr>
        <w:t xml:space="preserve"> </w:t>
      </w:r>
      <w:r w:rsidR="005459E2" w:rsidRPr="00273D3C">
        <w:rPr>
          <w:sz w:val="24"/>
          <w:szCs w:val="24"/>
        </w:rPr>
        <w:t xml:space="preserve">However, </w:t>
      </w:r>
      <w:r w:rsidR="009F29FE" w:rsidRPr="00273D3C">
        <w:rPr>
          <w:sz w:val="24"/>
          <w:szCs w:val="24"/>
        </w:rPr>
        <w:t>under conditions</w:t>
      </w:r>
      <w:r w:rsidR="007C1E60" w:rsidRPr="00273D3C">
        <w:rPr>
          <w:sz w:val="24"/>
          <w:szCs w:val="24"/>
        </w:rPr>
        <w:t xml:space="preserve"> that we discuss below</w:t>
      </w:r>
      <w:r w:rsidR="009F29FE" w:rsidRPr="00273D3C">
        <w:rPr>
          <w:sz w:val="24"/>
          <w:szCs w:val="24"/>
        </w:rPr>
        <w:t xml:space="preserve">, </w:t>
      </w:r>
      <w:r w:rsidR="005459E2" w:rsidRPr="00273D3C">
        <w:rPr>
          <w:sz w:val="24"/>
          <w:szCs w:val="24"/>
        </w:rPr>
        <w:t xml:space="preserve">we can </w:t>
      </w:r>
      <w:r w:rsidR="007C1E60" w:rsidRPr="00273D3C">
        <w:rPr>
          <w:sz w:val="24"/>
          <w:szCs w:val="24"/>
        </w:rPr>
        <w:t xml:space="preserve">analyze data from our natural experiment </w:t>
      </w:r>
      <w:r w:rsidR="00E674C1">
        <w:rPr>
          <w:sz w:val="24"/>
          <w:szCs w:val="24"/>
        </w:rPr>
        <w:t>–</w:t>
      </w:r>
      <w:r w:rsidR="00F5013B">
        <w:rPr>
          <w:sz w:val="24"/>
          <w:szCs w:val="24"/>
        </w:rPr>
        <w:t xml:space="preserve"> </w:t>
      </w:r>
      <w:r w:rsidR="007C1E60" w:rsidRPr="00273D3C">
        <w:rPr>
          <w:sz w:val="24"/>
          <w:szCs w:val="24"/>
        </w:rPr>
        <w:t xml:space="preserve">using </w:t>
      </w:r>
      <w:r w:rsidR="00C17554">
        <w:rPr>
          <w:sz w:val="24"/>
          <w:szCs w:val="24"/>
        </w:rPr>
        <w:t>a</w:t>
      </w:r>
      <w:r w:rsidR="00C17554" w:rsidRPr="00273D3C">
        <w:rPr>
          <w:sz w:val="24"/>
          <w:szCs w:val="24"/>
        </w:rPr>
        <w:t xml:space="preserve"> </w:t>
      </w:r>
      <w:r w:rsidR="005459E2" w:rsidRPr="00273D3C">
        <w:rPr>
          <w:sz w:val="24"/>
          <w:szCs w:val="24"/>
        </w:rPr>
        <w:t>regression discontinuity strategy</w:t>
      </w:r>
      <w:r w:rsidR="00C17554">
        <w:rPr>
          <w:sz w:val="24"/>
          <w:szCs w:val="24"/>
        </w:rPr>
        <w:t xml:space="preserve"> </w:t>
      </w:r>
      <w:r w:rsidR="00E674C1">
        <w:rPr>
          <w:sz w:val="24"/>
          <w:szCs w:val="24"/>
        </w:rPr>
        <w:t>–</w:t>
      </w:r>
      <w:r w:rsidR="00F5013B">
        <w:rPr>
          <w:sz w:val="24"/>
          <w:szCs w:val="24"/>
        </w:rPr>
        <w:t xml:space="preserve"> </w:t>
      </w:r>
      <w:r w:rsidR="00302547" w:rsidRPr="00273D3C">
        <w:rPr>
          <w:sz w:val="24"/>
          <w:szCs w:val="24"/>
        </w:rPr>
        <w:t xml:space="preserve">to make </w:t>
      </w:r>
      <w:r w:rsidR="00273D3C">
        <w:rPr>
          <w:sz w:val="24"/>
          <w:szCs w:val="24"/>
        </w:rPr>
        <w:t xml:space="preserve">such </w:t>
      </w:r>
      <w:r w:rsidR="009F29FE" w:rsidRPr="00273D3C">
        <w:rPr>
          <w:sz w:val="24"/>
          <w:szCs w:val="24"/>
        </w:rPr>
        <w:t xml:space="preserve">causal </w:t>
      </w:r>
      <w:r w:rsidR="00302547" w:rsidRPr="00273D3C">
        <w:rPr>
          <w:sz w:val="24"/>
          <w:szCs w:val="24"/>
        </w:rPr>
        <w:t xml:space="preserve">inferences </w:t>
      </w:r>
      <w:r w:rsidR="00302547" w:rsidRPr="00273D3C">
        <w:rPr>
          <w:i/>
          <w:iCs/>
          <w:sz w:val="24"/>
          <w:szCs w:val="24"/>
        </w:rPr>
        <w:t xml:space="preserve">for students </w:t>
      </w:r>
      <w:r w:rsidR="007C1E60" w:rsidRPr="00273D3C">
        <w:rPr>
          <w:i/>
          <w:iCs/>
          <w:sz w:val="24"/>
          <w:szCs w:val="24"/>
        </w:rPr>
        <w:t xml:space="preserve">at </w:t>
      </w:r>
      <w:r w:rsidR="00302547" w:rsidRPr="00273D3C">
        <w:rPr>
          <w:i/>
          <w:iCs/>
          <w:sz w:val="24"/>
          <w:szCs w:val="24"/>
        </w:rPr>
        <w:t>the margin of passing</w:t>
      </w:r>
      <w:r w:rsidR="00302547" w:rsidRPr="00273D3C">
        <w:rPr>
          <w:sz w:val="24"/>
          <w:szCs w:val="24"/>
        </w:rPr>
        <w:t>.</w:t>
      </w:r>
      <w:r w:rsidR="005459E2" w:rsidRPr="00273D3C">
        <w:rPr>
          <w:rStyle w:val="FootnoteReference"/>
          <w:sz w:val="24"/>
          <w:szCs w:val="24"/>
        </w:rPr>
        <w:footnoteReference w:id="9"/>
      </w:r>
      <w:r w:rsidR="005459E2" w:rsidRPr="00273D3C">
        <w:rPr>
          <w:sz w:val="24"/>
          <w:szCs w:val="24"/>
        </w:rPr>
        <w:t xml:space="preserve">  </w:t>
      </w:r>
      <w:r w:rsidR="00FC2E19" w:rsidRPr="00273D3C">
        <w:rPr>
          <w:sz w:val="24"/>
          <w:szCs w:val="24"/>
        </w:rPr>
        <w:t xml:space="preserve">Because the probability </w:t>
      </w:r>
      <w:r w:rsidR="00F5013B">
        <w:rPr>
          <w:sz w:val="24"/>
          <w:szCs w:val="24"/>
        </w:rPr>
        <w:t>that a student will pass</w:t>
      </w:r>
      <w:r w:rsidR="00FC2E19" w:rsidRPr="00273D3C">
        <w:rPr>
          <w:sz w:val="24"/>
          <w:szCs w:val="24"/>
        </w:rPr>
        <w:t xml:space="preserve"> the examination goes from zero to one at a single </w:t>
      </w:r>
      <w:r w:rsidR="00F5013B">
        <w:rPr>
          <w:sz w:val="24"/>
          <w:szCs w:val="24"/>
        </w:rPr>
        <w:t>cut score</w:t>
      </w:r>
      <w:r w:rsidR="00FC2E19" w:rsidRPr="00273D3C">
        <w:rPr>
          <w:sz w:val="24"/>
          <w:szCs w:val="24"/>
        </w:rPr>
        <w:t xml:space="preserve">, </w:t>
      </w:r>
      <w:r w:rsidR="00F5013B">
        <w:rPr>
          <w:sz w:val="24"/>
          <w:szCs w:val="24"/>
        </w:rPr>
        <w:t>our</w:t>
      </w:r>
      <w:r w:rsidR="00FC2E19" w:rsidRPr="00273D3C">
        <w:rPr>
          <w:sz w:val="24"/>
          <w:szCs w:val="24"/>
        </w:rPr>
        <w:t xml:space="preserve"> discontinuity </w:t>
      </w:r>
      <w:r w:rsidR="00F5013B">
        <w:rPr>
          <w:sz w:val="24"/>
          <w:szCs w:val="24"/>
        </w:rPr>
        <w:t>is sharp</w:t>
      </w:r>
      <w:r w:rsidR="00FC2E19" w:rsidRPr="00273D3C">
        <w:rPr>
          <w:sz w:val="24"/>
          <w:szCs w:val="24"/>
        </w:rPr>
        <w:t>.</w:t>
      </w:r>
    </w:p>
    <w:p w:rsidR="00425D24" w:rsidRDefault="00425D24" w:rsidP="00C27500">
      <w:pPr>
        <w:spacing w:line="480" w:lineRule="auto"/>
        <w:ind w:firstLine="720"/>
      </w:pPr>
      <w:r w:rsidRPr="00273D3C">
        <w:t xml:space="preserve">The internal validity of </w:t>
      </w:r>
      <w:r w:rsidR="007C1E60" w:rsidRPr="00273D3C">
        <w:t xml:space="preserve">our </w:t>
      </w:r>
      <w:r w:rsidRPr="00273D3C">
        <w:t xml:space="preserve">regression discontinuity </w:t>
      </w:r>
      <w:r w:rsidR="007C1E60">
        <w:t>analyses</w:t>
      </w:r>
      <w:r w:rsidR="003E4569">
        <w:t xml:space="preserve"> </w:t>
      </w:r>
      <w:r w:rsidR="00921148">
        <w:t>–</w:t>
      </w:r>
      <w:r w:rsidR="009F29FE">
        <w:t xml:space="preserve"> and consequently </w:t>
      </w:r>
      <w:r w:rsidR="007C1158">
        <w:t>our</w:t>
      </w:r>
      <w:r w:rsidR="007C1E60">
        <w:t xml:space="preserve"> </w:t>
      </w:r>
      <w:r w:rsidR="009F29FE">
        <w:t xml:space="preserve">ability to </w:t>
      </w:r>
      <w:r w:rsidR="007C1158">
        <w:t>make unbiased</w:t>
      </w:r>
      <w:r w:rsidR="007C1E60">
        <w:t xml:space="preserve"> </w:t>
      </w:r>
      <w:r w:rsidR="009F29FE">
        <w:t xml:space="preserve">causal </w:t>
      </w:r>
      <w:r w:rsidR="007C1158">
        <w:t xml:space="preserve">inferences about the impact of </w:t>
      </w:r>
      <w:r w:rsidR="00273D3C">
        <w:t xml:space="preserve">exit examinations </w:t>
      </w:r>
      <w:r w:rsidR="00921148">
        <w:t>–</w:t>
      </w:r>
      <w:r w:rsidR="009F29FE">
        <w:t xml:space="preserve"> </w:t>
      </w:r>
      <w:r w:rsidRPr="00DD2DF4">
        <w:t xml:space="preserve">relies on </w:t>
      </w:r>
      <w:r>
        <w:t>several</w:t>
      </w:r>
      <w:r w:rsidRPr="00DD2DF4">
        <w:t xml:space="preserve"> </w:t>
      </w:r>
      <w:r w:rsidR="007C1158">
        <w:t xml:space="preserve">critical </w:t>
      </w:r>
      <w:r w:rsidRPr="00DD2DF4">
        <w:t>assumptions</w:t>
      </w:r>
      <w:r>
        <w:t xml:space="preserve"> about the relationship between </w:t>
      </w:r>
      <w:r w:rsidR="009F29FE">
        <w:t xml:space="preserve">student </w:t>
      </w:r>
      <w:r>
        <w:t>MCAS score and graduation</w:t>
      </w:r>
      <w:r w:rsidRPr="00DD2DF4">
        <w:t xml:space="preserve">. First, we assume that the </w:t>
      </w:r>
      <w:r w:rsidR="00C17554">
        <w:t xml:space="preserve">true </w:t>
      </w:r>
      <w:r w:rsidRPr="00DD2DF4">
        <w:t xml:space="preserve">relationship between MCAS score and graduation is </w:t>
      </w:r>
      <w:r w:rsidR="007B1340">
        <w:t xml:space="preserve">smooth and </w:t>
      </w:r>
      <w:r w:rsidR="007622E0">
        <w:t>continuous</w:t>
      </w:r>
      <w:r w:rsidR="007622E0" w:rsidRPr="00DD2DF4">
        <w:t xml:space="preserve"> </w:t>
      </w:r>
      <w:r w:rsidRPr="00DD2DF4">
        <w:t>around the cut score</w:t>
      </w:r>
      <w:r>
        <w:t xml:space="preserve">, except for the impact of passing/failing the examination itself.  </w:t>
      </w:r>
      <w:r w:rsidRPr="00DD2DF4">
        <w:t xml:space="preserve">Second, </w:t>
      </w:r>
      <w:r>
        <w:t xml:space="preserve">we assume that we can </w:t>
      </w:r>
      <w:r w:rsidR="009F29FE">
        <w:t xml:space="preserve">model </w:t>
      </w:r>
      <w:r>
        <w:t xml:space="preserve">this </w:t>
      </w:r>
      <w:r w:rsidR="007B1340">
        <w:t>smooth</w:t>
      </w:r>
      <w:r w:rsidR="00F5013B">
        <w:t xml:space="preserve"> </w:t>
      </w:r>
      <w:r>
        <w:t xml:space="preserve">relationship </w:t>
      </w:r>
      <w:r w:rsidR="00C17554">
        <w:t>accurately</w:t>
      </w:r>
      <w:r w:rsidR="009F29FE">
        <w:t xml:space="preserve"> </w:t>
      </w:r>
      <w:r>
        <w:t xml:space="preserve">in the </w:t>
      </w:r>
      <w:r w:rsidR="009F29FE">
        <w:t xml:space="preserve">region </w:t>
      </w:r>
      <w:r>
        <w:t xml:space="preserve">around </w:t>
      </w:r>
      <w:r>
        <w:lastRenderedPageBreak/>
        <w:t>the cut score</w:t>
      </w:r>
      <w:r w:rsidR="00302547">
        <w:t>.</w:t>
      </w:r>
      <w:r w:rsidR="007622E0">
        <w:t xml:space="preserve"> </w:t>
      </w:r>
      <w:r>
        <w:t xml:space="preserve">Finally, </w:t>
      </w:r>
      <w:r w:rsidRPr="00DD2DF4">
        <w:t xml:space="preserve">we assume that </w:t>
      </w:r>
      <w:r w:rsidR="00273D3C">
        <w:t>students</w:t>
      </w:r>
      <w:r w:rsidR="00302547">
        <w:t xml:space="preserve"> </w:t>
      </w:r>
      <w:r w:rsidR="000B5F35">
        <w:t xml:space="preserve">cannot </w:t>
      </w:r>
      <w:r w:rsidR="00302547">
        <w:t>adjust their effort levels to just achieve the minimum passing score</w:t>
      </w:r>
      <w:r w:rsidR="00DE1E76">
        <w:t xml:space="preserve"> and they </w:t>
      </w:r>
      <w:r w:rsidR="000B5F35">
        <w:t>can only</w:t>
      </w:r>
      <w:r w:rsidR="00DE1E76">
        <w:t xml:space="preserve"> influence their passing status through their test score</w:t>
      </w:r>
      <w:r w:rsidR="00302547">
        <w:t xml:space="preserve">. </w:t>
      </w:r>
      <w:r w:rsidRPr="00DD2DF4">
        <w:t xml:space="preserve">If these assumptions </w:t>
      </w:r>
      <w:r>
        <w:t>hold</w:t>
      </w:r>
      <w:r w:rsidRPr="00DD2DF4">
        <w:t xml:space="preserve">, then we </w:t>
      </w:r>
      <w:r>
        <w:t xml:space="preserve">can </w:t>
      </w:r>
      <w:r w:rsidR="009F29FE">
        <w:t xml:space="preserve">use </w:t>
      </w:r>
      <w:r w:rsidR="007C1E60">
        <w:t>the</w:t>
      </w:r>
      <w:r w:rsidR="007C1E60" w:rsidRPr="00DD2DF4">
        <w:t xml:space="preserve"> </w:t>
      </w:r>
      <w:r w:rsidRPr="00DD2DF4">
        <w:t xml:space="preserve">data </w:t>
      </w:r>
      <w:r w:rsidR="007C1E60">
        <w:t xml:space="preserve">from our natural experiment </w:t>
      </w:r>
      <w:r w:rsidRPr="00DD2DF4">
        <w:t xml:space="preserve">to </w:t>
      </w:r>
      <w:r w:rsidR="009F29FE">
        <w:t xml:space="preserve">test </w:t>
      </w:r>
      <w:r>
        <w:t xml:space="preserve">whether </w:t>
      </w:r>
      <w:r w:rsidRPr="00DD2DF4">
        <w:t xml:space="preserve">the </w:t>
      </w:r>
      <w:r w:rsidR="009F29FE">
        <w:t xml:space="preserve">smooth </w:t>
      </w:r>
      <w:r w:rsidRPr="00DD2DF4">
        <w:t xml:space="preserve">relationship between graduation </w:t>
      </w:r>
      <w:r>
        <w:t xml:space="preserve">and MCAS </w:t>
      </w:r>
      <w:r w:rsidR="007B1340">
        <w:t>performance</w:t>
      </w:r>
      <w:r>
        <w:t xml:space="preserve"> is </w:t>
      </w:r>
      <w:r w:rsidR="009F29FE">
        <w:t xml:space="preserve">disrupted </w:t>
      </w:r>
      <w:r w:rsidRPr="00DD2DF4">
        <w:t xml:space="preserve">at the cut score. If so, </w:t>
      </w:r>
      <w:r w:rsidR="009F29FE">
        <w:t xml:space="preserve">the magnitude of </w:t>
      </w:r>
      <w:r w:rsidR="007C1158">
        <w:t>th</w:t>
      </w:r>
      <w:r w:rsidR="00C17554">
        <w:t>is disruption</w:t>
      </w:r>
      <w:r w:rsidR="007C1E60" w:rsidRPr="00DD2DF4">
        <w:t xml:space="preserve"> </w:t>
      </w:r>
      <w:r>
        <w:t>provides an unbiased estimate of the causal impact</w:t>
      </w:r>
      <w:r w:rsidRPr="00DD2DF4">
        <w:t xml:space="preserve"> of failing the exam</w:t>
      </w:r>
      <w:r>
        <w:t>ination</w:t>
      </w:r>
      <w:r w:rsidR="000173C4">
        <w:t xml:space="preserve"> for students </w:t>
      </w:r>
      <w:r w:rsidR="00F5013B">
        <w:t>at</w:t>
      </w:r>
      <w:r w:rsidR="003B3595">
        <w:t xml:space="preserve"> </w:t>
      </w:r>
      <w:r w:rsidR="000173C4">
        <w:t>the cut score</w:t>
      </w:r>
      <w:r w:rsidR="00C27500">
        <w:t xml:space="preserve">. </w:t>
      </w:r>
    </w:p>
    <w:p w:rsidR="00E63FE6" w:rsidRDefault="00F5013B" w:rsidP="00E63FE6">
      <w:pPr>
        <w:autoSpaceDE w:val="0"/>
        <w:autoSpaceDN w:val="0"/>
        <w:adjustRightInd w:val="0"/>
        <w:spacing w:line="480" w:lineRule="auto"/>
        <w:ind w:firstLine="720"/>
      </w:pPr>
      <w:r>
        <w:t xml:space="preserve">Our </w:t>
      </w:r>
      <w:r w:rsidR="004920E3">
        <w:t xml:space="preserve">key challenge </w:t>
      </w:r>
      <w:r w:rsidR="00010522">
        <w:t>is to e</w:t>
      </w:r>
      <w:r w:rsidR="004920E3">
        <w:t>stimat</w:t>
      </w:r>
      <w:r w:rsidR="00010522">
        <w:t>e</w:t>
      </w:r>
      <w:r w:rsidR="004920E3">
        <w:t xml:space="preserve"> accurately the probability of</w:t>
      </w:r>
      <w:r w:rsidR="00C16AB2">
        <w:t xml:space="preserve"> on-time</w:t>
      </w:r>
      <w:r w:rsidR="004920E3">
        <w:t xml:space="preserve"> graduation for students </w:t>
      </w:r>
      <w:r w:rsidR="00961BC1">
        <w:t xml:space="preserve">immediately on either side of </w:t>
      </w:r>
      <w:r w:rsidR="004920E3">
        <w:t>the cut score</w:t>
      </w:r>
      <w:r w:rsidR="00F819A3">
        <w:t xml:space="preserve">. </w:t>
      </w:r>
      <w:r w:rsidR="00850230">
        <w:t>The difference in th</w:t>
      </w:r>
      <w:r w:rsidR="00010522">
        <w:t>e</w:t>
      </w:r>
      <w:r w:rsidR="00850230">
        <w:t xml:space="preserve"> probability</w:t>
      </w:r>
      <w:r w:rsidR="00010522">
        <w:t xml:space="preserve"> of on-time graduation</w:t>
      </w:r>
      <w:r w:rsidR="00850230">
        <w:t xml:space="preserve"> between students scoring at the cutoff who just passed and </w:t>
      </w:r>
      <w:r w:rsidR="00C16AB2">
        <w:t xml:space="preserve">those who </w:t>
      </w:r>
      <w:r w:rsidR="00850230">
        <w:t xml:space="preserve">just failed then becomes our estimate of the effect of failing the examination. </w:t>
      </w:r>
      <w:r w:rsidR="00E63FE6">
        <w:t xml:space="preserve">Essentially, we </w:t>
      </w:r>
      <w:r w:rsidR="00D5056F">
        <w:t>model the relationship between probability of on-time graduation and MCAS score, on e</w:t>
      </w:r>
      <w:r w:rsidR="00E63FE6">
        <w:t>ither side of the cut score</w:t>
      </w:r>
      <w:r w:rsidR="00850230">
        <w:t>, as seen in Figure 2</w:t>
      </w:r>
      <w:r w:rsidR="00E63FE6">
        <w:t>.</w:t>
      </w:r>
      <w:r w:rsidR="00850230">
        <w:t xml:space="preserve"> </w:t>
      </w:r>
      <w:r w:rsidR="00D5056F">
        <w:t>W</w:t>
      </w:r>
      <w:r w:rsidR="00E63FE6">
        <w:t xml:space="preserve">e predict </w:t>
      </w:r>
      <w:r w:rsidR="00010522">
        <w:t>the probability that</w:t>
      </w:r>
      <w:r w:rsidR="00850230">
        <w:t xml:space="preserve"> </w:t>
      </w:r>
      <w:r w:rsidR="00E63FE6">
        <w:t xml:space="preserve">students who failed the MCAS would have graduated </w:t>
      </w:r>
      <w:r w:rsidR="00010522">
        <w:t xml:space="preserve">on time </w:t>
      </w:r>
      <w:r w:rsidR="00E63FE6">
        <w:t xml:space="preserve">if they had </w:t>
      </w:r>
      <w:r w:rsidR="00D5056F">
        <w:t xml:space="preserve">just achieved a passing score but </w:t>
      </w:r>
      <w:r w:rsidR="00E63FE6">
        <w:t xml:space="preserve">still failed; </w:t>
      </w:r>
      <w:r w:rsidR="00C17554">
        <w:t>t</w:t>
      </w:r>
      <w:r w:rsidR="00010522">
        <w:t xml:space="preserve">his is illustrated by point A in </w:t>
      </w:r>
      <w:r w:rsidR="00E63FE6">
        <w:t>Figure 2</w:t>
      </w:r>
      <w:r w:rsidR="00010522">
        <w:t xml:space="preserve">.  </w:t>
      </w:r>
      <w:r w:rsidR="00E63FE6">
        <w:t xml:space="preserve">In the figure, the vertical difference between A and B is the effect of failing the MCAS. </w:t>
      </w:r>
    </w:p>
    <w:p w:rsidR="00E63FE6" w:rsidRDefault="00E63FE6" w:rsidP="00D5056F">
      <w:pPr>
        <w:widowControl w:val="0"/>
        <w:autoSpaceDE w:val="0"/>
        <w:autoSpaceDN w:val="0"/>
        <w:adjustRightInd w:val="0"/>
        <w:spacing w:line="480" w:lineRule="auto"/>
        <w:ind w:firstLine="720"/>
        <w:jc w:val="center"/>
      </w:pPr>
      <w:r>
        <w:t>FIGURE 2 ABOUT HERE</w:t>
      </w:r>
    </w:p>
    <w:p w:rsidR="004920E3" w:rsidRDefault="00935007" w:rsidP="00516638">
      <w:pPr>
        <w:widowControl w:val="0"/>
        <w:autoSpaceDE w:val="0"/>
        <w:autoSpaceDN w:val="0"/>
        <w:adjustRightInd w:val="0"/>
        <w:spacing w:line="480" w:lineRule="auto"/>
        <w:ind w:firstLine="720"/>
      </w:pPr>
      <w:r>
        <w:t>In our analyses</w:t>
      </w:r>
      <w:r w:rsidR="00E674C1">
        <w:t xml:space="preserve">, we use </w:t>
      </w:r>
      <w:r w:rsidR="00C17554">
        <w:t>students who failed the test</w:t>
      </w:r>
      <w:r w:rsidR="00E674C1">
        <w:t xml:space="preserve"> to estimate </w:t>
      </w:r>
      <w:r w:rsidR="00850230">
        <w:t xml:space="preserve">point A </w:t>
      </w:r>
      <w:r w:rsidR="00E674C1">
        <w:t xml:space="preserve">and </w:t>
      </w:r>
      <w:r w:rsidR="00C17554">
        <w:t xml:space="preserve">students who passed </w:t>
      </w:r>
      <w:r w:rsidR="00E674C1">
        <w:t xml:space="preserve">to estimate </w:t>
      </w:r>
      <w:r w:rsidR="00850230">
        <w:t xml:space="preserve">point B. </w:t>
      </w:r>
      <w:r w:rsidR="00D5056F">
        <w:t>W</w:t>
      </w:r>
      <w:r w:rsidR="0027229D">
        <w:t xml:space="preserve">e </w:t>
      </w:r>
      <w:r w:rsidR="00FD5602">
        <w:t>model th</w:t>
      </w:r>
      <w:r w:rsidR="00381A04">
        <w:t>is</w:t>
      </w:r>
      <w:r w:rsidR="00FD5602">
        <w:t xml:space="preserve"> continuous </w:t>
      </w:r>
      <w:r w:rsidR="003F6AF1">
        <w:t xml:space="preserve">relationship </w:t>
      </w:r>
      <w:r>
        <w:t xml:space="preserve">using a </w:t>
      </w:r>
      <w:r w:rsidR="00F22245">
        <w:t>non-param</w:t>
      </w:r>
      <w:r>
        <w:t>etric smoothing process</w:t>
      </w:r>
      <w:r w:rsidR="00F24CB9">
        <w:t xml:space="preserve"> with local linear regression</w:t>
      </w:r>
      <w:r w:rsidR="00C17554">
        <w:t xml:space="preserve"> (Imbens &amp; Lemieux, 2007</w:t>
      </w:r>
      <w:r w:rsidR="007B1340">
        <w:t>; Hahn, Todd, &amp; Van der Klaauw, 2001; Fan, 1992</w:t>
      </w:r>
      <w:r w:rsidR="00C17554">
        <w:t>)</w:t>
      </w:r>
      <w:r w:rsidR="00F24CB9">
        <w:t>.</w:t>
      </w:r>
      <w:r w:rsidR="006521F8">
        <w:t xml:space="preserve"> </w:t>
      </w:r>
      <w:r w:rsidR="00C16AB2">
        <w:t>We describe t</w:t>
      </w:r>
      <w:r w:rsidR="00F24CB9">
        <w:t>his method</w:t>
      </w:r>
      <w:r w:rsidR="00C16AB2">
        <w:t xml:space="preserve"> in </w:t>
      </w:r>
      <w:r w:rsidR="00F24CB9">
        <w:t xml:space="preserve">detail in </w:t>
      </w:r>
      <w:r w:rsidR="00C16AB2">
        <w:t xml:space="preserve">Papay, Murnane, and Willett, 2008.  </w:t>
      </w:r>
      <w:r w:rsidR="00F24CB9">
        <w:t>Here, w</w:t>
      </w:r>
      <w:r w:rsidR="001B4165">
        <w:t xml:space="preserve">e focus attention on the single linear regression </w:t>
      </w:r>
      <w:r w:rsidR="005748F1">
        <w:t>analys</w:t>
      </w:r>
      <w:r w:rsidR="00E01438">
        <w:t>i</w:t>
      </w:r>
      <w:r w:rsidR="005748F1">
        <w:t xml:space="preserve">s </w:t>
      </w:r>
      <w:r w:rsidR="001B4165">
        <w:t>that center</w:t>
      </w:r>
      <w:r w:rsidR="00E01438">
        <w:t>s</w:t>
      </w:r>
      <w:r w:rsidR="001B4165">
        <w:t xml:space="preserve"> on the cut score and estimate</w:t>
      </w:r>
      <w:r w:rsidR="00E229EF">
        <w:t>s</w:t>
      </w:r>
      <w:r w:rsidR="00A2751E">
        <w:t xml:space="preserve"> </w:t>
      </w:r>
      <w:r w:rsidR="00F24CB9">
        <w:t>points A and B</w:t>
      </w:r>
      <w:r w:rsidR="00A2751E">
        <w:t xml:space="preserve">. </w:t>
      </w:r>
      <w:r w:rsidR="00E229EF">
        <w:t>In this regression</w:t>
      </w:r>
      <w:r w:rsidR="00A2751E">
        <w:t>, we use only observations within</w:t>
      </w:r>
      <w:r w:rsidR="005748F1">
        <w:t xml:space="preserve"> </w:t>
      </w:r>
      <w:r w:rsidR="00D5056F">
        <w:t xml:space="preserve">a narrow </w:t>
      </w:r>
      <w:r w:rsidR="005748F1">
        <w:lastRenderedPageBreak/>
        <w:t>bandwi</w:t>
      </w:r>
      <w:r w:rsidR="00E01438">
        <w:t>d</w:t>
      </w:r>
      <w:r w:rsidR="005748F1">
        <w:t>th</w:t>
      </w:r>
      <w:r w:rsidR="00D5056F">
        <w:t>,</w:t>
      </w:r>
      <w:r w:rsidR="00A2751E">
        <w:t xml:space="preserve"> </w:t>
      </w:r>
      <w:r w:rsidR="00A2751E" w:rsidRPr="00D95A0F">
        <w:rPr>
          <w:i/>
        </w:rPr>
        <w:t>h</w:t>
      </w:r>
      <w:r w:rsidR="00D5056F" w:rsidRPr="00D5056F">
        <w:t>,</w:t>
      </w:r>
      <w:r w:rsidR="00A2751E">
        <w:t xml:space="preserve"> </w:t>
      </w:r>
      <w:r w:rsidR="005748F1">
        <w:t>on either side of</w:t>
      </w:r>
      <w:r w:rsidR="00A2751E">
        <w:t xml:space="preserve"> the cut score</w:t>
      </w:r>
      <w:r w:rsidR="00FC2E19">
        <w:t>, as follows</w:t>
      </w:r>
      <w:r w:rsidR="00925D38">
        <w:t>:</w:t>
      </w:r>
      <w:r w:rsidR="00186D4E">
        <w:rPr>
          <w:rStyle w:val="FootnoteReference"/>
        </w:rPr>
        <w:footnoteReference w:id="10"/>
      </w:r>
    </w:p>
    <w:p w:rsidR="00925D38" w:rsidRDefault="000E762D" w:rsidP="00516638">
      <w:pPr>
        <w:widowControl w:val="0"/>
        <w:autoSpaceDE w:val="0"/>
        <w:autoSpaceDN w:val="0"/>
        <w:adjustRightInd w:val="0"/>
        <w:spacing w:line="480" w:lineRule="auto"/>
        <w:ind w:firstLine="720"/>
      </w:pPr>
      <w:r w:rsidRPr="00961BC1">
        <w:rPr>
          <w:position w:val="-12"/>
        </w:rPr>
        <w:object w:dxaOrig="6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p(GRAD sub i equals 1) = Beta naught plus beta sub one times MATH sub i plus beta sub two times PASS sub i plus beta sub three times the quantity PASS sub i times MATH sub i plus epsilon sub i. " style="width:342.85pt;height:18pt" o:ole="">
            <v:imagedata r:id="rId13" o:title=""/>
          </v:shape>
          <o:OLEObject Type="Embed" ProgID="Equation.3" ShapeID="_x0000_i1025" DrawAspect="Content" ObjectID="_1578833015" r:id="rId14"/>
        </w:object>
      </w:r>
      <w:r w:rsidR="005E6D77">
        <w:t xml:space="preserve"> </w:t>
      </w:r>
      <w:r w:rsidR="005E6D77">
        <w:tab/>
        <w:t>(1)</w:t>
      </w:r>
    </w:p>
    <w:p w:rsidR="004920E3" w:rsidRDefault="00233300" w:rsidP="00A432F0">
      <w:pPr>
        <w:widowControl w:val="0"/>
        <w:autoSpaceDE w:val="0"/>
        <w:autoSpaceDN w:val="0"/>
        <w:adjustRightInd w:val="0"/>
        <w:spacing w:line="480" w:lineRule="auto"/>
      </w:pPr>
      <w:r>
        <w:t>f</w:t>
      </w:r>
      <w:r w:rsidR="003F6AF1">
        <w:t xml:space="preserve">or the </w:t>
      </w:r>
      <w:r w:rsidR="003F6AF1" w:rsidRPr="003F6AF1">
        <w:rPr>
          <w:i/>
          <w:iCs/>
        </w:rPr>
        <w:t>i</w:t>
      </w:r>
      <w:r w:rsidR="003F6AF1" w:rsidRPr="003F6AF1">
        <w:rPr>
          <w:i/>
          <w:iCs/>
          <w:vertAlign w:val="superscript"/>
        </w:rPr>
        <w:t>th</w:t>
      </w:r>
      <w:r w:rsidR="003F6AF1">
        <w:t xml:space="preserve"> individual</w:t>
      </w:r>
      <w:r w:rsidR="00DD2DCC">
        <w:t>.</w:t>
      </w:r>
      <w:r w:rsidR="003F6AF1">
        <w:t xml:space="preserve"> In this model, parameter</w:t>
      </w:r>
      <w:r w:rsidR="003F6AF1" w:rsidDel="003F6AF1">
        <w:t xml:space="preserve"> </w:t>
      </w:r>
      <w:r w:rsidR="00875E92" w:rsidRPr="00F24CB9">
        <w:rPr>
          <w:position w:val="-10"/>
        </w:rPr>
        <w:object w:dxaOrig="320" w:dyaOrig="340">
          <v:shape id="_x0000_i1026" type="#_x0000_t75" style="width:15.45pt;height:17.15pt" o:ole="">
            <v:imagedata r:id="rId15" o:title=""/>
          </v:shape>
          <o:OLEObject Type="Embed" ProgID="Equation.3" ShapeID="_x0000_i1026" DrawAspect="Content" ObjectID="_1578833016" r:id="rId16"/>
        </w:object>
      </w:r>
      <w:r w:rsidR="00F24CB9">
        <w:t xml:space="preserve"> </w:t>
      </w:r>
      <w:r w:rsidR="00A432F0">
        <w:t>represents</w:t>
      </w:r>
      <w:r w:rsidR="00A432F0" w:rsidRPr="00DD2DF4">
        <w:t xml:space="preserve"> the causal </w:t>
      </w:r>
      <w:r w:rsidR="00A432F0">
        <w:t>effect</w:t>
      </w:r>
      <w:r w:rsidR="00A432F0" w:rsidRPr="00DD2DF4">
        <w:t xml:space="preserve"> of passing the </w:t>
      </w:r>
      <w:r w:rsidR="00A432F0">
        <w:t>10</w:t>
      </w:r>
      <w:r w:rsidR="00A432F0" w:rsidRPr="00A432F0">
        <w:rPr>
          <w:vertAlign w:val="superscript"/>
        </w:rPr>
        <w:t>th</w:t>
      </w:r>
      <w:r w:rsidR="00A432F0">
        <w:t xml:space="preserve"> grade </w:t>
      </w:r>
      <w:r w:rsidR="00A432F0" w:rsidRPr="00DD2DF4">
        <w:t xml:space="preserve">MCAS </w:t>
      </w:r>
      <w:r w:rsidR="00A432F0">
        <w:t xml:space="preserve">mathematics </w:t>
      </w:r>
      <w:r w:rsidR="00A432F0" w:rsidRPr="00DD2DF4">
        <w:t>exam</w:t>
      </w:r>
      <w:r w:rsidR="00A432F0">
        <w:t>ination</w:t>
      </w:r>
      <w:r w:rsidR="00A432F0" w:rsidRPr="00DD2DF4">
        <w:t>.</w:t>
      </w:r>
      <w:r w:rsidR="00A432F0">
        <w:t xml:space="preserve"> If its estimated value is statistically significant and positive, then we know that classifying a student as </w:t>
      </w:r>
      <w:r w:rsidR="00A432F0" w:rsidRPr="00024160">
        <w:rPr>
          <w:i/>
          <w:iCs/>
        </w:rPr>
        <w:t>passing</w:t>
      </w:r>
      <w:r w:rsidR="00A432F0">
        <w:t xml:space="preserve"> the high-stakes test at the cut</w:t>
      </w:r>
      <w:r w:rsidR="00E674C1">
        <w:t xml:space="preserve"> </w:t>
      </w:r>
      <w:r w:rsidR="00A432F0">
        <w:t xml:space="preserve">score, as opposed to </w:t>
      </w:r>
      <w:r w:rsidR="00A432F0" w:rsidRPr="00024160">
        <w:rPr>
          <w:i/>
          <w:iCs/>
        </w:rPr>
        <w:t>failing</w:t>
      </w:r>
      <w:r w:rsidR="00A432F0">
        <w:t xml:space="preserve"> it, causes the student’s probability of graduating from high school </w:t>
      </w:r>
      <w:r w:rsidR="00C17554">
        <w:t xml:space="preserve">on-time </w:t>
      </w:r>
      <w:r w:rsidR="00A432F0">
        <w:t xml:space="preserve">to </w:t>
      </w:r>
      <w:r w:rsidR="00A432F0" w:rsidRPr="00705709">
        <w:rPr>
          <w:i/>
          <w:iCs/>
        </w:rPr>
        <w:t>increase</w:t>
      </w:r>
      <w:r w:rsidR="00A432F0">
        <w:t xml:space="preserve"> discontinuously.</w:t>
      </w:r>
    </w:p>
    <w:p w:rsidR="008E4C2A" w:rsidRDefault="00A432F0" w:rsidP="00C17554">
      <w:pPr>
        <w:widowControl w:val="0"/>
        <w:spacing w:line="480" w:lineRule="auto"/>
      </w:pPr>
      <w:r>
        <w:tab/>
        <w:t xml:space="preserve">We extend this simple model in several ways. First, we include selected student background covariates </w:t>
      </w:r>
      <w:r w:rsidR="004C5F9A">
        <w:t>(</w:t>
      </w:r>
      <w:r w:rsidR="004C5F9A" w:rsidRPr="004C5F9A">
        <w:rPr>
          <w:b/>
        </w:rPr>
        <w:t>X</w:t>
      </w:r>
      <w:r w:rsidR="004C5F9A" w:rsidRPr="004C5F9A">
        <w:rPr>
          <w:b/>
          <w:vertAlign w:val="subscript"/>
        </w:rPr>
        <w:t>i</w:t>
      </w:r>
      <w:r w:rsidR="004C5F9A">
        <w:t>)</w:t>
      </w:r>
      <w:r w:rsidR="00997695">
        <w:t>.</w:t>
      </w:r>
      <w:r w:rsidR="00FC2E19">
        <w:t xml:space="preserve"> Second, b</w:t>
      </w:r>
      <w:r w:rsidR="003B3595">
        <w:t xml:space="preserve">ecause our </w:t>
      </w:r>
      <w:r w:rsidR="007A0C00">
        <w:t xml:space="preserve">primary </w:t>
      </w:r>
      <w:r w:rsidR="003B3595">
        <w:t xml:space="preserve">outcome is a </w:t>
      </w:r>
      <w:r w:rsidR="00C17554">
        <w:t xml:space="preserve">binary </w:t>
      </w:r>
      <w:r w:rsidR="0050051E">
        <w:t>predictor</w:t>
      </w:r>
      <w:r w:rsidR="003B3595">
        <w:t xml:space="preserve"> </w:t>
      </w:r>
      <w:r w:rsidR="00D1070A">
        <w:t>that indicates</w:t>
      </w:r>
      <w:r w:rsidR="007C1158">
        <w:t xml:space="preserve"> </w:t>
      </w:r>
      <w:r w:rsidR="003B3595">
        <w:t xml:space="preserve">whether the student graduates </w:t>
      </w:r>
      <w:r w:rsidR="00C73159">
        <w:t xml:space="preserve">from </w:t>
      </w:r>
      <w:r w:rsidR="003B3595">
        <w:t>high school on time, w</w:t>
      </w:r>
      <w:r w:rsidR="00FB4DA6">
        <w:t xml:space="preserve">e </w:t>
      </w:r>
      <w:r w:rsidR="00FC2E19">
        <w:t xml:space="preserve">replicate </w:t>
      </w:r>
      <w:r w:rsidR="0050051E">
        <w:t xml:space="preserve">our </w:t>
      </w:r>
      <w:r w:rsidR="00FC2E19">
        <w:t xml:space="preserve">analysis </w:t>
      </w:r>
      <w:r w:rsidR="00C17554">
        <w:t>using logistic regression</w:t>
      </w:r>
      <w:r w:rsidR="009F6D5D">
        <w:t>.</w:t>
      </w:r>
      <w:r w:rsidR="00D5056F" w:rsidRPr="00D5056F">
        <w:rPr>
          <w:rStyle w:val="FootnoteReference"/>
        </w:rPr>
        <w:t xml:space="preserve"> </w:t>
      </w:r>
      <w:r w:rsidR="004D6E2E">
        <w:t xml:space="preserve"> </w:t>
      </w:r>
      <w:r w:rsidR="009F6D5D">
        <w:t xml:space="preserve">Here, we limit our analysis to </w:t>
      </w:r>
      <w:r w:rsidR="009C7967">
        <w:t xml:space="preserve">those </w:t>
      </w:r>
      <w:r w:rsidR="009F6D5D">
        <w:t xml:space="preserve">observations </w:t>
      </w:r>
      <w:r w:rsidR="00E55B89">
        <w:t>that fall</w:t>
      </w:r>
      <w:r w:rsidR="000E2C1A">
        <w:t xml:space="preserve"> </w:t>
      </w:r>
      <w:r w:rsidR="009F6D5D">
        <w:t xml:space="preserve">within a narrow window </w:t>
      </w:r>
      <w:r w:rsidR="000E2C1A">
        <w:t>around</w:t>
      </w:r>
      <w:r w:rsidR="009F6D5D">
        <w:t xml:space="preserve"> the cut score.</w:t>
      </w:r>
      <w:r w:rsidR="007C1158">
        <w:t xml:space="preserve"> </w:t>
      </w:r>
      <w:r w:rsidR="005E6D77">
        <w:t xml:space="preserve">Finally, </w:t>
      </w:r>
      <w:r w:rsidR="007A0C00">
        <w:t xml:space="preserve">we </w:t>
      </w:r>
      <w:r w:rsidR="00FB4DA6">
        <w:t>examine the impact of test failure on high school graduation for</w:t>
      </w:r>
      <w:r w:rsidR="00D55FDB">
        <w:t xml:space="preserve"> particular </w:t>
      </w:r>
      <w:r w:rsidR="00774259">
        <w:t>sub</w:t>
      </w:r>
      <w:r w:rsidR="00D55FDB">
        <w:t>groups of students, including</w:t>
      </w:r>
      <w:r w:rsidR="00FB4DA6">
        <w:t xml:space="preserve"> urban students</w:t>
      </w:r>
      <w:r w:rsidR="007A0C00">
        <w:t xml:space="preserve"> from </w:t>
      </w:r>
      <w:r w:rsidR="004700B6">
        <w:t>low-income</w:t>
      </w:r>
      <w:r w:rsidR="007A0C00">
        <w:t xml:space="preserve"> families</w:t>
      </w:r>
      <w:r w:rsidR="00C91F0C">
        <w:t xml:space="preserve">. </w:t>
      </w:r>
      <w:r w:rsidR="00565010">
        <w:t xml:space="preserve">To </w:t>
      </w:r>
      <w:r w:rsidR="00D55FDB">
        <w:t>conduct these latter analyses</w:t>
      </w:r>
      <w:r w:rsidR="00565010">
        <w:t xml:space="preserve">, we </w:t>
      </w:r>
      <w:r w:rsidR="00C17554">
        <w:t>fit separate regressions for each subgroup.</w:t>
      </w:r>
      <w:r w:rsidR="00D1070A">
        <w:t xml:space="preserve">  </w:t>
      </w:r>
    </w:p>
    <w:p w:rsidR="003F774F" w:rsidRDefault="00C17554" w:rsidP="000766E2">
      <w:pPr>
        <w:widowControl w:val="0"/>
        <w:spacing w:line="480" w:lineRule="auto"/>
        <w:ind w:firstLine="720"/>
      </w:pPr>
      <w:r>
        <w:t>For two reasons, w</w:t>
      </w:r>
      <w:r w:rsidR="00337571">
        <w:t>e focus on t</w:t>
      </w:r>
      <w:r w:rsidR="00975B4F">
        <w:t xml:space="preserve">he statistically significant impact of just </w:t>
      </w:r>
      <w:r w:rsidR="005D444B">
        <w:t>passing/</w:t>
      </w:r>
      <w:r w:rsidR="00975B4F">
        <w:t>failing the MCAS mathematics test on high</w:t>
      </w:r>
      <w:r w:rsidR="003833D4">
        <w:t xml:space="preserve"> </w:t>
      </w:r>
      <w:r w:rsidR="00975B4F">
        <w:t>school graduation for low-income urban youth</w:t>
      </w:r>
      <w:r w:rsidR="003F774F">
        <w:t xml:space="preserve">. </w:t>
      </w:r>
      <w:r w:rsidR="00E87136">
        <w:t>First,</w:t>
      </w:r>
      <w:r w:rsidR="003F774F">
        <w:t xml:space="preserve"> the educational challenges facing </w:t>
      </w:r>
      <w:r w:rsidR="00C10414">
        <w:t xml:space="preserve">these students </w:t>
      </w:r>
      <w:r w:rsidR="003F774F">
        <w:t xml:space="preserve">have received national attention. </w:t>
      </w:r>
      <w:r w:rsidR="00E87136">
        <w:t xml:space="preserve">Consequently, </w:t>
      </w:r>
      <w:r w:rsidR="00921148">
        <w:t>understanding the impact of high-</w:t>
      </w:r>
      <w:r w:rsidR="00E87136">
        <w:t xml:space="preserve">stakes testing on the academic prospects for struggling low-income urban students is especially relevant to educational policy formulation. Second, the data currently available to us </w:t>
      </w:r>
      <w:r w:rsidR="00975B4F">
        <w:t xml:space="preserve">are insufficient to </w:t>
      </w:r>
      <w:r w:rsidR="003F774F">
        <w:t xml:space="preserve">support exploration of other interesting questions, such as the effect of </w:t>
      </w:r>
      <w:r w:rsidR="00975B4F">
        <w:t xml:space="preserve">just </w:t>
      </w:r>
      <w:r w:rsidR="003F774F">
        <w:t xml:space="preserve">failing </w:t>
      </w:r>
      <w:r w:rsidR="00975B4F" w:rsidRPr="004C5F9A">
        <w:t>the</w:t>
      </w:r>
      <w:r w:rsidR="00975B4F">
        <w:t xml:space="preserve"> 10</w:t>
      </w:r>
      <w:r w:rsidR="00975B4F" w:rsidRPr="00975B4F">
        <w:rPr>
          <w:vertAlign w:val="superscript"/>
        </w:rPr>
        <w:t>th</w:t>
      </w:r>
      <w:r w:rsidR="00975B4F">
        <w:t xml:space="preserve"> grade MCAS test</w:t>
      </w:r>
      <w:r w:rsidR="00921148" w:rsidRPr="00921148">
        <w:t xml:space="preserve"> </w:t>
      </w:r>
      <w:r w:rsidR="00921148">
        <w:t>on urban special education students</w:t>
      </w:r>
      <w:r w:rsidR="00990D90">
        <w:t xml:space="preserve">. </w:t>
      </w:r>
      <w:r w:rsidR="002373C8">
        <w:t xml:space="preserve">We plan to examine </w:t>
      </w:r>
      <w:r w:rsidR="002A7254">
        <w:t xml:space="preserve">additional subgroup effects </w:t>
      </w:r>
      <w:r w:rsidR="002373C8">
        <w:t xml:space="preserve">in future </w:t>
      </w:r>
      <w:r w:rsidR="00F60AF9">
        <w:t>research</w:t>
      </w:r>
      <w:r w:rsidR="002373C8">
        <w:t xml:space="preserve"> </w:t>
      </w:r>
      <w:r w:rsidR="00E73DFB">
        <w:t xml:space="preserve">after </w:t>
      </w:r>
      <w:r w:rsidR="00975B4F">
        <w:t xml:space="preserve">we have increased our </w:t>
      </w:r>
      <w:r w:rsidR="00975B4F">
        <w:lastRenderedPageBreak/>
        <w:t xml:space="preserve">sub-sample sizes by pooling </w:t>
      </w:r>
      <w:r w:rsidR="002373C8">
        <w:t xml:space="preserve">data across </w:t>
      </w:r>
      <w:r w:rsidR="00E73DFB">
        <w:t xml:space="preserve">multiple </w:t>
      </w:r>
      <w:r w:rsidR="002373C8">
        <w:t>graduation cohorts.</w:t>
      </w:r>
    </w:p>
    <w:p w:rsidR="002C55A3" w:rsidRDefault="002C55A3" w:rsidP="002C55A3">
      <w:pPr>
        <w:pStyle w:val="Default"/>
        <w:spacing w:line="480" w:lineRule="auto"/>
        <w:ind w:firstLine="720"/>
      </w:pPr>
      <w:r>
        <w:t xml:space="preserve">To address our second research question, we conduct analyses in which we explore </w:t>
      </w:r>
      <w:r>
        <w:rPr>
          <w:i/>
          <w:iCs/>
        </w:rPr>
        <w:t xml:space="preserve">why </w:t>
      </w:r>
      <w:r>
        <w:t>failing the 10</w:t>
      </w:r>
      <w:r w:rsidRPr="002C55A3">
        <w:rPr>
          <w:vertAlign w:val="superscript"/>
        </w:rPr>
        <w:t>th</w:t>
      </w:r>
      <w:r>
        <w:t xml:space="preserve"> grade MCAS mathematics test reduces the probability of high school graduation for low-income urban students, but not for their wealthier or suburban peers. However, we interpret these results only descriptively because the additional analyses cannot support unbiased causal inference. In these descriptive analyses, we explore patterns of test-taking persistence and success for students who fail, in order to see whether low-income urban students are less likely than wealthier or suburban students to retake the examination or to pass their first retest. Here, we fit probit models of the following form on the sample of students who failed the 10</w:t>
      </w:r>
      <w:r w:rsidRPr="002C55A3">
        <w:rPr>
          <w:vertAlign w:val="superscript"/>
        </w:rPr>
        <w:t>th</w:t>
      </w:r>
      <w:r>
        <w:t xml:space="preserve"> grade mathematics examination: </w:t>
      </w:r>
    </w:p>
    <w:p w:rsidR="00D461BA" w:rsidRDefault="006911B1" w:rsidP="002C55A3">
      <w:pPr>
        <w:widowControl w:val="0"/>
        <w:spacing w:line="480" w:lineRule="auto"/>
        <w:ind w:firstLine="720"/>
      </w:pPr>
      <w:r w:rsidRPr="002C55A3">
        <w:rPr>
          <w:position w:val="-34"/>
        </w:rPr>
        <w:object w:dxaOrig="7740" w:dyaOrig="800">
          <v:shape id="_x0000_i1027" type="#_x0000_t75" alt="Equation: RETAKE sub i equals = Beta naught plus beta sub one times the quantity URBAN sub i times LOWINC sub i plus beta sub two times URBAN sub i plus beta sub three times MATH sub i plus beta sub four times ELA sub i plus beta sub five times PASS_ELA sub i plus alpha times chi sub i. " style="width:373.7pt;height:39.45pt" o:ole="">
            <v:imagedata r:id="rId17" o:title=""/>
          </v:shape>
          <o:OLEObject Type="Embed" ProgID="Equation.3" ShapeID="_x0000_i1027" DrawAspect="Content" ObjectID="_1578833017" r:id="rId18"/>
        </w:object>
      </w:r>
      <w:r w:rsidR="006720B6">
        <w:t xml:space="preserve">      </w:t>
      </w:r>
      <w:r w:rsidR="00D461BA">
        <w:t>(</w:t>
      </w:r>
      <w:r w:rsidR="00236540">
        <w:t>2</w:t>
      </w:r>
      <w:r w:rsidR="00D461BA">
        <w:t>)</w:t>
      </w:r>
    </w:p>
    <w:p w:rsidR="00CE484E" w:rsidRDefault="001C161B" w:rsidP="00D461BA">
      <w:pPr>
        <w:widowControl w:val="0"/>
        <w:spacing w:line="480" w:lineRule="auto"/>
      </w:pPr>
      <w:r>
        <w:t>f</w:t>
      </w:r>
      <w:r w:rsidR="00792B00">
        <w:t xml:space="preserve">or the </w:t>
      </w:r>
      <w:r w:rsidR="00792B00" w:rsidRPr="00792B00">
        <w:rPr>
          <w:i/>
          <w:iCs/>
        </w:rPr>
        <w:t>i</w:t>
      </w:r>
      <w:r w:rsidR="00792B00" w:rsidRPr="00792B00">
        <w:rPr>
          <w:i/>
          <w:iCs/>
          <w:vertAlign w:val="superscript"/>
        </w:rPr>
        <w:t>th</w:t>
      </w:r>
      <w:r w:rsidR="00792B00">
        <w:t xml:space="preserve"> student.  </w:t>
      </w:r>
      <w:r w:rsidR="00795F53">
        <w:t>In ou</w:t>
      </w:r>
      <w:r w:rsidR="00921148">
        <w:t>r</w:t>
      </w:r>
      <w:r w:rsidR="00795F53">
        <w:t xml:space="preserve"> model</w:t>
      </w:r>
      <w:r w:rsidR="001C6014">
        <w:t xml:space="preserve">, </w:t>
      </w:r>
      <w:r w:rsidR="00792B00">
        <w:t>our</w:t>
      </w:r>
      <w:r w:rsidR="001C6014">
        <w:t xml:space="preserve"> </w:t>
      </w:r>
      <w:r w:rsidR="00795F53">
        <w:t xml:space="preserve">principal research </w:t>
      </w:r>
      <w:r w:rsidR="001C6014">
        <w:t xml:space="preserve">interest </w:t>
      </w:r>
      <w:r w:rsidR="00792B00">
        <w:t xml:space="preserve">focuses on </w:t>
      </w:r>
      <w:r w:rsidR="00F23527">
        <w:t xml:space="preserve">the </w:t>
      </w:r>
      <w:r w:rsidR="00036DA8">
        <w:t xml:space="preserve">parameter </w:t>
      </w:r>
      <w:r w:rsidR="00F23527">
        <w:t>sum</w:t>
      </w:r>
      <w:r w:rsidR="00036DA8">
        <w:t>,</w:t>
      </w:r>
      <w:r w:rsidR="00F23527">
        <w:t xml:space="preserve"> </w:t>
      </w:r>
      <w:r w:rsidR="001C6014" w:rsidRPr="003C7385">
        <w:rPr>
          <w:i/>
          <w:iCs/>
        </w:rPr>
        <w:sym w:font="Symbol" w:char="F062"/>
      </w:r>
      <w:r w:rsidR="001C6014">
        <w:rPr>
          <w:vertAlign w:val="subscript"/>
        </w:rPr>
        <w:t>1</w:t>
      </w:r>
      <w:r w:rsidR="00F23527">
        <w:t>+</w:t>
      </w:r>
      <w:r w:rsidR="00F23527" w:rsidRPr="003C7385">
        <w:rPr>
          <w:i/>
          <w:iCs/>
        </w:rPr>
        <w:sym w:font="Symbol" w:char="F062"/>
      </w:r>
      <w:r w:rsidR="00F23527" w:rsidRPr="00F23527">
        <w:rPr>
          <w:i/>
          <w:iCs/>
          <w:vertAlign w:val="subscript"/>
        </w:rPr>
        <w:t>2</w:t>
      </w:r>
      <w:r w:rsidR="00F23527">
        <w:t xml:space="preserve">, </w:t>
      </w:r>
      <w:r w:rsidR="001C6014">
        <w:t xml:space="preserve">which represents </w:t>
      </w:r>
      <w:r w:rsidR="006D5247">
        <w:t xml:space="preserve">the difference between </w:t>
      </w:r>
      <w:r w:rsidR="004700B6">
        <w:t>low-income</w:t>
      </w:r>
      <w:r w:rsidR="001A29FD">
        <w:t xml:space="preserve"> </w:t>
      </w:r>
      <w:r w:rsidR="001C6014">
        <w:t xml:space="preserve">urban </w:t>
      </w:r>
      <w:r w:rsidR="001A29FD">
        <w:t xml:space="preserve">students </w:t>
      </w:r>
      <w:r w:rsidR="001C6014">
        <w:t xml:space="preserve">and </w:t>
      </w:r>
      <w:r w:rsidR="00F23527">
        <w:t>suburban</w:t>
      </w:r>
      <w:r w:rsidR="001A29FD">
        <w:t xml:space="preserve"> </w:t>
      </w:r>
      <w:r w:rsidR="00F60AF9">
        <w:t xml:space="preserve">students </w:t>
      </w:r>
      <w:r w:rsidR="001C6014">
        <w:t xml:space="preserve">in </w:t>
      </w:r>
      <w:r w:rsidR="00036DA8">
        <w:t xml:space="preserve">the </w:t>
      </w:r>
      <w:r w:rsidR="00774259">
        <w:t>probability</w:t>
      </w:r>
      <w:r w:rsidR="00036DA8">
        <w:t xml:space="preserve"> of retaking</w:t>
      </w:r>
      <w:r w:rsidR="00F23527">
        <w:t xml:space="preserve"> the test</w:t>
      </w:r>
      <w:r w:rsidR="001C6014">
        <w:t>.</w:t>
      </w:r>
      <w:r w:rsidR="00607E7C">
        <w:t xml:space="preserve"> By including mathematics and ELA test scores and whether the student passed the ELA examination in the model, we explicitly compare students with the same proficiency on both the mathematics and ELA examinations.</w:t>
      </w:r>
    </w:p>
    <w:p w:rsidR="002C55A3" w:rsidRDefault="002C55A3" w:rsidP="004541C3">
      <w:pPr>
        <w:pStyle w:val="Default"/>
        <w:spacing w:line="480" w:lineRule="auto"/>
        <w:ind w:firstLine="720"/>
      </w:pPr>
      <w:r>
        <w:t xml:space="preserve">We conduct similar analyses to examine retesting success, replacing the outcome </w:t>
      </w:r>
      <w:r>
        <w:rPr>
          <w:i/>
          <w:iCs/>
        </w:rPr>
        <w:t>RETAKE</w:t>
      </w:r>
      <w:r w:rsidRPr="002C55A3">
        <w:rPr>
          <w:i/>
          <w:iCs/>
          <w:vertAlign w:val="subscript"/>
        </w:rPr>
        <w:t>i</w:t>
      </w:r>
      <w:r>
        <w:rPr>
          <w:i/>
          <w:iCs/>
        </w:rPr>
        <w:t xml:space="preserve"> </w:t>
      </w:r>
      <w:r>
        <w:t xml:space="preserve">with </w:t>
      </w:r>
      <w:r>
        <w:rPr>
          <w:i/>
          <w:iCs/>
        </w:rPr>
        <w:t>RETAKE_PASS</w:t>
      </w:r>
      <w:r w:rsidRPr="002C55A3">
        <w:rPr>
          <w:i/>
          <w:iCs/>
          <w:vertAlign w:val="subscript"/>
        </w:rPr>
        <w:t>i</w:t>
      </w:r>
      <w:r w:rsidRPr="002C55A3">
        <w:rPr>
          <w:iCs/>
        </w:rPr>
        <w:t>. This analysis proves slightly more complicate</w:t>
      </w:r>
      <w:r>
        <w:rPr>
          <w:iCs/>
        </w:rPr>
        <w:t>d because we restrict our sample</w:t>
      </w:r>
      <w:r w:rsidR="004541C3">
        <w:rPr>
          <w:iCs/>
        </w:rPr>
        <w:t xml:space="preserve"> to students who fail the test.</w:t>
      </w:r>
      <w:r w:rsidR="00774259">
        <w:rPr>
          <w:rStyle w:val="FootnoteReference"/>
          <w:iCs/>
        </w:rPr>
        <w:footnoteReference w:id="11"/>
      </w:r>
      <w:r w:rsidR="004541C3">
        <w:rPr>
          <w:iCs/>
        </w:rPr>
        <w:t xml:space="preserve"> As a result, we use an instrumental variables approach, recommended by Hanushek &amp; Rivkin (2006). We discuss the issues raised and our approach to resolve them more fully in Papay, Murnane, &amp; Willett (2008).</w:t>
      </w:r>
    </w:p>
    <w:p w:rsidR="00541E16" w:rsidRDefault="00541E16" w:rsidP="00516638">
      <w:pPr>
        <w:widowControl w:val="0"/>
        <w:rPr>
          <w:b/>
          <w:i/>
        </w:rPr>
      </w:pPr>
    </w:p>
    <w:p w:rsidR="007625BB" w:rsidRPr="00A70D35" w:rsidRDefault="00A22653" w:rsidP="00516638">
      <w:pPr>
        <w:widowControl w:val="0"/>
        <w:spacing w:line="480" w:lineRule="auto"/>
      </w:pPr>
      <w:r>
        <w:rPr>
          <w:b/>
          <w:i/>
        </w:rPr>
        <w:t>I</w:t>
      </w:r>
      <w:r w:rsidR="00541E16">
        <w:rPr>
          <w:b/>
          <w:i/>
        </w:rPr>
        <w:t>V</w:t>
      </w:r>
      <w:r w:rsidR="00B0730F">
        <w:rPr>
          <w:b/>
          <w:i/>
        </w:rPr>
        <w:t xml:space="preserve">. </w:t>
      </w:r>
      <w:r w:rsidR="00A70D35">
        <w:rPr>
          <w:b/>
          <w:i/>
        </w:rPr>
        <w:t>Findings</w:t>
      </w:r>
    </w:p>
    <w:p w:rsidR="006945B7" w:rsidRPr="006945B7" w:rsidRDefault="008F7B18" w:rsidP="00516638">
      <w:pPr>
        <w:widowControl w:val="0"/>
        <w:spacing w:line="480" w:lineRule="auto"/>
        <w:rPr>
          <w:u w:val="single"/>
        </w:rPr>
      </w:pPr>
      <w:r>
        <w:rPr>
          <w:u w:val="single"/>
        </w:rPr>
        <w:t xml:space="preserve">(1) </w:t>
      </w:r>
      <w:r w:rsidR="006945B7" w:rsidRPr="006945B7">
        <w:rPr>
          <w:u w:val="single"/>
        </w:rPr>
        <w:t xml:space="preserve">Effect of failing the high-stakes exit </w:t>
      </w:r>
      <w:r w:rsidR="00BC0EB7">
        <w:rPr>
          <w:u w:val="single"/>
        </w:rPr>
        <w:t xml:space="preserve">examination </w:t>
      </w:r>
      <w:r w:rsidR="006945B7" w:rsidRPr="006945B7">
        <w:rPr>
          <w:u w:val="single"/>
        </w:rPr>
        <w:t xml:space="preserve">on high school graduation </w:t>
      </w:r>
    </w:p>
    <w:p w:rsidR="00C933F4" w:rsidRDefault="00B73E45" w:rsidP="00D5056F">
      <w:pPr>
        <w:widowControl w:val="0"/>
        <w:spacing w:line="480" w:lineRule="auto"/>
      </w:pPr>
      <w:r>
        <w:tab/>
      </w:r>
      <w:r w:rsidR="00A50DB5">
        <w:t>Failing the 10</w:t>
      </w:r>
      <w:r w:rsidR="00A50DB5" w:rsidRPr="00A50DB5">
        <w:rPr>
          <w:vertAlign w:val="superscript"/>
        </w:rPr>
        <w:t>th</w:t>
      </w:r>
      <w:r w:rsidR="00A50DB5">
        <w:t xml:space="preserve"> grade MCAS mathematics examination reduces the probability that a </w:t>
      </w:r>
      <w:r w:rsidR="004700B6">
        <w:t>low-income</w:t>
      </w:r>
      <w:r w:rsidR="00A50DB5">
        <w:t xml:space="preserve">, urban student on the margins of passing will graduate from high school on-time by </w:t>
      </w:r>
      <w:r w:rsidR="00767940">
        <w:t>eight</w:t>
      </w:r>
      <w:r w:rsidR="00B7680E">
        <w:t xml:space="preserve"> </w:t>
      </w:r>
      <w:r w:rsidR="00A50DB5">
        <w:t>percentage points (p=0.0</w:t>
      </w:r>
      <w:r w:rsidR="00767940">
        <w:t>1</w:t>
      </w:r>
      <w:r w:rsidR="00245DD4">
        <w:t>5</w:t>
      </w:r>
      <w:r w:rsidR="00A50DB5">
        <w:t xml:space="preserve">). </w:t>
      </w:r>
      <w:r w:rsidR="00E73857">
        <w:t xml:space="preserve">Given that 26% of low-income, urban students who just pass the exam do not graduate on time, this effect is quite substantial. </w:t>
      </w:r>
      <w:r w:rsidR="00A50DB5">
        <w:t>We find no such effects for wealthier urban students or for suburban students, regardless of family income.</w:t>
      </w:r>
      <w:r w:rsidR="00C10414">
        <w:t xml:space="preserve"> </w:t>
      </w:r>
      <w:r w:rsidR="00C933F4">
        <w:t xml:space="preserve">Thus, it is the interaction of low family income and </w:t>
      </w:r>
      <w:r w:rsidR="000C47DE">
        <w:t xml:space="preserve">an </w:t>
      </w:r>
      <w:r w:rsidR="00C933F4">
        <w:t xml:space="preserve">urban environment that appears to </w:t>
      </w:r>
      <w:r w:rsidR="00CB66F0">
        <w:t xml:space="preserve">render </w:t>
      </w:r>
      <w:r w:rsidR="00C933F4">
        <w:t xml:space="preserve">students, on average, more susceptible to the effects of failing. </w:t>
      </w:r>
    </w:p>
    <w:p w:rsidR="0044132F" w:rsidRPr="001D5B56" w:rsidRDefault="00D5056F" w:rsidP="0044132F">
      <w:pPr>
        <w:widowControl w:val="0"/>
        <w:spacing w:line="480" w:lineRule="auto"/>
        <w:ind w:firstLine="720"/>
        <w:rPr>
          <w:b/>
        </w:rPr>
      </w:pPr>
      <w:r>
        <w:t>W</w:t>
      </w:r>
      <w:r w:rsidR="00803BB9">
        <w:t xml:space="preserve">e </w:t>
      </w:r>
      <w:r w:rsidR="0044132F">
        <w:t>present th</w:t>
      </w:r>
      <w:r w:rsidR="00AF53FB">
        <w:t xml:space="preserve">e </w:t>
      </w:r>
      <w:r w:rsidR="0044132F">
        <w:t xml:space="preserve">fitted </w:t>
      </w:r>
      <w:r w:rsidR="00F22245">
        <w:t>non-param</w:t>
      </w:r>
      <w:r w:rsidR="00AF53FB">
        <w:t>etric</w:t>
      </w:r>
      <w:r w:rsidR="009C7967">
        <w:t>ally</w:t>
      </w:r>
      <w:r w:rsidR="00AF53FB">
        <w:t xml:space="preserve"> </w:t>
      </w:r>
      <w:r w:rsidR="009C7967">
        <w:t xml:space="preserve">smoothed </w:t>
      </w:r>
      <w:r w:rsidR="00E55B89">
        <w:t>relationship</w:t>
      </w:r>
      <w:r w:rsidR="00AF53FB">
        <w:t xml:space="preserve"> </w:t>
      </w:r>
      <w:r w:rsidR="0044132F">
        <w:t>between graduation and MCAS mathematics score for typical low-income urban students from our preferred specification</w:t>
      </w:r>
      <w:r w:rsidR="00AF53FB" w:rsidRPr="00AF53FB">
        <w:t xml:space="preserve"> </w:t>
      </w:r>
      <w:r w:rsidR="00AF53FB">
        <w:t xml:space="preserve">in Figure </w:t>
      </w:r>
      <w:r w:rsidR="00245DD4">
        <w:t>3</w:t>
      </w:r>
      <w:r w:rsidR="0044132F">
        <w:t>. For these low-income urban students at the margin, failing the examination substantially reduces their subsequent probability of graduation. Visually, this effect appears as an interruption in the underlying smooth relationship between the probability of graduation a</w:t>
      </w:r>
      <w:r w:rsidR="006140B8">
        <w:t>nd the MCAS mathematics score</w:t>
      </w:r>
      <w:r w:rsidR="00FA0A22">
        <w:t xml:space="preserve"> at the cut score</w:t>
      </w:r>
      <w:r w:rsidR="006140B8">
        <w:t xml:space="preserve">. </w:t>
      </w:r>
      <w:r w:rsidR="00A94D39">
        <w:t xml:space="preserve">For </w:t>
      </w:r>
      <w:r w:rsidR="00236540">
        <w:t>perspective</w:t>
      </w:r>
      <w:r w:rsidR="00A94D39">
        <w:t xml:space="preserve">, we have included the sample mean </w:t>
      </w:r>
      <w:r w:rsidR="00D1070A">
        <w:t xml:space="preserve">probabilities </w:t>
      </w:r>
      <w:r w:rsidR="00A94D39">
        <w:t>of on-time graduation at each MCAS score</w:t>
      </w:r>
      <w:r w:rsidR="00FA0A22">
        <w:t xml:space="preserve"> level</w:t>
      </w:r>
      <w:r w:rsidR="00A94D39">
        <w:t>.</w:t>
      </w:r>
    </w:p>
    <w:p w:rsidR="009E2732" w:rsidRDefault="009E2732" w:rsidP="009E2732">
      <w:pPr>
        <w:widowControl w:val="0"/>
        <w:spacing w:line="480" w:lineRule="auto"/>
        <w:jc w:val="center"/>
      </w:pPr>
      <w:r>
        <w:t xml:space="preserve">FIGURE </w:t>
      </w:r>
      <w:r w:rsidR="00245DD4">
        <w:t>3</w:t>
      </w:r>
      <w:r>
        <w:t xml:space="preserve"> ABOUT HERE</w:t>
      </w:r>
    </w:p>
    <w:p w:rsidR="004D240C" w:rsidRDefault="00106112" w:rsidP="00C933F4">
      <w:pPr>
        <w:widowControl w:val="0"/>
        <w:spacing w:line="480" w:lineRule="auto"/>
        <w:ind w:firstLine="720"/>
      </w:pPr>
      <w:r>
        <w:t>T</w:t>
      </w:r>
      <w:r w:rsidR="00C933F4">
        <w:t xml:space="preserve">he </w:t>
      </w:r>
      <w:r w:rsidR="00A50DB5">
        <w:t>effects for wealthier urban and suburban students are</w:t>
      </w:r>
      <w:r w:rsidR="000A5DE7">
        <w:t xml:space="preserve"> not </w:t>
      </w:r>
      <w:r w:rsidR="00A1190F">
        <w:t>statistically significant</w:t>
      </w:r>
      <w:r w:rsidR="004F7212">
        <w:t>.</w:t>
      </w:r>
      <w:r w:rsidR="00C933F4">
        <w:t xml:space="preserve"> </w:t>
      </w:r>
      <w:r w:rsidR="00891D72">
        <w:t xml:space="preserve">However, the point estimates indicate that </w:t>
      </w:r>
      <w:r w:rsidR="00C933F4">
        <w:t xml:space="preserve">for </w:t>
      </w:r>
      <w:r w:rsidR="00724317">
        <w:t>these subgroups</w:t>
      </w:r>
      <w:r w:rsidR="00891D72">
        <w:t xml:space="preserve">, </w:t>
      </w:r>
      <w:r w:rsidR="0044132F">
        <w:t xml:space="preserve">students on the margins of passing </w:t>
      </w:r>
      <w:r w:rsidR="00891D72">
        <w:t xml:space="preserve">who just fail </w:t>
      </w:r>
      <w:r w:rsidR="006D7CBB">
        <w:t>ha</w:t>
      </w:r>
      <w:r w:rsidR="006A2FD1">
        <w:t>ve</w:t>
      </w:r>
      <w:r w:rsidR="006D7CBB">
        <w:t xml:space="preserve"> </w:t>
      </w:r>
      <w:r w:rsidR="006A2FD1">
        <w:t xml:space="preserve">a </w:t>
      </w:r>
      <w:r w:rsidR="006D7CBB">
        <w:t xml:space="preserve">slightly </w:t>
      </w:r>
      <w:r w:rsidR="00A367F7" w:rsidRPr="00774259">
        <w:rPr>
          <w:i/>
        </w:rPr>
        <w:t>greater</w:t>
      </w:r>
      <w:r w:rsidR="00A367F7">
        <w:t xml:space="preserve"> </w:t>
      </w:r>
      <w:r w:rsidR="006D7CBB">
        <w:t xml:space="preserve">probability of on-time graduation </w:t>
      </w:r>
      <w:r w:rsidR="00891D72">
        <w:t xml:space="preserve">than students who just pass. </w:t>
      </w:r>
      <w:r w:rsidR="00F34BB2">
        <w:t>T</w:t>
      </w:r>
      <w:r w:rsidR="005D3FFB">
        <w:t>h</w:t>
      </w:r>
      <w:r w:rsidR="006D7CBB">
        <w:t xml:space="preserve">is </w:t>
      </w:r>
      <w:r w:rsidR="005D3FFB">
        <w:t>seemingly counterintuitive pattern could stem from efforts by school</w:t>
      </w:r>
      <w:r w:rsidR="00C933F4">
        <w:t>s</w:t>
      </w:r>
      <w:r w:rsidR="005D3FFB">
        <w:t xml:space="preserve"> with ample resources to focus attention on the relatively few students with failing MCAS scores. Recent research by Neal and Schanzenbach (2007) lends some support for this claim; the authors find </w:t>
      </w:r>
      <w:r w:rsidR="005D3FFB">
        <w:lastRenderedPageBreak/>
        <w:t xml:space="preserve">that, in the Chicago Public Schools, teachers face and respond to incentives to focus instruction on students who </w:t>
      </w:r>
      <w:r w:rsidR="00116333">
        <w:t>seem likely to</w:t>
      </w:r>
      <w:r w:rsidR="005D3FFB">
        <w:t xml:space="preserve"> improv</w:t>
      </w:r>
      <w:r w:rsidR="003833D4">
        <w:t>e their performance on the high-</w:t>
      </w:r>
      <w:r w:rsidR="005D3FFB">
        <w:t>stakes exam</w:t>
      </w:r>
      <w:r w:rsidR="00A367F7">
        <w:t>ination</w:t>
      </w:r>
      <w:r w:rsidR="005D3FFB">
        <w:t>.</w:t>
      </w:r>
    </w:p>
    <w:p w:rsidR="00594384" w:rsidRDefault="00874590" w:rsidP="00516638">
      <w:pPr>
        <w:widowControl w:val="0"/>
        <w:spacing w:line="480" w:lineRule="auto"/>
      </w:pPr>
      <w:r>
        <w:rPr>
          <w:u w:val="single"/>
        </w:rPr>
        <w:t>(</w:t>
      </w:r>
      <w:r w:rsidR="003C1F5F">
        <w:rPr>
          <w:u w:val="single"/>
        </w:rPr>
        <w:t>2</w:t>
      </w:r>
      <w:r w:rsidR="00EE5179">
        <w:rPr>
          <w:u w:val="single"/>
        </w:rPr>
        <w:t xml:space="preserve">) </w:t>
      </w:r>
      <w:r w:rsidR="003C1F5F">
        <w:rPr>
          <w:u w:val="single"/>
        </w:rPr>
        <w:t>P</w:t>
      </w:r>
      <w:r>
        <w:rPr>
          <w:u w:val="single"/>
        </w:rPr>
        <w:t xml:space="preserve">ersistence </w:t>
      </w:r>
      <w:r w:rsidR="003C1F5F">
        <w:rPr>
          <w:u w:val="single"/>
        </w:rPr>
        <w:t xml:space="preserve">and success in retesting </w:t>
      </w:r>
      <w:r>
        <w:rPr>
          <w:u w:val="single"/>
        </w:rPr>
        <w:t>among</w:t>
      </w:r>
      <w:r w:rsidR="00EE5179">
        <w:rPr>
          <w:u w:val="single"/>
        </w:rPr>
        <w:t xml:space="preserve"> </w:t>
      </w:r>
      <w:r>
        <w:rPr>
          <w:u w:val="single"/>
        </w:rPr>
        <w:t>s</w:t>
      </w:r>
      <w:r w:rsidR="00EE5179">
        <w:rPr>
          <w:u w:val="single"/>
        </w:rPr>
        <w:t xml:space="preserve">tudents </w:t>
      </w:r>
      <w:r>
        <w:rPr>
          <w:u w:val="single"/>
        </w:rPr>
        <w:t>w</w:t>
      </w:r>
      <w:r w:rsidR="00EE5179">
        <w:rPr>
          <w:u w:val="single"/>
        </w:rPr>
        <w:t xml:space="preserve">ho </w:t>
      </w:r>
      <w:r>
        <w:rPr>
          <w:u w:val="single"/>
        </w:rPr>
        <w:t>f</w:t>
      </w:r>
      <w:r w:rsidR="00EE5179">
        <w:rPr>
          <w:u w:val="single"/>
        </w:rPr>
        <w:t>ail</w:t>
      </w:r>
    </w:p>
    <w:p w:rsidR="00012E2B" w:rsidRPr="004170D5" w:rsidRDefault="00874590" w:rsidP="00516638">
      <w:pPr>
        <w:widowControl w:val="0"/>
        <w:spacing w:line="480" w:lineRule="auto"/>
      </w:pPr>
      <w:r>
        <w:tab/>
      </w:r>
      <w:r w:rsidR="00594384">
        <w:t>Overall,</w:t>
      </w:r>
      <w:r w:rsidR="0064032D">
        <w:t xml:space="preserve"> t</w:t>
      </w:r>
      <w:r>
        <w:t>he 8,</w:t>
      </w:r>
      <w:r w:rsidR="00405F65">
        <w:t>269</w:t>
      </w:r>
      <w:r>
        <w:t xml:space="preserve"> students who failed the mathematics MCAS on their first try in 2004</w:t>
      </w:r>
      <w:r w:rsidR="0064032D">
        <w:t xml:space="preserve"> showed remarkable persistence in retaking the </w:t>
      </w:r>
      <w:r w:rsidR="00A367F7">
        <w:t>examination.</w:t>
      </w:r>
      <w:r w:rsidR="0064032D">
        <w:t xml:space="preserve"> N</w:t>
      </w:r>
      <w:r>
        <w:t>early 8</w:t>
      </w:r>
      <w:r w:rsidR="00405F65">
        <w:t>9</w:t>
      </w:r>
      <w:r>
        <w:t xml:space="preserve">% </w:t>
      </w:r>
      <w:r w:rsidR="0064032D">
        <w:t xml:space="preserve">took the </w:t>
      </w:r>
      <w:r w:rsidR="00BC0EB7">
        <w:t xml:space="preserve">examination </w:t>
      </w:r>
      <w:r w:rsidR="0064032D">
        <w:t>at least one more time and, of these students, 6</w:t>
      </w:r>
      <w:r w:rsidR="00405F65">
        <w:t>8</w:t>
      </w:r>
      <w:r w:rsidR="0064032D">
        <w:t>% went on to pass the test</w:t>
      </w:r>
      <w:r w:rsidR="00405F65">
        <w:t xml:space="preserve"> at some point in high school</w:t>
      </w:r>
      <w:r w:rsidR="0064032D">
        <w:t xml:space="preserve">. </w:t>
      </w:r>
      <w:r w:rsidR="003D2386">
        <w:t xml:space="preserve">On average, </w:t>
      </w:r>
      <w:r w:rsidR="0064032D">
        <w:t xml:space="preserve">students who never passed the </w:t>
      </w:r>
      <w:r w:rsidR="00BC0EB7">
        <w:t xml:space="preserve">examination </w:t>
      </w:r>
      <w:r w:rsidR="00405F65">
        <w:t xml:space="preserve">retook it </w:t>
      </w:r>
      <w:r w:rsidR="003833D4">
        <w:t>twice</w:t>
      </w:r>
      <w:r w:rsidR="0064032D">
        <w:t xml:space="preserve"> before giving up</w:t>
      </w:r>
      <w:r w:rsidR="003D2386">
        <w:t xml:space="preserve">. </w:t>
      </w:r>
      <w:r w:rsidR="005F44AC">
        <w:t xml:space="preserve">As </w:t>
      </w:r>
      <w:r w:rsidR="00A1190F">
        <w:t xml:space="preserve">the sample histogram in </w:t>
      </w:r>
      <w:r w:rsidR="005F44AC">
        <w:t xml:space="preserve">Figure </w:t>
      </w:r>
      <w:r w:rsidR="00245DD4">
        <w:t>4</w:t>
      </w:r>
      <w:r w:rsidR="005F44AC">
        <w:t xml:space="preserve"> illustrates, </w:t>
      </w:r>
      <w:r w:rsidR="003D2386">
        <w:t xml:space="preserve">on </w:t>
      </w:r>
      <w:r w:rsidR="005F44AC">
        <w:t xml:space="preserve">each retest, approximately 35% of the students passed. Among those who failed each retest, </w:t>
      </w:r>
      <w:r w:rsidR="0064032D">
        <w:t xml:space="preserve">most students </w:t>
      </w:r>
      <w:r w:rsidR="005F44AC">
        <w:t xml:space="preserve">(85 to 90 percent) </w:t>
      </w:r>
      <w:r w:rsidR="0064032D">
        <w:t xml:space="preserve">decided to retake it </w:t>
      </w:r>
      <w:r w:rsidR="005F44AC">
        <w:t xml:space="preserve">yet </w:t>
      </w:r>
      <w:r w:rsidR="0064032D">
        <w:t>another time.</w:t>
      </w:r>
      <w:r w:rsidR="005F44AC">
        <w:t xml:space="preserve"> </w:t>
      </w:r>
      <w:r w:rsidR="004B6B2F">
        <w:t xml:space="preserve">Although not shown, the numbers of students pursuing retests declines precipitously after the fourth retest: only 113 students retook the </w:t>
      </w:r>
      <w:r w:rsidR="00BC0EB7">
        <w:t xml:space="preserve">examination </w:t>
      </w:r>
      <w:r w:rsidR="004B6B2F">
        <w:t xml:space="preserve">a fifth time, and only 7 took a sixth retest. </w:t>
      </w:r>
      <w:r w:rsidR="005A6208">
        <w:t xml:space="preserve">Thus, very few students </w:t>
      </w:r>
      <w:r w:rsidR="009E2732">
        <w:t>took</w:t>
      </w:r>
      <w:r w:rsidR="005A6208">
        <w:t xml:space="preserve"> advantage of all their retest opportunities.</w:t>
      </w:r>
    </w:p>
    <w:p w:rsidR="00566ABF" w:rsidRDefault="005B12C6" w:rsidP="00516638">
      <w:pPr>
        <w:widowControl w:val="0"/>
        <w:spacing w:line="480" w:lineRule="auto"/>
        <w:jc w:val="center"/>
      </w:pPr>
      <w:r>
        <w:t xml:space="preserve">FIGURE </w:t>
      </w:r>
      <w:r w:rsidR="00245DD4">
        <w:t xml:space="preserve">4 </w:t>
      </w:r>
      <w:r>
        <w:t>ABOUT HERE</w:t>
      </w:r>
    </w:p>
    <w:p w:rsidR="00245DD4" w:rsidRDefault="00245DD4" w:rsidP="00245DD4">
      <w:pPr>
        <w:pStyle w:val="Default"/>
        <w:spacing w:line="480" w:lineRule="auto"/>
        <w:ind w:firstLine="720"/>
      </w:pPr>
      <w:r>
        <w:t xml:space="preserve">Among students who failed their first test, we find evidence for both </w:t>
      </w:r>
      <w:r>
        <w:rPr>
          <w:i/>
          <w:iCs/>
        </w:rPr>
        <w:t xml:space="preserve">Discouragement </w:t>
      </w:r>
      <w:r>
        <w:t xml:space="preserve">and </w:t>
      </w:r>
      <w:r>
        <w:rPr>
          <w:i/>
          <w:iCs/>
        </w:rPr>
        <w:t>Repeated Failure</w:t>
      </w:r>
      <w:r>
        <w:t xml:space="preserve">. Here, we examine students whose initial test scores placed them close to the cut score but who never pass a retest. More than two-thirds of these students stop taking retests at some point and do not attempt the March 2006 examination, the last retest before the cohort’s graduation. Presumably, these students became discouraged and dropped out of school. However, one-third of these students persist to the March 2006 retest. Over 85% of these students have taken at least four retests, showing remarkable persistence. For these students, </w:t>
      </w:r>
      <w:r>
        <w:rPr>
          <w:i/>
          <w:iCs/>
        </w:rPr>
        <w:t xml:space="preserve">Repeated Failure </w:t>
      </w:r>
      <w:r>
        <w:t xml:space="preserve">appears to be the mechanism at play as they exhaust all of their retest opportunities but cannot satisfy the graduation requirement. These patterns support </w:t>
      </w:r>
      <w:smartTag w:uri="urn:schemas-microsoft-com:office:smarttags" w:element="place">
        <w:smartTag w:uri="urn:schemas-microsoft-com:office:smarttags" w:element="State">
          <w:r>
            <w:t>Massachusetts</w:t>
          </w:r>
        </w:smartTag>
      </w:smartTag>
      <w:r>
        <w:t xml:space="preserve">’s claim that most students have ample opportunities to retake the examination. </w:t>
      </w:r>
    </w:p>
    <w:p w:rsidR="005A6208" w:rsidRDefault="003D2386" w:rsidP="006C5A61">
      <w:pPr>
        <w:widowControl w:val="0"/>
        <w:spacing w:line="480" w:lineRule="auto"/>
        <w:ind w:firstLine="720"/>
      </w:pPr>
      <w:r>
        <w:lastRenderedPageBreak/>
        <w:t xml:space="preserve"> </w:t>
      </w:r>
      <w:r w:rsidR="0044132F">
        <w:t xml:space="preserve">In </w:t>
      </w:r>
      <w:r w:rsidR="006C5A61">
        <w:t xml:space="preserve">Figure </w:t>
      </w:r>
      <w:r w:rsidR="00245DD4">
        <w:t>5</w:t>
      </w:r>
      <w:r w:rsidR="0044132F">
        <w:t>, we</w:t>
      </w:r>
      <w:r w:rsidR="006C5A61">
        <w:t xml:space="preserve"> </w:t>
      </w:r>
      <w:r w:rsidR="00A1190F">
        <w:t xml:space="preserve">present </w:t>
      </w:r>
      <w:r w:rsidR="006C5A61">
        <w:t xml:space="preserve">the </w:t>
      </w:r>
      <w:r w:rsidR="00A1190F">
        <w:t xml:space="preserve">fitted </w:t>
      </w:r>
      <w:r w:rsidR="006C5A61">
        <w:t xml:space="preserve">probability of retaking the examination (top panel) and passing the first retest (bottom panel) </w:t>
      </w:r>
      <w:r w:rsidR="00FB7BE3">
        <w:t xml:space="preserve">as a function of </w:t>
      </w:r>
      <w:r w:rsidR="006C5A61">
        <w:t xml:space="preserve">initial </w:t>
      </w:r>
      <w:r w:rsidR="009E2732">
        <w:t xml:space="preserve">mathematics </w:t>
      </w:r>
      <w:r w:rsidR="006C5A61">
        <w:t>test score.</w:t>
      </w:r>
      <w:r w:rsidR="00245DD4">
        <w:rPr>
          <w:rStyle w:val="FootnoteReference"/>
        </w:rPr>
        <w:footnoteReference w:id="12"/>
      </w:r>
      <w:r w:rsidR="006C5A61">
        <w:t xml:space="preserve"> It shows that</w:t>
      </w:r>
      <w:r w:rsidR="0044132F">
        <w:t xml:space="preserve">, among students with the same </w:t>
      </w:r>
      <w:r w:rsidR="009E2732">
        <w:t xml:space="preserve">MCAS </w:t>
      </w:r>
      <w:r w:rsidR="0044132F">
        <w:t>score</w:t>
      </w:r>
      <w:r w:rsidR="009E2732">
        <w:t>s</w:t>
      </w:r>
      <w:r w:rsidR="0044132F">
        <w:t xml:space="preserve"> on the initial test</w:t>
      </w:r>
      <w:r w:rsidR="009E2732">
        <w:t>s</w:t>
      </w:r>
      <w:r w:rsidR="0044132F">
        <w:t>,</w:t>
      </w:r>
      <w:r w:rsidR="006C5A61">
        <w:t xml:space="preserve"> </w:t>
      </w:r>
      <w:r w:rsidR="004700B6">
        <w:t>low-income</w:t>
      </w:r>
      <w:r w:rsidR="00726AE1">
        <w:t xml:space="preserve"> </w:t>
      </w:r>
      <w:r w:rsidR="006C5A61">
        <w:t xml:space="preserve">urban students </w:t>
      </w:r>
      <w:r w:rsidR="00116333">
        <w:t xml:space="preserve">are no less likely than </w:t>
      </w:r>
      <w:r w:rsidR="00A56E0D">
        <w:t xml:space="preserve">suburban </w:t>
      </w:r>
      <w:r w:rsidR="00116333">
        <w:t xml:space="preserve">students </w:t>
      </w:r>
      <w:r w:rsidR="006C5A61">
        <w:t xml:space="preserve">to retake </w:t>
      </w:r>
      <w:r w:rsidR="009E2732">
        <w:t>the mathematics examination</w:t>
      </w:r>
      <w:r w:rsidR="006C5A61">
        <w:t xml:space="preserve">. However, </w:t>
      </w:r>
      <w:r w:rsidR="004700B6">
        <w:t>low-income</w:t>
      </w:r>
      <w:r w:rsidR="00726AE1">
        <w:t xml:space="preserve"> </w:t>
      </w:r>
      <w:r w:rsidR="006C5A61">
        <w:t xml:space="preserve">urban students are </w:t>
      </w:r>
      <w:r w:rsidR="00726AE1">
        <w:t>nearly</w:t>
      </w:r>
      <w:r w:rsidR="006C5A61">
        <w:t xml:space="preserve"> </w:t>
      </w:r>
      <w:r w:rsidR="00C63E08">
        <w:t xml:space="preserve">ten </w:t>
      </w:r>
      <w:r w:rsidR="006C5A61">
        <w:t xml:space="preserve">percentage points less likely to pass this retest than </w:t>
      </w:r>
      <w:r w:rsidR="00A56E0D">
        <w:t xml:space="preserve">suburban </w:t>
      </w:r>
      <w:r w:rsidR="006C5A61">
        <w:t>students with the same initial score</w:t>
      </w:r>
      <w:r w:rsidR="009E2732">
        <w:t xml:space="preserve">s </w:t>
      </w:r>
      <w:r w:rsidR="005655C1">
        <w:t>(p&lt;0.001)</w:t>
      </w:r>
      <w:r w:rsidR="006C5A61">
        <w:t xml:space="preserve">. </w:t>
      </w:r>
    </w:p>
    <w:p w:rsidR="006C5A61" w:rsidRDefault="00A94D39" w:rsidP="00A94D39">
      <w:pPr>
        <w:widowControl w:val="0"/>
        <w:spacing w:line="480" w:lineRule="auto"/>
        <w:ind w:left="2160" w:firstLine="720"/>
      </w:pPr>
      <w:r>
        <w:t>F</w:t>
      </w:r>
      <w:r w:rsidR="006C5A61">
        <w:t xml:space="preserve">IGURE </w:t>
      </w:r>
      <w:r w:rsidR="00245DD4">
        <w:t>5</w:t>
      </w:r>
      <w:r w:rsidR="006C5A61">
        <w:t xml:space="preserve"> ABOUT HERE</w:t>
      </w:r>
    </w:p>
    <w:p w:rsidR="004B6B2F" w:rsidRPr="00CE484E" w:rsidRDefault="00C41867" w:rsidP="00C41867">
      <w:pPr>
        <w:widowControl w:val="0"/>
        <w:spacing w:line="480" w:lineRule="auto"/>
      </w:pPr>
      <w:r>
        <w:rPr>
          <w:u w:val="single"/>
        </w:rPr>
        <w:t xml:space="preserve">(3) </w:t>
      </w:r>
      <w:r w:rsidR="00CE484E">
        <w:rPr>
          <w:u w:val="single"/>
        </w:rPr>
        <w:t>Effect of failing the 8</w:t>
      </w:r>
      <w:r w:rsidR="00CE484E" w:rsidRPr="00CE484E">
        <w:rPr>
          <w:u w:val="single"/>
          <w:vertAlign w:val="superscript"/>
        </w:rPr>
        <w:t>th</w:t>
      </w:r>
      <w:r w:rsidR="00CE484E">
        <w:rPr>
          <w:u w:val="single"/>
        </w:rPr>
        <w:t xml:space="preserve"> grade examination on persistence to 10</w:t>
      </w:r>
      <w:r w:rsidR="00CE484E" w:rsidRPr="00CE484E">
        <w:rPr>
          <w:u w:val="single"/>
          <w:vertAlign w:val="superscript"/>
        </w:rPr>
        <w:t>th</w:t>
      </w:r>
      <w:r w:rsidR="00CE484E">
        <w:rPr>
          <w:u w:val="single"/>
        </w:rPr>
        <w:t xml:space="preserve"> grade</w:t>
      </w:r>
    </w:p>
    <w:p w:rsidR="00CE484E" w:rsidRDefault="007A67DB" w:rsidP="00C41867">
      <w:pPr>
        <w:widowControl w:val="0"/>
        <w:spacing w:line="480" w:lineRule="auto"/>
      </w:pPr>
      <w:r>
        <w:tab/>
        <w:t>Although the 8</w:t>
      </w:r>
      <w:r w:rsidRPr="007A67DB">
        <w:rPr>
          <w:vertAlign w:val="superscript"/>
        </w:rPr>
        <w:t>th</w:t>
      </w:r>
      <w:r>
        <w:t xml:space="preserve"> grade examination </w:t>
      </w:r>
      <w:r w:rsidR="007A235E">
        <w:t>does</w:t>
      </w:r>
      <w:r>
        <w:t xml:space="preserve"> not </w:t>
      </w:r>
      <w:r w:rsidR="007A235E">
        <w:t>carry</w:t>
      </w:r>
      <w:r>
        <w:t xml:space="preserve"> high</w:t>
      </w:r>
      <w:r w:rsidR="007A235E">
        <w:t xml:space="preserve"> </w:t>
      </w:r>
      <w:r>
        <w:t xml:space="preserve">stakes for students, performance on the test is clearly related to the </w:t>
      </w:r>
      <w:r w:rsidR="00C47E3D">
        <w:t xml:space="preserve">probability </w:t>
      </w:r>
      <w:r>
        <w:t>that students remain in school through 10</w:t>
      </w:r>
      <w:r w:rsidRPr="007A67DB">
        <w:rPr>
          <w:vertAlign w:val="superscript"/>
        </w:rPr>
        <w:t>th</w:t>
      </w:r>
      <w:r>
        <w:t xml:space="preserve"> grade. </w:t>
      </w:r>
      <w:r w:rsidR="00BB557A">
        <w:t>F</w:t>
      </w:r>
      <w:r>
        <w:t xml:space="preserve">or </w:t>
      </w:r>
      <w:r w:rsidR="009C38F5">
        <w:t xml:space="preserve">low-income </w:t>
      </w:r>
      <w:r w:rsidR="00BB557A">
        <w:t xml:space="preserve">urban </w:t>
      </w:r>
      <w:r>
        <w:t>student</w:t>
      </w:r>
      <w:r w:rsidR="009C38F5">
        <w:t>s</w:t>
      </w:r>
      <w:r>
        <w:t xml:space="preserve"> on the margin of passing the 8</w:t>
      </w:r>
      <w:r w:rsidRPr="007A67DB">
        <w:rPr>
          <w:vertAlign w:val="superscript"/>
        </w:rPr>
        <w:t>th</w:t>
      </w:r>
      <w:r>
        <w:t xml:space="preserve"> grade mathematics </w:t>
      </w:r>
      <w:r w:rsidR="00A367F7">
        <w:t>test</w:t>
      </w:r>
      <w:r>
        <w:t xml:space="preserve">, failing the examination reduces the probability of continuing </w:t>
      </w:r>
      <w:r w:rsidR="005F457C">
        <w:t>in school and taking the 10</w:t>
      </w:r>
      <w:r w:rsidR="005F457C" w:rsidRPr="005F457C">
        <w:rPr>
          <w:vertAlign w:val="superscript"/>
        </w:rPr>
        <w:t>th</w:t>
      </w:r>
      <w:r w:rsidR="005F457C">
        <w:t xml:space="preserve"> grade MCAS examination </w:t>
      </w:r>
      <w:r>
        <w:t xml:space="preserve">by </w:t>
      </w:r>
      <w:r w:rsidR="009C38F5">
        <w:t xml:space="preserve">three </w:t>
      </w:r>
      <w:r>
        <w:t>percentage points</w:t>
      </w:r>
      <w:r w:rsidR="003A0647">
        <w:t xml:space="preserve"> (p=0.</w:t>
      </w:r>
      <w:r w:rsidR="00245DD4">
        <w:t>16</w:t>
      </w:r>
      <w:r w:rsidR="003A0647">
        <w:t>)</w:t>
      </w:r>
      <w:r>
        <w:t>.</w:t>
      </w:r>
      <w:r w:rsidR="003A0647">
        <w:t xml:space="preserve"> While this effect is not statistically significant, we arrive at nearly identical, but more precise and statistically significant results using a slightly larger bandwidth</w:t>
      </w:r>
      <w:r w:rsidR="00245DD4">
        <w:t xml:space="preserve"> around the cut score</w:t>
      </w:r>
      <w:r w:rsidR="003A0647">
        <w:t>.</w:t>
      </w:r>
      <w:r w:rsidR="009C38F5">
        <w:t xml:space="preserve"> </w:t>
      </w:r>
      <w:r w:rsidR="00E73857">
        <w:t xml:space="preserve">Because </w:t>
      </w:r>
      <w:r w:rsidR="003833D4">
        <w:t xml:space="preserve">only </w:t>
      </w:r>
      <w:r w:rsidR="00E73857">
        <w:t xml:space="preserve">eleven percent of low-income urban students who just </w:t>
      </w:r>
      <w:r w:rsidR="00675EE1">
        <w:t xml:space="preserve">pass </w:t>
      </w:r>
      <w:r w:rsidR="00E73857">
        <w:t xml:space="preserve">the examination </w:t>
      </w:r>
      <w:r w:rsidR="003833D4">
        <w:t xml:space="preserve">leave the system </w:t>
      </w:r>
      <w:r w:rsidR="00E73857">
        <w:t>before 10</w:t>
      </w:r>
      <w:r w:rsidR="00E73857" w:rsidRPr="00385081">
        <w:rPr>
          <w:vertAlign w:val="superscript"/>
        </w:rPr>
        <w:t>th</w:t>
      </w:r>
      <w:r w:rsidR="00E73857">
        <w:t xml:space="preserve"> grade, this </w:t>
      </w:r>
      <w:r w:rsidR="00675EE1">
        <w:t xml:space="preserve">three percentage point decline is noteworthy.  </w:t>
      </w:r>
      <w:r w:rsidR="00C47E3D">
        <w:t xml:space="preserve">In </w:t>
      </w:r>
      <w:r w:rsidR="00F27CFC">
        <w:t xml:space="preserve">Figure </w:t>
      </w:r>
      <w:r w:rsidR="00245DD4">
        <w:t>6</w:t>
      </w:r>
      <w:r w:rsidR="00C47E3D">
        <w:t xml:space="preserve">, we illustrate </w:t>
      </w:r>
      <w:r w:rsidR="00F27CFC">
        <w:t>this pattern</w:t>
      </w:r>
      <w:r w:rsidR="00C47E3D">
        <w:t xml:space="preserve"> by plotting </w:t>
      </w:r>
      <w:r w:rsidR="009C1C31">
        <w:t xml:space="preserve">the fitted </w:t>
      </w:r>
      <w:r w:rsidR="00AF53FB">
        <w:t>non</w:t>
      </w:r>
      <w:r w:rsidR="00B30F8F">
        <w:t>-</w:t>
      </w:r>
      <w:r w:rsidR="00AF53FB">
        <w:t>parametric</w:t>
      </w:r>
      <w:r w:rsidR="003833D4">
        <w:t>al</w:t>
      </w:r>
      <w:r w:rsidR="009C7967">
        <w:t>ly</w:t>
      </w:r>
      <w:r w:rsidR="00AF53FB">
        <w:t xml:space="preserve"> </w:t>
      </w:r>
      <w:r w:rsidR="00CE6515">
        <w:t xml:space="preserve">smoothed </w:t>
      </w:r>
      <w:r w:rsidR="009C1C31">
        <w:t xml:space="preserve">relationship between </w:t>
      </w:r>
      <w:r w:rsidR="0044132F">
        <w:t>persistence to 10</w:t>
      </w:r>
      <w:r w:rsidR="0044132F" w:rsidRPr="0044132F">
        <w:rPr>
          <w:vertAlign w:val="superscript"/>
        </w:rPr>
        <w:t>th</w:t>
      </w:r>
      <w:r w:rsidR="0044132F">
        <w:t xml:space="preserve"> grade</w:t>
      </w:r>
      <w:r w:rsidR="009C1C31">
        <w:t xml:space="preserve"> and mathematics score for </w:t>
      </w:r>
      <w:r w:rsidR="00C103C0">
        <w:t xml:space="preserve">low-income </w:t>
      </w:r>
      <w:r w:rsidR="009C1C31">
        <w:t xml:space="preserve">urban students, </w:t>
      </w:r>
      <w:r w:rsidR="00675EE1">
        <w:t xml:space="preserve">indicating </w:t>
      </w:r>
      <w:r w:rsidR="00F27CFC">
        <w:t>that</w:t>
      </w:r>
      <w:r w:rsidR="009C1C31">
        <w:t xml:space="preserve"> </w:t>
      </w:r>
      <w:r w:rsidR="00F27CFC">
        <w:t>the probability of persisting jumps at the cut score between Passing and Failing.</w:t>
      </w:r>
      <w:r w:rsidR="001E1936">
        <w:t xml:space="preserve"> </w:t>
      </w:r>
    </w:p>
    <w:p w:rsidR="00F27CFC" w:rsidRDefault="00F27CFC" w:rsidP="00A367F7">
      <w:pPr>
        <w:widowControl w:val="0"/>
        <w:spacing w:line="480" w:lineRule="auto"/>
        <w:jc w:val="center"/>
      </w:pPr>
      <w:r>
        <w:t xml:space="preserve">FIGURE </w:t>
      </w:r>
      <w:r w:rsidR="00245DD4">
        <w:t xml:space="preserve">6 </w:t>
      </w:r>
      <w:r>
        <w:t>ABOUT HERE</w:t>
      </w:r>
    </w:p>
    <w:p w:rsidR="00CE484E" w:rsidRDefault="00B5256B" w:rsidP="00C41867">
      <w:pPr>
        <w:widowControl w:val="0"/>
        <w:spacing w:line="480" w:lineRule="auto"/>
        <w:rPr>
          <w:u w:val="single"/>
        </w:rPr>
      </w:pPr>
      <w:r w:rsidDel="00B5256B">
        <w:lastRenderedPageBreak/>
        <w:t xml:space="preserve"> </w:t>
      </w:r>
      <w:r w:rsidR="00CE484E">
        <w:rPr>
          <w:u w:val="single"/>
        </w:rPr>
        <w:t xml:space="preserve">(4) </w:t>
      </w:r>
      <w:r w:rsidR="0044132F">
        <w:rPr>
          <w:u w:val="single"/>
        </w:rPr>
        <w:t>Effect of failing</w:t>
      </w:r>
      <w:r w:rsidR="00E301BB">
        <w:rPr>
          <w:u w:val="single"/>
        </w:rPr>
        <w:t xml:space="preserve"> the English</w:t>
      </w:r>
      <w:r w:rsidR="00CC4754">
        <w:rPr>
          <w:u w:val="single"/>
        </w:rPr>
        <w:t xml:space="preserve"> l</w:t>
      </w:r>
      <w:r w:rsidR="00E301BB">
        <w:rPr>
          <w:u w:val="single"/>
        </w:rPr>
        <w:t xml:space="preserve">anguage </w:t>
      </w:r>
      <w:r w:rsidR="00CC4754">
        <w:rPr>
          <w:u w:val="single"/>
        </w:rPr>
        <w:t>a</w:t>
      </w:r>
      <w:r w:rsidR="00E301BB">
        <w:rPr>
          <w:u w:val="single"/>
        </w:rPr>
        <w:t>rts examination</w:t>
      </w:r>
      <w:r w:rsidR="0044132F">
        <w:rPr>
          <w:u w:val="single"/>
        </w:rPr>
        <w:t xml:space="preserve"> on high school graduation</w:t>
      </w:r>
      <w:r w:rsidR="00C04A66">
        <w:rPr>
          <w:rStyle w:val="FootnoteReference"/>
          <w:u w:val="single"/>
        </w:rPr>
        <w:footnoteReference w:id="13"/>
      </w:r>
    </w:p>
    <w:p w:rsidR="00CF225F" w:rsidRDefault="00E301BB" w:rsidP="00C41867">
      <w:pPr>
        <w:widowControl w:val="0"/>
        <w:spacing w:line="480" w:lineRule="auto"/>
      </w:pPr>
      <w:r>
        <w:tab/>
      </w:r>
      <w:r w:rsidR="00C47E3D">
        <w:t xml:space="preserve">Inspecting </w:t>
      </w:r>
      <w:r w:rsidR="00DD2905">
        <w:t xml:space="preserve">raw </w:t>
      </w:r>
      <w:r w:rsidR="00C47E3D">
        <w:t xml:space="preserve">data </w:t>
      </w:r>
      <w:r w:rsidR="00DD2905">
        <w:t xml:space="preserve">in </w:t>
      </w:r>
      <w:smartTag w:uri="urn:schemas-microsoft-com:office:smarttags" w:element="place">
        <w:smartTag w:uri="urn:schemas-microsoft-com:office:smarttags" w:element="State">
          <w:r w:rsidR="00DD2905">
            <w:t>Massachusetts</w:t>
          </w:r>
        </w:smartTag>
      </w:smartTag>
      <w:r w:rsidR="00DD2905">
        <w:t xml:space="preserve"> </w:t>
      </w:r>
      <w:r w:rsidR="00C47E3D">
        <w:t xml:space="preserve">suggests </w:t>
      </w:r>
      <w:r w:rsidR="00DD2905">
        <w:t xml:space="preserve">that the mathematics </w:t>
      </w:r>
      <w:r w:rsidR="00BC0EB7">
        <w:t xml:space="preserve">examination </w:t>
      </w:r>
      <w:r w:rsidR="00DD2905">
        <w:t>is a larger hurdle</w:t>
      </w:r>
      <w:r w:rsidR="00C47E3D">
        <w:t xml:space="preserve"> </w:t>
      </w:r>
      <w:r w:rsidR="009F6D57">
        <w:t>to on-time graduation than the ELA examination. M</w:t>
      </w:r>
      <w:r w:rsidR="00DD2905">
        <w:t xml:space="preserve">ost </w:t>
      </w:r>
      <w:r w:rsidR="00F41339">
        <w:t xml:space="preserve">students </w:t>
      </w:r>
      <w:r w:rsidR="00DD2905">
        <w:t xml:space="preserve">who failed the </w:t>
      </w:r>
      <w:r w:rsidR="00F41339">
        <w:t>10</w:t>
      </w:r>
      <w:r w:rsidR="00F41339" w:rsidRPr="00F41339">
        <w:rPr>
          <w:vertAlign w:val="superscript"/>
        </w:rPr>
        <w:t>th</w:t>
      </w:r>
      <w:r w:rsidR="00F41339">
        <w:t xml:space="preserve"> grade </w:t>
      </w:r>
      <w:r w:rsidR="00DD2905">
        <w:t xml:space="preserve">ELA examination also failed the mathematics </w:t>
      </w:r>
      <w:r w:rsidR="00F41339">
        <w:t>test</w:t>
      </w:r>
      <w:r w:rsidR="009F6D57">
        <w:t>, while a</w:t>
      </w:r>
      <w:r w:rsidR="00DD2905">
        <w:t xml:space="preserve">mong students who only failed one </w:t>
      </w:r>
      <w:r w:rsidR="00F41339">
        <w:t xml:space="preserve">of the </w:t>
      </w:r>
      <w:r w:rsidR="00DD2905">
        <w:t>test</w:t>
      </w:r>
      <w:r w:rsidR="00F41339">
        <w:t>s</w:t>
      </w:r>
      <w:r w:rsidR="00DD2905">
        <w:t>, three times as many failed mathematics as ELA.</w:t>
      </w:r>
      <w:r w:rsidR="009F6D57">
        <w:t xml:space="preserve"> </w:t>
      </w:r>
      <w:r w:rsidR="00DD2905">
        <w:t xml:space="preserve">Examining the ELA </w:t>
      </w:r>
      <w:r w:rsidR="0044132F">
        <w:t>examination</w:t>
      </w:r>
      <w:r w:rsidR="003833D4">
        <w:t xml:space="preserve"> </w:t>
      </w:r>
      <w:r w:rsidR="00875ABF">
        <w:t>proves</w:t>
      </w:r>
      <w:r w:rsidR="00DD2905">
        <w:t xml:space="preserve"> interesting</w:t>
      </w:r>
      <w:r w:rsidR="003833D4">
        <w:t xml:space="preserve">, however, </w:t>
      </w:r>
      <w:r w:rsidR="00875ABF">
        <w:t xml:space="preserve">because </w:t>
      </w:r>
      <w:r w:rsidR="00AE2873">
        <w:t xml:space="preserve">detected </w:t>
      </w:r>
      <w:r w:rsidR="00875ABF">
        <w:t xml:space="preserve">patterns </w:t>
      </w:r>
      <w:r w:rsidR="00AE2873">
        <w:t xml:space="preserve">differ </w:t>
      </w:r>
      <w:r w:rsidR="00875ABF">
        <w:t xml:space="preserve">from the mathematics results. </w:t>
      </w:r>
      <w:r w:rsidR="00AB5945">
        <w:t>F</w:t>
      </w:r>
      <w:r w:rsidR="00875ABF">
        <w:t>ailing the 10</w:t>
      </w:r>
      <w:r w:rsidR="00875ABF" w:rsidRPr="00875ABF">
        <w:rPr>
          <w:vertAlign w:val="superscript"/>
        </w:rPr>
        <w:t>th</w:t>
      </w:r>
      <w:r w:rsidR="00875ABF">
        <w:t xml:space="preserve"> grade ELA examination does not reduce the probability of graduation for </w:t>
      </w:r>
      <w:r w:rsidR="003833D4">
        <w:t xml:space="preserve">any students, including </w:t>
      </w:r>
      <w:r w:rsidR="004700B6">
        <w:t>low-income</w:t>
      </w:r>
      <w:r w:rsidR="005F5E6C">
        <w:t xml:space="preserve"> </w:t>
      </w:r>
      <w:r w:rsidR="00875ABF">
        <w:t>urban students</w:t>
      </w:r>
      <w:r w:rsidR="003833D4">
        <w:t>,</w:t>
      </w:r>
      <w:r w:rsidR="00AB5945">
        <w:t xml:space="preserve"> on the margin of passing</w:t>
      </w:r>
      <w:r w:rsidR="00875ABF">
        <w:t xml:space="preserve">. </w:t>
      </w:r>
      <w:r w:rsidR="00CF225F">
        <w:t xml:space="preserve">We illustrate the relationship between ELA score and probability of graduation for typical low-income urban students in Figure </w:t>
      </w:r>
      <w:r w:rsidR="00245DD4">
        <w:t>7</w:t>
      </w:r>
      <w:r w:rsidR="00CF225F">
        <w:t xml:space="preserve">. Here, the figure </w:t>
      </w:r>
      <w:r w:rsidR="00FB7BE3">
        <w:t xml:space="preserve">displays </w:t>
      </w:r>
      <w:r w:rsidR="00CF225F">
        <w:t xml:space="preserve">no discontinuous jump in the probability of graduating at the cut score, suggesting that failing the ELA examination does not affect students’ likelihood of </w:t>
      </w:r>
      <w:r w:rsidR="00AB5945">
        <w:t xml:space="preserve">on-time graduation. </w:t>
      </w:r>
    </w:p>
    <w:p w:rsidR="003833D4" w:rsidRDefault="003833D4" w:rsidP="003833D4">
      <w:pPr>
        <w:widowControl w:val="0"/>
        <w:spacing w:line="480" w:lineRule="auto"/>
        <w:jc w:val="center"/>
      </w:pPr>
      <w:r>
        <w:t xml:space="preserve">FIGURE </w:t>
      </w:r>
      <w:r w:rsidR="00245DD4">
        <w:t xml:space="preserve">7 </w:t>
      </w:r>
      <w:r>
        <w:t>ABOUT HERE</w:t>
      </w:r>
    </w:p>
    <w:p w:rsidR="00E82C40" w:rsidRDefault="00E82C40" w:rsidP="009F6D57">
      <w:pPr>
        <w:widowControl w:val="0"/>
        <w:spacing w:line="480" w:lineRule="auto"/>
        <w:ind w:firstLine="720"/>
        <w:rPr>
          <w:b/>
          <w:i/>
        </w:rPr>
      </w:pPr>
    </w:p>
    <w:p w:rsidR="00400AFA" w:rsidRDefault="00D32AB5" w:rsidP="00516638">
      <w:pPr>
        <w:widowControl w:val="0"/>
        <w:spacing w:line="480" w:lineRule="auto"/>
      </w:pPr>
      <w:r>
        <w:rPr>
          <w:b/>
          <w:i/>
        </w:rPr>
        <w:t xml:space="preserve">V. </w:t>
      </w:r>
      <w:r w:rsidR="00245DD4">
        <w:rPr>
          <w:b/>
          <w:i/>
        </w:rPr>
        <w:t>Sensitivity Analysis</w:t>
      </w:r>
    </w:p>
    <w:p w:rsidR="006C5860" w:rsidRDefault="006C5860" w:rsidP="00774259">
      <w:pPr>
        <w:pStyle w:val="Default"/>
        <w:spacing w:line="480" w:lineRule="auto"/>
      </w:pPr>
      <w:r>
        <w:tab/>
        <w:t xml:space="preserve">As discussed above, for regression discontinuity </w:t>
      </w:r>
      <w:r w:rsidR="00AE2873">
        <w:t xml:space="preserve">analyses </w:t>
      </w:r>
      <w:r>
        <w:t xml:space="preserve">to identify </w:t>
      </w:r>
      <w:r w:rsidR="00FB7BE3">
        <w:t xml:space="preserve">a </w:t>
      </w:r>
      <w:r>
        <w:t xml:space="preserve">causal effect </w:t>
      </w:r>
      <w:r w:rsidR="00FB7BE3">
        <w:t xml:space="preserve">of failing the MCAS examinations </w:t>
      </w:r>
      <w:r w:rsidR="00AE2873">
        <w:t>on student graduation</w:t>
      </w:r>
      <w:r>
        <w:t xml:space="preserve">, </w:t>
      </w:r>
      <w:r w:rsidR="00F13704">
        <w:t>several</w:t>
      </w:r>
      <w:r>
        <w:t xml:space="preserve"> assumptions must hold. First, </w:t>
      </w:r>
      <w:r w:rsidR="00566ABF">
        <w:t xml:space="preserve">the </w:t>
      </w:r>
      <w:r w:rsidR="005F2DED">
        <w:t xml:space="preserve">rule </w:t>
      </w:r>
      <w:r w:rsidR="00AE2873">
        <w:t xml:space="preserve">that determines </w:t>
      </w:r>
      <w:r w:rsidR="00566ABF">
        <w:t xml:space="preserve">whether a student </w:t>
      </w:r>
      <w:r w:rsidR="00AE2873">
        <w:t xml:space="preserve">has passed </w:t>
      </w:r>
      <w:r w:rsidR="00566ABF">
        <w:t xml:space="preserve">or </w:t>
      </w:r>
      <w:r w:rsidR="00AE2873">
        <w:t xml:space="preserve">failed </w:t>
      </w:r>
      <w:r w:rsidR="00566ABF">
        <w:t xml:space="preserve">the </w:t>
      </w:r>
      <w:r w:rsidR="00BC0EB7">
        <w:t xml:space="preserve">examination </w:t>
      </w:r>
      <w:r w:rsidR="00566ABF">
        <w:t xml:space="preserve">must be </w:t>
      </w:r>
      <w:r w:rsidR="00003794">
        <w:t xml:space="preserve">externally determined, </w:t>
      </w:r>
      <w:r w:rsidR="00566ABF">
        <w:t>and rigidly applied</w:t>
      </w:r>
      <w:r w:rsidR="00AE2873">
        <w:t xml:space="preserve"> across all students</w:t>
      </w:r>
      <w:r w:rsidR="005B12C6">
        <w:t xml:space="preserve">, while all other </w:t>
      </w:r>
      <w:r w:rsidR="000550B3">
        <w:t xml:space="preserve">observed </w:t>
      </w:r>
      <w:r w:rsidR="005B12C6">
        <w:t xml:space="preserve">and </w:t>
      </w:r>
      <w:r w:rsidR="000550B3">
        <w:t xml:space="preserve">unobserved </w:t>
      </w:r>
      <w:r w:rsidR="005B12C6">
        <w:t xml:space="preserve">characteristics </w:t>
      </w:r>
      <w:r w:rsidR="000550B3">
        <w:t xml:space="preserve">of the student </w:t>
      </w:r>
      <w:r w:rsidR="00D87B53">
        <w:t xml:space="preserve">must </w:t>
      </w:r>
      <w:r w:rsidR="005B12C6">
        <w:t xml:space="preserve">vary </w:t>
      </w:r>
      <w:r w:rsidR="000550B3">
        <w:t xml:space="preserve">smoothly and </w:t>
      </w:r>
      <w:r w:rsidR="005B12C6">
        <w:t>continuously around the cut score</w:t>
      </w:r>
      <w:r>
        <w:t xml:space="preserve">. Second, the relationship </w:t>
      </w:r>
      <w:r w:rsidR="00FB7BE3">
        <w:t xml:space="preserve">linking </w:t>
      </w:r>
      <w:r w:rsidR="000550B3">
        <w:t xml:space="preserve">the probability of graduation and </w:t>
      </w:r>
      <w:r w:rsidR="00530AA5">
        <w:t xml:space="preserve">test </w:t>
      </w:r>
      <w:r w:rsidR="000550B3">
        <w:t xml:space="preserve">score </w:t>
      </w:r>
      <w:r>
        <w:t xml:space="preserve">must be </w:t>
      </w:r>
      <w:r w:rsidR="00530AA5">
        <w:t xml:space="preserve">estimated accurately </w:t>
      </w:r>
      <w:r w:rsidR="000550B3">
        <w:lastRenderedPageBreak/>
        <w:t>in the immediate vicinity of the cut score</w:t>
      </w:r>
      <w:r w:rsidR="00D87B53">
        <w:t xml:space="preserve">. </w:t>
      </w:r>
      <w:r w:rsidR="005545CD">
        <w:t xml:space="preserve">In this section, we address these two primary concerns </w:t>
      </w:r>
      <w:r w:rsidR="00774259">
        <w:t>and describe other sensitivity analyses that we conduct to assess the robustness of our results</w:t>
      </w:r>
      <w:r w:rsidR="005545CD">
        <w:t>.</w:t>
      </w:r>
    </w:p>
    <w:p w:rsidR="00A0045F" w:rsidRDefault="004D6E2E" w:rsidP="00516638">
      <w:pPr>
        <w:widowControl w:val="0"/>
        <w:spacing w:line="480" w:lineRule="auto"/>
      </w:pPr>
      <w:r>
        <w:rPr>
          <w:u w:val="single"/>
        </w:rPr>
        <w:t xml:space="preserve">External </w:t>
      </w:r>
      <w:r w:rsidR="000550B3">
        <w:rPr>
          <w:u w:val="single"/>
        </w:rPr>
        <w:t xml:space="preserve">Establishment </w:t>
      </w:r>
      <w:r w:rsidR="005545CD">
        <w:rPr>
          <w:u w:val="single"/>
        </w:rPr>
        <w:t xml:space="preserve">of </w:t>
      </w:r>
      <w:r w:rsidR="000550B3">
        <w:rPr>
          <w:u w:val="single"/>
        </w:rPr>
        <w:t>Cut Scores</w:t>
      </w:r>
    </w:p>
    <w:p w:rsidR="00913742" w:rsidRDefault="005545CD" w:rsidP="00913742">
      <w:pPr>
        <w:pStyle w:val="Default"/>
        <w:spacing w:line="480" w:lineRule="auto"/>
      </w:pPr>
      <w:r>
        <w:tab/>
        <w:t xml:space="preserve">The </w:t>
      </w:r>
      <w:r w:rsidR="00913742">
        <w:t xml:space="preserve">state-established </w:t>
      </w:r>
      <w:r>
        <w:t xml:space="preserve">cut scores </w:t>
      </w:r>
      <w:r w:rsidR="00245DD4">
        <w:t>do indeed produce a sharp discontinuity in treatment</w:t>
      </w:r>
      <w:r w:rsidR="00245DD4" w:rsidDel="00245DD4">
        <w:t xml:space="preserve"> </w:t>
      </w:r>
      <w:r w:rsidR="00245DD4">
        <w:t xml:space="preserve">and thus create </w:t>
      </w:r>
      <w:r>
        <w:t xml:space="preserve">an extremely plausible </w:t>
      </w:r>
      <w:r w:rsidR="00245DD4">
        <w:t>natural experiment</w:t>
      </w:r>
      <w:r>
        <w:t xml:space="preserve">. </w:t>
      </w:r>
      <w:r w:rsidR="00913742">
        <w:t>Because the raw score needed to pass the examination differs from year to year and is only calculated after students take examination, it seems highly unlikely that students could decide knowingly to fall just above, or just below, the cut score. Furthermore, the state imposes these performance labels strictly, so that any student with a score of 20 points on the 2004 administration of the 10</w:t>
      </w:r>
      <w:r w:rsidR="00913742" w:rsidRPr="00913742">
        <w:rPr>
          <w:vertAlign w:val="superscript"/>
        </w:rPr>
        <w:t>th</w:t>
      </w:r>
      <w:r w:rsidR="00913742">
        <w:t xml:space="preserve"> grade mathematics examination failed, while any student with a score of 21 points passed. We perform several tests to verify these assumptions and find no reason to doubt them. We provide a more detailed discussion in Papay, Murnane, &amp; Willett (2008).</w:t>
      </w:r>
    </w:p>
    <w:p w:rsidR="00C83F92" w:rsidRPr="00C83F92" w:rsidRDefault="00DA64C0" w:rsidP="00516638">
      <w:pPr>
        <w:widowControl w:val="0"/>
        <w:spacing w:line="480" w:lineRule="auto"/>
      </w:pPr>
      <w:r>
        <w:rPr>
          <w:u w:val="single"/>
        </w:rPr>
        <w:t xml:space="preserve">Accurate estimation of the relationship between </w:t>
      </w:r>
      <w:r w:rsidR="009C01DA">
        <w:rPr>
          <w:u w:val="single"/>
        </w:rPr>
        <w:t xml:space="preserve">graduation and </w:t>
      </w:r>
      <w:r>
        <w:rPr>
          <w:u w:val="single"/>
        </w:rPr>
        <w:t xml:space="preserve">MCAS </w:t>
      </w:r>
      <w:r w:rsidR="009C01DA">
        <w:rPr>
          <w:u w:val="single"/>
        </w:rPr>
        <w:t xml:space="preserve">mathematics </w:t>
      </w:r>
      <w:r>
        <w:rPr>
          <w:u w:val="single"/>
        </w:rPr>
        <w:t xml:space="preserve">score </w:t>
      </w:r>
    </w:p>
    <w:p w:rsidR="00087635" w:rsidRDefault="00C83F92" w:rsidP="007E10B0">
      <w:pPr>
        <w:widowControl w:val="0"/>
        <w:spacing w:line="480" w:lineRule="auto"/>
        <w:ind w:firstLine="720"/>
      </w:pPr>
      <w:r>
        <w:t xml:space="preserve">For estimates of the treatment effect to </w:t>
      </w:r>
      <w:r w:rsidR="005B30AF">
        <w:t xml:space="preserve">be </w:t>
      </w:r>
      <w:r>
        <w:t xml:space="preserve">unbiased, we must predict </w:t>
      </w:r>
      <w:r w:rsidR="000550B3">
        <w:t xml:space="preserve">credibly and precisely what </w:t>
      </w:r>
      <w:r w:rsidR="00765E23">
        <w:t xml:space="preserve">the </w:t>
      </w:r>
      <w:r w:rsidR="000550B3">
        <w:t xml:space="preserve">probability </w:t>
      </w:r>
      <w:r w:rsidR="00765E23">
        <w:t xml:space="preserve">of </w:t>
      </w:r>
      <w:r>
        <w:t xml:space="preserve">graduation </w:t>
      </w:r>
      <w:r w:rsidR="000550B3">
        <w:t xml:space="preserve">would have been </w:t>
      </w:r>
      <w:r>
        <w:t xml:space="preserve">for students who failed the MCAS </w:t>
      </w:r>
      <w:r w:rsidR="000550B3">
        <w:t xml:space="preserve">mathematics examination if they </w:t>
      </w:r>
      <w:r>
        <w:t xml:space="preserve">had </w:t>
      </w:r>
      <w:r w:rsidR="00833A9F">
        <w:t>scored</w:t>
      </w:r>
      <w:r>
        <w:t xml:space="preserve"> </w:t>
      </w:r>
      <w:r w:rsidR="00833A9F">
        <w:t>21</w:t>
      </w:r>
      <w:r>
        <w:t xml:space="preserve"> </w:t>
      </w:r>
      <w:r w:rsidR="000550B3">
        <w:t xml:space="preserve">points </w:t>
      </w:r>
      <w:r>
        <w:t xml:space="preserve">on the </w:t>
      </w:r>
      <w:r w:rsidR="008008E5">
        <w:t>test</w:t>
      </w:r>
      <w:r w:rsidR="00913742">
        <w:t xml:space="preserve"> and still failed</w:t>
      </w:r>
      <w:r w:rsidR="00D87B53">
        <w:t xml:space="preserve">. </w:t>
      </w:r>
      <w:r w:rsidR="00765E23">
        <w:t xml:space="preserve">We </w:t>
      </w:r>
      <w:r w:rsidR="00041296">
        <w:t>address this issue by</w:t>
      </w:r>
      <w:r w:rsidR="007E10B0">
        <w:t xml:space="preserve"> </w:t>
      </w:r>
      <w:r w:rsidR="008008E5">
        <w:t xml:space="preserve">modeling the </w:t>
      </w:r>
      <w:r w:rsidR="009C01DA">
        <w:t xml:space="preserve">smooth </w:t>
      </w:r>
      <w:r w:rsidR="008008E5">
        <w:t>relationship between the probability of graduation and test score</w:t>
      </w:r>
      <w:r w:rsidR="007E10B0">
        <w:t xml:space="preserve"> </w:t>
      </w:r>
      <w:r w:rsidR="00F22245">
        <w:t>non-param</w:t>
      </w:r>
      <w:r w:rsidR="0060424C">
        <w:t xml:space="preserve">etrically, </w:t>
      </w:r>
      <w:r w:rsidR="00913742">
        <w:t xml:space="preserve">making few assumptions about the relationship between MCAS score and graduation. </w:t>
      </w:r>
      <w:r w:rsidR="0060424C">
        <w:t xml:space="preserve">Here, </w:t>
      </w:r>
      <w:r w:rsidR="009C01DA">
        <w:t xml:space="preserve">our </w:t>
      </w:r>
      <w:r w:rsidR="0060424C">
        <w:t xml:space="preserve">primary </w:t>
      </w:r>
      <w:r w:rsidR="009C01DA">
        <w:t xml:space="preserve">decision </w:t>
      </w:r>
      <w:r w:rsidR="0060424C">
        <w:t xml:space="preserve">involves the </w:t>
      </w:r>
      <w:r w:rsidR="009C01DA">
        <w:t xml:space="preserve">choice of </w:t>
      </w:r>
      <w:r w:rsidR="0060424C">
        <w:t>bandwidth</w:t>
      </w:r>
      <w:r w:rsidR="001C161B">
        <w:t xml:space="preserve">, </w:t>
      </w:r>
      <w:r w:rsidR="001C161B" w:rsidRPr="001C161B">
        <w:rPr>
          <w:i/>
        </w:rPr>
        <w:t>h</w:t>
      </w:r>
      <w:r w:rsidR="00774259">
        <w:t>, or the number of observations around the cut score that we use in estimation</w:t>
      </w:r>
      <w:r w:rsidR="0060424C">
        <w:t>. T</w:t>
      </w:r>
      <w:r w:rsidR="00765E23">
        <w:t xml:space="preserve">o explore the sensitivity of our </w:t>
      </w:r>
      <w:r w:rsidR="00B50E9E">
        <w:t>results</w:t>
      </w:r>
      <w:r w:rsidR="00FB7BE3">
        <w:t xml:space="preserve"> to </w:t>
      </w:r>
      <w:r w:rsidR="00913742">
        <w:t>this decision</w:t>
      </w:r>
      <w:r w:rsidR="00765E23">
        <w:t xml:space="preserve">, we </w:t>
      </w:r>
      <w:r w:rsidR="007E10B0">
        <w:t>var</w:t>
      </w:r>
      <w:r w:rsidR="00E8411A">
        <w:t>y</w:t>
      </w:r>
      <w:r w:rsidR="007E10B0">
        <w:t xml:space="preserve"> </w:t>
      </w:r>
      <w:r w:rsidR="00041296">
        <w:t xml:space="preserve">the </w:t>
      </w:r>
      <w:r w:rsidR="00946EA6">
        <w:t>band</w:t>
      </w:r>
      <w:r w:rsidR="00041296">
        <w:t xml:space="preserve">width </w:t>
      </w:r>
      <w:r w:rsidR="007E10B0">
        <w:t>systematically</w:t>
      </w:r>
      <w:r w:rsidR="00913742">
        <w:t xml:space="preserve">. </w:t>
      </w:r>
      <w:r w:rsidR="007E10B0">
        <w:t xml:space="preserve">In </w:t>
      </w:r>
      <w:r w:rsidR="004255E6">
        <w:t xml:space="preserve">the top panel of </w:t>
      </w:r>
      <w:r w:rsidR="00B65D2A">
        <w:t xml:space="preserve">Table </w:t>
      </w:r>
      <w:r w:rsidR="00913742">
        <w:t>1</w:t>
      </w:r>
      <w:r w:rsidR="007E10B0">
        <w:t>, we present the</w:t>
      </w:r>
      <w:r w:rsidR="00B65D2A">
        <w:t xml:space="preserve"> </w:t>
      </w:r>
      <w:r w:rsidR="007E10B0">
        <w:t xml:space="preserve">fitted </w:t>
      </w:r>
      <w:r w:rsidR="00B65D2A">
        <w:t xml:space="preserve">effects of </w:t>
      </w:r>
      <w:r w:rsidR="00087635">
        <w:t>failing</w:t>
      </w:r>
      <w:r w:rsidR="00B65D2A">
        <w:t xml:space="preserve"> the </w:t>
      </w:r>
      <w:r w:rsidR="00087635">
        <w:t>10</w:t>
      </w:r>
      <w:r w:rsidR="00087635" w:rsidRPr="00087635">
        <w:rPr>
          <w:vertAlign w:val="superscript"/>
        </w:rPr>
        <w:t>th</w:t>
      </w:r>
      <w:r w:rsidR="00087635">
        <w:t xml:space="preserve"> grade mathematics examination on on-time graduation </w:t>
      </w:r>
      <w:r w:rsidR="00F41339">
        <w:t xml:space="preserve">for </w:t>
      </w:r>
      <w:r w:rsidR="00DA64C0">
        <w:t xml:space="preserve">each </w:t>
      </w:r>
      <w:r w:rsidR="00B65D2A">
        <w:t xml:space="preserve">different </w:t>
      </w:r>
      <w:r w:rsidR="00DA64C0">
        <w:t>bandwidth</w:t>
      </w:r>
      <w:r w:rsidR="00B65D2A">
        <w:t>.</w:t>
      </w:r>
      <w:r w:rsidR="00087635">
        <w:t xml:space="preserve"> </w:t>
      </w:r>
      <w:r w:rsidR="007E10B0">
        <w:t xml:space="preserve">In </w:t>
      </w:r>
      <w:r w:rsidR="004255E6">
        <w:t xml:space="preserve">the middle and bottom panels of Table </w:t>
      </w:r>
      <w:r w:rsidR="00913742">
        <w:t>1</w:t>
      </w:r>
      <w:r w:rsidR="004255E6">
        <w:t xml:space="preserve">, </w:t>
      </w:r>
      <w:r w:rsidR="007E10B0">
        <w:t xml:space="preserve">we present parallel </w:t>
      </w:r>
      <w:r w:rsidR="00087635">
        <w:lastRenderedPageBreak/>
        <w:t>results for the effects of failing the 8</w:t>
      </w:r>
      <w:r w:rsidR="00087635" w:rsidRPr="00087635">
        <w:rPr>
          <w:vertAlign w:val="superscript"/>
        </w:rPr>
        <w:t>th</w:t>
      </w:r>
      <w:r w:rsidR="00087635">
        <w:t xml:space="preserve"> grade examination on persistence to 10</w:t>
      </w:r>
      <w:r w:rsidR="00087635" w:rsidRPr="00087635">
        <w:rPr>
          <w:vertAlign w:val="superscript"/>
        </w:rPr>
        <w:t>th</w:t>
      </w:r>
      <w:r w:rsidR="00087635">
        <w:t xml:space="preserve"> grade</w:t>
      </w:r>
      <w:r w:rsidR="00F41339">
        <w:t xml:space="preserve"> </w:t>
      </w:r>
      <w:r w:rsidR="00DA64C0">
        <w:t>and for the effects of failing the 10</w:t>
      </w:r>
      <w:r w:rsidR="00DA64C0" w:rsidRPr="00DA64C0">
        <w:rPr>
          <w:vertAlign w:val="superscript"/>
        </w:rPr>
        <w:t>th</w:t>
      </w:r>
      <w:r w:rsidR="00DA64C0">
        <w:t xml:space="preserve"> grade ELA examination on on-time high school graduation.</w:t>
      </w:r>
      <w:r w:rsidR="00B65D2A">
        <w:t xml:space="preserve"> </w:t>
      </w:r>
      <w:r w:rsidR="007E10B0">
        <w:t>Regardless of</w:t>
      </w:r>
      <w:r w:rsidR="00913742">
        <w:t xml:space="preserve"> the</w:t>
      </w:r>
      <w:r w:rsidR="007E10B0">
        <w:t xml:space="preserve"> </w:t>
      </w:r>
      <w:r w:rsidR="009C01DA">
        <w:t>bandwi</w:t>
      </w:r>
      <w:r w:rsidR="001C161B">
        <w:t>d</w:t>
      </w:r>
      <w:r w:rsidR="009C01DA">
        <w:t>th</w:t>
      </w:r>
      <w:r w:rsidR="00913742">
        <w:t xml:space="preserve"> that we choose</w:t>
      </w:r>
      <w:r w:rsidR="007E10B0">
        <w:t xml:space="preserve">, our </w:t>
      </w:r>
      <w:r w:rsidR="002470A0">
        <w:t xml:space="preserve">main </w:t>
      </w:r>
      <w:r w:rsidR="007E10B0">
        <w:t>results are unchanged</w:t>
      </w:r>
      <w:r w:rsidR="002470A0">
        <w:t xml:space="preserve"> – </w:t>
      </w:r>
      <w:r w:rsidR="00DA64C0">
        <w:t xml:space="preserve">for urban, low income students, </w:t>
      </w:r>
      <w:r w:rsidR="002470A0">
        <w:t>failing the 8</w:t>
      </w:r>
      <w:r w:rsidR="002470A0" w:rsidRPr="002470A0">
        <w:rPr>
          <w:vertAlign w:val="superscript"/>
        </w:rPr>
        <w:t>th</w:t>
      </w:r>
      <w:r w:rsidR="002470A0">
        <w:t xml:space="preserve"> grade mathematics examination reduces the probability of persisting to 10</w:t>
      </w:r>
      <w:r w:rsidR="002470A0" w:rsidRPr="002470A0">
        <w:rPr>
          <w:vertAlign w:val="superscript"/>
        </w:rPr>
        <w:t>th</w:t>
      </w:r>
      <w:r w:rsidR="002470A0">
        <w:t xml:space="preserve"> grade and failing the 10</w:t>
      </w:r>
      <w:r w:rsidR="002470A0" w:rsidRPr="002470A0">
        <w:rPr>
          <w:vertAlign w:val="superscript"/>
        </w:rPr>
        <w:t>th</w:t>
      </w:r>
      <w:r w:rsidR="002470A0">
        <w:t xml:space="preserve"> grade mathematics examination reduces the probability of on-time graduation</w:t>
      </w:r>
      <w:r w:rsidR="007E10B0">
        <w:t xml:space="preserve">. </w:t>
      </w:r>
      <w:r w:rsidR="00DA64C0">
        <w:t>However, we find no effects for other groups of students or for any group failing the 10</w:t>
      </w:r>
      <w:r w:rsidR="00DA64C0" w:rsidRPr="00DA64C0">
        <w:rPr>
          <w:vertAlign w:val="superscript"/>
        </w:rPr>
        <w:t>th</w:t>
      </w:r>
      <w:r w:rsidR="00DA64C0">
        <w:t xml:space="preserve"> grade ELA examination. </w:t>
      </w:r>
      <w:r w:rsidR="007E10B0">
        <w:t>Our estimates for the effect of failing the 8</w:t>
      </w:r>
      <w:r w:rsidR="007E10B0" w:rsidRPr="00087635">
        <w:rPr>
          <w:vertAlign w:val="superscript"/>
        </w:rPr>
        <w:t>th</w:t>
      </w:r>
      <w:r w:rsidR="007E10B0">
        <w:t xml:space="preserve"> grade examination for marginal urban students </w:t>
      </w:r>
      <w:r w:rsidR="005B30AF">
        <w:t>range from 2.</w:t>
      </w:r>
      <w:r w:rsidR="00913742">
        <w:t>7</w:t>
      </w:r>
      <w:r w:rsidR="005B30AF">
        <w:t xml:space="preserve"> to 3.</w:t>
      </w:r>
      <w:r w:rsidR="00913742">
        <w:t>7</w:t>
      </w:r>
      <w:r w:rsidR="005B30AF">
        <w:t xml:space="preserve"> percentage points, and </w:t>
      </w:r>
      <w:r w:rsidR="007E10B0">
        <w:t xml:space="preserve">are </w:t>
      </w:r>
      <w:r w:rsidR="00AB5945">
        <w:t>quite in</w:t>
      </w:r>
      <w:r w:rsidR="007E10B0">
        <w:t xml:space="preserve">sensitive to </w:t>
      </w:r>
      <w:r w:rsidR="009C01DA">
        <w:t>bandwi</w:t>
      </w:r>
      <w:r w:rsidR="001C161B">
        <w:t>d</w:t>
      </w:r>
      <w:r w:rsidR="009C01DA">
        <w:t>th</w:t>
      </w:r>
      <w:r w:rsidR="00774259">
        <w:t xml:space="preserve"> choice</w:t>
      </w:r>
      <w:r w:rsidR="005B30AF">
        <w:t>.</w:t>
      </w:r>
      <w:r w:rsidR="00AB5945">
        <w:t xml:space="preserve">  Our estimates of </w:t>
      </w:r>
      <w:r w:rsidR="00FF11DD">
        <w:t>the effect of failing the 10</w:t>
      </w:r>
      <w:r w:rsidR="00FF11DD" w:rsidRPr="00FF11DD">
        <w:rPr>
          <w:vertAlign w:val="superscript"/>
        </w:rPr>
        <w:t>th</w:t>
      </w:r>
      <w:r w:rsidR="00FF11DD">
        <w:t xml:space="preserve"> grade examination range from 5.</w:t>
      </w:r>
      <w:r w:rsidR="00913742">
        <w:t>8</w:t>
      </w:r>
      <w:r w:rsidR="00FF11DD">
        <w:t xml:space="preserve"> to 1</w:t>
      </w:r>
      <w:r w:rsidR="00913742">
        <w:t>3.1</w:t>
      </w:r>
      <w:r w:rsidR="00FF11DD">
        <w:t xml:space="preserve"> percentage points</w:t>
      </w:r>
      <w:r w:rsidR="005B30AF">
        <w:t>. In</w:t>
      </w:r>
      <w:r w:rsidR="008008E5">
        <w:t xml:space="preserve"> all cases</w:t>
      </w:r>
      <w:r w:rsidR="005B30AF">
        <w:t xml:space="preserve">, </w:t>
      </w:r>
      <w:r w:rsidR="00913742">
        <w:t>this result is statistically significant</w:t>
      </w:r>
      <w:r w:rsidR="005B30AF">
        <w:t>.</w:t>
      </w:r>
      <w:r w:rsidR="00913742">
        <w:t xml:space="preserve"> Finally, we fit our main models using logistic, rather than local linear, regression to account for the binary outcome. We find nearly identical results.</w:t>
      </w:r>
    </w:p>
    <w:p w:rsidR="007A235E" w:rsidRDefault="00CA77AC" w:rsidP="007A235E">
      <w:pPr>
        <w:widowControl w:val="0"/>
        <w:spacing w:line="480" w:lineRule="auto"/>
        <w:jc w:val="center"/>
      </w:pPr>
      <w:r>
        <w:t xml:space="preserve">TABLE </w:t>
      </w:r>
      <w:r w:rsidR="00913742">
        <w:t xml:space="preserve">1 </w:t>
      </w:r>
      <w:r w:rsidR="007A235E">
        <w:t>ABOUT HERE</w:t>
      </w:r>
    </w:p>
    <w:p w:rsidR="00913742" w:rsidRDefault="00913742" w:rsidP="00913742">
      <w:pPr>
        <w:pStyle w:val="Default"/>
        <w:spacing w:line="480" w:lineRule="auto"/>
      </w:pPr>
      <w:r>
        <w:rPr>
          <w:u w:val="single"/>
        </w:rPr>
        <w:t xml:space="preserve">Definition of outcome variable </w:t>
      </w:r>
    </w:p>
    <w:p w:rsidR="00913742" w:rsidRDefault="00913742" w:rsidP="00913742">
      <w:pPr>
        <w:pStyle w:val="Default"/>
        <w:spacing w:line="480" w:lineRule="auto"/>
        <w:ind w:firstLine="720"/>
      </w:pPr>
      <w:r>
        <w:t xml:space="preserve">We choose to present our main analyses using on-time graduation as our primary outcome measure. However, one concern is that students who fail the MCAS may remain in school and graduate in subsequent years, or that they may drop out and earn a General Equivalency Diploma instead of graduating from high school. We find that our results are quite robust to the definition of our outcome. Here, we use three different outcome measures: graduated on-time or still enrolled in school; dropped out; </w:t>
      </w:r>
      <w:r w:rsidR="00774259">
        <w:t xml:space="preserve">and </w:t>
      </w:r>
      <w:r>
        <w:t xml:space="preserve">graduated on-time or obtained a GED. As seen in Table 2, in all cases we find statistically significant effects of passing the examination ranging from 7.2 to 9.1 percentage points. </w:t>
      </w:r>
    </w:p>
    <w:p w:rsidR="00913742" w:rsidRDefault="00913742" w:rsidP="00913742">
      <w:pPr>
        <w:widowControl w:val="0"/>
        <w:spacing w:line="480" w:lineRule="auto"/>
        <w:jc w:val="center"/>
      </w:pPr>
      <w:r>
        <w:t>TABLE 2 ABOUT HERE</w:t>
      </w:r>
    </w:p>
    <w:p w:rsidR="00913742" w:rsidRDefault="00913742" w:rsidP="00516638">
      <w:pPr>
        <w:widowControl w:val="0"/>
        <w:spacing w:line="480" w:lineRule="auto"/>
        <w:rPr>
          <w:b/>
          <w:i/>
        </w:rPr>
      </w:pPr>
    </w:p>
    <w:p w:rsidR="003765A9" w:rsidRPr="003765A9" w:rsidRDefault="00041296" w:rsidP="00516638">
      <w:pPr>
        <w:widowControl w:val="0"/>
        <w:spacing w:line="480" w:lineRule="auto"/>
        <w:rPr>
          <w:b/>
          <w:i/>
        </w:rPr>
      </w:pPr>
      <w:r>
        <w:rPr>
          <w:b/>
          <w:i/>
        </w:rPr>
        <w:t xml:space="preserve">VI. </w:t>
      </w:r>
      <w:r w:rsidR="008E0351">
        <w:rPr>
          <w:b/>
          <w:i/>
        </w:rPr>
        <w:t xml:space="preserve">Discussion </w:t>
      </w:r>
    </w:p>
    <w:p w:rsidR="00C60259" w:rsidRDefault="00751735" w:rsidP="00287C97">
      <w:pPr>
        <w:widowControl w:val="0"/>
        <w:spacing w:line="480" w:lineRule="auto"/>
      </w:pPr>
      <w:r>
        <w:tab/>
      </w:r>
      <w:r w:rsidR="00992DF4">
        <w:t xml:space="preserve">This paper </w:t>
      </w:r>
      <w:r w:rsidR="00385081">
        <w:t xml:space="preserve">addresses several </w:t>
      </w:r>
      <w:r w:rsidR="00992DF4">
        <w:t>important questions about the effect</w:t>
      </w:r>
      <w:r w:rsidR="00D76935">
        <w:t>s</w:t>
      </w:r>
      <w:r w:rsidR="00992DF4">
        <w:t xml:space="preserve"> of the state accountability system on </w:t>
      </w:r>
      <w:smartTag w:uri="urn:schemas-microsoft-com:office:smarttags" w:element="place">
        <w:smartTag w:uri="urn:schemas-microsoft-com:office:smarttags" w:element="State">
          <w:r w:rsidR="00992DF4">
            <w:t>Massachusetts</w:t>
          </w:r>
        </w:smartTag>
      </w:smartTag>
      <w:r w:rsidR="00992DF4">
        <w:t xml:space="preserve"> high school students</w:t>
      </w:r>
      <w:r w:rsidR="00F37D4E">
        <w:t xml:space="preserve">. </w:t>
      </w:r>
      <w:r w:rsidR="00D76935">
        <w:t>To put these effects in context, it is important to recall the evidence cited earlier</w:t>
      </w:r>
      <w:r w:rsidR="00B06211">
        <w:t>. Under standards-based educational reforms, the average reading and mathematics performance</w:t>
      </w:r>
      <w:r w:rsidR="00913742">
        <w:t>s</w:t>
      </w:r>
      <w:r w:rsidR="00B06211">
        <w:t xml:space="preserve"> of </w:t>
      </w:r>
      <w:smartTag w:uri="urn:schemas-microsoft-com:office:smarttags" w:element="place">
        <w:smartTag w:uri="urn:schemas-microsoft-com:office:smarttags" w:element="State">
          <w:r w:rsidR="00B06211">
            <w:t>Massachusetts</w:t>
          </w:r>
        </w:smartTag>
      </w:smartTag>
      <w:r w:rsidR="00B06211">
        <w:t xml:space="preserve"> elementary school students </w:t>
      </w:r>
      <w:r w:rsidR="00913742">
        <w:t xml:space="preserve">have </w:t>
      </w:r>
      <w:r w:rsidR="00B06211">
        <w:t xml:space="preserve">improved markedly. In 2007, the </w:t>
      </w:r>
      <w:r w:rsidR="003833D4">
        <w:t>state’s</w:t>
      </w:r>
      <w:r w:rsidR="00B06211">
        <w:t xml:space="preserve"> reading and math</w:t>
      </w:r>
      <w:r w:rsidR="003833D4">
        <w:t>ematics</w:t>
      </w:r>
      <w:r w:rsidR="00B06211">
        <w:t xml:space="preserve"> performance</w:t>
      </w:r>
      <w:r w:rsidR="00913742">
        <w:t>s</w:t>
      </w:r>
      <w:r w:rsidR="00B06211">
        <w:t xml:space="preserve"> on the NAEP </w:t>
      </w:r>
      <w:r w:rsidR="00913742">
        <w:t xml:space="preserve">ranked </w:t>
      </w:r>
      <w:r w:rsidR="00B06211">
        <w:t xml:space="preserve">first in the nation. </w:t>
      </w:r>
      <w:r w:rsidR="00913742">
        <w:t xml:space="preserve">Thus, we do not see the evidence that we present as an attack on the demonstrably successful educational reform effort in </w:t>
      </w:r>
      <w:smartTag w:uri="urn:schemas-microsoft-com:office:smarttags" w:element="place">
        <w:smartTag w:uri="urn:schemas-microsoft-com:office:smarttags" w:element="State">
          <w:r w:rsidR="00913742">
            <w:t>Massachusetts</w:t>
          </w:r>
        </w:smartTag>
      </w:smartTag>
      <w:r w:rsidR="00913742">
        <w:t>. Instead, we document unanticipated consequences of efforts to prepare all students to meet the demands of 21</w:t>
      </w:r>
      <w:r w:rsidR="00913742" w:rsidRPr="00913742">
        <w:rPr>
          <w:vertAlign w:val="superscript"/>
        </w:rPr>
        <w:t>st</w:t>
      </w:r>
      <w:r w:rsidR="00913742">
        <w:t xml:space="preserve"> century life. These consequences are important and need to be at the center of efforts to make standards-based reforms work for all </w:t>
      </w:r>
      <w:smartTag w:uri="urn:schemas-microsoft-com:office:smarttags" w:element="place">
        <w:smartTag w:uri="urn:schemas-microsoft-com:office:smarttags" w:element="State">
          <w:r w:rsidR="00913742">
            <w:t>Massachusetts</w:t>
          </w:r>
        </w:smartTag>
      </w:smartTag>
      <w:r w:rsidR="00913742">
        <w:t xml:space="preserve"> students in the years ahead. </w:t>
      </w:r>
    </w:p>
    <w:p w:rsidR="00A37BD5" w:rsidRPr="00D214F4" w:rsidRDefault="00A37BD5" w:rsidP="00A37BD5">
      <w:pPr>
        <w:widowControl w:val="0"/>
        <w:spacing w:line="480" w:lineRule="auto"/>
        <w:ind w:firstLine="720"/>
      </w:pPr>
      <w:r w:rsidRPr="00D214F4">
        <w:t>To recap, we find that, for low-income urban students on the margin of passing, failing the 8</w:t>
      </w:r>
      <w:r w:rsidRPr="00D214F4">
        <w:rPr>
          <w:vertAlign w:val="superscript"/>
        </w:rPr>
        <w:t>th</w:t>
      </w:r>
      <w:r w:rsidRPr="00D214F4">
        <w:t xml:space="preserve"> grade mathematics examination reduces the probability of persisting to 10</w:t>
      </w:r>
      <w:r w:rsidRPr="00D214F4">
        <w:rPr>
          <w:vertAlign w:val="superscript"/>
        </w:rPr>
        <w:t>th</w:t>
      </w:r>
      <w:r w:rsidRPr="00D214F4">
        <w:t xml:space="preserve"> grade by three percentage points, while failing the 10</w:t>
      </w:r>
      <w:r w:rsidRPr="00D214F4">
        <w:rPr>
          <w:vertAlign w:val="superscript"/>
        </w:rPr>
        <w:t>th</w:t>
      </w:r>
      <w:r w:rsidRPr="00D214F4">
        <w:t xml:space="preserve"> grade examination reduces the probability of on-time graduation by eight percentage points. We find no effects of failing for wealthier urban students or suburban students. Again, these estimates are only valid for students at the margins of passing the examination, under the high-stakes testing regime in </w:t>
      </w:r>
      <w:smartTag w:uri="urn:schemas-microsoft-com:office:smarttags" w:element="place">
        <w:smartTag w:uri="urn:schemas-microsoft-com:office:smarttags" w:element="State">
          <w:r w:rsidRPr="00D214F4">
            <w:t>Massachusetts</w:t>
          </w:r>
        </w:smartTag>
      </w:smartTag>
      <w:r w:rsidRPr="00D214F4">
        <w:t xml:space="preserve">. </w:t>
      </w:r>
    </w:p>
    <w:p w:rsidR="00A37BD5" w:rsidRPr="00D214F4" w:rsidRDefault="00A37BD5" w:rsidP="00A37BD5">
      <w:pPr>
        <w:widowControl w:val="0"/>
        <w:spacing w:line="480" w:lineRule="auto"/>
        <w:ind w:firstLine="720"/>
      </w:pPr>
      <w:r w:rsidRPr="00D214F4">
        <w:t xml:space="preserve">Importantly, we know nothing about whether these students are better (or worse) off than they would have been in the absence of standards-based reform. However, low-income, urban students with essentially the same proficiency on the state test have substantially different graduation outcomes simply because they are categorized as “passing” or “failing” the examination. This effect raises an important challenge for urban school districts. We also have </w:t>
      </w:r>
      <w:r w:rsidRPr="00D214F4">
        <w:lastRenderedPageBreak/>
        <w:t>no information about the extent to which the requirement to pass the MCAS affects the probability of on-time graduation for students well below the passing score. As a result, we cannot estimate how much of the state dropout rate for low-income urban youth is due to the imposition of the exit examination. However, because 60% of students who do not graduate on time actually pass the MCAS, failing the test is clearly only one of many factors that contribute to the dropout decision.</w:t>
      </w:r>
    </w:p>
    <w:p w:rsidR="00A37BD5" w:rsidRPr="00D214F4" w:rsidRDefault="00A37BD5" w:rsidP="00A37BD5">
      <w:pPr>
        <w:widowControl w:val="0"/>
        <w:spacing w:line="480" w:lineRule="auto"/>
        <w:ind w:firstLine="720"/>
      </w:pPr>
      <w:r w:rsidRPr="00D214F4">
        <w:t>We see several complementary explanations for the finding that failing the 10</w:t>
      </w:r>
      <w:r w:rsidRPr="00D214F4">
        <w:rPr>
          <w:vertAlign w:val="superscript"/>
        </w:rPr>
        <w:t>th</w:t>
      </w:r>
      <w:r w:rsidRPr="00D214F4">
        <w:t xml:space="preserve"> grade mathematics examination reduces the likelihood of graduation for urban students from low-income families, but not for more affluent or suburban students. First, we cannot distinguish whether just failing the examination causes these students to drop out or whether just passing it causes them to remain in school. Low-income urban students who pass may feel encouraged that they are doing well in school and may decide to persist to graduation. Similarly, students who pass may get more teacher attention or may be promoted more readily through school, leading to improved graduation outcomes. </w:t>
      </w:r>
    </w:p>
    <w:p w:rsidR="00A37BD5" w:rsidRPr="00D214F4" w:rsidRDefault="00A37BD5" w:rsidP="00A37BD5">
      <w:pPr>
        <w:widowControl w:val="0"/>
        <w:spacing w:line="480" w:lineRule="auto"/>
        <w:ind w:firstLine="720"/>
      </w:pPr>
      <w:r w:rsidRPr="00D214F4">
        <w:t>On the other hand, low-income urban students who fail the examination may become discouraged or subject to institutional responses that reduce their likelihood of graduating on time. Families of low-income urban students may lack the resources to help them overcome the hurdle posed by failing the examination. Low-income urban students typically attend high schools in which many students have failed the 10</w:t>
      </w:r>
      <w:r w:rsidRPr="00D214F4">
        <w:rPr>
          <w:vertAlign w:val="superscript"/>
        </w:rPr>
        <w:t>th</w:t>
      </w:r>
      <w:r w:rsidRPr="00D214F4">
        <w:t xml:space="preserve"> grade MCAS examinations.  These schools  are struggling to figure out how, with very limited resources, to respond to this problem.  Finally, the interaction between school and home contexts may produce these effects. Interestingly, the different consequences for failing the ELA examination than for failing the mathematics examination suggest that urban schools may devote more resources to or be more successful at </w:t>
      </w:r>
      <w:r w:rsidRPr="00D214F4">
        <w:lastRenderedPageBreak/>
        <w:t>remediation in reading and writing than in mathematics.</w:t>
      </w:r>
    </w:p>
    <w:p w:rsidR="00A37BD5" w:rsidRPr="00D214F4" w:rsidRDefault="00A37BD5" w:rsidP="00A37BD5">
      <w:pPr>
        <w:widowControl w:val="0"/>
        <w:spacing w:line="480" w:lineRule="auto"/>
        <w:ind w:firstLine="720"/>
      </w:pPr>
      <w:r w:rsidRPr="00D214F4">
        <w:t>That suburban students, including those from low-income families, appear to face no barrier from failing the 10</w:t>
      </w:r>
      <w:r w:rsidRPr="00D214F4">
        <w:rPr>
          <w:vertAlign w:val="superscript"/>
        </w:rPr>
        <w:t>th</w:t>
      </w:r>
      <w:r w:rsidRPr="00D214F4">
        <w:t xml:space="preserve"> grade MCAS mathematics test suggests that their schools have found ways to support both low-income and wealthier students who have failed. These suburban schools typically have many fewer students who fail the examination, so they can afford to provide more personalized attention and remediation. In some </w:t>
      </w:r>
      <w:smartTag w:uri="urn:schemas-microsoft-com:office:smarttags" w:element="place">
        <w:smartTag w:uri="urn:schemas-microsoft-com:office:smarttags" w:element="State">
          <w:r w:rsidRPr="00D214F4">
            <w:t>Massachusetts</w:t>
          </w:r>
        </w:smartTag>
      </w:smartTag>
      <w:r w:rsidRPr="00D214F4">
        <w:t xml:space="preserve"> districts, schools match teachers with students who failed the exit examination in order to provide one-on-one tutoring. In such an environment, it is not surprising that these students may in fact have more in-school adult contact and encouragement than students who just passed, and may in fact graduate at greater rates. </w:t>
      </w:r>
    </w:p>
    <w:p w:rsidR="00A37BD5" w:rsidRPr="00D214F4" w:rsidRDefault="00A37BD5" w:rsidP="00A37BD5">
      <w:pPr>
        <w:widowControl w:val="0"/>
        <w:spacing w:line="480" w:lineRule="auto"/>
      </w:pPr>
      <w:r w:rsidRPr="00D214F4">
        <w:tab/>
        <w:t>That most students who fail the 10</w:t>
      </w:r>
      <w:r w:rsidRPr="00D214F4">
        <w:rPr>
          <w:vertAlign w:val="superscript"/>
        </w:rPr>
        <w:t>th</w:t>
      </w:r>
      <w:r w:rsidRPr="00D214F4">
        <w:t xml:space="preserve"> grade mathematics examination retake it and that low-income urban students retake the test at similar rates as their wealthier urban or suburban peers are also encouraging.  These findings suggest that these students are receiving the message that they should persist and retake the test. As a result, schools have time to work with these students and prepare them to meet the graduation requirements. However, low-income urban students are much less likely to pass this retest, even when comparing students with the same initial examination performance.  Finding the explanation for this pattern is an important topic for research, with critical implications for improving equality of educational opportunity.  </w:t>
      </w:r>
    </w:p>
    <w:p w:rsidR="00A37BD5" w:rsidRPr="00D214F4" w:rsidRDefault="00A37BD5" w:rsidP="00A37BD5">
      <w:pPr>
        <w:widowControl w:val="0"/>
        <w:spacing w:line="480" w:lineRule="auto"/>
      </w:pPr>
      <w:r w:rsidRPr="00D214F4">
        <w:tab/>
        <w:t xml:space="preserve">Our findings raise several questions for researchers, educators, and policymakers in </w:t>
      </w:r>
      <w:smartTag w:uri="urn:schemas-microsoft-com:office:smarttags" w:element="place">
        <w:smartTag w:uri="urn:schemas-microsoft-com:office:smarttags" w:element="State">
          <w:r w:rsidRPr="00D214F4">
            <w:t>Massachusetts</w:t>
          </w:r>
        </w:smartTag>
      </w:smartTag>
      <w:r w:rsidRPr="00D214F4">
        <w:t xml:space="preserve"> and other states.  First, the absence of effects of high-stakes testing on high school completion for suburban students (including those from low-income families) suggests that it is possible to overcome the initial disappointment associated with failing a high-stakes examination. Learning more about the initiatives that improve student retention could be helpful </w:t>
      </w:r>
      <w:r w:rsidRPr="00D214F4">
        <w:lastRenderedPageBreak/>
        <w:t>for districts struggling to support many failing students. A related question that we intend to pursue in future work is whether some urban districts are more successful than others in supporting students who failed the 10</w:t>
      </w:r>
      <w:r w:rsidRPr="00D214F4">
        <w:rPr>
          <w:vertAlign w:val="superscript"/>
        </w:rPr>
        <w:t>th</w:t>
      </w:r>
      <w:r w:rsidRPr="00D214F4">
        <w:t xml:space="preserve"> grade mathematics examination. If that is the case, then understanding the successful efforts of some urban districts might help others to improve their support to struggling mathematics learners.</w:t>
      </w:r>
    </w:p>
    <w:p w:rsidR="00A37BD5" w:rsidRPr="00D214F4" w:rsidRDefault="00A37BD5" w:rsidP="00A37BD5">
      <w:pPr>
        <w:widowControl w:val="0"/>
        <w:spacing w:line="480" w:lineRule="auto"/>
        <w:ind w:firstLine="720"/>
      </w:pPr>
      <w:r w:rsidRPr="00D214F4">
        <w:t>Especially intriguing is the finding that marginally failing the high-stakes ELA examination does not reduce the probability that low-income urban 10</w:t>
      </w:r>
      <w:r w:rsidRPr="00D214F4">
        <w:rPr>
          <w:vertAlign w:val="superscript"/>
        </w:rPr>
        <w:t>th</w:t>
      </w:r>
      <w:r w:rsidRPr="00D214F4">
        <w:t xml:space="preserve"> graders graduated on time, while marginally failing the mathematics examination does reduce the probability of on-time graduation.  Why the difference?  Do urban districts concentrate resources on programs to improve their low-income students’ ELA skills? Does the structure of the examinations make remediation easier in ELA than in mathematics for students on the border of passing? </w:t>
      </w:r>
    </w:p>
    <w:p w:rsidR="00A37BD5" w:rsidRPr="00D214F4" w:rsidRDefault="00A37BD5" w:rsidP="00A37BD5">
      <w:pPr>
        <w:widowControl w:val="0"/>
        <w:spacing w:line="480" w:lineRule="auto"/>
        <w:ind w:firstLine="720"/>
      </w:pPr>
      <w:r w:rsidRPr="00D214F4">
        <w:t xml:space="preserve">Our finding that the </w:t>
      </w:r>
      <w:r w:rsidRPr="00D214F4">
        <w:rPr>
          <w:i/>
        </w:rPr>
        <w:t>Fear of Failing</w:t>
      </w:r>
      <w:r w:rsidRPr="00D214F4">
        <w:t xml:space="preserve"> the 10</w:t>
      </w:r>
      <w:r w:rsidRPr="00D214F4">
        <w:rPr>
          <w:vertAlign w:val="superscript"/>
        </w:rPr>
        <w:t>th</w:t>
      </w:r>
      <w:r w:rsidRPr="00D214F4">
        <w:t xml:space="preserve"> grade examination induces some low-income urban students to drop out before even taking it raises additional questions. Failing the 8</w:t>
      </w:r>
      <w:r w:rsidRPr="00D214F4">
        <w:rPr>
          <w:vertAlign w:val="superscript"/>
        </w:rPr>
        <w:t>th</w:t>
      </w:r>
      <w:r w:rsidRPr="00D214F4">
        <w:t xml:space="preserve"> grade examination gives students some sense of their probable performance on the 10</w:t>
      </w:r>
      <w:r w:rsidRPr="00D214F4">
        <w:rPr>
          <w:vertAlign w:val="superscript"/>
        </w:rPr>
        <w:t>th</w:t>
      </w:r>
      <w:r w:rsidRPr="00D214F4">
        <w:t xml:space="preserve"> grade test, but discerning students should recognize that scores on either side of the cutoff are not substantively different. Nonetheless, we f</w:t>
      </w:r>
      <w:r w:rsidR="00774259">
        <w:t>i</w:t>
      </w:r>
      <w:r w:rsidRPr="00D214F4">
        <w:t>nd a moderate effect of failing on persistence to 10</w:t>
      </w:r>
      <w:r w:rsidRPr="00D214F4">
        <w:rPr>
          <w:vertAlign w:val="superscript"/>
        </w:rPr>
        <w:t>th</w:t>
      </w:r>
      <w:r w:rsidRPr="00D214F4">
        <w:t xml:space="preserve"> grade for these very students. What is the mechanism at play here? Does the “failing” label affect a student’s self-concept? Do students pay attention only to the performance level that their score puts them in, not on how close they are to passing?  Or, does this effect reflect school or parental responses, such as retaining students or removing them to private schools?</w:t>
      </w:r>
    </w:p>
    <w:p w:rsidR="00A37BD5" w:rsidRPr="00D214F4" w:rsidRDefault="00A37BD5" w:rsidP="00A37BD5">
      <w:pPr>
        <w:widowControl w:val="0"/>
        <w:spacing w:line="480" w:lineRule="auto"/>
        <w:ind w:firstLine="720"/>
      </w:pPr>
      <w:r w:rsidRPr="00D214F4">
        <w:t>Another question concerns the extent to which the consequences of exit examinations depend on their content and format. The 10</w:t>
      </w:r>
      <w:r w:rsidRPr="00D214F4">
        <w:rPr>
          <w:vertAlign w:val="superscript"/>
        </w:rPr>
        <w:t>th</w:t>
      </w:r>
      <w:r w:rsidRPr="00D214F4">
        <w:t xml:space="preserve"> grade MCAS mathematics test is relatively demanding compared to the exit examinations used by other states. Not only does it assess </w:t>
      </w:r>
      <w:r w:rsidRPr="00D214F4">
        <w:lastRenderedPageBreak/>
        <w:t xml:space="preserve">students’ skills in a range of topic areas, it does so with questions that contain relatively complex language. Also, some test items call for open-ended responses while others require students to explain their answers. Supporters of the </w:t>
      </w:r>
      <w:smartTag w:uri="urn:schemas-microsoft-com:office:smarttags" w:element="place">
        <w:smartTag w:uri="urn:schemas-microsoft-com:office:smarttags" w:element="State">
          <w:r w:rsidRPr="00D214F4">
            <w:t>Massachusetts</w:t>
          </w:r>
        </w:smartTag>
      </w:smartTag>
      <w:r w:rsidRPr="00D214F4">
        <w:t xml:space="preserve"> examinations argue that good instruction in mathematics is the only way to prepare students to do well on the test, and that simply drilling students on released test items is not an effective way to improve MCAS scores.  The payoff to drill, as opposed to good mathematics instruction, may vary among the examinations used by different states. This difference may influence the success of various remediation programs.</w:t>
      </w:r>
    </w:p>
    <w:p w:rsidR="00A37BD5" w:rsidRPr="00D214F4" w:rsidRDefault="00A37BD5" w:rsidP="00A37BD5">
      <w:pPr>
        <w:widowControl w:val="0"/>
        <w:spacing w:line="480" w:lineRule="auto"/>
        <w:ind w:firstLine="720"/>
      </w:pPr>
      <w:r w:rsidRPr="00D214F4">
        <w:t xml:space="preserve">This research argues for the importance of examining heterogeneous effects. In future work, we hope to explore more fully the effects of failing on different groups of students, including those with limited English proficiency. It also raises the question of whether the types of differential impacts we observe in </w:t>
      </w:r>
      <w:smartTag w:uri="urn:schemas-microsoft-com:office:smarttags" w:element="place">
        <w:smartTag w:uri="urn:schemas-microsoft-com:office:smarttags" w:element="State">
          <w:r w:rsidRPr="00D214F4">
            <w:t>Massachusetts</w:t>
          </w:r>
        </w:smartTag>
      </w:smartTag>
      <w:r w:rsidRPr="00D214F4">
        <w:t xml:space="preserve"> may also be present in other states, especially those that use relatively demanding exit examinations. A corollary is the importance of finding the explanations for any observed differential effects of exit examinations. Finding differences in the probability of retaking the examination between groups suggests one policy problem. Finding differences in success rates among those who do retake the examination, as we do, suggests a different problem. We need to understand more carefully what messages and remediation efforts low-income urban students are receiving that encourage them to retake the examination but do not prepare them for success. Finally, we wonder why the effect for urban students varies by income. Do wealthier students attend different schools, or do they receive additional support outside of school?</w:t>
      </w:r>
    </w:p>
    <w:p w:rsidR="00A37BD5" w:rsidRPr="00D214F4" w:rsidRDefault="00A37BD5" w:rsidP="00A37BD5">
      <w:pPr>
        <w:widowControl w:val="0"/>
        <w:spacing w:line="480" w:lineRule="auto"/>
        <w:ind w:firstLine="720"/>
      </w:pPr>
      <w:r w:rsidRPr="00D214F4">
        <w:t xml:space="preserve">In summary, the requirement that high school students achieve passing scores on relatively rigorous state-administered examinations in order to obtain a high school diploma is a relatively new phenomenon in the </w:t>
      </w:r>
      <w:smartTag w:uri="urn:schemas-microsoft-com:office:smarttags" w:element="place">
        <w:smartTag w:uri="urn:schemas-microsoft-com:office:smarttags" w:element="country-region">
          <w:r w:rsidRPr="00D214F4">
            <w:t>United States</w:t>
          </w:r>
        </w:smartTag>
      </w:smartTag>
      <w:r w:rsidRPr="00D214F4">
        <w:t xml:space="preserve">.  The content, format, and difficulty of such tests </w:t>
      </w:r>
      <w:r w:rsidRPr="00D214F4">
        <w:lastRenderedPageBreak/>
        <w:t xml:space="preserve">vary widely across states, as do opportunities for re-taking the examinations and support for those who fail. Future research needs to go beyond the question of whether failing a particular exit examination affects the probability of high school graduation. It needs to examine the extent to which the consequences of failing an exit examination depend on the attributes of the examination, the testing system, the student, and the quality of support available to struggling students.  </w:t>
      </w:r>
    </w:p>
    <w:p w:rsidR="0045350A" w:rsidRDefault="00450A81" w:rsidP="0045350A">
      <w:pPr>
        <w:widowControl w:val="0"/>
      </w:pPr>
      <w:r>
        <w:br w:type="page"/>
      </w:r>
      <w:r w:rsidR="0045350A" w:rsidRPr="004A7AE0">
        <w:rPr>
          <w:i/>
          <w:iCs/>
        </w:rPr>
        <w:lastRenderedPageBreak/>
        <w:t xml:space="preserve">Figure </w:t>
      </w:r>
      <w:r w:rsidR="0045350A">
        <w:rPr>
          <w:i/>
          <w:iCs/>
        </w:rPr>
        <w:t>1</w:t>
      </w:r>
      <w:r w:rsidR="0045350A">
        <w:t xml:space="preserve">. Comparison of recent </w:t>
      </w:r>
      <w:smartTag w:uri="urn:schemas-microsoft-com:office:smarttags" w:element="place">
        <w:smartTag w:uri="urn:schemas-microsoft-com:office:smarttags" w:element="State">
          <w:r w:rsidR="0045350A">
            <w:t>Massachusetts</w:t>
          </w:r>
        </w:smartTag>
      </w:smartTag>
      <w:r w:rsidR="0045350A">
        <w:t xml:space="preserve"> and nationwide National Assessment of Educational Progress scaled scores, for 8</w:t>
      </w:r>
      <w:r w:rsidR="0045350A" w:rsidRPr="00B90D40">
        <w:rPr>
          <w:vertAlign w:val="superscript"/>
        </w:rPr>
        <w:t>th</w:t>
      </w:r>
      <w:r w:rsidR="0045350A">
        <w:t xml:space="preserve"> grade mathematics from 1992 to 2008.</w:t>
      </w:r>
    </w:p>
    <w:p w:rsidR="0045350A" w:rsidRDefault="0045350A" w:rsidP="0045350A">
      <w:pPr>
        <w:widowControl w:val="0"/>
      </w:pPr>
    </w:p>
    <w:p w:rsidR="0045350A" w:rsidRDefault="00451769" w:rsidP="0045350A">
      <w:r>
        <w:rPr>
          <w:noProof/>
          <w:lang w:eastAsia="zh-CN"/>
        </w:rPr>
        <w:drawing>
          <wp:inline distT="0" distB="0" distL="0" distR="0">
            <wp:extent cx="5943600" cy="4067175"/>
            <wp:effectExtent l="19050" t="19050" r="19050" b="28575"/>
            <wp:docPr id="6" name="Picture 6" descr="Figure 1:&#10;In 1992, the Massachusetts average scaled score on the NAEP was 273, while the National average was 268--a difference of 5 points.  Both averages climbed at similar rates until 2000, when Massachusetts started to improve at a much faster rate than the national average.&#10;By 2007, the Massachusetts average scaled score on the NAEP was 298, while the National average was 280--a difference of 18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10;In 1992, the Massachusetts average scaled score on the NAEP was 273, while the National average was 268--a difference of 5 points.  Both averages climbed at similar rates until 2000, when Massachusetts started to improve at a much faster rate than the national average.&#10;By 2007, the Massachusetts average scaled score on the NAEP was 298, while the National average was 280--a difference of 18 points."/>
                    <pic:cNvPicPr>
                      <a:picLocks noChangeAspect="1" noChangeArrowheads="1"/>
                    </pic:cNvPicPr>
                  </pic:nvPicPr>
                  <pic:blipFill>
                    <a:blip r:embed="rId19" cstate="print"/>
                    <a:srcRect/>
                    <a:stretch>
                      <a:fillRect/>
                    </a:stretch>
                  </pic:blipFill>
                  <pic:spPr bwMode="auto">
                    <a:xfrm>
                      <a:off x="0" y="0"/>
                      <a:ext cx="5943600" cy="4067175"/>
                    </a:xfrm>
                    <a:prstGeom prst="rect">
                      <a:avLst/>
                    </a:prstGeom>
                    <a:noFill/>
                    <a:ln w="6350" cmpd="sng">
                      <a:solidFill>
                        <a:srgbClr val="000000"/>
                      </a:solidFill>
                      <a:miter lim="800000"/>
                      <a:headEnd/>
                      <a:tailEnd/>
                    </a:ln>
                    <a:effectLst/>
                  </pic:spPr>
                </pic:pic>
              </a:graphicData>
            </a:graphic>
          </wp:inline>
        </w:drawing>
      </w:r>
      <w:r w:rsidR="0045350A" w:rsidRPr="00B90D40">
        <w:t xml:space="preserve"> </w:t>
      </w:r>
    </w:p>
    <w:p w:rsidR="00A31C4C" w:rsidRDefault="0045350A" w:rsidP="0045350A">
      <w:r>
        <w:br w:type="page"/>
      </w:r>
      <w:r w:rsidR="00A31C4C">
        <w:lastRenderedPageBreak/>
        <w:t xml:space="preserve">Figure </w:t>
      </w:r>
      <w:r w:rsidR="00A37BD5">
        <w:t>2</w:t>
      </w:r>
      <w:r w:rsidR="00A31C4C">
        <w:t>. Diagrams illustrating the regression discontinuity design, with both a linear relationship between the assignment variable and treatment (top panel) and a curvilinear relationship (bottom panel). The difference between A and B represents the causal effect of treatment (failing MCAS). Here, X is the MCAS math score; Y is the probability of graduation.</w:t>
      </w:r>
    </w:p>
    <w:p w:rsidR="00A31C4C" w:rsidRDefault="00451769" w:rsidP="00A31C4C">
      <w:pPr>
        <w:spacing w:line="360" w:lineRule="auto"/>
        <w:jc w:val="center"/>
      </w:pPr>
      <w:r>
        <w:rPr>
          <w:noProof/>
          <w:lang w:eastAsia="zh-CN"/>
        </w:rPr>
        <w:drawing>
          <wp:inline distT="0" distB="0" distL="0" distR="0">
            <wp:extent cx="4243070" cy="3203575"/>
            <wp:effectExtent l="19050" t="19050" r="24130" b="15875"/>
            <wp:docPr id="89" name="Picture 89" descr="Figure 2A:&#10;Illustration of a linear regression-discontinuity design.  A linear trend is interrupted by a treatment, causing a change in the slope of that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Figure 2A:&#10;Illustration of a linear regression-discontinuity design.  A linear trend is interrupted by a treatment, causing a change in the slope of that trend."/>
                    <pic:cNvPicPr>
                      <a:picLocks noChangeAspect="1" noChangeArrowheads="1"/>
                    </pic:cNvPicPr>
                  </pic:nvPicPr>
                  <pic:blipFill>
                    <a:blip r:embed="rId20" cstate="print"/>
                    <a:srcRect/>
                    <a:stretch>
                      <a:fillRect/>
                    </a:stretch>
                  </pic:blipFill>
                  <pic:spPr bwMode="auto">
                    <a:xfrm>
                      <a:off x="0" y="0"/>
                      <a:ext cx="4243070" cy="3203575"/>
                    </a:xfrm>
                    <a:prstGeom prst="rect">
                      <a:avLst/>
                    </a:prstGeom>
                    <a:noFill/>
                    <a:ln w="9525">
                      <a:solidFill>
                        <a:srgbClr val="000000"/>
                      </a:solidFill>
                      <a:miter lim="800000"/>
                      <a:headEnd/>
                      <a:tailEnd/>
                    </a:ln>
                    <a:effectLst/>
                  </pic:spPr>
                </pic:pic>
              </a:graphicData>
            </a:graphic>
          </wp:inline>
        </w:drawing>
      </w:r>
    </w:p>
    <w:p w:rsidR="00A31C4C" w:rsidRDefault="00451769" w:rsidP="00A31C4C">
      <w:pPr>
        <w:spacing w:line="360" w:lineRule="auto"/>
        <w:jc w:val="center"/>
      </w:pPr>
      <w:r>
        <w:rPr>
          <w:noProof/>
          <w:lang w:eastAsia="zh-CN"/>
        </w:rPr>
        <w:drawing>
          <wp:inline distT="0" distB="0" distL="0" distR="0">
            <wp:extent cx="4243070" cy="3203575"/>
            <wp:effectExtent l="19050" t="19050" r="24130" b="15875"/>
            <wp:docPr id="88" name="Picture 88" descr="Figure 2B:&#10;Illustration of a curvilinear regression-discontinuity design.  A linear trend is interrupted by a treatment, causing a change in the slope of that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igure 2B:&#10;Illustration of a curvilinear regression-discontinuity design.  A linear trend is interrupted by a treatment, causing a change in the slope of that trend."/>
                    <pic:cNvPicPr>
                      <a:picLocks noChangeAspect="1" noChangeArrowheads="1"/>
                    </pic:cNvPicPr>
                  </pic:nvPicPr>
                  <pic:blipFill>
                    <a:blip r:embed="rId21" cstate="print"/>
                    <a:srcRect/>
                    <a:stretch>
                      <a:fillRect/>
                    </a:stretch>
                  </pic:blipFill>
                  <pic:spPr bwMode="auto">
                    <a:xfrm>
                      <a:off x="0" y="0"/>
                      <a:ext cx="4243070" cy="3203575"/>
                    </a:xfrm>
                    <a:prstGeom prst="rect">
                      <a:avLst/>
                    </a:prstGeom>
                    <a:noFill/>
                    <a:ln w="9525">
                      <a:solidFill>
                        <a:srgbClr val="000000"/>
                      </a:solidFill>
                      <a:miter lim="800000"/>
                      <a:headEnd/>
                      <a:tailEnd/>
                    </a:ln>
                    <a:effectLst/>
                  </pic:spPr>
                </pic:pic>
              </a:graphicData>
            </a:graphic>
          </wp:inline>
        </w:drawing>
      </w:r>
    </w:p>
    <w:p w:rsidR="00A31C4C" w:rsidRDefault="00A31C4C" w:rsidP="00A31C4C">
      <w:pPr>
        <w:spacing w:line="360" w:lineRule="auto"/>
        <w:jc w:val="center"/>
      </w:pPr>
    </w:p>
    <w:p w:rsidR="0045350A" w:rsidRDefault="00A31C4C" w:rsidP="0045350A">
      <w:pPr>
        <w:widowControl w:val="0"/>
      </w:pPr>
      <w:r>
        <w:rPr>
          <w:i/>
          <w:iCs/>
        </w:rPr>
        <w:br w:type="page"/>
      </w:r>
      <w:r w:rsidR="00A37BD5" w:rsidRPr="004A7AE0" w:rsidDel="00A37BD5">
        <w:rPr>
          <w:i/>
          <w:iCs/>
        </w:rPr>
        <w:lastRenderedPageBreak/>
        <w:t xml:space="preserve"> </w:t>
      </w:r>
      <w:r w:rsidR="0045350A" w:rsidRPr="004A7AE0">
        <w:rPr>
          <w:i/>
          <w:iCs/>
        </w:rPr>
        <w:t xml:space="preserve">Figure </w:t>
      </w:r>
      <w:r w:rsidR="0045350A">
        <w:rPr>
          <w:i/>
          <w:iCs/>
        </w:rPr>
        <w:t>3</w:t>
      </w:r>
      <w:r w:rsidR="0045350A">
        <w:t xml:space="preserve">. Fitted smoothed </w:t>
      </w:r>
      <w:r w:rsidR="00F22245">
        <w:t>non-param</w:t>
      </w:r>
      <w:r w:rsidR="0045350A">
        <w:t>etric relationship (bandwidth=6) between</w:t>
      </w:r>
      <w:r w:rsidR="0045350A" w:rsidRPr="00C23DFC">
        <w:t xml:space="preserve"> </w:t>
      </w:r>
      <w:r w:rsidR="0045350A">
        <w:t>the probability of on-time graduation and 10</w:t>
      </w:r>
      <w:r w:rsidR="0045350A" w:rsidRPr="00E22F3D">
        <w:rPr>
          <w:vertAlign w:val="superscript"/>
        </w:rPr>
        <w:t>th</w:t>
      </w:r>
      <w:r w:rsidR="0045350A">
        <w:t xml:space="preserve"> grade mathematics score for low-income urban students, with the sample mean probabilities of graduation overlaid.</w:t>
      </w:r>
    </w:p>
    <w:p w:rsidR="0045350A" w:rsidRDefault="0045350A" w:rsidP="0045350A">
      <w:pPr>
        <w:widowControl w:val="0"/>
      </w:pPr>
    </w:p>
    <w:p w:rsidR="0045350A" w:rsidRPr="002766A4" w:rsidRDefault="00451769" w:rsidP="0045350A">
      <w:pPr>
        <w:widowControl w:val="0"/>
      </w:pPr>
      <w:r>
        <w:rPr>
          <w:noProof/>
          <w:lang w:eastAsia="zh-CN"/>
        </w:rPr>
        <w:drawing>
          <wp:inline distT="0" distB="0" distL="0" distR="0">
            <wp:extent cx="5943600" cy="4067175"/>
            <wp:effectExtent l="19050" t="19050" r="19050" b="28575"/>
            <wp:docPr id="7" name="Picture 7" descr=" Figure 3. Fitted smoothed non-parametric relationship (bandwidth=6) between the probability of on-time graduation and 10th grade mathematics score for low-income urban students, with the sample mean probabilities of graduation overl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Figure 3. Fitted smoothed non-parametric relationship (bandwidth=6) between the probability of on-time graduation and 10th grade mathematics score for low-income urban students, with the sample mean probabilities of graduation overlaid."/>
                    <pic:cNvPicPr>
                      <a:picLocks noChangeAspect="1" noChangeArrowheads="1"/>
                    </pic:cNvPicPr>
                  </pic:nvPicPr>
                  <pic:blipFill>
                    <a:blip r:embed="rId22" cstate="print"/>
                    <a:srcRect/>
                    <a:stretch>
                      <a:fillRect/>
                    </a:stretch>
                  </pic:blipFill>
                  <pic:spPr bwMode="auto">
                    <a:xfrm>
                      <a:off x="0" y="0"/>
                      <a:ext cx="5943600" cy="4067175"/>
                    </a:xfrm>
                    <a:prstGeom prst="rect">
                      <a:avLst/>
                    </a:prstGeom>
                    <a:noFill/>
                    <a:ln w="6350" cmpd="sng">
                      <a:solidFill>
                        <a:srgbClr val="000000"/>
                      </a:solidFill>
                      <a:miter lim="800000"/>
                      <a:headEnd/>
                      <a:tailEnd/>
                    </a:ln>
                    <a:effectLst/>
                  </pic:spPr>
                </pic:pic>
              </a:graphicData>
            </a:graphic>
          </wp:inline>
        </w:drawing>
      </w:r>
    </w:p>
    <w:p w:rsidR="0045350A" w:rsidRPr="00C95DF1" w:rsidRDefault="0045350A" w:rsidP="0045350A">
      <w:pPr>
        <w:widowControl w:val="0"/>
        <w:rPr>
          <w:sz w:val="20"/>
          <w:szCs w:val="20"/>
        </w:rPr>
      </w:pPr>
      <w:r>
        <w:rPr>
          <w:sz w:val="20"/>
          <w:szCs w:val="20"/>
        </w:rPr>
        <w:t xml:space="preserve">We plot the </w:t>
      </w:r>
      <w:r w:rsidR="00F22245">
        <w:rPr>
          <w:sz w:val="20"/>
          <w:szCs w:val="20"/>
        </w:rPr>
        <w:t>non-param</w:t>
      </w:r>
      <w:r>
        <w:rPr>
          <w:sz w:val="20"/>
          <w:szCs w:val="20"/>
        </w:rPr>
        <w:t>etric regression fit without student-level covariates.</w:t>
      </w:r>
      <w:r w:rsidR="00774259">
        <w:rPr>
          <w:sz w:val="20"/>
          <w:szCs w:val="20"/>
        </w:rPr>
        <w:t xml:space="preserve"> For data tables, see Papay, Murnane, &amp; Willett, 2008.</w:t>
      </w:r>
    </w:p>
    <w:p w:rsidR="0045350A" w:rsidRDefault="0045350A" w:rsidP="0045350A">
      <w:pPr>
        <w:widowControl w:val="0"/>
      </w:pPr>
      <w:r>
        <w:br w:type="page"/>
      </w:r>
      <w:r w:rsidRPr="004A7AE0">
        <w:rPr>
          <w:i/>
          <w:iCs/>
        </w:rPr>
        <w:lastRenderedPageBreak/>
        <w:t xml:space="preserve">Figure </w:t>
      </w:r>
      <w:r>
        <w:rPr>
          <w:i/>
          <w:iCs/>
        </w:rPr>
        <w:t>4</w:t>
      </w:r>
      <w:r>
        <w:t>.  Sample histogram presenting the frequencies of students who failed the 10</w:t>
      </w:r>
      <w:r w:rsidRPr="00E22F3D">
        <w:rPr>
          <w:vertAlign w:val="superscript"/>
        </w:rPr>
        <w:t>th</w:t>
      </w:r>
      <w:r>
        <w:t xml:space="preserve"> grade mathematics examination and who subsequently retook the examination, along with their performance on retest.</w:t>
      </w:r>
    </w:p>
    <w:p w:rsidR="0045350A" w:rsidRDefault="0045350A" w:rsidP="0045350A">
      <w:pPr>
        <w:widowControl w:val="0"/>
      </w:pPr>
    </w:p>
    <w:p w:rsidR="0045350A" w:rsidRPr="00421DF5" w:rsidRDefault="00451769" w:rsidP="0045350A">
      <w:pPr>
        <w:widowControl w:val="0"/>
      </w:pPr>
      <w:r>
        <w:rPr>
          <w:noProof/>
          <w:lang w:eastAsia="zh-CN"/>
        </w:rPr>
        <w:drawing>
          <wp:inline distT="0" distB="0" distL="0" distR="0">
            <wp:extent cx="5943600" cy="4067175"/>
            <wp:effectExtent l="19050" t="19050" r="19050" b="28575"/>
            <wp:docPr id="8" name="Picture 8" descr="Initial result: 8,269 students failed the 10th grade math MCAS&#10;First retake: 7,348 students took the test.  4,811 failed.  2,537 passed.&#10;Second retake: 4,413 students took the test.  2,857 failed.  1,556 passed.&#10;Third retake: 2,388 students took the test.  1,529 failed.  859 passed.&#10;Fourth retake: 1,264 students took the test.  Approximately half pa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itial result: 8,269 students failed the 10th grade math MCAS&#10;First retake: 7,348 students took the test.  4,811 failed.  2,537 passed.&#10;Second retake: 4,413 students took the test.  2,857 failed.  1,556 passed.&#10;Third retake: 2,388 students took the test.  1,529 failed.  859 passed.&#10;Fourth retake: 1,264 students took the test.  Approximately half passed."/>
                    <pic:cNvPicPr>
                      <a:picLocks noChangeAspect="1" noChangeArrowheads="1"/>
                    </pic:cNvPicPr>
                  </pic:nvPicPr>
                  <pic:blipFill>
                    <a:blip r:embed="rId23" cstate="print"/>
                    <a:srcRect/>
                    <a:stretch>
                      <a:fillRect/>
                    </a:stretch>
                  </pic:blipFill>
                  <pic:spPr bwMode="auto">
                    <a:xfrm>
                      <a:off x="0" y="0"/>
                      <a:ext cx="5943600" cy="4067175"/>
                    </a:xfrm>
                    <a:prstGeom prst="rect">
                      <a:avLst/>
                    </a:prstGeom>
                    <a:noFill/>
                    <a:ln w="6350" cmpd="sng">
                      <a:solidFill>
                        <a:srgbClr val="000000"/>
                      </a:solidFill>
                      <a:miter lim="800000"/>
                      <a:headEnd/>
                      <a:tailEnd/>
                    </a:ln>
                    <a:effectLst/>
                  </pic:spPr>
                </pic:pic>
              </a:graphicData>
            </a:graphic>
          </wp:inline>
        </w:drawing>
      </w:r>
    </w:p>
    <w:p w:rsidR="0045350A" w:rsidRDefault="0045350A" w:rsidP="0045350A">
      <w:pPr>
        <w:widowControl w:val="0"/>
      </w:pPr>
    </w:p>
    <w:p w:rsidR="0045350A" w:rsidRDefault="0045350A" w:rsidP="0045350A">
      <w:pPr>
        <w:widowControl w:val="0"/>
      </w:pPr>
      <w:r>
        <w:br w:type="page"/>
      </w:r>
      <w:r w:rsidRPr="004A7AE0">
        <w:rPr>
          <w:i/>
          <w:iCs/>
        </w:rPr>
        <w:lastRenderedPageBreak/>
        <w:t xml:space="preserve">Figure </w:t>
      </w:r>
      <w:r>
        <w:rPr>
          <w:i/>
          <w:iCs/>
        </w:rPr>
        <w:t>5</w:t>
      </w:r>
      <w:r>
        <w:t>. Fitted relationship (from Table 2) between the probability of retaking the examination (top panel) or passing the first retest (bottom panel) and initial 10</w:t>
      </w:r>
      <w:r w:rsidRPr="00E22F3D">
        <w:rPr>
          <w:vertAlign w:val="superscript"/>
        </w:rPr>
        <w:t>th</w:t>
      </w:r>
      <w:r>
        <w:t xml:space="preserve"> grade mathematics score for low-income urban students and suburban students who failed their first examination (plotted in the immediate region of the pass/fail cut-score for white female students not classified as special education or limited English proficient who just passed the ELA test) (n=8,225). </w:t>
      </w:r>
    </w:p>
    <w:p w:rsidR="0045350A" w:rsidRDefault="0045350A" w:rsidP="0045350A">
      <w:pPr>
        <w:widowControl w:val="0"/>
      </w:pPr>
    </w:p>
    <w:p w:rsidR="0045350A" w:rsidRPr="00B90D40" w:rsidRDefault="00451769" w:rsidP="0045350A">
      <w:pPr>
        <w:widowControl w:val="0"/>
        <w:jc w:val="center"/>
      </w:pPr>
      <w:r>
        <w:rPr>
          <w:noProof/>
          <w:lang w:eastAsia="zh-CN"/>
        </w:rPr>
        <w:drawing>
          <wp:inline distT="0" distB="0" distL="0" distR="0">
            <wp:extent cx="4924425" cy="3371850"/>
            <wp:effectExtent l="19050" t="19050" r="28575" b="19050"/>
            <wp:docPr id="9" name="Picture 9" descr="Figure 5A:&#10;No matter what their scores were, suburban students were just as likely as urban, low-income students to retake the MCAS math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5A:&#10;No matter what their scores were, suburban students were just as likely as urban, low-income students to retake the MCAS math test."/>
                    <pic:cNvPicPr>
                      <a:picLocks noChangeAspect="1" noChangeArrowheads="1"/>
                    </pic:cNvPicPr>
                  </pic:nvPicPr>
                  <pic:blipFill>
                    <a:blip r:embed="rId24" cstate="print"/>
                    <a:srcRect/>
                    <a:stretch>
                      <a:fillRect/>
                    </a:stretch>
                  </pic:blipFill>
                  <pic:spPr bwMode="auto">
                    <a:xfrm>
                      <a:off x="0" y="0"/>
                      <a:ext cx="4924425" cy="3371850"/>
                    </a:xfrm>
                    <a:prstGeom prst="rect">
                      <a:avLst/>
                    </a:prstGeom>
                    <a:noFill/>
                    <a:ln w="6350" cmpd="sng">
                      <a:solidFill>
                        <a:srgbClr val="000000"/>
                      </a:solidFill>
                      <a:miter lim="800000"/>
                      <a:headEnd/>
                      <a:tailEnd/>
                    </a:ln>
                    <a:effectLst/>
                  </pic:spPr>
                </pic:pic>
              </a:graphicData>
            </a:graphic>
          </wp:inline>
        </w:drawing>
      </w:r>
    </w:p>
    <w:p w:rsidR="0045350A" w:rsidRDefault="0045350A" w:rsidP="0045350A">
      <w:pPr>
        <w:widowControl w:val="0"/>
        <w:jc w:val="center"/>
      </w:pPr>
    </w:p>
    <w:p w:rsidR="0045350A" w:rsidRPr="00236351" w:rsidRDefault="00451769" w:rsidP="0045350A">
      <w:pPr>
        <w:widowControl w:val="0"/>
        <w:jc w:val="center"/>
      </w:pPr>
      <w:r>
        <w:rPr>
          <w:noProof/>
          <w:lang w:eastAsia="zh-CN"/>
        </w:rPr>
        <w:drawing>
          <wp:inline distT="0" distB="0" distL="0" distR="0">
            <wp:extent cx="4914900" cy="3362325"/>
            <wp:effectExtent l="19050" t="19050" r="19050" b="28575"/>
            <wp:docPr id="10" name="Picture 10" descr="Figure 5B:&#10;Suburban students were much more likely to pass the MCAS math retest than urban, low-income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5B:&#10;Suburban students were much more likely to pass the MCAS math retest than urban, low-income students."/>
                    <pic:cNvPicPr>
                      <a:picLocks noChangeAspect="1" noChangeArrowheads="1"/>
                    </pic:cNvPicPr>
                  </pic:nvPicPr>
                  <pic:blipFill>
                    <a:blip r:embed="rId25" cstate="print"/>
                    <a:srcRect/>
                    <a:stretch>
                      <a:fillRect/>
                    </a:stretch>
                  </pic:blipFill>
                  <pic:spPr bwMode="auto">
                    <a:xfrm>
                      <a:off x="0" y="0"/>
                      <a:ext cx="4914900" cy="3362325"/>
                    </a:xfrm>
                    <a:prstGeom prst="rect">
                      <a:avLst/>
                    </a:prstGeom>
                    <a:noFill/>
                    <a:ln w="6350" cmpd="sng">
                      <a:solidFill>
                        <a:srgbClr val="000000"/>
                      </a:solidFill>
                      <a:miter lim="800000"/>
                      <a:headEnd/>
                      <a:tailEnd/>
                    </a:ln>
                    <a:effectLst/>
                  </pic:spPr>
                </pic:pic>
              </a:graphicData>
            </a:graphic>
          </wp:inline>
        </w:drawing>
      </w:r>
    </w:p>
    <w:p w:rsidR="0045350A" w:rsidRDefault="00774259" w:rsidP="00774259">
      <w:pPr>
        <w:widowControl w:val="0"/>
        <w:ind w:firstLine="720"/>
      </w:pPr>
      <w:r>
        <w:rPr>
          <w:sz w:val="20"/>
          <w:szCs w:val="20"/>
        </w:rPr>
        <w:t>For data tables, see Papay, Murnane, &amp; Willett, 2008.</w:t>
      </w:r>
      <w:r w:rsidR="0045350A">
        <w:br w:type="page"/>
      </w:r>
      <w:r w:rsidR="0045350A" w:rsidRPr="0065457F">
        <w:rPr>
          <w:i/>
          <w:iCs/>
        </w:rPr>
        <w:lastRenderedPageBreak/>
        <w:t xml:space="preserve">Figure </w:t>
      </w:r>
      <w:r w:rsidR="0045350A">
        <w:rPr>
          <w:i/>
          <w:iCs/>
        </w:rPr>
        <w:t>6</w:t>
      </w:r>
      <w:r w:rsidR="0045350A">
        <w:t xml:space="preserve">. Fitted smoothed </w:t>
      </w:r>
      <w:r w:rsidR="00F22245">
        <w:t>non-param</w:t>
      </w:r>
      <w:r w:rsidR="0045350A">
        <w:t>etric relationship (bandwidth=6) between the probability of persisting to 10</w:t>
      </w:r>
      <w:r w:rsidR="0045350A" w:rsidRPr="006F2F63">
        <w:rPr>
          <w:vertAlign w:val="superscript"/>
        </w:rPr>
        <w:t>th</w:t>
      </w:r>
      <w:r w:rsidR="0045350A">
        <w:t xml:space="preserve"> grade and 8</w:t>
      </w:r>
      <w:r w:rsidR="0045350A" w:rsidRPr="00E22F3D">
        <w:rPr>
          <w:vertAlign w:val="superscript"/>
        </w:rPr>
        <w:t>th</w:t>
      </w:r>
      <w:r w:rsidR="0045350A">
        <w:t xml:space="preserve"> grade mathematics score for low-income urban students, with the sample mean probabilities of graduation overlaid.</w:t>
      </w:r>
    </w:p>
    <w:p w:rsidR="0045350A" w:rsidRDefault="0045350A" w:rsidP="0045350A">
      <w:pPr>
        <w:widowControl w:val="0"/>
      </w:pPr>
    </w:p>
    <w:p w:rsidR="0045350A" w:rsidRPr="002766A4" w:rsidRDefault="00451769" w:rsidP="0045350A">
      <w:pPr>
        <w:widowControl w:val="0"/>
      </w:pPr>
      <w:r>
        <w:rPr>
          <w:noProof/>
          <w:lang w:eastAsia="zh-CN"/>
        </w:rPr>
        <w:drawing>
          <wp:inline distT="0" distB="0" distL="0" distR="0">
            <wp:extent cx="5943600" cy="4067175"/>
            <wp:effectExtent l="19050" t="19050" r="19050" b="28575"/>
            <wp:docPr id="11" name="Picture 11" descr="Figure 6. Fitted smoothed non-parametric relationship (bandwidth=6) between the probability of persisting to 10th grade and 8th grade mathematics score for low-income urban students, with the sample mean probabilities of graduation overl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6. Fitted smoothed non-parametric relationship (bandwidth=6) between the probability of persisting to 10th grade and 8th grade mathematics score for low-income urban students, with the sample mean probabilities of graduation overlaid."/>
                    <pic:cNvPicPr>
                      <a:picLocks noChangeAspect="1" noChangeArrowheads="1"/>
                    </pic:cNvPicPr>
                  </pic:nvPicPr>
                  <pic:blipFill>
                    <a:blip r:embed="rId26" cstate="print"/>
                    <a:srcRect/>
                    <a:stretch>
                      <a:fillRect/>
                    </a:stretch>
                  </pic:blipFill>
                  <pic:spPr bwMode="auto">
                    <a:xfrm>
                      <a:off x="0" y="0"/>
                      <a:ext cx="5943600" cy="4067175"/>
                    </a:xfrm>
                    <a:prstGeom prst="rect">
                      <a:avLst/>
                    </a:prstGeom>
                    <a:noFill/>
                    <a:ln w="6350" cmpd="sng">
                      <a:solidFill>
                        <a:srgbClr val="000000"/>
                      </a:solidFill>
                      <a:miter lim="800000"/>
                      <a:headEnd/>
                      <a:tailEnd/>
                    </a:ln>
                    <a:effectLst/>
                  </pic:spPr>
                </pic:pic>
              </a:graphicData>
            </a:graphic>
          </wp:inline>
        </w:drawing>
      </w:r>
    </w:p>
    <w:p w:rsidR="0045350A" w:rsidRPr="00C95DF1" w:rsidRDefault="0045350A" w:rsidP="0045350A">
      <w:pPr>
        <w:widowControl w:val="0"/>
        <w:rPr>
          <w:sz w:val="20"/>
          <w:szCs w:val="20"/>
        </w:rPr>
      </w:pPr>
      <w:r>
        <w:rPr>
          <w:sz w:val="20"/>
          <w:szCs w:val="20"/>
        </w:rPr>
        <w:t xml:space="preserve">We plot the </w:t>
      </w:r>
      <w:r w:rsidR="00F22245">
        <w:rPr>
          <w:sz w:val="20"/>
          <w:szCs w:val="20"/>
        </w:rPr>
        <w:t>non-param</w:t>
      </w:r>
      <w:r>
        <w:rPr>
          <w:sz w:val="20"/>
          <w:szCs w:val="20"/>
        </w:rPr>
        <w:t>etric regression fit without student-level covariates.</w:t>
      </w:r>
      <w:r w:rsidR="00774259">
        <w:rPr>
          <w:sz w:val="20"/>
          <w:szCs w:val="20"/>
        </w:rPr>
        <w:t xml:space="preserve"> For data tables, see Papay, Murnane, &amp; Willett, 2008.</w:t>
      </w:r>
    </w:p>
    <w:p w:rsidR="0045350A" w:rsidRDefault="0045350A" w:rsidP="0045350A">
      <w:pPr>
        <w:widowControl w:val="0"/>
      </w:pPr>
      <w:r>
        <w:br w:type="page"/>
      </w:r>
      <w:r w:rsidRPr="004A7AE0">
        <w:rPr>
          <w:i/>
          <w:iCs/>
        </w:rPr>
        <w:lastRenderedPageBreak/>
        <w:t xml:space="preserve">Figure </w:t>
      </w:r>
      <w:r>
        <w:rPr>
          <w:i/>
          <w:iCs/>
        </w:rPr>
        <w:t>7</w:t>
      </w:r>
      <w:r>
        <w:t xml:space="preserve">. Fitted smoothed </w:t>
      </w:r>
      <w:r w:rsidR="00F22245">
        <w:t>non-param</w:t>
      </w:r>
      <w:r>
        <w:t>etric relationship (bandwidth=8) between the probability of on-time high school graduation and 10</w:t>
      </w:r>
      <w:r w:rsidRPr="00E22F3D">
        <w:rPr>
          <w:vertAlign w:val="superscript"/>
        </w:rPr>
        <w:t>th</w:t>
      </w:r>
      <w:r>
        <w:t xml:space="preserve"> grade ELA score for low-income urban students, with the sample mean probabilities of graduation overlaid.</w:t>
      </w:r>
    </w:p>
    <w:p w:rsidR="0045350A" w:rsidRPr="007A3878" w:rsidRDefault="00451769" w:rsidP="0045350A">
      <w:pPr>
        <w:jc w:val="center"/>
      </w:pPr>
      <w:r>
        <w:rPr>
          <w:noProof/>
          <w:lang w:eastAsia="zh-CN"/>
        </w:rPr>
        <w:drawing>
          <wp:inline distT="0" distB="0" distL="0" distR="0">
            <wp:extent cx="5943600" cy="4067175"/>
            <wp:effectExtent l="19050" t="19050" r="19050" b="28575"/>
            <wp:docPr id="12" name="Picture 12" descr="Figure 7. Fitted smoothed non-parametric relationship (bandwidth=8) between the probability of on-time high school graduation and 10th grade ELA score for low-income urban students, with the sample mean probabilities of graduation overl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7. Fitted smoothed non-parametric relationship (bandwidth=8) between the probability of on-time high school graduation and 10th grade ELA score for low-income urban students, with the sample mean probabilities of graduation overlaid."/>
                    <pic:cNvPicPr>
                      <a:picLocks noChangeAspect="1" noChangeArrowheads="1"/>
                    </pic:cNvPicPr>
                  </pic:nvPicPr>
                  <pic:blipFill>
                    <a:blip r:embed="rId27" cstate="print"/>
                    <a:srcRect/>
                    <a:stretch>
                      <a:fillRect/>
                    </a:stretch>
                  </pic:blipFill>
                  <pic:spPr bwMode="auto">
                    <a:xfrm>
                      <a:off x="0" y="0"/>
                      <a:ext cx="5943600" cy="4067175"/>
                    </a:xfrm>
                    <a:prstGeom prst="rect">
                      <a:avLst/>
                    </a:prstGeom>
                    <a:noFill/>
                    <a:ln w="6350" cmpd="sng">
                      <a:solidFill>
                        <a:srgbClr val="000000"/>
                      </a:solidFill>
                      <a:miter lim="800000"/>
                      <a:headEnd/>
                      <a:tailEnd/>
                    </a:ln>
                    <a:effectLst/>
                  </pic:spPr>
                </pic:pic>
              </a:graphicData>
            </a:graphic>
          </wp:inline>
        </w:drawing>
      </w:r>
    </w:p>
    <w:p w:rsidR="0045350A" w:rsidRPr="00C95DF1" w:rsidRDefault="0045350A" w:rsidP="0045350A">
      <w:pPr>
        <w:rPr>
          <w:sz w:val="20"/>
          <w:szCs w:val="20"/>
        </w:rPr>
      </w:pPr>
      <w:r>
        <w:rPr>
          <w:sz w:val="20"/>
          <w:szCs w:val="20"/>
        </w:rPr>
        <w:t xml:space="preserve">We plot the </w:t>
      </w:r>
      <w:r w:rsidR="00F22245">
        <w:rPr>
          <w:sz w:val="20"/>
          <w:szCs w:val="20"/>
        </w:rPr>
        <w:t>non-param</w:t>
      </w:r>
      <w:r>
        <w:rPr>
          <w:sz w:val="20"/>
          <w:szCs w:val="20"/>
        </w:rPr>
        <w:t>etric regression fit without student-level covariates.</w:t>
      </w:r>
      <w:r w:rsidR="00774259">
        <w:rPr>
          <w:sz w:val="20"/>
          <w:szCs w:val="20"/>
        </w:rPr>
        <w:t xml:space="preserve"> For data tables, see Papay, Murnane, &amp; Willett, 2008.</w:t>
      </w:r>
    </w:p>
    <w:p w:rsidR="0045350A" w:rsidRPr="00466BAC" w:rsidRDefault="0045350A" w:rsidP="0045350A">
      <w:pPr>
        <w:widowControl w:val="0"/>
        <w:rPr>
          <w:sz w:val="20"/>
          <w:szCs w:val="20"/>
        </w:rPr>
      </w:pPr>
      <w:r>
        <w:br w:type="page"/>
      </w:r>
      <w:r w:rsidRPr="0065457F">
        <w:rPr>
          <w:i/>
          <w:iCs/>
        </w:rPr>
        <w:lastRenderedPageBreak/>
        <w:t xml:space="preserve">Table </w:t>
      </w:r>
      <w:r>
        <w:rPr>
          <w:i/>
          <w:iCs/>
        </w:rPr>
        <w:t>1</w:t>
      </w:r>
      <w:r>
        <w:t>.  Estimated causal impacts of failing the 10</w:t>
      </w:r>
      <w:r w:rsidRPr="00980784">
        <w:rPr>
          <w:vertAlign w:val="superscript"/>
        </w:rPr>
        <w:t>th</w:t>
      </w:r>
      <w:r>
        <w:t xml:space="preserve"> grade mathematics, 8</w:t>
      </w:r>
      <w:r w:rsidRPr="00DF7C28">
        <w:rPr>
          <w:vertAlign w:val="superscript"/>
        </w:rPr>
        <w:t>th</w:t>
      </w:r>
      <w:r>
        <w:t xml:space="preserve"> grade mathematics, and 10</w:t>
      </w:r>
      <w:r w:rsidRPr="00DF7C28">
        <w:rPr>
          <w:vertAlign w:val="superscript"/>
        </w:rPr>
        <w:t>th</w:t>
      </w:r>
      <w:r>
        <w:t xml:space="preserve"> grade ELA examinations, for different bandwidths by subgroup, with standard errors in parentheses. Results for the optimal bandwidth, h*, appear in bold.</w:t>
      </w:r>
    </w:p>
    <w:tbl>
      <w:tblPr>
        <w:tblW w:w="9468" w:type="dxa"/>
        <w:tblInd w:w="108" w:type="dxa"/>
        <w:tblLook w:val="0000" w:firstRow="0" w:lastRow="0" w:firstColumn="0" w:lastColumn="0" w:noHBand="0" w:noVBand="0"/>
      </w:tblPr>
      <w:tblGrid>
        <w:gridCol w:w="2493"/>
        <w:gridCol w:w="1143"/>
        <w:gridCol w:w="371"/>
        <w:gridCol w:w="1052"/>
        <w:gridCol w:w="371"/>
        <w:gridCol w:w="1052"/>
        <w:gridCol w:w="294"/>
        <w:gridCol w:w="1052"/>
        <w:gridCol w:w="294"/>
        <w:gridCol w:w="1052"/>
        <w:gridCol w:w="294"/>
      </w:tblGrid>
      <w:tr w:rsidR="0045350A">
        <w:trPr>
          <w:trHeight w:val="288"/>
        </w:trPr>
        <w:tc>
          <w:tcPr>
            <w:tcW w:w="9468" w:type="dxa"/>
            <w:gridSpan w:val="11"/>
            <w:tcBorders>
              <w:top w:val="double" w:sz="4" w:space="0" w:color="auto"/>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rPr>
                <w:rFonts w:ascii="Arial" w:hAnsi="Arial" w:cs="Arial"/>
                <w:b/>
                <w:sz w:val="20"/>
                <w:szCs w:val="20"/>
              </w:rPr>
            </w:pPr>
            <w:r>
              <w:rPr>
                <w:rFonts w:ascii="Arial" w:hAnsi="Arial" w:cs="Arial"/>
                <w:b/>
                <w:sz w:val="20"/>
                <w:szCs w:val="20"/>
              </w:rPr>
              <w:t>Panel I: 10</w:t>
            </w:r>
            <w:r w:rsidRPr="00DF7C28">
              <w:rPr>
                <w:rFonts w:ascii="Arial" w:hAnsi="Arial" w:cs="Arial"/>
                <w:b/>
                <w:sz w:val="20"/>
                <w:szCs w:val="20"/>
                <w:vertAlign w:val="superscript"/>
              </w:rPr>
              <w:t>th</w:t>
            </w:r>
            <w:r>
              <w:rPr>
                <w:rFonts w:ascii="Arial" w:hAnsi="Arial" w:cs="Arial"/>
                <w:b/>
                <w:sz w:val="20"/>
                <w:szCs w:val="20"/>
              </w:rPr>
              <w:t xml:space="preserve"> Grade Mathematics</w:t>
            </w:r>
          </w:p>
        </w:tc>
      </w:tr>
      <w:tr w:rsidR="0045350A">
        <w:trPr>
          <w:trHeight w:val="288"/>
        </w:trPr>
        <w:tc>
          <w:tcPr>
            <w:tcW w:w="2493"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b/>
                <w:sz w:val="20"/>
                <w:szCs w:val="20"/>
              </w:rPr>
            </w:pPr>
          </w:p>
        </w:tc>
        <w:tc>
          <w:tcPr>
            <w:tcW w:w="6975" w:type="dxa"/>
            <w:gridSpan w:val="10"/>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u w:val="single"/>
              </w:rPr>
            </w:pPr>
            <w:r w:rsidRPr="00DF7C28">
              <w:rPr>
                <w:rFonts w:ascii="Arial" w:hAnsi="Arial" w:cs="Arial"/>
                <w:b/>
                <w:sz w:val="20"/>
                <w:szCs w:val="20"/>
                <w:u w:val="single"/>
              </w:rPr>
              <w:t>Bandwidth</w:t>
            </w:r>
            <w:r>
              <w:rPr>
                <w:rFonts w:ascii="Arial" w:hAnsi="Arial" w:cs="Arial"/>
                <w:b/>
                <w:sz w:val="20"/>
                <w:szCs w:val="20"/>
                <w:u w:val="single"/>
              </w:rPr>
              <w:t xml:space="preserve"> (h)</w:t>
            </w:r>
          </w:p>
        </w:tc>
      </w:tr>
      <w:tr w:rsidR="0045350A">
        <w:trPr>
          <w:trHeight w:val="288"/>
        </w:trPr>
        <w:tc>
          <w:tcPr>
            <w:tcW w:w="2493"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Group</w:t>
            </w:r>
          </w:p>
        </w:tc>
        <w:tc>
          <w:tcPr>
            <w:tcW w:w="1514"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4</w:t>
            </w:r>
          </w:p>
        </w:tc>
        <w:tc>
          <w:tcPr>
            <w:tcW w:w="1423"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5</w:t>
            </w:r>
          </w:p>
        </w:tc>
        <w:tc>
          <w:tcPr>
            <w:tcW w:w="1346"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bCs/>
                <w:sz w:val="20"/>
                <w:szCs w:val="20"/>
              </w:rPr>
              <w:t>6</w:t>
            </w:r>
          </w:p>
        </w:tc>
        <w:tc>
          <w:tcPr>
            <w:tcW w:w="1346"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7</w:t>
            </w:r>
          </w:p>
        </w:tc>
        <w:tc>
          <w:tcPr>
            <w:tcW w:w="1346"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8</w:t>
            </w:r>
          </w:p>
        </w:tc>
      </w:tr>
      <w:tr w:rsidR="0045350A">
        <w:trPr>
          <w:trHeight w:val="288"/>
        </w:trPr>
        <w:tc>
          <w:tcPr>
            <w:tcW w:w="2493"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Urban, Low Income</w:t>
            </w:r>
          </w:p>
        </w:tc>
        <w:tc>
          <w:tcPr>
            <w:tcW w:w="1143"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0.1</w:t>
            </w:r>
            <w:r>
              <w:rPr>
                <w:rFonts w:ascii="Arial" w:hAnsi="Arial" w:cs="Arial"/>
                <w:sz w:val="20"/>
                <w:szCs w:val="20"/>
              </w:rPr>
              <w:t>31</w:t>
            </w:r>
          </w:p>
        </w:tc>
        <w:tc>
          <w:tcPr>
            <w:tcW w:w="371"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w:t>
            </w:r>
          </w:p>
        </w:tc>
        <w:tc>
          <w:tcPr>
            <w:tcW w:w="1052"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0.10</w:t>
            </w:r>
            <w:r>
              <w:rPr>
                <w:rFonts w:ascii="Arial" w:hAnsi="Arial" w:cs="Arial"/>
                <w:sz w:val="20"/>
                <w:szCs w:val="20"/>
              </w:rPr>
              <w:t>3</w:t>
            </w:r>
          </w:p>
        </w:tc>
        <w:tc>
          <w:tcPr>
            <w:tcW w:w="371"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w:t>
            </w:r>
          </w:p>
        </w:tc>
        <w:tc>
          <w:tcPr>
            <w:tcW w:w="1052"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w:t>
            </w:r>
            <w:r>
              <w:rPr>
                <w:rFonts w:ascii="Arial" w:hAnsi="Arial" w:cs="Arial"/>
                <w:b/>
                <w:bCs/>
                <w:sz w:val="20"/>
                <w:szCs w:val="20"/>
              </w:rPr>
              <w:t>80</w:t>
            </w:r>
          </w:p>
        </w:tc>
        <w:tc>
          <w:tcPr>
            <w:tcW w:w="294"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w:t>
            </w:r>
          </w:p>
        </w:tc>
        <w:tc>
          <w:tcPr>
            <w:tcW w:w="1052"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0.06</w:t>
            </w:r>
            <w:r>
              <w:rPr>
                <w:rFonts w:ascii="Arial" w:hAnsi="Arial" w:cs="Arial"/>
                <w:sz w:val="20"/>
                <w:szCs w:val="20"/>
              </w:rPr>
              <w:t>5</w:t>
            </w:r>
          </w:p>
        </w:tc>
        <w:tc>
          <w:tcPr>
            <w:tcW w:w="294"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w:t>
            </w:r>
          </w:p>
        </w:tc>
        <w:tc>
          <w:tcPr>
            <w:tcW w:w="1052"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0.05</w:t>
            </w:r>
            <w:r>
              <w:rPr>
                <w:rFonts w:ascii="Arial" w:hAnsi="Arial" w:cs="Arial"/>
                <w:sz w:val="20"/>
                <w:szCs w:val="20"/>
              </w:rPr>
              <w:t>8</w:t>
            </w:r>
          </w:p>
        </w:tc>
        <w:tc>
          <w:tcPr>
            <w:tcW w:w="294"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w:t>
            </w: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(0.041)</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(0.036)</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(0.033)</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(0.031)</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(0.029)</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Urban, Not Low Income</w:t>
            </w:r>
          </w:p>
        </w:tc>
        <w:tc>
          <w:tcPr>
            <w:tcW w:w="114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Pr>
                <w:rFonts w:ascii="Arial" w:hAnsi="Arial" w:cs="Arial"/>
                <w:sz w:val="20"/>
                <w:szCs w:val="20"/>
              </w:rPr>
              <w:t>-0.025</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Pr>
                <w:rFonts w:ascii="Arial" w:hAnsi="Arial" w:cs="Arial"/>
                <w:sz w:val="20"/>
                <w:szCs w:val="20"/>
              </w:rPr>
              <w:t>-0.024</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-0.052</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Pr>
                <w:rFonts w:ascii="Arial" w:hAnsi="Arial" w:cs="Arial"/>
                <w:sz w:val="20"/>
                <w:szCs w:val="20"/>
              </w:rPr>
              <w:t>-0.007</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-0.00</w:t>
            </w:r>
            <w:r>
              <w:rPr>
                <w:rFonts w:ascii="Arial" w:hAnsi="Arial" w:cs="Arial"/>
                <w:sz w:val="20"/>
                <w:szCs w:val="20"/>
              </w:rPr>
              <w:t>7</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(0.067)</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(0.059)</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(0.054)</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(0.050)</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(0.046)</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Suburban, Low Income</w:t>
            </w:r>
          </w:p>
        </w:tc>
        <w:tc>
          <w:tcPr>
            <w:tcW w:w="114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-0.05</w:t>
            </w:r>
            <w:r>
              <w:rPr>
                <w:rFonts w:ascii="Arial" w:hAnsi="Arial" w:cs="Arial"/>
                <w:sz w:val="20"/>
                <w:szCs w:val="20"/>
              </w:rPr>
              <w:t>0</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-0.02</w:t>
            </w:r>
            <w:r>
              <w:rPr>
                <w:rFonts w:ascii="Arial" w:hAnsi="Arial" w:cs="Arial"/>
                <w:sz w:val="20"/>
                <w:szCs w:val="20"/>
              </w:rPr>
              <w:t>2</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0.02</w:t>
            </w:r>
            <w:r>
              <w:rPr>
                <w:rFonts w:ascii="Arial" w:hAnsi="Arial" w:cs="Arial"/>
                <w:b/>
                <w:bCs/>
                <w:sz w:val="20"/>
                <w:szCs w:val="20"/>
              </w:rPr>
              <w:t>3</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0.009</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0.003</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(0.052)</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(0.045)</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(0.042)</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(0.038)</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(0.036)</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Suburban, Not Low Income</w:t>
            </w:r>
          </w:p>
        </w:tc>
        <w:tc>
          <w:tcPr>
            <w:tcW w:w="114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0.000</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-0.01</w:t>
            </w:r>
            <w:r>
              <w:rPr>
                <w:rFonts w:ascii="Arial" w:hAnsi="Arial" w:cs="Arial"/>
                <w:sz w:val="20"/>
                <w:szCs w:val="20"/>
              </w:rPr>
              <w:t>8</w:t>
            </w:r>
          </w:p>
        </w:tc>
        <w:tc>
          <w:tcPr>
            <w:tcW w:w="371"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-0.01</w:t>
            </w:r>
            <w:r>
              <w:rPr>
                <w:rFonts w:ascii="Arial" w:hAnsi="Arial" w:cs="Arial"/>
                <w:b/>
                <w:bCs/>
                <w:sz w:val="20"/>
                <w:szCs w:val="20"/>
              </w:rPr>
              <w:t>5</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-0.016</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-0.02</w:t>
            </w:r>
            <w:r>
              <w:rPr>
                <w:rFonts w:ascii="Arial" w:hAnsi="Arial" w:cs="Arial"/>
                <w:sz w:val="20"/>
                <w:szCs w:val="20"/>
              </w:rPr>
              <w:t>7</w:t>
            </w:r>
          </w:p>
        </w:tc>
        <w:tc>
          <w:tcPr>
            <w:tcW w:w="294"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(0.034)</w:t>
            </w:r>
          </w:p>
        </w:tc>
        <w:tc>
          <w:tcPr>
            <w:tcW w:w="371"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(0.030)</w:t>
            </w:r>
          </w:p>
        </w:tc>
        <w:tc>
          <w:tcPr>
            <w:tcW w:w="371"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(0.027)</w:t>
            </w:r>
          </w:p>
        </w:tc>
        <w:tc>
          <w:tcPr>
            <w:tcW w:w="294"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(0.025)</w:t>
            </w:r>
          </w:p>
        </w:tc>
        <w:tc>
          <w:tcPr>
            <w:tcW w:w="294"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052"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right"/>
              <w:rPr>
                <w:rFonts w:ascii="Arial" w:hAnsi="Arial" w:cs="Arial"/>
                <w:sz w:val="20"/>
                <w:szCs w:val="20"/>
              </w:rPr>
            </w:pPr>
            <w:r w:rsidRPr="00DF7C28">
              <w:rPr>
                <w:rFonts w:ascii="Arial" w:hAnsi="Arial" w:cs="Arial"/>
                <w:sz w:val="20"/>
                <w:szCs w:val="20"/>
              </w:rPr>
              <w:t>(0.024)</w:t>
            </w:r>
          </w:p>
        </w:tc>
        <w:tc>
          <w:tcPr>
            <w:tcW w:w="294"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r>
      <w:tr w:rsidR="0045350A">
        <w:trPr>
          <w:trHeight w:val="288"/>
        </w:trPr>
        <w:tc>
          <w:tcPr>
            <w:tcW w:w="9468" w:type="dxa"/>
            <w:gridSpan w:val="11"/>
            <w:tcBorders>
              <w:top w:val="double" w:sz="4" w:space="0" w:color="auto"/>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rPr>
                <w:rFonts w:ascii="Arial" w:hAnsi="Arial" w:cs="Arial"/>
                <w:b/>
                <w:sz w:val="20"/>
                <w:szCs w:val="20"/>
              </w:rPr>
            </w:pPr>
            <w:r>
              <w:rPr>
                <w:rFonts w:ascii="Arial" w:hAnsi="Arial" w:cs="Arial"/>
                <w:b/>
                <w:sz w:val="20"/>
                <w:szCs w:val="20"/>
              </w:rPr>
              <w:t>Panel II: 8</w:t>
            </w:r>
            <w:r w:rsidRPr="00DF7C28">
              <w:rPr>
                <w:rFonts w:ascii="Arial" w:hAnsi="Arial" w:cs="Arial"/>
                <w:b/>
                <w:sz w:val="20"/>
                <w:szCs w:val="20"/>
                <w:vertAlign w:val="superscript"/>
              </w:rPr>
              <w:t>th</w:t>
            </w:r>
            <w:r>
              <w:rPr>
                <w:rFonts w:ascii="Arial" w:hAnsi="Arial" w:cs="Arial"/>
                <w:b/>
                <w:sz w:val="20"/>
                <w:szCs w:val="20"/>
              </w:rPr>
              <w:t xml:space="preserve"> Grade Mathematics</w:t>
            </w:r>
          </w:p>
        </w:tc>
      </w:tr>
      <w:tr w:rsidR="0045350A">
        <w:trPr>
          <w:trHeight w:val="288"/>
        </w:trPr>
        <w:tc>
          <w:tcPr>
            <w:tcW w:w="2493"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b/>
                <w:sz w:val="20"/>
                <w:szCs w:val="20"/>
              </w:rPr>
            </w:pPr>
          </w:p>
        </w:tc>
        <w:tc>
          <w:tcPr>
            <w:tcW w:w="6975" w:type="dxa"/>
            <w:gridSpan w:val="10"/>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u w:val="single"/>
              </w:rPr>
            </w:pPr>
            <w:r w:rsidRPr="00DF7C28">
              <w:rPr>
                <w:rFonts w:ascii="Arial" w:hAnsi="Arial" w:cs="Arial"/>
                <w:b/>
                <w:sz w:val="20"/>
                <w:szCs w:val="20"/>
                <w:u w:val="single"/>
              </w:rPr>
              <w:t>Bandwidth</w:t>
            </w:r>
            <w:r>
              <w:rPr>
                <w:rFonts w:ascii="Arial" w:hAnsi="Arial" w:cs="Arial"/>
                <w:b/>
                <w:sz w:val="20"/>
                <w:szCs w:val="20"/>
                <w:u w:val="single"/>
              </w:rPr>
              <w:t xml:space="preserve"> (h)</w:t>
            </w:r>
          </w:p>
        </w:tc>
      </w:tr>
      <w:tr w:rsidR="0045350A">
        <w:trPr>
          <w:trHeight w:val="288"/>
        </w:trPr>
        <w:tc>
          <w:tcPr>
            <w:tcW w:w="2493"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Group</w:t>
            </w:r>
          </w:p>
        </w:tc>
        <w:tc>
          <w:tcPr>
            <w:tcW w:w="1514"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4</w:t>
            </w:r>
          </w:p>
        </w:tc>
        <w:tc>
          <w:tcPr>
            <w:tcW w:w="1423"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5</w:t>
            </w:r>
          </w:p>
        </w:tc>
        <w:tc>
          <w:tcPr>
            <w:tcW w:w="1346"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bCs/>
                <w:sz w:val="20"/>
                <w:szCs w:val="20"/>
              </w:rPr>
              <w:t>6</w:t>
            </w:r>
          </w:p>
        </w:tc>
        <w:tc>
          <w:tcPr>
            <w:tcW w:w="1346"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7</w:t>
            </w:r>
          </w:p>
        </w:tc>
        <w:tc>
          <w:tcPr>
            <w:tcW w:w="1346"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8</w:t>
            </w:r>
          </w:p>
        </w:tc>
      </w:tr>
      <w:tr w:rsidR="0045350A">
        <w:trPr>
          <w:trHeight w:val="288"/>
        </w:trPr>
        <w:tc>
          <w:tcPr>
            <w:tcW w:w="2493"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Urban, Low Income</w:t>
            </w:r>
          </w:p>
        </w:tc>
        <w:tc>
          <w:tcPr>
            <w:tcW w:w="1143"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0.03</w:t>
            </w:r>
            <w:r>
              <w:rPr>
                <w:rFonts w:ascii="Arial" w:hAnsi="Arial" w:cs="Arial"/>
                <w:sz w:val="20"/>
                <w:szCs w:val="20"/>
              </w:rPr>
              <w:t>2</w:t>
            </w:r>
          </w:p>
        </w:tc>
        <w:tc>
          <w:tcPr>
            <w:tcW w:w="371"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29</w:t>
            </w:r>
          </w:p>
        </w:tc>
        <w:tc>
          <w:tcPr>
            <w:tcW w:w="371"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0.02</w:t>
            </w:r>
            <w:r>
              <w:rPr>
                <w:rFonts w:ascii="Arial" w:hAnsi="Arial" w:cs="Arial"/>
                <w:b/>
                <w:bCs/>
                <w:sz w:val="20"/>
                <w:szCs w:val="20"/>
              </w:rPr>
              <w:t>7</w:t>
            </w:r>
          </w:p>
        </w:tc>
        <w:tc>
          <w:tcPr>
            <w:tcW w:w="294"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0.03</w:t>
            </w:r>
            <w:r>
              <w:rPr>
                <w:rFonts w:ascii="Arial" w:hAnsi="Arial" w:cs="Arial"/>
                <w:sz w:val="20"/>
                <w:szCs w:val="20"/>
              </w:rPr>
              <w:t>7</w:t>
            </w:r>
          </w:p>
        </w:tc>
        <w:tc>
          <w:tcPr>
            <w:tcW w:w="294"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r w:rsidRPr="00DF7C28">
              <w:rPr>
                <w:rFonts w:ascii="Arial" w:hAnsi="Arial" w:cs="Arial"/>
                <w:sz w:val="20"/>
                <w:szCs w:val="20"/>
              </w:rPr>
              <w:t>*</w:t>
            </w:r>
          </w:p>
        </w:tc>
        <w:tc>
          <w:tcPr>
            <w:tcW w:w="1052"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0.034</w:t>
            </w:r>
          </w:p>
        </w:tc>
        <w:tc>
          <w:tcPr>
            <w:tcW w:w="294"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r w:rsidRPr="00DF7C28">
              <w:rPr>
                <w:rFonts w:ascii="Arial" w:hAnsi="Arial" w:cs="Arial"/>
                <w:sz w:val="20"/>
                <w:szCs w:val="20"/>
              </w:rPr>
              <w:t>*</w:t>
            </w: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(0.024)</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(0.021)</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(0.019)</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(0.018)</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(0.017)</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Urban, Not Low Income</w:t>
            </w:r>
          </w:p>
        </w:tc>
        <w:tc>
          <w:tcPr>
            <w:tcW w:w="1143"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0.047</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27</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0.048</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0.02</w:t>
            </w:r>
            <w:r>
              <w:rPr>
                <w:rFonts w:ascii="Arial" w:hAnsi="Arial" w:cs="Arial"/>
                <w:sz w:val="20"/>
                <w:szCs w:val="20"/>
              </w:rPr>
              <w:t>9</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0.01</w:t>
            </w:r>
            <w:r>
              <w:rPr>
                <w:rFonts w:ascii="Arial" w:hAnsi="Arial" w:cs="Arial"/>
                <w:sz w:val="20"/>
                <w:szCs w:val="20"/>
              </w:rPr>
              <w:t>3</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(0.036)</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(0.031</w:t>
            </w:r>
            <w:r w:rsidRPr="00DF7C28">
              <w:rPr>
                <w:rFonts w:ascii="Arial" w:hAnsi="Arial" w:cs="Arial"/>
                <w:sz w:val="20"/>
                <w:szCs w:val="20"/>
              </w:rPr>
              <w:t>)</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(0.028)</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(0.026)</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(0.025)</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Suburban, Low Income</w:t>
            </w:r>
          </w:p>
        </w:tc>
        <w:tc>
          <w:tcPr>
            <w:tcW w:w="1143"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0.011</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0.01</w:t>
            </w:r>
            <w:r>
              <w:rPr>
                <w:rFonts w:ascii="Arial" w:hAnsi="Arial" w:cs="Arial"/>
                <w:sz w:val="20"/>
                <w:szCs w:val="20"/>
              </w:rPr>
              <w:t>2</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-0.00</w:t>
            </w:r>
            <w:r>
              <w:rPr>
                <w:rFonts w:ascii="Arial" w:hAnsi="Arial" w:cs="Arial"/>
                <w:b/>
                <w:bCs/>
                <w:sz w:val="20"/>
                <w:szCs w:val="20"/>
              </w:rPr>
              <w:t>2</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0.008</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0.01</w:t>
            </w:r>
            <w:r>
              <w:rPr>
                <w:rFonts w:ascii="Arial" w:hAnsi="Arial" w:cs="Arial"/>
                <w:sz w:val="20"/>
                <w:szCs w:val="20"/>
              </w:rPr>
              <w:t>4</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(0.024)</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(0.022)</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(0.020)</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(0.018)</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(0.017)</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Suburban, Not Low Income</w:t>
            </w:r>
          </w:p>
        </w:tc>
        <w:tc>
          <w:tcPr>
            <w:tcW w:w="1143"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-0.008</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-0.00</w:t>
            </w:r>
            <w:r>
              <w:rPr>
                <w:rFonts w:ascii="Arial" w:hAnsi="Arial" w:cs="Arial"/>
                <w:sz w:val="20"/>
                <w:szCs w:val="20"/>
              </w:rPr>
              <w:t>3</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-0.008</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-0.010</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-0.013</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single" w:sz="4" w:space="0" w:color="auto"/>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(0.011)</w:t>
            </w:r>
          </w:p>
        </w:tc>
        <w:tc>
          <w:tcPr>
            <w:tcW w:w="371" w:type="dxa"/>
            <w:tcBorders>
              <w:top w:val="nil"/>
              <w:left w:val="nil"/>
              <w:bottom w:val="single" w:sz="4" w:space="0" w:color="auto"/>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single" w:sz="4" w:space="0" w:color="auto"/>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(0.010)</w:t>
            </w:r>
          </w:p>
        </w:tc>
        <w:tc>
          <w:tcPr>
            <w:tcW w:w="371" w:type="dxa"/>
            <w:tcBorders>
              <w:top w:val="nil"/>
              <w:left w:val="nil"/>
              <w:bottom w:val="single" w:sz="4" w:space="0" w:color="auto"/>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single" w:sz="4" w:space="0" w:color="auto"/>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(0.009)</w:t>
            </w:r>
          </w:p>
        </w:tc>
        <w:tc>
          <w:tcPr>
            <w:tcW w:w="294" w:type="dxa"/>
            <w:tcBorders>
              <w:top w:val="nil"/>
              <w:left w:val="nil"/>
              <w:bottom w:val="single" w:sz="4" w:space="0" w:color="auto"/>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single" w:sz="4" w:space="0" w:color="auto"/>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(0.008)</w:t>
            </w:r>
          </w:p>
        </w:tc>
        <w:tc>
          <w:tcPr>
            <w:tcW w:w="294" w:type="dxa"/>
            <w:tcBorders>
              <w:top w:val="nil"/>
              <w:left w:val="nil"/>
              <w:bottom w:val="single" w:sz="4" w:space="0" w:color="auto"/>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single" w:sz="4" w:space="0" w:color="auto"/>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(0.008)</w:t>
            </w:r>
          </w:p>
        </w:tc>
        <w:tc>
          <w:tcPr>
            <w:tcW w:w="294" w:type="dxa"/>
            <w:tcBorders>
              <w:top w:val="nil"/>
              <w:left w:val="nil"/>
              <w:bottom w:val="single" w:sz="4" w:space="0" w:color="auto"/>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9468" w:type="dxa"/>
            <w:gridSpan w:val="11"/>
            <w:tcBorders>
              <w:top w:val="double" w:sz="4" w:space="0" w:color="auto"/>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rPr>
                <w:rFonts w:ascii="Arial" w:hAnsi="Arial" w:cs="Arial"/>
                <w:b/>
                <w:sz w:val="20"/>
                <w:szCs w:val="20"/>
              </w:rPr>
            </w:pPr>
            <w:r>
              <w:rPr>
                <w:rFonts w:ascii="Arial" w:hAnsi="Arial" w:cs="Arial"/>
                <w:b/>
                <w:sz w:val="20"/>
                <w:szCs w:val="20"/>
              </w:rPr>
              <w:t>Panel III: 10</w:t>
            </w:r>
            <w:r w:rsidRPr="00DF7C28">
              <w:rPr>
                <w:rFonts w:ascii="Arial" w:hAnsi="Arial" w:cs="Arial"/>
                <w:b/>
                <w:sz w:val="20"/>
                <w:szCs w:val="20"/>
                <w:vertAlign w:val="superscript"/>
              </w:rPr>
              <w:t>th</w:t>
            </w:r>
            <w:r>
              <w:rPr>
                <w:rFonts w:ascii="Arial" w:hAnsi="Arial" w:cs="Arial"/>
                <w:b/>
                <w:sz w:val="20"/>
                <w:szCs w:val="20"/>
              </w:rPr>
              <w:t xml:space="preserve"> Grade ELA</w:t>
            </w:r>
          </w:p>
        </w:tc>
      </w:tr>
      <w:tr w:rsidR="0045350A">
        <w:trPr>
          <w:trHeight w:val="288"/>
        </w:trPr>
        <w:tc>
          <w:tcPr>
            <w:tcW w:w="2493"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b/>
                <w:sz w:val="20"/>
                <w:szCs w:val="20"/>
              </w:rPr>
            </w:pPr>
          </w:p>
        </w:tc>
        <w:tc>
          <w:tcPr>
            <w:tcW w:w="6975" w:type="dxa"/>
            <w:gridSpan w:val="10"/>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u w:val="single"/>
              </w:rPr>
            </w:pPr>
            <w:r w:rsidRPr="00DF7C28">
              <w:rPr>
                <w:rFonts w:ascii="Arial" w:hAnsi="Arial" w:cs="Arial"/>
                <w:b/>
                <w:sz w:val="20"/>
                <w:szCs w:val="20"/>
                <w:u w:val="single"/>
              </w:rPr>
              <w:t>Bandwidth</w:t>
            </w:r>
            <w:r>
              <w:rPr>
                <w:rFonts w:ascii="Arial" w:hAnsi="Arial" w:cs="Arial"/>
                <w:b/>
                <w:sz w:val="20"/>
                <w:szCs w:val="20"/>
                <w:u w:val="single"/>
              </w:rPr>
              <w:t xml:space="preserve"> (h)</w:t>
            </w:r>
          </w:p>
        </w:tc>
      </w:tr>
      <w:tr w:rsidR="0045350A">
        <w:trPr>
          <w:trHeight w:val="288"/>
        </w:trPr>
        <w:tc>
          <w:tcPr>
            <w:tcW w:w="2493" w:type="dxa"/>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Group</w:t>
            </w:r>
          </w:p>
        </w:tc>
        <w:tc>
          <w:tcPr>
            <w:tcW w:w="1514"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Pr>
                <w:rFonts w:ascii="Arial" w:hAnsi="Arial" w:cs="Arial"/>
                <w:b/>
                <w:sz w:val="20"/>
                <w:szCs w:val="20"/>
              </w:rPr>
              <w:t>6</w:t>
            </w:r>
          </w:p>
        </w:tc>
        <w:tc>
          <w:tcPr>
            <w:tcW w:w="1423"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Pr>
                <w:rFonts w:ascii="Arial" w:hAnsi="Arial" w:cs="Arial"/>
                <w:b/>
                <w:sz w:val="20"/>
                <w:szCs w:val="20"/>
              </w:rPr>
              <w:t>7</w:t>
            </w:r>
          </w:p>
        </w:tc>
        <w:tc>
          <w:tcPr>
            <w:tcW w:w="1346"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sidRPr="00DF7C28">
              <w:rPr>
                <w:rFonts w:ascii="Arial" w:hAnsi="Arial" w:cs="Arial"/>
                <w:b/>
                <w:sz w:val="20"/>
                <w:szCs w:val="20"/>
              </w:rPr>
              <w:t>8</w:t>
            </w:r>
          </w:p>
        </w:tc>
        <w:tc>
          <w:tcPr>
            <w:tcW w:w="1346"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Pr>
                <w:rFonts w:ascii="Arial" w:hAnsi="Arial" w:cs="Arial"/>
                <w:b/>
                <w:sz w:val="20"/>
                <w:szCs w:val="20"/>
              </w:rPr>
              <w:t>9</w:t>
            </w:r>
          </w:p>
        </w:tc>
        <w:tc>
          <w:tcPr>
            <w:tcW w:w="1346" w:type="dxa"/>
            <w:gridSpan w:val="2"/>
            <w:tcBorders>
              <w:top w:val="nil"/>
              <w:left w:val="nil"/>
              <w:bottom w:val="single" w:sz="4" w:space="0" w:color="auto"/>
              <w:right w:val="nil"/>
            </w:tcBorders>
            <w:shd w:val="clear" w:color="auto" w:fill="auto"/>
            <w:noWrap/>
            <w:tcMar>
              <w:left w:w="14" w:type="dxa"/>
              <w:right w:w="14" w:type="dxa"/>
            </w:tcMar>
            <w:vAlign w:val="center"/>
          </w:tcPr>
          <w:p w:rsidR="0045350A" w:rsidRPr="00DF7C28" w:rsidRDefault="0045350A" w:rsidP="007B3D22">
            <w:pPr>
              <w:jc w:val="center"/>
              <w:rPr>
                <w:rFonts w:ascii="Arial" w:hAnsi="Arial" w:cs="Arial"/>
                <w:b/>
                <w:sz w:val="20"/>
                <w:szCs w:val="20"/>
              </w:rPr>
            </w:pPr>
            <w:r>
              <w:rPr>
                <w:rFonts w:ascii="Arial" w:hAnsi="Arial" w:cs="Arial"/>
                <w:b/>
                <w:sz w:val="20"/>
                <w:szCs w:val="20"/>
              </w:rPr>
              <w:t>10</w:t>
            </w:r>
          </w:p>
        </w:tc>
      </w:tr>
      <w:tr w:rsidR="0045350A">
        <w:trPr>
          <w:trHeight w:val="288"/>
        </w:trPr>
        <w:tc>
          <w:tcPr>
            <w:tcW w:w="2493" w:type="dxa"/>
            <w:tcBorders>
              <w:top w:val="single" w:sz="4" w:space="0" w:color="auto"/>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Urban, Low Income</w:t>
            </w:r>
          </w:p>
        </w:tc>
        <w:tc>
          <w:tcPr>
            <w:tcW w:w="1143"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02</w:t>
            </w:r>
          </w:p>
        </w:tc>
        <w:tc>
          <w:tcPr>
            <w:tcW w:w="371"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06</w:t>
            </w:r>
          </w:p>
        </w:tc>
        <w:tc>
          <w:tcPr>
            <w:tcW w:w="371"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w:t>
            </w:r>
            <w:r>
              <w:rPr>
                <w:rFonts w:ascii="Arial" w:hAnsi="Arial" w:cs="Arial"/>
                <w:b/>
                <w:bCs/>
                <w:sz w:val="20"/>
                <w:szCs w:val="20"/>
              </w:rPr>
              <w:t>11</w:t>
            </w:r>
          </w:p>
        </w:tc>
        <w:tc>
          <w:tcPr>
            <w:tcW w:w="294"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19</w:t>
            </w:r>
          </w:p>
        </w:tc>
        <w:tc>
          <w:tcPr>
            <w:tcW w:w="294"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10</w:t>
            </w:r>
          </w:p>
        </w:tc>
        <w:tc>
          <w:tcPr>
            <w:tcW w:w="294" w:type="dxa"/>
            <w:tcBorders>
              <w:top w:val="single" w:sz="4" w:space="0" w:color="auto"/>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(0.039</w:t>
            </w:r>
            <w:r w:rsidRPr="00DF7C28">
              <w:rPr>
                <w:rFonts w:ascii="Arial" w:hAnsi="Arial" w:cs="Arial"/>
                <w:sz w:val="20"/>
                <w:szCs w:val="20"/>
              </w:rPr>
              <w:t>)</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(0.036</w:t>
            </w:r>
            <w:r w:rsidRPr="00DF7C28">
              <w:rPr>
                <w:rFonts w:ascii="Arial" w:hAnsi="Arial" w:cs="Arial"/>
                <w:sz w:val="20"/>
                <w:szCs w:val="20"/>
              </w:rPr>
              <w:t>)</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w:t>
            </w:r>
            <w:r>
              <w:rPr>
                <w:rFonts w:ascii="Arial" w:hAnsi="Arial" w:cs="Arial"/>
                <w:b/>
                <w:bCs/>
                <w:sz w:val="20"/>
                <w:szCs w:val="20"/>
              </w:rPr>
              <w:t>34</w:t>
            </w:r>
            <w:r w:rsidRPr="00DF7C28">
              <w:rPr>
                <w:rFonts w:ascii="Arial" w:hAnsi="Arial" w:cs="Arial"/>
                <w:b/>
                <w:bCs/>
                <w:sz w:val="20"/>
                <w:szCs w:val="20"/>
              </w:rPr>
              <w:t>)</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(0.032</w:t>
            </w:r>
            <w:r w:rsidRPr="00DF7C28">
              <w:rPr>
                <w:rFonts w:ascii="Arial" w:hAnsi="Arial" w:cs="Arial"/>
                <w:sz w:val="20"/>
                <w:szCs w:val="20"/>
              </w:rPr>
              <w:t>)</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(0.030</w:t>
            </w:r>
            <w:r w:rsidRPr="00DF7C28">
              <w:rPr>
                <w:rFonts w:ascii="Arial" w:hAnsi="Arial" w:cs="Arial"/>
                <w:sz w:val="20"/>
                <w:szCs w:val="20"/>
              </w:rPr>
              <w:t>)</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Urban, Not Low Income</w:t>
            </w:r>
          </w:p>
        </w:tc>
        <w:tc>
          <w:tcPr>
            <w:tcW w:w="1143"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-0.1</w:t>
            </w:r>
            <w:r>
              <w:rPr>
                <w:rFonts w:ascii="Arial" w:hAnsi="Arial" w:cs="Arial"/>
                <w:sz w:val="20"/>
                <w:szCs w:val="20"/>
              </w:rPr>
              <w:t>21</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90</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Pr>
                <w:rFonts w:ascii="Arial" w:hAnsi="Arial" w:cs="Arial"/>
                <w:b/>
                <w:bCs/>
                <w:sz w:val="20"/>
                <w:szCs w:val="20"/>
              </w:rPr>
              <w:t>-0.052</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23</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0.02</w:t>
            </w:r>
            <w:r>
              <w:rPr>
                <w:rFonts w:ascii="Arial" w:hAnsi="Arial" w:cs="Arial"/>
                <w:sz w:val="20"/>
                <w:szCs w:val="20"/>
              </w:rPr>
              <w:t>3</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(0.076</w:t>
            </w:r>
            <w:r w:rsidRPr="00DF7C28">
              <w:rPr>
                <w:rFonts w:ascii="Arial" w:hAnsi="Arial" w:cs="Arial"/>
                <w:sz w:val="20"/>
                <w:szCs w:val="20"/>
              </w:rPr>
              <w:t>)</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(0.072</w:t>
            </w:r>
            <w:r w:rsidRPr="00DF7C28">
              <w:rPr>
                <w:rFonts w:ascii="Arial" w:hAnsi="Arial" w:cs="Arial"/>
                <w:sz w:val="20"/>
                <w:szCs w:val="20"/>
              </w:rPr>
              <w:t>)</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Pr>
                <w:rFonts w:ascii="Arial" w:hAnsi="Arial" w:cs="Arial"/>
                <w:b/>
                <w:bCs/>
                <w:sz w:val="20"/>
                <w:szCs w:val="20"/>
              </w:rPr>
              <w:t>(0.067</w:t>
            </w:r>
            <w:r w:rsidRPr="00DF7C28">
              <w:rPr>
                <w:rFonts w:ascii="Arial" w:hAnsi="Arial" w:cs="Arial"/>
                <w:b/>
                <w:bCs/>
                <w:sz w:val="20"/>
                <w:szCs w:val="20"/>
              </w:rPr>
              <w:t>)</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(0.063</w:t>
            </w:r>
            <w:r w:rsidRPr="00DF7C28">
              <w:rPr>
                <w:rFonts w:ascii="Arial" w:hAnsi="Arial" w:cs="Arial"/>
                <w:sz w:val="20"/>
                <w:szCs w:val="20"/>
              </w:rPr>
              <w:t>)</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60</w:t>
            </w:r>
            <w:r w:rsidRPr="00DF7C28">
              <w:rPr>
                <w:rFonts w:ascii="Arial" w:hAnsi="Arial" w:cs="Arial"/>
                <w:sz w:val="20"/>
                <w:szCs w:val="20"/>
              </w:rPr>
              <w:t>)</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Suburban, Low Income</w:t>
            </w:r>
          </w:p>
        </w:tc>
        <w:tc>
          <w:tcPr>
            <w:tcW w:w="1143"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w:t>
            </w:r>
            <w:r>
              <w:rPr>
                <w:rFonts w:ascii="Arial" w:hAnsi="Arial" w:cs="Arial"/>
                <w:sz w:val="20"/>
                <w:szCs w:val="20"/>
              </w:rPr>
              <w:t>0.046</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31</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w:t>
            </w:r>
            <w:r>
              <w:rPr>
                <w:rFonts w:ascii="Arial" w:hAnsi="Arial" w:cs="Arial"/>
                <w:b/>
                <w:bCs/>
                <w:sz w:val="20"/>
                <w:szCs w:val="20"/>
              </w:rPr>
              <w:t>16</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03</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0.006</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(0.052</w:t>
            </w:r>
            <w:r w:rsidRPr="00DF7C28">
              <w:rPr>
                <w:rFonts w:ascii="Arial" w:hAnsi="Arial" w:cs="Arial"/>
                <w:sz w:val="20"/>
                <w:szCs w:val="20"/>
              </w:rPr>
              <w:t>)</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(0.048</w:t>
            </w:r>
            <w:r w:rsidRPr="00DF7C28">
              <w:rPr>
                <w:rFonts w:ascii="Arial" w:hAnsi="Arial" w:cs="Arial"/>
                <w:sz w:val="20"/>
                <w:szCs w:val="20"/>
              </w:rPr>
              <w:t>)</w:t>
            </w:r>
          </w:p>
        </w:tc>
        <w:tc>
          <w:tcPr>
            <w:tcW w:w="371"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Pr>
                <w:rFonts w:ascii="Arial" w:hAnsi="Arial" w:cs="Arial"/>
                <w:b/>
                <w:bCs/>
                <w:sz w:val="20"/>
                <w:szCs w:val="20"/>
              </w:rPr>
              <w:t>(0.044</w:t>
            </w:r>
            <w:r w:rsidRPr="00DF7C28">
              <w:rPr>
                <w:rFonts w:ascii="Arial" w:hAnsi="Arial" w:cs="Arial"/>
                <w:b/>
                <w:bCs/>
                <w:sz w:val="20"/>
                <w:szCs w:val="20"/>
              </w:rPr>
              <w:t>)</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42</w:t>
            </w:r>
            <w:r w:rsidRPr="00DF7C28">
              <w:rPr>
                <w:rFonts w:ascii="Arial" w:hAnsi="Arial" w:cs="Arial"/>
                <w:sz w:val="20"/>
                <w:szCs w:val="20"/>
              </w:rPr>
              <w:t>)</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w:t>
            </w:r>
            <w:r>
              <w:rPr>
                <w:rFonts w:ascii="Arial" w:hAnsi="Arial" w:cs="Arial"/>
                <w:sz w:val="20"/>
                <w:szCs w:val="20"/>
              </w:rPr>
              <w:t>007</w:t>
            </w:r>
            <w:r w:rsidRPr="00DF7C28">
              <w:rPr>
                <w:rFonts w:ascii="Arial" w:hAnsi="Arial" w:cs="Arial"/>
                <w:sz w:val="20"/>
                <w:szCs w:val="20"/>
              </w:rPr>
              <w:t>)</w:t>
            </w:r>
          </w:p>
        </w:tc>
        <w:tc>
          <w:tcPr>
            <w:tcW w:w="294" w:type="dxa"/>
            <w:tcBorders>
              <w:top w:val="nil"/>
              <w:left w:val="nil"/>
              <w:bottom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r w:rsidRPr="00DF7C28">
              <w:rPr>
                <w:rFonts w:ascii="Arial" w:hAnsi="Arial" w:cs="Arial"/>
                <w:sz w:val="20"/>
                <w:szCs w:val="20"/>
              </w:rPr>
              <w:t>Suburban, Not Low Income</w:t>
            </w:r>
          </w:p>
        </w:tc>
        <w:tc>
          <w:tcPr>
            <w:tcW w:w="1143" w:type="dxa"/>
            <w:tcBorders>
              <w:top w:val="nil"/>
              <w:left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17</w:t>
            </w:r>
          </w:p>
        </w:tc>
        <w:tc>
          <w:tcPr>
            <w:tcW w:w="371" w:type="dxa"/>
            <w:tcBorders>
              <w:top w:val="nil"/>
              <w:left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01</w:t>
            </w:r>
          </w:p>
        </w:tc>
        <w:tc>
          <w:tcPr>
            <w:tcW w:w="371" w:type="dxa"/>
            <w:tcBorders>
              <w:top w:val="nil"/>
              <w:left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sidRPr="00DF7C28">
              <w:rPr>
                <w:rFonts w:ascii="Arial" w:hAnsi="Arial" w:cs="Arial"/>
                <w:b/>
                <w:bCs/>
                <w:sz w:val="20"/>
                <w:szCs w:val="20"/>
              </w:rPr>
              <w:t>0.0</w:t>
            </w:r>
            <w:r>
              <w:rPr>
                <w:rFonts w:ascii="Arial" w:hAnsi="Arial" w:cs="Arial"/>
                <w:b/>
                <w:bCs/>
                <w:sz w:val="20"/>
                <w:szCs w:val="20"/>
              </w:rPr>
              <w:t>22</w:t>
            </w:r>
          </w:p>
        </w:tc>
        <w:tc>
          <w:tcPr>
            <w:tcW w:w="294" w:type="dxa"/>
            <w:tcBorders>
              <w:top w:val="nil"/>
              <w:left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sidRPr="00DF7C28">
              <w:rPr>
                <w:rFonts w:ascii="Arial" w:hAnsi="Arial" w:cs="Arial"/>
                <w:sz w:val="20"/>
                <w:szCs w:val="20"/>
              </w:rPr>
              <w:t>0.0</w:t>
            </w:r>
            <w:r>
              <w:rPr>
                <w:rFonts w:ascii="Arial" w:hAnsi="Arial" w:cs="Arial"/>
                <w:sz w:val="20"/>
                <w:szCs w:val="20"/>
              </w:rPr>
              <w:t>27</w:t>
            </w:r>
          </w:p>
        </w:tc>
        <w:tc>
          <w:tcPr>
            <w:tcW w:w="294" w:type="dxa"/>
            <w:tcBorders>
              <w:top w:val="nil"/>
              <w:left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0.032</w:t>
            </w:r>
          </w:p>
        </w:tc>
        <w:tc>
          <w:tcPr>
            <w:tcW w:w="294" w:type="dxa"/>
            <w:tcBorders>
              <w:top w:val="nil"/>
              <w:left w:val="nil"/>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r w:rsidR="0045350A">
        <w:trPr>
          <w:trHeight w:val="288"/>
        </w:trPr>
        <w:tc>
          <w:tcPr>
            <w:tcW w:w="2493" w:type="dxa"/>
            <w:tcBorders>
              <w:top w:val="nil"/>
              <w:left w:val="nil"/>
              <w:bottom w:val="double" w:sz="4" w:space="0" w:color="auto"/>
              <w:right w:val="nil"/>
            </w:tcBorders>
            <w:shd w:val="clear" w:color="auto" w:fill="auto"/>
            <w:noWrap/>
            <w:tcMar>
              <w:left w:w="14" w:type="dxa"/>
              <w:right w:w="14" w:type="dxa"/>
            </w:tcMar>
            <w:vAlign w:val="center"/>
          </w:tcPr>
          <w:p w:rsidR="0045350A" w:rsidRPr="00DF7C28" w:rsidRDefault="0045350A" w:rsidP="007B3D22">
            <w:pPr>
              <w:rPr>
                <w:rFonts w:ascii="Arial" w:hAnsi="Arial" w:cs="Arial"/>
                <w:sz w:val="20"/>
                <w:szCs w:val="20"/>
              </w:rPr>
            </w:pPr>
          </w:p>
        </w:tc>
        <w:tc>
          <w:tcPr>
            <w:tcW w:w="1143" w:type="dxa"/>
            <w:tcBorders>
              <w:top w:val="nil"/>
              <w:left w:val="nil"/>
              <w:bottom w:val="double" w:sz="4" w:space="0" w:color="auto"/>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(0.038</w:t>
            </w:r>
            <w:r w:rsidRPr="00DF7C28">
              <w:rPr>
                <w:rFonts w:ascii="Arial" w:hAnsi="Arial" w:cs="Arial"/>
                <w:sz w:val="20"/>
                <w:szCs w:val="20"/>
              </w:rPr>
              <w:t>)</w:t>
            </w:r>
          </w:p>
        </w:tc>
        <w:tc>
          <w:tcPr>
            <w:tcW w:w="371" w:type="dxa"/>
            <w:tcBorders>
              <w:top w:val="nil"/>
              <w:left w:val="nil"/>
              <w:bottom w:val="double" w:sz="4" w:space="0" w:color="auto"/>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double" w:sz="4" w:space="0" w:color="auto"/>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(0.035</w:t>
            </w:r>
            <w:r w:rsidRPr="00DF7C28">
              <w:rPr>
                <w:rFonts w:ascii="Arial" w:hAnsi="Arial" w:cs="Arial"/>
                <w:sz w:val="20"/>
                <w:szCs w:val="20"/>
              </w:rPr>
              <w:t>)</w:t>
            </w:r>
          </w:p>
        </w:tc>
        <w:tc>
          <w:tcPr>
            <w:tcW w:w="371" w:type="dxa"/>
            <w:tcBorders>
              <w:top w:val="nil"/>
              <w:left w:val="nil"/>
              <w:bottom w:val="double" w:sz="4" w:space="0" w:color="auto"/>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double" w:sz="4" w:space="0" w:color="auto"/>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b/>
                <w:bCs/>
                <w:sz w:val="20"/>
                <w:szCs w:val="20"/>
              </w:rPr>
            </w:pPr>
            <w:r>
              <w:rPr>
                <w:rFonts w:ascii="Arial" w:hAnsi="Arial" w:cs="Arial"/>
                <w:b/>
                <w:bCs/>
                <w:sz w:val="20"/>
                <w:szCs w:val="20"/>
              </w:rPr>
              <w:t>(0.033</w:t>
            </w:r>
            <w:r w:rsidRPr="00DF7C28">
              <w:rPr>
                <w:rFonts w:ascii="Arial" w:hAnsi="Arial" w:cs="Arial"/>
                <w:b/>
                <w:bCs/>
                <w:sz w:val="20"/>
                <w:szCs w:val="20"/>
              </w:rPr>
              <w:t>)</w:t>
            </w:r>
          </w:p>
        </w:tc>
        <w:tc>
          <w:tcPr>
            <w:tcW w:w="294" w:type="dxa"/>
            <w:tcBorders>
              <w:top w:val="nil"/>
              <w:left w:val="nil"/>
              <w:bottom w:val="double" w:sz="4" w:space="0" w:color="auto"/>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double" w:sz="4" w:space="0" w:color="auto"/>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(0.031</w:t>
            </w:r>
            <w:r w:rsidRPr="00DF7C28">
              <w:rPr>
                <w:rFonts w:ascii="Arial" w:hAnsi="Arial" w:cs="Arial"/>
                <w:sz w:val="20"/>
                <w:szCs w:val="20"/>
              </w:rPr>
              <w:t>)</w:t>
            </w:r>
          </w:p>
        </w:tc>
        <w:tc>
          <w:tcPr>
            <w:tcW w:w="294" w:type="dxa"/>
            <w:tcBorders>
              <w:top w:val="nil"/>
              <w:left w:val="nil"/>
              <w:bottom w:val="double" w:sz="4" w:space="0" w:color="auto"/>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c>
          <w:tcPr>
            <w:tcW w:w="1052" w:type="dxa"/>
            <w:tcBorders>
              <w:top w:val="nil"/>
              <w:left w:val="nil"/>
              <w:bottom w:val="double" w:sz="4" w:space="0" w:color="auto"/>
              <w:right w:val="nil"/>
            </w:tcBorders>
            <w:shd w:val="clear" w:color="auto" w:fill="auto"/>
            <w:noWrap/>
            <w:tcMar>
              <w:left w:w="14" w:type="dxa"/>
              <w:right w:w="14" w:type="dxa"/>
            </w:tcMar>
            <w:vAlign w:val="bottom"/>
          </w:tcPr>
          <w:p w:rsidR="0045350A" w:rsidRPr="00DF7C28" w:rsidRDefault="0045350A" w:rsidP="007B3D22">
            <w:pPr>
              <w:jc w:val="right"/>
              <w:rPr>
                <w:rFonts w:ascii="Arial" w:hAnsi="Arial" w:cs="Arial"/>
                <w:sz w:val="20"/>
                <w:szCs w:val="20"/>
              </w:rPr>
            </w:pPr>
            <w:r>
              <w:rPr>
                <w:rFonts w:ascii="Arial" w:hAnsi="Arial" w:cs="Arial"/>
                <w:sz w:val="20"/>
                <w:szCs w:val="20"/>
              </w:rPr>
              <w:t>(0.030</w:t>
            </w:r>
            <w:r w:rsidRPr="00DF7C28">
              <w:rPr>
                <w:rFonts w:ascii="Arial" w:hAnsi="Arial" w:cs="Arial"/>
                <w:sz w:val="20"/>
                <w:szCs w:val="20"/>
              </w:rPr>
              <w:t>)</w:t>
            </w:r>
          </w:p>
        </w:tc>
        <w:tc>
          <w:tcPr>
            <w:tcW w:w="294" w:type="dxa"/>
            <w:tcBorders>
              <w:top w:val="nil"/>
              <w:left w:val="nil"/>
              <w:bottom w:val="double" w:sz="4" w:space="0" w:color="auto"/>
              <w:right w:val="nil"/>
            </w:tcBorders>
            <w:shd w:val="clear" w:color="auto" w:fill="auto"/>
            <w:noWrap/>
            <w:tcMar>
              <w:left w:w="14" w:type="dxa"/>
              <w:right w:w="14" w:type="dxa"/>
            </w:tcMar>
            <w:vAlign w:val="bottom"/>
          </w:tcPr>
          <w:p w:rsidR="0045350A" w:rsidRPr="00DF7C28" w:rsidRDefault="0045350A" w:rsidP="007B3D22">
            <w:pPr>
              <w:rPr>
                <w:rFonts w:ascii="Arial" w:hAnsi="Arial" w:cs="Arial"/>
                <w:sz w:val="20"/>
                <w:szCs w:val="20"/>
              </w:rPr>
            </w:pPr>
          </w:p>
        </w:tc>
      </w:tr>
    </w:tbl>
    <w:p w:rsidR="0045350A" w:rsidRPr="00CD4958" w:rsidRDefault="0045350A" w:rsidP="0045350A">
      <w:pPr>
        <w:widowControl w:val="0"/>
        <w:rPr>
          <w:sz w:val="20"/>
          <w:szCs w:val="20"/>
        </w:rPr>
      </w:pPr>
      <w:r>
        <w:rPr>
          <w:sz w:val="20"/>
          <w:szCs w:val="20"/>
        </w:rPr>
        <w:t>Notes:</w:t>
      </w:r>
      <w:r w:rsidRPr="00CD4958">
        <w:rPr>
          <w:sz w:val="20"/>
          <w:szCs w:val="20"/>
        </w:rPr>
        <w:t xml:space="preserve"> * p&lt;0.05, ** p&lt;0.01, *** p&lt;0.001. </w:t>
      </w:r>
    </w:p>
    <w:p w:rsidR="0045350A" w:rsidRDefault="0045350A" w:rsidP="0045350A">
      <w:pPr>
        <w:widowControl w:val="0"/>
        <w:spacing w:line="360" w:lineRule="auto"/>
      </w:pPr>
    </w:p>
    <w:p w:rsidR="0045350A" w:rsidRDefault="0045350A" w:rsidP="0045350A">
      <w:r>
        <w:br w:type="page"/>
      </w:r>
      <w:r w:rsidRPr="004A7AE0">
        <w:rPr>
          <w:i/>
          <w:iCs/>
        </w:rPr>
        <w:lastRenderedPageBreak/>
        <w:t xml:space="preserve">Table </w:t>
      </w:r>
      <w:r>
        <w:rPr>
          <w:i/>
          <w:iCs/>
        </w:rPr>
        <w:t>2</w:t>
      </w:r>
      <w:r>
        <w:t>. Parameter estimates, standard errors,</w:t>
      </w:r>
      <w:r w:rsidRPr="0065457F">
        <w:t xml:space="preserve"> </w:t>
      </w:r>
      <w:r>
        <w:t xml:space="preserve">and approximate </w:t>
      </w:r>
      <w:r w:rsidRPr="000832A5">
        <w:rPr>
          <w:i/>
          <w:iCs/>
        </w:rPr>
        <w:t>p</w:t>
      </w:r>
      <w:r>
        <w:t xml:space="preserve">-values at the cut score from the </w:t>
      </w:r>
      <w:r w:rsidR="00F22245">
        <w:t>non-param</w:t>
      </w:r>
      <w:r>
        <w:t>etric regression analysis of the effect of failing the 10</w:t>
      </w:r>
      <w:r w:rsidRPr="00D32241">
        <w:rPr>
          <w:vertAlign w:val="superscript"/>
        </w:rPr>
        <w:t>th</w:t>
      </w:r>
      <w:r>
        <w:t xml:space="preserve"> grade mathematics examination on three different graduation outcomes, for urban, low-income students (from the single regression centered at the cut score with bandwidth </w:t>
      </w:r>
      <w:r w:rsidRPr="009E715F">
        <w:rPr>
          <w:i/>
        </w:rPr>
        <w:t>h*</w:t>
      </w:r>
      <w:r>
        <w:t>).</w:t>
      </w:r>
      <w:r w:rsidDel="007F7B81">
        <w:t xml:space="preserve"> </w:t>
      </w:r>
      <w:r w:rsidRPr="007F7B81" w:rsidDel="007F7B81">
        <w:rPr>
          <w:rFonts w:ascii="Arial" w:hAnsi="Arial" w:cs="Arial"/>
          <w:sz w:val="20"/>
          <w:szCs w:val="20"/>
        </w:rPr>
        <w:t xml:space="preserve"> </w:t>
      </w:r>
    </w:p>
    <w:tbl>
      <w:tblPr>
        <w:tblW w:w="8914" w:type="dxa"/>
        <w:tblInd w:w="14" w:type="dxa"/>
        <w:tblLayout w:type="fixed"/>
        <w:tblLook w:val="0000" w:firstRow="0" w:lastRow="0" w:firstColumn="0" w:lastColumn="0" w:noHBand="0" w:noVBand="0"/>
      </w:tblPr>
      <w:tblGrid>
        <w:gridCol w:w="2573"/>
        <w:gridCol w:w="1481"/>
        <w:gridCol w:w="632"/>
        <w:gridCol w:w="1348"/>
        <w:gridCol w:w="766"/>
        <w:gridCol w:w="1394"/>
        <w:gridCol w:w="720"/>
      </w:tblGrid>
      <w:tr w:rsidR="0045350A" w:rsidRPr="007F7B81">
        <w:trPr>
          <w:trHeight w:val="374"/>
        </w:trPr>
        <w:tc>
          <w:tcPr>
            <w:tcW w:w="2573" w:type="dxa"/>
            <w:tcBorders>
              <w:top w:val="double" w:sz="4" w:space="0" w:color="auto"/>
              <w:bottom w:val="single" w:sz="4" w:space="0" w:color="auto"/>
              <w:right w:val="nil"/>
            </w:tcBorders>
            <w:shd w:val="clear" w:color="auto" w:fill="auto"/>
            <w:noWrap/>
            <w:vAlign w:val="center"/>
          </w:tcPr>
          <w:p w:rsidR="0045350A" w:rsidRPr="000316DE" w:rsidRDefault="0045350A" w:rsidP="007B3D22">
            <w:pPr>
              <w:rPr>
                <w:rFonts w:ascii="Arial" w:hAnsi="Arial" w:cs="Arial"/>
                <w:b/>
                <w:sz w:val="20"/>
                <w:szCs w:val="20"/>
              </w:rPr>
            </w:pPr>
            <w:r>
              <w:br w:type="page"/>
            </w:r>
            <w:r w:rsidRPr="000316DE">
              <w:rPr>
                <w:rFonts w:ascii="Arial" w:hAnsi="Arial" w:cs="Arial"/>
                <w:b/>
                <w:sz w:val="20"/>
                <w:szCs w:val="20"/>
              </w:rPr>
              <w:t>Predictor</w:t>
            </w:r>
          </w:p>
        </w:tc>
        <w:tc>
          <w:tcPr>
            <w:tcW w:w="2113" w:type="dxa"/>
            <w:gridSpan w:val="2"/>
            <w:tcBorders>
              <w:top w:val="double" w:sz="4" w:space="0" w:color="auto"/>
              <w:left w:val="nil"/>
              <w:bottom w:val="single" w:sz="4" w:space="0" w:color="auto"/>
              <w:right w:val="nil"/>
            </w:tcBorders>
            <w:shd w:val="clear" w:color="auto" w:fill="auto"/>
            <w:noWrap/>
            <w:vAlign w:val="center"/>
          </w:tcPr>
          <w:p w:rsidR="0045350A" w:rsidRPr="000316DE" w:rsidRDefault="0045350A" w:rsidP="007B3D22">
            <w:pPr>
              <w:jc w:val="center"/>
              <w:rPr>
                <w:rFonts w:ascii="Arial" w:hAnsi="Arial" w:cs="Arial"/>
                <w:b/>
                <w:sz w:val="20"/>
                <w:szCs w:val="20"/>
              </w:rPr>
            </w:pPr>
            <w:r>
              <w:rPr>
                <w:rFonts w:ascii="Arial" w:hAnsi="Arial" w:cs="Arial"/>
                <w:b/>
                <w:sz w:val="20"/>
                <w:szCs w:val="20"/>
              </w:rPr>
              <w:t>Graduated or still enrolled</w:t>
            </w:r>
          </w:p>
        </w:tc>
        <w:tc>
          <w:tcPr>
            <w:tcW w:w="2114" w:type="dxa"/>
            <w:gridSpan w:val="2"/>
            <w:tcBorders>
              <w:top w:val="double" w:sz="4" w:space="0" w:color="auto"/>
              <w:left w:val="nil"/>
              <w:bottom w:val="single" w:sz="4" w:space="0" w:color="auto"/>
              <w:right w:val="nil"/>
            </w:tcBorders>
            <w:shd w:val="clear" w:color="auto" w:fill="auto"/>
            <w:noWrap/>
            <w:vAlign w:val="center"/>
          </w:tcPr>
          <w:p w:rsidR="0045350A" w:rsidRPr="000316DE" w:rsidRDefault="0045350A" w:rsidP="007B3D22">
            <w:pPr>
              <w:jc w:val="center"/>
              <w:rPr>
                <w:rFonts w:ascii="Arial" w:hAnsi="Arial" w:cs="Arial"/>
                <w:b/>
                <w:sz w:val="20"/>
                <w:szCs w:val="20"/>
              </w:rPr>
            </w:pPr>
            <w:r>
              <w:rPr>
                <w:rFonts w:ascii="Arial" w:hAnsi="Arial" w:cs="Arial"/>
                <w:b/>
                <w:sz w:val="20"/>
                <w:szCs w:val="20"/>
              </w:rPr>
              <w:t>Dropped Out</w:t>
            </w:r>
          </w:p>
        </w:tc>
        <w:tc>
          <w:tcPr>
            <w:tcW w:w="2114" w:type="dxa"/>
            <w:gridSpan w:val="2"/>
            <w:tcBorders>
              <w:top w:val="double" w:sz="4" w:space="0" w:color="auto"/>
              <w:left w:val="nil"/>
              <w:bottom w:val="single" w:sz="4" w:space="0" w:color="auto"/>
            </w:tcBorders>
            <w:shd w:val="clear" w:color="auto" w:fill="auto"/>
            <w:noWrap/>
            <w:vAlign w:val="center"/>
          </w:tcPr>
          <w:p w:rsidR="0045350A" w:rsidRPr="000316DE" w:rsidRDefault="0045350A" w:rsidP="007B3D22">
            <w:pPr>
              <w:jc w:val="center"/>
              <w:rPr>
                <w:rFonts w:ascii="Arial" w:hAnsi="Arial" w:cs="Arial"/>
                <w:b/>
                <w:sz w:val="20"/>
                <w:szCs w:val="20"/>
              </w:rPr>
            </w:pPr>
            <w:r>
              <w:rPr>
                <w:rFonts w:ascii="Arial" w:hAnsi="Arial" w:cs="Arial"/>
                <w:b/>
                <w:sz w:val="20"/>
                <w:szCs w:val="20"/>
              </w:rPr>
              <w:t>Graduated or earned GED</w:t>
            </w: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Intercept</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0.660</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0.273</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0.607</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r>
      <w:tr w:rsidR="0045350A">
        <w:trPr>
          <w:trHeight w:val="346"/>
        </w:trPr>
        <w:tc>
          <w:tcPr>
            <w:tcW w:w="2573" w:type="dxa"/>
            <w:tcBorders>
              <w:top w:val="nil"/>
              <w:left w:val="nil"/>
              <w:bottom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(0.031)</w:t>
            </w:r>
          </w:p>
        </w:tc>
        <w:tc>
          <w:tcPr>
            <w:tcW w:w="632"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(0.027)</w:t>
            </w:r>
          </w:p>
        </w:tc>
        <w:tc>
          <w:tcPr>
            <w:tcW w:w="766"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(0.033)</w:t>
            </w:r>
          </w:p>
        </w:tc>
        <w:tc>
          <w:tcPr>
            <w:tcW w:w="720"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MATH</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0.015</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0.002</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0.025</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r>
      <w:tr w:rsidR="0045350A">
        <w:trPr>
          <w:trHeight w:val="346"/>
        </w:trPr>
        <w:tc>
          <w:tcPr>
            <w:tcW w:w="2573" w:type="dxa"/>
            <w:tcBorders>
              <w:top w:val="nil"/>
              <w:left w:val="nil"/>
              <w:bottom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(0.007)</w:t>
            </w:r>
          </w:p>
        </w:tc>
        <w:tc>
          <w:tcPr>
            <w:tcW w:w="632"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(0.006)</w:t>
            </w:r>
          </w:p>
        </w:tc>
        <w:tc>
          <w:tcPr>
            <w:tcW w:w="766"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(0.007)</w:t>
            </w:r>
          </w:p>
        </w:tc>
        <w:tc>
          <w:tcPr>
            <w:tcW w:w="720"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PASS</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0.091</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-0.072</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0.081</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r>
      <w:tr w:rsidR="0045350A">
        <w:trPr>
          <w:trHeight w:val="346"/>
        </w:trPr>
        <w:tc>
          <w:tcPr>
            <w:tcW w:w="2573" w:type="dxa"/>
            <w:tcBorders>
              <w:top w:val="nil"/>
              <w:left w:val="nil"/>
              <w:bottom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(0.030)</w:t>
            </w:r>
          </w:p>
        </w:tc>
        <w:tc>
          <w:tcPr>
            <w:tcW w:w="632"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(0.026)</w:t>
            </w:r>
          </w:p>
        </w:tc>
        <w:tc>
          <w:tcPr>
            <w:tcW w:w="766"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(0.033)</w:t>
            </w:r>
          </w:p>
        </w:tc>
        <w:tc>
          <w:tcPr>
            <w:tcW w:w="720"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PASSxMATH</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-0.024</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0.001</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-0.031</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r>
      <w:tr w:rsidR="0045350A">
        <w:trPr>
          <w:trHeight w:val="346"/>
        </w:trPr>
        <w:tc>
          <w:tcPr>
            <w:tcW w:w="2573" w:type="dxa"/>
            <w:tcBorders>
              <w:top w:val="nil"/>
              <w:left w:val="nil"/>
              <w:bottom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(0.008)</w:t>
            </w:r>
          </w:p>
        </w:tc>
        <w:tc>
          <w:tcPr>
            <w:tcW w:w="632"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(0.007)</w:t>
            </w:r>
          </w:p>
        </w:tc>
        <w:tc>
          <w:tcPr>
            <w:tcW w:w="766"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(0.009)</w:t>
            </w:r>
          </w:p>
        </w:tc>
        <w:tc>
          <w:tcPr>
            <w:tcW w:w="720"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African-American</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0.117</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-0.089</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0.059</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r>
      <w:tr w:rsidR="0045350A">
        <w:trPr>
          <w:trHeight w:val="346"/>
        </w:trPr>
        <w:tc>
          <w:tcPr>
            <w:tcW w:w="2573" w:type="dxa"/>
            <w:tcBorders>
              <w:top w:val="nil"/>
              <w:left w:val="nil"/>
              <w:bottom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(0.020)</w:t>
            </w:r>
          </w:p>
        </w:tc>
        <w:tc>
          <w:tcPr>
            <w:tcW w:w="632"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(0.017)</w:t>
            </w:r>
          </w:p>
        </w:tc>
        <w:tc>
          <w:tcPr>
            <w:tcW w:w="766"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(0.022)</w:t>
            </w:r>
          </w:p>
        </w:tc>
        <w:tc>
          <w:tcPr>
            <w:tcW w:w="720"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Asian-American</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0.081</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-0.067</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0.061</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(0.035)</w:t>
            </w:r>
          </w:p>
        </w:tc>
        <w:tc>
          <w:tcPr>
            <w:tcW w:w="632"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(0.030)</w:t>
            </w:r>
          </w:p>
        </w:tc>
        <w:tc>
          <w:tcPr>
            <w:tcW w:w="766"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(0.038)</w:t>
            </w:r>
          </w:p>
        </w:tc>
        <w:tc>
          <w:tcPr>
            <w:tcW w:w="720"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Hispanic</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0.039</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-0.054</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-0.011</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(0.021)</w:t>
            </w:r>
          </w:p>
        </w:tc>
        <w:tc>
          <w:tcPr>
            <w:tcW w:w="632"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(0.018)</w:t>
            </w:r>
          </w:p>
        </w:tc>
        <w:tc>
          <w:tcPr>
            <w:tcW w:w="766"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(0.021)</w:t>
            </w:r>
          </w:p>
        </w:tc>
        <w:tc>
          <w:tcPr>
            <w:tcW w:w="720"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Mixed/Other Race</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0.241</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-0.152</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0.204</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r>
      <w:tr w:rsidR="0045350A">
        <w:trPr>
          <w:trHeight w:val="346"/>
        </w:trPr>
        <w:tc>
          <w:tcPr>
            <w:tcW w:w="2573" w:type="dxa"/>
            <w:tcBorders>
              <w:top w:val="nil"/>
              <w:left w:val="nil"/>
              <w:bottom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(0.054)</w:t>
            </w:r>
          </w:p>
        </w:tc>
        <w:tc>
          <w:tcPr>
            <w:tcW w:w="632"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(0.044)</w:t>
            </w:r>
          </w:p>
        </w:tc>
        <w:tc>
          <w:tcPr>
            <w:tcW w:w="766"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(0.068)</w:t>
            </w:r>
          </w:p>
        </w:tc>
        <w:tc>
          <w:tcPr>
            <w:tcW w:w="720"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Native American</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-0.081</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-0.139</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-0.086</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(0.135)</w:t>
            </w:r>
          </w:p>
        </w:tc>
        <w:tc>
          <w:tcPr>
            <w:tcW w:w="632"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(0.072)</w:t>
            </w:r>
          </w:p>
        </w:tc>
        <w:tc>
          <w:tcPr>
            <w:tcW w:w="766"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(0.138)</w:t>
            </w:r>
          </w:p>
        </w:tc>
        <w:tc>
          <w:tcPr>
            <w:tcW w:w="720"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Pacific Islander</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0.145</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-0.015</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-0.208</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(0.201)</w:t>
            </w:r>
          </w:p>
        </w:tc>
        <w:tc>
          <w:tcPr>
            <w:tcW w:w="632"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(0.189)</w:t>
            </w:r>
          </w:p>
        </w:tc>
        <w:tc>
          <w:tcPr>
            <w:tcW w:w="766"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(0.261)</w:t>
            </w:r>
          </w:p>
        </w:tc>
        <w:tc>
          <w:tcPr>
            <w:tcW w:w="720"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Limited English Proficient</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0.027</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-0.020</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0.007</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(0.022)</w:t>
            </w:r>
          </w:p>
        </w:tc>
        <w:tc>
          <w:tcPr>
            <w:tcW w:w="632"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(0.018)</w:t>
            </w:r>
          </w:p>
        </w:tc>
        <w:tc>
          <w:tcPr>
            <w:tcW w:w="766"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(0.024)</w:t>
            </w:r>
          </w:p>
        </w:tc>
        <w:tc>
          <w:tcPr>
            <w:tcW w:w="720" w:type="dxa"/>
            <w:tcBorders>
              <w:top w:val="nil"/>
              <w:left w:val="nil"/>
              <w:bottom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bottom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Special Education</w:t>
            </w:r>
          </w:p>
        </w:tc>
        <w:tc>
          <w:tcPr>
            <w:tcW w:w="1481"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-0.003</w:t>
            </w:r>
          </w:p>
        </w:tc>
        <w:tc>
          <w:tcPr>
            <w:tcW w:w="632"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48"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-0.012</w:t>
            </w:r>
          </w:p>
        </w:tc>
        <w:tc>
          <w:tcPr>
            <w:tcW w:w="766"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94" w:type="dxa"/>
            <w:tcBorders>
              <w:top w:val="nil"/>
              <w:left w:val="nil"/>
              <w:bottom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-0.028</w:t>
            </w:r>
          </w:p>
        </w:tc>
        <w:tc>
          <w:tcPr>
            <w:tcW w:w="720" w:type="dxa"/>
            <w:tcBorders>
              <w:top w:val="nil"/>
              <w:left w:val="nil"/>
              <w:bottom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r>
      <w:tr w:rsidR="0045350A">
        <w:trPr>
          <w:trHeight w:val="346"/>
        </w:trPr>
        <w:tc>
          <w:tcPr>
            <w:tcW w:w="2573" w:type="dxa"/>
            <w:tcBorders>
              <w:top w:val="nil"/>
              <w:left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(0.019)</w:t>
            </w:r>
          </w:p>
        </w:tc>
        <w:tc>
          <w:tcPr>
            <w:tcW w:w="632" w:type="dxa"/>
            <w:tcBorders>
              <w:top w:val="nil"/>
              <w:left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(0.016)</w:t>
            </w:r>
          </w:p>
        </w:tc>
        <w:tc>
          <w:tcPr>
            <w:tcW w:w="766" w:type="dxa"/>
            <w:tcBorders>
              <w:top w:val="nil"/>
              <w:left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(0.020)</w:t>
            </w:r>
          </w:p>
        </w:tc>
        <w:tc>
          <w:tcPr>
            <w:tcW w:w="720" w:type="dxa"/>
            <w:tcBorders>
              <w:top w:val="nil"/>
              <w:left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Female</w:t>
            </w:r>
          </w:p>
        </w:tc>
        <w:tc>
          <w:tcPr>
            <w:tcW w:w="1481" w:type="dxa"/>
            <w:tcBorders>
              <w:top w:val="nil"/>
              <w:left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0.031</w:t>
            </w:r>
          </w:p>
        </w:tc>
        <w:tc>
          <w:tcPr>
            <w:tcW w:w="632" w:type="dxa"/>
            <w:tcBorders>
              <w:top w:val="nil"/>
              <w:left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48" w:type="dxa"/>
            <w:tcBorders>
              <w:top w:val="nil"/>
              <w:left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-0.039</w:t>
            </w:r>
          </w:p>
        </w:tc>
        <w:tc>
          <w:tcPr>
            <w:tcW w:w="766" w:type="dxa"/>
            <w:tcBorders>
              <w:top w:val="nil"/>
              <w:left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94" w:type="dxa"/>
            <w:tcBorders>
              <w:top w:val="nil"/>
              <w:left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0.073</w:t>
            </w:r>
          </w:p>
        </w:tc>
        <w:tc>
          <w:tcPr>
            <w:tcW w:w="720" w:type="dxa"/>
            <w:tcBorders>
              <w:top w:val="nil"/>
              <w:left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r>
      <w:tr w:rsidR="0045350A">
        <w:trPr>
          <w:trHeight w:val="346"/>
        </w:trPr>
        <w:tc>
          <w:tcPr>
            <w:tcW w:w="2573" w:type="dxa"/>
            <w:tcBorders>
              <w:top w:val="nil"/>
              <w:left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(0.015)</w:t>
            </w:r>
          </w:p>
        </w:tc>
        <w:tc>
          <w:tcPr>
            <w:tcW w:w="632" w:type="dxa"/>
            <w:tcBorders>
              <w:top w:val="nil"/>
              <w:left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(0.012)</w:t>
            </w:r>
          </w:p>
        </w:tc>
        <w:tc>
          <w:tcPr>
            <w:tcW w:w="766" w:type="dxa"/>
            <w:tcBorders>
              <w:top w:val="nil"/>
              <w:left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(0.016)</w:t>
            </w:r>
          </w:p>
        </w:tc>
        <w:tc>
          <w:tcPr>
            <w:tcW w:w="720" w:type="dxa"/>
            <w:tcBorders>
              <w:top w:val="nil"/>
              <w:left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46"/>
        </w:trPr>
        <w:tc>
          <w:tcPr>
            <w:tcW w:w="2573" w:type="dxa"/>
            <w:tcBorders>
              <w:top w:val="nil"/>
              <w:left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New Student</w:t>
            </w:r>
          </w:p>
        </w:tc>
        <w:tc>
          <w:tcPr>
            <w:tcW w:w="1481" w:type="dxa"/>
            <w:tcBorders>
              <w:top w:val="nil"/>
              <w:left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-0.071</w:t>
            </w:r>
          </w:p>
        </w:tc>
        <w:tc>
          <w:tcPr>
            <w:tcW w:w="632" w:type="dxa"/>
            <w:tcBorders>
              <w:top w:val="nil"/>
              <w:left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c>
          <w:tcPr>
            <w:tcW w:w="1348" w:type="dxa"/>
            <w:tcBorders>
              <w:top w:val="nil"/>
              <w:left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0.003</w:t>
            </w:r>
          </w:p>
        </w:tc>
        <w:tc>
          <w:tcPr>
            <w:tcW w:w="766" w:type="dxa"/>
            <w:tcBorders>
              <w:top w:val="nil"/>
              <w:left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p>
        </w:tc>
        <w:tc>
          <w:tcPr>
            <w:tcW w:w="1394" w:type="dxa"/>
            <w:tcBorders>
              <w:top w:val="nil"/>
              <w:left w:val="nil"/>
              <w:right w:val="nil"/>
            </w:tcBorders>
            <w:shd w:val="clear" w:color="auto" w:fill="auto"/>
            <w:noWrap/>
            <w:tcMar>
              <w:left w:w="14" w:type="dxa"/>
              <w:right w:w="14" w:type="dxa"/>
            </w:tcMar>
            <w:vAlign w:val="bottom"/>
          </w:tcPr>
          <w:p w:rsidR="0045350A" w:rsidRDefault="0045350A" w:rsidP="007B3D22">
            <w:pPr>
              <w:jc w:val="right"/>
              <w:rPr>
                <w:rFonts w:ascii="Arial" w:hAnsi="Arial" w:cs="Arial"/>
                <w:sz w:val="20"/>
                <w:szCs w:val="20"/>
              </w:rPr>
            </w:pPr>
            <w:r>
              <w:rPr>
                <w:rFonts w:ascii="Arial" w:hAnsi="Arial" w:cs="Arial"/>
                <w:sz w:val="20"/>
                <w:szCs w:val="20"/>
              </w:rPr>
              <w:t>-0.050</w:t>
            </w:r>
          </w:p>
        </w:tc>
        <w:tc>
          <w:tcPr>
            <w:tcW w:w="720" w:type="dxa"/>
            <w:tcBorders>
              <w:top w:val="nil"/>
              <w:left w:val="nil"/>
              <w:right w:val="nil"/>
            </w:tcBorders>
            <w:shd w:val="clear" w:color="auto" w:fill="auto"/>
            <w:noWrap/>
            <w:tcMar>
              <w:left w:w="14" w:type="dxa"/>
              <w:right w:w="14" w:type="dxa"/>
            </w:tcMar>
            <w:vAlign w:val="bottom"/>
          </w:tcPr>
          <w:p w:rsidR="0045350A" w:rsidRDefault="0045350A" w:rsidP="007B3D22">
            <w:pPr>
              <w:rPr>
                <w:rFonts w:ascii="Arial" w:hAnsi="Arial" w:cs="Arial"/>
                <w:sz w:val="20"/>
                <w:szCs w:val="20"/>
              </w:rPr>
            </w:pPr>
            <w:r>
              <w:rPr>
                <w:rFonts w:ascii="Arial" w:hAnsi="Arial" w:cs="Arial"/>
                <w:sz w:val="20"/>
                <w:szCs w:val="20"/>
              </w:rPr>
              <w:t>*</w:t>
            </w:r>
          </w:p>
        </w:tc>
      </w:tr>
      <w:tr w:rsidR="0045350A">
        <w:trPr>
          <w:trHeight w:val="346"/>
        </w:trPr>
        <w:tc>
          <w:tcPr>
            <w:tcW w:w="2573" w:type="dxa"/>
            <w:tcBorders>
              <w:top w:val="nil"/>
              <w:left w:val="nil"/>
              <w:right w:val="nil"/>
            </w:tcBorders>
            <w:shd w:val="clear" w:color="auto" w:fill="auto"/>
            <w:noWrap/>
          </w:tcPr>
          <w:p w:rsidR="0045350A" w:rsidRDefault="0045350A" w:rsidP="007B3D22">
            <w:pPr>
              <w:rPr>
                <w:rFonts w:ascii="Arial" w:hAnsi="Arial" w:cs="Arial"/>
                <w:sz w:val="20"/>
                <w:szCs w:val="20"/>
              </w:rPr>
            </w:pPr>
          </w:p>
        </w:tc>
        <w:tc>
          <w:tcPr>
            <w:tcW w:w="1481" w:type="dxa"/>
            <w:tcBorders>
              <w:top w:val="nil"/>
              <w:left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(0.023)</w:t>
            </w:r>
          </w:p>
        </w:tc>
        <w:tc>
          <w:tcPr>
            <w:tcW w:w="632" w:type="dxa"/>
            <w:tcBorders>
              <w:top w:val="nil"/>
              <w:left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48" w:type="dxa"/>
            <w:tcBorders>
              <w:top w:val="nil"/>
              <w:left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(0.018)</w:t>
            </w:r>
          </w:p>
        </w:tc>
        <w:tc>
          <w:tcPr>
            <w:tcW w:w="766" w:type="dxa"/>
            <w:tcBorders>
              <w:top w:val="nil"/>
              <w:left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c>
          <w:tcPr>
            <w:tcW w:w="1394" w:type="dxa"/>
            <w:tcBorders>
              <w:top w:val="nil"/>
              <w:left w:val="nil"/>
              <w:right w:val="nil"/>
            </w:tcBorders>
            <w:shd w:val="clear" w:color="auto" w:fill="auto"/>
            <w:noWrap/>
            <w:tcMar>
              <w:left w:w="14" w:type="dxa"/>
              <w:right w:w="14" w:type="dxa"/>
            </w:tcMar>
          </w:tcPr>
          <w:p w:rsidR="0045350A" w:rsidRDefault="0045350A" w:rsidP="007B3D22">
            <w:pPr>
              <w:jc w:val="right"/>
              <w:rPr>
                <w:rFonts w:ascii="Arial" w:hAnsi="Arial" w:cs="Arial"/>
                <w:sz w:val="20"/>
                <w:szCs w:val="20"/>
              </w:rPr>
            </w:pPr>
            <w:r>
              <w:rPr>
                <w:rFonts w:ascii="Arial" w:hAnsi="Arial" w:cs="Arial"/>
                <w:sz w:val="20"/>
                <w:szCs w:val="20"/>
              </w:rPr>
              <w:t>(0.024)</w:t>
            </w:r>
          </w:p>
        </w:tc>
        <w:tc>
          <w:tcPr>
            <w:tcW w:w="720" w:type="dxa"/>
            <w:tcBorders>
              <w:top w:val="nil"/>
              <w:left w:val="nil"/>
              <w:right w:val="nil"/>
            </w:tcBorders>
            <w:shd w:val="clear" w:color="auto" w:fill="auto"/>
            <w:noWrap/>
            <w:tcMar>
              <w:left w:w="14" w:type="dxa"/>
              <w:right w:w="14" w:type="dxa"/>
            </w:tcMar>
          </w:tcPr>
          <w:p w:rsidR="0045350A" w:rsidRDefault="0045350A" w:rsidP="007B3D22">
            <w:pPr>
              <w:rPr>
                <w:rFonts w:ascii="Arial" w:hAnsi="Arial" w:cs="Arial"/>
                <w:sz w:val="20"/>
                <w:szCs w:val="20"/>
              </w:rPr>
            </w:pPr>
          </w:p>
        </w:tc>
      </w:tr>
      <w:tr w:rsidR="0045350A">
        <w:trPr>
          <w:trHeight w:val="374"/>
        </w:trPr>
        <w:tc>
          <w:tcPr>
            <w:tcW w:w="2573" w:type="dxa"/>
            <w:tcBorders>
              <w:top w:val="single" w:sz="4" w:space="0" w:color="auto"/>
              <w:left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R</w:t>
            </w:r>
            <w:r w:rsidRPr="00A94DC2">
              <w:rPr>
                <w:rFonts w:ascii="Arial" w:hAnsi="Arial" w:cs="Arial"/>
                <w:sz w:val="20"/>
                <w:szCs w:val="20"/>
                <w:vertAlign w:val="superscript"/>
              </w:rPr>
              <w:t>2</w:t>
            </w:r>
          </w:p>
        </w:tc>
        <w:tc>
          <w:tcPr>
            <w:tcW w:w="2113" w:type="dxa"/>
            <w:gridSpan w:val="2"/>
            <w:tcBorders>
              <w:top w:val="single" w:sz="4" w:space="0" w:color="auto"/>
              <w:left w:val="nil"/>
              <w:right w:val="nil"/>
            </w:tcBorders>
            <w:shd w:val="clear" w:color="auto" w:fill="auto"/>
            <w:noWrap/>
            <w:vAlign w:val="center"/>
          </w:tcPr>
          <w:p w:rsidR="0045350A" w:rsidRPr="004716AF" w:rsidRDefault="0045350A" w:rsidP="007B3D22">
            <w:pPr>
              <w:jc w:val="center"/>
              <w:rPr>
                <w:rFonts w:ascii="Arial" w:hAnsi="Arial" w:cs="Arial"/>
                <w:sz w:val="20"/>
                <w:szCs w:val="20"/>
              </w:rPr>
            </w:pPr>
            <w:r w:rsidRPr="004716AF">
              <w:rPr>
                <w:rFonts w:ascii="Arial" w:hAnsi="Arial" w:cs="Arial"/>
                <w:sz w:val="20"/>
                <w:szCs w:val="20"/>
              </w:rPr>
              <w:t>0.03</w:t>
            </w:r>
            <w:r>
              <w:rPr>
                <w:rFonts w:ascii="Arial" w:hAnsi="Arial" w:cs="Arial"/>
                <w:sz w:val="20"/>
                <w:szCs w:val="20"/>
              </w:rPr>
              <w:t>6</w:t>
            </w:r>
          </w:p>
        </w:tc>
        <w:tc>
          <w:tcPr>
            <w:tcW w:w="2114" w:type="dxa"/>
            <w:gridSpan w:val="2"/>
            <w:tcBorders>
              <w:top w:val="single" w:sz="4" w:space="0" w:color="auto"/>
              <w:left w:val="nil"/>
              <w:right w:val="nil"/>
            </w:tcBorders>
            <w:shd w:val="clear" w:color="auto" w:fill="auto"/>
            <w:noWrap/>
            <w:vAlign w:val="center"/>
          </w:tcPr>
          <w:p w:rsidR="0045350A" w:rsidRPr="004716AF" w:rsidRDefault="0045350A" w:rsidP="007B3D22">
            <w:pPr>
              <w:jc w:val="center"/>
              <w:rPr>
                <w:rFonts w:ascii="Arial" w:hAnsi="Arial" w:cs="Arial"/>
                <w:sz w:val="20"/>
                <w:szCs w:val="20"/>
              </w:rPr>
            </w:pPr>
            <w:r w:rsidRPr="004716AF">
              <w:rPr>
                <w:rFonts w:ascii="Arial" w:hAnsi="Arial" w:cs="Arial"/>
                <w:sz w:val="20"/>
                <w:szCs w:val="20"/>
              </w:rPr>
              <w:t>0.01</w:t>
            </w:r>
            <w:r>
              <w:rPr>
                <w:rFonts w:ascii="Arial" w:hAnsi="Arial" w:cs="Arial"/>
                <w:sz w:val="20"/>
                <w:szCs w:val="20"/>
              </w:rPr>
              <w:t>8</w:t>
            </w:r>
          </w:p>
        </w:tc>
        <w:tc>
          <w:tcPr>
            <w:tcW w:w="2114" w:type="dxa"/>
            <w:gridSpan w:val="2"/>
            <w:tcBorders>
              <w:top w:val="single" w:sz="4" w:space="0" w:color="auto"/>
              <w:left w:val="nil"/>
              <w:right w:val="nil"/>
            </w:tcBorders>
            <w:shd w:val="clear" w:color="auto" w:fill="auto"/>
            <w:noWrap/>
            <w:vAlign w:val="center"/>
          </w:tcPr>
          <w:p w:rsidR="0045350A" w:rsidRPr="004716AF" w:rsidRDefault="0045350A" w:rsidP="007B3D22">
            <w:pPr>
              <w:jc w:val="center"/>
              <w:rPr>
                <w:rFonts w:ascii="Arial" w:hAnsi="Arial" w:cs="Arial"/>
                <w:sz w:val="20"/>
                <w:szCs w:val="20"/>
              </w:rPr>
            </w:pPr>
            <w:r w:rsidRPr="004716AF">
              <w:rPr>
                <w:rFonts w:ascii="Arial" w:hAnsi="Arial" w:cs="Arial"/>
                <w:sz w:val="20"/>
                <w:szCs w:val="20"/>
              </w:rPr>
              <w:t>0.04</w:t>
            </w:r>
            <w:r>
              <w:rPr>
                <w:rFonts w:ascii="Arial" w:hAnsi="Arial" w:cs="Arial"/>
                <w:sz w:val="20"/>
                <w:szCs w:val="20"/>
              </w:rPr>
              <w:t>5</w:t>
            </w:r>
          </w:p>
        </w:tc>
      </w:tr>
      <w:tr w:rsidR="0045350A">
        <w:trPr>
          <w:trHeight w:val="374"/>
        </w:trPr>
        <w:tc>
          <w:tcPr>
            <w:tcW w:w="2573" w:type="dxa"/>
            <w:tcBorders>
              <w:top w:val="nil"/>
              <w:left w:val="nil"/>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Bandwidth (h*)</w:t>
            </w:r>
          </w:p>
        </w:tc>
        <w:tc>
          <w:tcPr>
            <w:tcW w:w="2113" w:type="dxa"/>
            <w:gridSpan w:val="2"/>
            <w:tcBorders>
              <w:top w:val="nil"/>
              <w:left w:val="nil"/>
              <w:right w:val="nil"/>
            </w:tcBorders>
            <w:shd w:val="clear" w:color="auto" w:fill="auto"/>
            <w:noWrap/>
            <w:vAlign w:val="center"/>
          </w:tcPr>
          <w:p w:rsidR="0045350A" w:rsidRDefault="0045350A" w:rsidP="007B3D22">
            <w:pPr>
              <w:jc w:val="center"/>
              <w:rPr>
                <w:rFonts w:ascii="Arial" w:hAnsi="Arial" w:cs="Arial"/>
                <w:sz w:val="20"/>
                <w:szCs w:val="20"/>
              </w:rPr>
            </w:pPr>
            <w:r>
              <w:rPr>
                <w:rFonts w:ascii="Arial" w:hAnsi="Arial" w:cs="Arial"/>
                <w:sz w:val="20"/>
                <w:szCs w:val="20"/>
              </w:rPr>
              <w:t>6</w:t>
            </w:r>
          </w:p>
        </w:tc>
        <w:tc>
          <w:tcPr>
            <w:tcW w:w="2114" w:type="dxa"/>
            <w:gridSpan w:val="2"/>
            <w:tcBorders>
              <w:top w:val="nil"/>
              <w:left w:val="nil"/>
              <w:right w:val="nil"/>
            </w:tcBorders>
            <w:shd w:val="clear" w:color="auto" w:fill="auto"/>
            <w:noWrap/>
            <w:vAlign w:val="center"/>
          </w:tcPr>
          <w:p w:rsidR="0045350A" w:rsidRDefault="0045350A" w:rsidP="007B3D22">
            <w:pPr>
              <w:jc w:val="center"/>
              <w:rPr>
                <w:rFonts w:ascii="Arial" w:hAnsi="Arial" w:cs="Arial"/>
                <w:sz w:val="20"/>
                <w:szCs w:val="20"/>
              </w:rPr>
            </w:pPr>
            <w:r>
              <w:rPr>
                <w:rFonts w:ascii="Arial" w:hAnsi="Arial" w:cs="Arial"/>
                <w:sz w:val="20"/>
                <w:szCs w:val="20"/>
              </w:rPr>
              <w:t>6</w:t>
            </w:r>
          </w:p>
        </w:tc>
        <w:tc>
          <w:tcPr>
            <w:tcW w:w="2114" w:type="dxa"/>
            <w:gridSpan w:val="2"/>
            <w:tcBorders>
              <w:top w:val="nil"/>
              <w:left w:val="nil"/>
              <w:right w:val="nil"/>
            </w:tcBorders>
            <w:shd w:val="clear" w:color="auto" w:fill="auto"/>
            <w:noWrap/>
            <w:vAlign w:val="center"/>
          </w:tcPr>
          <w:p w:rsidR="0045350A" w:rsidRDefault="0045350A" w:rsidP="007B3D22">
            <w:pPr>
              <w:jc w:val="center"/>
              <w:rPr>
                <w:rFonts w:ascii="Arial" w:hAnsi="Arial" w:cs="Arial"/>
                <w:sz w:val="20"/>
                <w:szCs w:val="20"/>
              </w:rPr>
            </w:pPr>
            <w:r>
              <w:rPr>
                <w:rFonts w:ascii="Arial" w:hAnsi="Arial" w:cs="Arial"/>
                <w:sz w:val="20"/>
                <w:szCs w:val="20"/>
              </w:rPr>
              <w:t>6</w:t>
            </w:r>
          </w:p>
        </w:tc>
      </w:tr>
      <w:tr w:rsidR="0045350A">
        <w:trPr>
          <w:trHeight w:val="374"/>
        </w:trPr>
        <w:tc>
          <w:tcPr>
            <w:tcW w:w="2573" w:type="dxa"/>
            <w:tcBorders>
              <w:left w:val="nil"/>
              <w:bottom w:val="double" w:sz="4" w:space="0" w:color="auto"/>
              <w:right w:val="nil"/>
            </w:tcBorders>
            <w:shd w:val="clear" w:color="auto" w:fill="auto"/>
            <w:noWrap/>
            <w:vAlign w:val="center"/>
          </w:tcPr>
          <w:p w:rsidR="0045350A" w:rsidRDefault="0045350A" w:rsidP="007B3D22">
            <w:pPr>
              <w:rPr>
                <w:rFonts w:ascii="Arial" w:hAnsi="Arial" w:cs="Arial"/>
                <w:sz w:val="20"/>
                <w:szCs w:val="20"/>
              </w:rPr>
            </w:pPr>
            <w:r>
              <w:rPr>
                <w:rFonts w:ascii="Arial" w:hAnsi="Arial" w:cs="Arial"/>
                <w:sz w:val="20"/>
                <w:szCs w:val="20"/>
              </w:rPr>
              <w:t>N</w:t>
            </w:r>
          </w:p>
        </w:tc>
        <w:tc>
          <w:tcPr>
            <w:tcW w:w="2113" w:type="dxa"/>
            <w:gridSpan w:val="2"/>
            <w:tcBorders>
              <w:left w:val="nil"/>
              <w:bottom w:val="double" w:sz="4" w:space="0" w:color="auto"/>
              <w:right w:val="nil"/>
            </w:tcBorders>
            <w:shd w:val="clear" w:color="auto" w:fill="auto"/>
            <w:noWrap/>
            <w:vAlign w:val="center"/>
          </w:tcPr>
          <w:p w:rsidR="0045350A" w:rsidRPr="004716AF" w:rsidRDefault="0045350A" w:rsidP="007B3D22">
            <w:pPr>
              <w:jc w:val="center"/>
              <w:rPr>
                <w:rFonts w:ascii="Arial" w:hAnsi="Arial" w:cs="Arial"/>
                <w:sz w:val="20"/>
                <w:szCs w:val="20"/>
              </w:rPr>
            </w:pPr>
            <w:r w:rsidRPr="004716AF">
              <w:rPr>
                <w:rFonts w:ascii="Arial" w:hAnsi="Arial" w:cs="Arial"/>
                <w:sz w:val="20"/>
                <w:szCs w:val="20"/>
              </w:rPr>
              <w:t>3469</w:t>
            </w:r>
          </w:p>
        </w:tc>
        <w:tc>
          <w:tcPr>
            <w:tcW w:w="2114" w:type="dxa"/>
            <w:gridSpan w:val="2"/>
            <w:tcBorders>
              <w:left w:val="nil"/>
              <w:bottom w:val="double" w:sz="4" w:space="0" w:color="auto"/>
              <w:right w:val="nil"/>
            </w:tcBorders>
            <w:shd w:val="clear" w:color="auto" w:fill="auto"/>
            <w:noWrap/>
            <w:vAlign w:val="center"/>
          </w:tcPr>
          <w:p w:rsidR="0045350A" w:rsidRPr="004716AF" w:rsidRDefault="0045350A" w:rsidP="007B3D22">
            <w:pPr>
              <w:jc w:val="center"/>
              <w:rPr>
                <w:rFonts w:ascii="Arial" w:hAnsi="Arial" w:cs="Arial"/>
                <w:sz w:val="20"/>
                <w:szCs w:val="20"/>
              </w:rPr>
            </w:pPr>
            <w:r w:rsidRPr="004716AF">
              <w:rPr>
                <w:rFonts w:ascii="Arial" w:hAnsi="Arial" w:cs="Arial"/>
                <w:sz w:val="20"/>
                <w:szCs w:val="20"/>
              </w:rPr>
              <w:t>3469</w:t>
            </w:r>
          </w:p>
        </w:tc>
        <w:tc>
          <w:tcPr>
            <w:tcW w:w="2114" w:type="dxa"/>
            <w:gridSpan w:val="2"/>
            <w:tcBorders>
              <w:left w:val="nil"/>
              <w:bottom w:val="double" w:sz="4" w:space="0" w:color="auto"/>
              <w:right w:val="nil"/>
            </w:tcBorders>
            <w:shd w:val="clear" w:color="auto" w:fill="auto"/>
            <w:noWrap/>
            <w:vAlign w:val="center"/>
          </w:tcPr>
          <w:p w:rsidR="0045350A" w:rsidRPr="004716AF" w:rsidRDefault="0045350A" w:rsidP="007B3D22">
            <w:pPr>
              <w:jc w:val="center"/>
              <w:rPr>
                <w:rFonts w:ascii="Arial" w:hAnsi="Arial" w:cs="Arial"/>
                <w:sz w:val="20"/>
                <w:szCs w:val="20"/>
              </w:rPr>
            </w:pPr>
            <w:r w:rsidRPr="004716AF">
              <w:rPr>
                <w:rFonts w:ascii="Arial" w:hAnsi="Arial" w:cs="Arial"/>
                <w:sz w:val="20"/>
                <w:szCs w:val="20"/>
              </w:rPr>
              <w:t>3469</w:t>
            </w:r>
          </w:p>
        </w:tc>
      </w:tr>
    </w:tbl>
    <w:p w:rsidR="0045350A" w:rsidRDefault="0045350A" w:rsidP="0045350A">
      <w:pPr>
        <w:widowControl w:val="0"/>
      </w:pPr>
      <w:r>
        <w:rPr>
          <w:sz w:val="20"/>
          <w:szCs w:val="20"/>
        </w:rPr>
        <w:t>Notes:</w:t>
      </w:r>
      <w:r w:rsidRPr="00CD4958">
        <w:rPr>
          <w:sz w:val="20"/>
          <w:szCs w:val="20"/>
        </w:rPr>
        <w:t xml:space="preserve"> * p&lt;0.05, ** p&lt;0.01, *** p&lt;0.001. </w:t>
      </w:r>
    </w:p>
    <w:p w:rsidR="0006507F" w:rsidRDefault="0006507F" w:rsidP="00516638">
      <w:pPr>
        <w:widowControl w:val="0"/>
        <w:spacing w:line="360" w:lineRule="auto"/>
      </w:pPr>
    </w:p>
    <w:p w:rsidR="004E0BD5" w:rsidRDefault="004E0BD5" w:rsidP="00516638">
      <w:pPr>
        <w:widowControl w:val="0"/>
        <w:spacing w:line="360" w:lineRule="auto"/>
      </w:pPr>
    </w:p>
    <w:p w:rsidR="008E665D" w:rsidRDefault="008E665D" w:rsidP="00516638">
      <w:pPr>
        <w:widowControl w:val="0"/>
        <w:ind w:left="720" w:hanging="720"/>
        <w:jc w:val="center"/>
        <w:rPr>
          <w:b/>
        </w:rPr>
      </w:pPr>
      <w:r>
        <w:rPr>
          <w:b/>
        </w:rPr>
        <w:t>References</w:t>
      </w:r>
    </w:p>
    <w:p w:rsidR="008E665D" w:rsidRDefault="008E665D" w:rsidP="00516638">
      <w:pPr>
        <w:widowControl w:val="0"/>
        <w:ind w:left="720" w:hanging="720"/>
      </w:pPr>
    </w:p>
    <w:p w:rsidR="008E665D" w:rsidRPr="00866295" w:rsidRDefault="008E665D" w:rsidP="00774259">
      <w:pPr>
        <w:widowControl w:val="0"/>
        <w:autoSpaceDE w:val="0"/>
        <w:autoSpaceDN w:val="0"/>
        <w:adjustRightInd w:val="0"/>
        <w:ind w:left="720" w:hanging="720"/>
      </w:pPr>
      <w:r>
        <w:t>Carnoy, M. (</w:t>
      </w:r>
      <w:r w:rsidRPr="00866295">
        <w:t xml:space="preserve">2005). </w:t>
      </w:r>
      <w:r w:rsidRPr="00866295">
        <w:rPr>
          <w:bCs/>
        </w:rPr>
        <w:t xml:space="preserve">Have </w:t>
      </w:r>
      <w:r>
        <w:rPr>
          <w:bCs/>
        </w:rPr>
        <w:t>s</w:t>
      </w:r>
      <w:r w:rsidRPr="00866295">
        <w:rPr>
          <w:bCs/>
        </w:rPr>
        <w:t xml:space="preserve">tate </w:t>
      </w:r>
      <w:r>
        <w:rPr>
          <w:bCs/>
        </w:rPr>
        <w:t>a</w:t>
      </w:r>
      <w:r w:rsidRPr="00866295">
        <w:rPr>
          <w:bCs/>
        </w:rPr>
        <w:t>ccountability and</w:t>
      </w:r>
      <w:r>
        <w:rPr>
          <w:bCs/>
        </w:rPr>
        <w:t xml:space="preserve"> h</w:t>
      </w:r>
      <w:r w:rsidRPr="00866295">
        <w:rPr>
          <w:bCs/>
        </w:rPr>
        <w:t>igh-</w:t>
      </w:r>
      <w:r>
        <w:rPr>
          <w:bCs/>
        </w:rPr>
        <w:t>s</w:t>
      </w:r>
      <w:r w:rsidRPr="00866295">
        <w:rPr>
          <w:bCs/>
        </w:rPr>
        <w:t xml:space="preserve">takes </w:t>
      </w:r>
      <w:r>
        <w:rPr>
          <w:bCs/>
        </w:rPr>
        <w:t>t</w:t>
      </w:r>
      <w:r w:rsidRPr="00866295">
        <w:rPr>
          <w:bCs/>
        </w:rPr>
        <w:t xml:space="preserve">ests </w:t>
      </w:r>
      <w:r>
        <w:rPr>
          <w:bCs/>
        </w:rPr>
        <w:t>in</w:t>
      </w:r>
      <w:r w:rsidRPr="00866295">
        <w:rPr>
          <w:bCs/>
        </w:rPr>
        <w:t>fluenced</w:t>
      </w:r>
      <w:r>
        <w:rPr>
          <w:bCs/>
        </w:rPr>
        <w:t xml:space="preserve"> s</w:t>
      </w:r>
      <w:r w:rsidRPr="00866295">
        <w:rPr>
          <w:bCs/>
        </w:rPr>
        <w:t xml:space="preserve">tudent </w:t>
      </w:r>
      <w:r>
        <w:rPr>
          <w:bCs/>
        </w:rPr>
        <w:t>p</w:t>
      </w:r>
      <w:r w:rsidRPr="00866295">
        <w:rPr>
          <w:bCs/>
        </w:rPr>
        <w:t xml:space="preserve">rogression </w:t>
      </w:r>
      <w:r>
        <w:rPr>
          <w:bCs/>
        </w:rPr>
        <w:t>r</w:t>
      </w:r>
      <w:r w:rsidRPr="00866295">
        <w:rPr>
          <w:bCs/>
        </w:rPr>
        <w:t>ates in</w:t>
      </w:r>
      <w:r>
        <w:rPr>
          <w:bCs/>
        </w:rPr>
        <w:t xml:space="preserve"> h</w:t>
      </w:r>
      <w:r w:rsidRPr="00866295">
        <w:rPr>
          <w:bCs/>
        </w:rPr>
        <w:t xml:space="preserve">igh </w:t>
      </w:r>
      <w:r>
        <w:rPr>
          <w:bCs/>
        </w:rPr>
        <w:t>s</w:t>
      </w:r>
      <w:r w:rsidRPr="00866295">
        <w:rPr>
          <w:bCs/>
        </w:rPr>
        <w:t>chool?</w:t>
      </w:r>
      <w:r>
        <w:rPr>
          <w:bCs/>
        </w:rPr>
        <w:t xml:space="preserve"> </w:t>
      </w:r>
      <w:r>
        <w:rPr>
          <w:bCs/>
          <w:i/>
        </w:rPr>
        <w:t>Educational Measurement: Issues and Practice</w:t>
      </w:r>
      <w:r>
        <w:rPr>
          <w:bCs/>
        </w:rPr>
        <w:t>. Winter, 19-31.</w:t>
      </w:r>
    </w:p>
    <w:p w:rsidR="008E665D" w:rsidRDefault="008E665D" w:rsidP="00774259">
      <w:pPr>
        <w:widowControl w:val="0"/>
        <w:ind w:left="720" w:hanging="720"/>
      </w:pPr>
    </w:p>
    <w:p w:rsidR="008E665D" w:rsidRDefault="008E665D" w:rsidP="00774259">
      <w:pPr>
        <w:widowControl w:val="0"/>
        <w:autoSpaceDE w:val="0"/>
        <w:autoSpaceDN w:val="0"/>
        <w:adjustRightInd w:val="0"/>
        <w:ind w:left="720" w:hanging="720"/>
        <w:rPr>
          <w:sz w:val="20"/>
          <w:szCs w:val="20"/>
        </w:rPr>
      </w:pPr>
      <w:r>
        <w:t>Carnoy, M. &amp; Loeb, S. (2002</w:t>
      </w:r>
      <w:r w:rsidRPr="009C018D">
        <w:t xml:space="preserve">). </w:t>
      </w:r>
      <w:r>
        <w:rPr>
          <w:bCs/>
        </w:rPr>
        <w:t>Does e</w:t>
      </w:r>
      <w:r w:rsidRPr="009C018D">
        <w:rPr>
          <w:bCs/>
        </w:rPr>
        <w:t xml:space="preserve">xternal </w:t>
      </w:r>
      <w:r>
        <w:rPr>
          <w:bCs/>
        </w:rPr>
        <w:t>a</w:t>
      </w:r>
      <w:r w:rsidRPr="009C018D">
        <w:rPr>
          <w:bCs/>
        </w:rPr>
        <w:t xml:space="preserve">ccountability </w:t>
      </w:r>
      <w:r>
        <w:rPr>
          <w:bCs/>
        </w:rPr>
        <w:t>a</w:t>
      </w:r>
      <w:r w:rsidRPr="009C018D">
        <w:rPr>
          <w:bCs/>
        </w:rPr>
        <w:t xml:space="preserve">ffect </w:t>
      </w:r>
      <w:r>
        <w:rPr>
          <w:bCs/>
        </w:rPr>
        <w:t>s</w:t>
      </w:r>
      <w:r w:rsidRPr="009C018D">
        <w:rPr>
          <w:bCs/>
        </w:rPr>
        <w:t xml:space="preserve">tudent </w:t>
      </w:r>
      <w:r>
        <w:rPr>
          <w:bCs/>
        </w:rPr>
        <w:t>o</w:t>
      </w:r>
      <w:r w:rsidRPr="009C018D">
        <w:rPr>
          <w:bCs/>
        </w:rPr>
        <w:t xml:space="preserve">utcomes? A </w:t>
      </w:r>
      <w:r>
        <w:rPr>
          <w:bCs/>
        </w:rPr>
        <w:t>c</w:t>
      </w:r>
      <w:r w:rsidRPr="009C018D">
        <w:rPr>
          <w:bCs/>
        </w:rPr>
        <w:t>ross-</w:t>
      </w:r>
      <w:r>
        <w:rPr>
          <w:bCs/>
        </w:rPr>
        <w:t>s</w:t>
      </w:r>
      <w:r w:rsidRPr="009C018D">
        <w:rPr>
          <w:bCs/>
        </w:rPr>
        <w:t xml:space="preserve">tate </w:t>
      </w:r>
      <w:r>
        <w:rPr>
          <w:bCs/>
        </w:rPr>
        <w:t>a</w:t>
      </w:r>
      <w:r w:rsidRPr="009C018D">
        <w:rPr>
          <w:bCs/>
        </w:rPr>
        <w:t>nalysis</w:t>
      </w:r>
      <w:r w:rsidRPr="009C018D">
        <w:rPr>
          <w:sz w:val="20"/>
          <w:szCs w:val="20"/>
        </w:rPr>
        <w:t xml:space="preserve">. </w:t>
      </w:r>
      <w:r w:rsidRPr="009C018D">
        <w:rPr>
          <w:i/>
          <w:iCs/>
        </w:rPr>
        <w:t xml:space="preserve">Educational </w:t>
      </w:r>
      <w:r>
        <w:rPr>
          <w:i/>
          <w:iCs/>
        </w:rPr>
        <w:t>Evaluation and Policy Analysis</w:t>
      </w:r>
      <w:r>
        <w:t xml:space="preserve">, </w:t>
      </w:r>
      <w:r w:rsidRPr="009C018D">
        <w:rPr>
          <w:i/>
        </w:rPr>
        <w:t>24</w:t>
      </w:r>
      <w:r>
        <w:t>(4), 305-331.</w:t>
      </w:r>
    </w:p>
    <w:p w:rsidR="008E665D" w:rsidRDefault="008E665D" w:rsidP="00774259">
      <w:pPr>
        <w:widowControl w:val="0"/>
        <w:ind w:left="720" w:hanging="720"/>
      </w:pPr>
    </w:p>
    <w:p w:rsidR="008E665D" w:rsidRDefault="008E665D" w:rsidP="00774259">
      <w:pPr>
        <w:widowControl w:val="0"/>
        <w:ind w:left="720" w:hanging="720"/>
      </w:pPr>
      <w:r>
        <w:t>Center on Education Policy. (2007).</w:t>
      </w:r>
      <w:r w:rsidRPr="009C018D">
        <w:rPr>
          <w:i/>
        </w:rPr>
        <w:t xml:space="preserve"> “It’s different now”: How exit </w:t>
      </w:r>
      <w:r w:rsidR="00BC0EB7">
        <w:rPr>
          <w:i/>
        </w:rPr>
        <w:t xml:space="preserve">examinations </w:t>
      </w:r>
      <w:r w:rsidRPr="009C018D">
        <w:rPr>
          <w:i/>
        </w:rPr>
        <w:t>are affecting teaching and learning in Jackson and Austin.</w:t>
      </w:r>
      <w:r>
        <w:t xml:space="preserve"> Retrieved April 30, 2007, from </w:t>
      </w:r>
      <w:hyperlink r:id="rId28" w:history="1">
        <w:r w:rsidRPr="007079FC">
          <w:rPr>
            <w:rStyle w:val="Hyperlink"/>
          </w:rPr>
          <w:t>http://www.cep-dc.org/highschoolexit/JacksonAustin/Jackson&amp;Austin.pdf</w:t>
        </w:r>
      </w:hyperlink>
    </w:p>
    <w:p w:rsidR="008E665D" w:rsidRDefault="008E665D" w:rsidP="00774259">
      <w:pPr>
        <w:widowControl w:val="0"/>
        <w:ind w:left="720" w:hanging="720"/>
      </w:pPr>
    </w:p>
    <w:p w:rsidR="008E665D" w:rsidRDefault="008E665D" w:rsidP="00774259">
      <w:pPr>
        <w:widowControl w:val="0"/>
        <w:ind w:left="720" w:hanging="720"/>
      </w:pPr>
      <w:r>
        <w:t xml:space="preserve">Clarke, M., Haney, W. &amp; Madaus, G. (2000). High stakes testing and high school completion. </w:t>
      </w:r>
      <w:r>
        <w:rPr>
          <w:i/>
        </w:rPr>
        <w:t>National Board on Educational Testing and Public Policy Statement, 1</w:t>
      </w:r>
      <w:r>
        <w:t xml:space="preserve">(3). Retrieved April 30, 2007, from </w:t>
      </w:r>
      <w:hyperlink r:id="rId29" w:history="1">
        <w:r w:rsidRPr="000A1622">
          <w:rPr>
            <w:rStyle w:val="Hyperlink"/>
          </w:rPr>
          <w:t>http://www.bc.edu/research/nbetpp/publications/v1n3.html</w:t>
        </w:r>
      </w:hyperlink>
      <w:r>
        <w:t>.</w:t>
      </w:r>
    </w:p>
    <w:p w:rsidR="008E665D" w:rsidRDefault="008E665D" w:rsidP="00774259">
      <w:pPr>
        <w:widowControl w:val="0"/>
        <w:ind w:left="720" w:hanging="720"/>
      </w:pPr>
    </w:p>
    <w:p w:rsidR="008E665D" w:rsidRPr="00C60C97" w:rsidRDefault="008E665D" w:rsidP="00774259">
      <w:pPr>
        <w:widowControl w:val="0"/>
        <w:autoSpaceDE w:val="0"/>
        <w:autoSpaceDN w:val="0"/>
        <w:adjustRightInd w:val="0"/>
        <w:ind w:left="720" w:hanging="720"/>
      </w:pPr>
      <w:r w:rsidRPr="00C60C97">
        <w:t xml:space="preserve">Cornell, D.G., Krosnik, J.A. &amp; Chang, L. (2006). </w:t>
      </w:r>
      <w:r w:rsidRPr="00C60C97">
        <w:rPr>
          <w:bCs/>
        </w:rPr>
        <w:t xml:space="preserve">Student reactions to being wrongly informed of failing a high-stakes test: The case of the Minnesota Basic Standards test. </w:t>
      </w:r>
      <w:r w:rsidRPr="00C60C97">
        <w:rPr>
          <w:i/>
          <w:iCs/>
        </w:rPr>
        <w:t>Educational Policy, 20</w:t>
      </w:r>
      <w:r w:rsidRPr="00C60C97">
        <w:rPr>
          <w:iCs/>
        </w:rPr>
        <w:t>(5), 718-751.</w:t>
      </w:r>
    </w:p>
    <w:p w:rsidR="008E665D" w:rsidRPr="00C60C97" w:rsidRDefault="008E665D" w:rsidP="00774259">
      <w:pPr>
        <w:widowControl w:val="0"/>
        <w:ind w:left="720" w:hanging="720"/>
      </w:pPr>
    </w:p>
    <w:p w:rsidR="00867B94" w:rsidRDefault="00E11B7E" w:rsidP="00774259">
      <w:pPr>
        <w:widowControl w:val="0"/>
        <w:ind w:left="720" w:hanging="720"/>
      </w:pPr>
      <w:r>
        <w:t>Dee, T.</w:t>
      </w:r>
      <w:r w:rsidR="00867B94">
        <w:t>S. &amp; Jacob, B.A. (2006). Do high school exit exams influence educational attainment or labor market performance?</w:t>
      </w:r>
      <w:r>
        <w:t xml:space="preserve"> </w:t>
      </w:r>
      <w:smartTag w:uri="urn:schemas-microsoft-com:office:smarttags" w:element="place">
        <w:smartTag w:uri="urn:schemas-microsoft-com:office:smarttags" w:element="City">
          <w:r w:rsidR="00867B94">
            <w:t>Cambridge</w:t>
          </w:r>
        </w:smartTag>
        <w:r w:rsidR="00867B94">
          <w:t xml:space="preserve">, </w:t>
        </w:r>
        <w:smartTag w:uri="urn:schemas-microsoft-com:office:smarttags" w:element="State">
          <w:r w:rsidR="00867B94">
            <w:t>MA</w:t>
          </w:r>
        </w:smartTag>
      </w:smartTag>
      <w:r w:rsidR="00867B94">
        <w:t xml:space="preserve">: NBER Working Paper 12199. Retrieved October 28, 2007, from </w:t>
      </w:r>
      <w:hyperlink r:id="rId30" w:history="1">
        <w:r w:rsidR="00867B94" w:rsidRPr="00A65889">
          <w:rPr>
            <w:rStyle w:val="Hyperlink"/>
          </w:rPr>
          <w:t>http://www.nber.org/papers/w12199</w:t>
        </w:r>
      </w:hyperlink>
      <w:r w:rsidR="00867B94">
        <w:t xml:space="preserve">. </w:t>
      </w:r>
    </w:p>
    <w:p w:rsidR="00E11B7E" w:rsidRDefault="00E11B7E" w:rsidP="00774259">
      <w:pPr>
        <w:widowControl w:val="0"/>
        <w:ind w:left="720" w:hanging="720"/>
      </w:pPr>
    </w:p>
    <w:p w:rsidR="008E665D" w:rsidRPr="00BE51C8" w:rsidRDefault="008E665D" w:rsidP="00774259">
      <w:pPr>
        <w:widowControl w:val="0"/>
        <w:ind w:left="720" w:hanging="720"/>
      </w:pPr>
      <w:r>
        <w:t xml:space="preserve">Evers, W.M., &amp; Walberg, H.J., eds. (2002). </w:t>
      </w:r>
      <w:r w:rsidR="00A70DBD">
        <w:rPr>
          <w:i/>
        </w:rPr>
        <w:t>School a</w:t>
      </w:r>
      <w:r>
        <w:rPr>
          <w:i/>
        </w:rPr>
        <w:t>ccountability</w:t>
      </w:r>
      <w:r>
        <w:t xml:space="preserve">. </w:t>
      </w:r>
      <w:smartTag w:uri="urn:schemas-microsoft-com:office:smarttags" w:element="City">
        <w:r>
          <w:t>Stanford</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City">
          <w:r>
            <w:t>Hoover</w:t>
          </w:r>
        </w:smartTag>
      </w:smartTag>
      <w:r>
        <w:t xml:space="preserve"> Institution Press.</w:t>
      </w:r>
    </w:p>
    <w:p w:rsidR="008E665D" w:rsidRPr="004019AF" w:rsidRDefault="008E665D" w:rsidP="00774259">
      <w:pPr>
        <w:widowControl w:val="0"/>
        <w:ind w:left="720" w:hanging="720"/>
      </w:pPr>
    </w:p>
    <w:p w:rsidR="00867B94" w:rsidRPr="00867B94" w:rsidRDefault="00867B94" w:rsidP="00774259">
      <w:pPr>
        <w:ind w:left="720" w:hanging="720"/>
      </w:pPr>
      <w:r>
        <w:t xml:space="preserve">Fan, J. (1992). Design-adaptive nonparametric regression. </w:t>
      </w:r>
      <w:r>
        <w:rPr>
          <w:i/>
        </w:rPr>
        <w:t>Journal of the American Statistical Association, 87</w:t>
      </w:r>
      <w:r>
        <w:t>(420): 998-1004.</w:t>
      </w:r>
    </w:p>
    <w:p w:rsidR="00867B94" w:rsidRDefault="00867B94" w:rsidP="00774259">
      <w:pPr>
        <w:ind w:left="720" w:hanging="720"/>
      </w:pPr>
    </w:p>
    <w:p w:rsidR="00087D91" w:rsidRDefault="00087D91" w:rsidP="00774259">
      <w:pPr>
        <w:ind w:left="720" w:hanging="720"/>
      </w:pPr>
      <w:r>
        <w:t xml:space="preserve">Finn, C.E., Julian, L., &amp; Petrilli, M.J. (2006). </w:t>
      </w:r>
      <w:r w:rsidRPr="00FC6B36">
        <w:rPr>
          <w:i/>
        </w:rPr>
        <w:t>The state of state standards.</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The Fordham Foundation. Retrieved March 26, 2008 from </w:t>
      </w:r>
      <w:hyperlink r:id="rId31" w:history="1">
        <w:r w:rsidRPr="00E83466">
          <w:rPr>
            <w:rStyle w:val="Hyperlink"/>
          </w:rPr>
          <w:t>http://www.edexcellence.net/foundation/publication/publication.cfm?id=358</w:t>
        </w:r>
      </w:hyperlink>
      <w:r>
        <w:t>.</w:t>
      </w:r>
    </w:p>
    <w:p w:rsidR="00087D91" w:rsidRDefault="00087D91" w:rsidP="00774259"/>
    <w:p w:rsidR="008E665D" w:rsidRPr="004019AF" w:rsidRDefault="008E665D" w:rsidP="00774259">
      <w:pPr>
        <w:widowControl w:val="0"/>
        <w:autoSpaceDE w:val="0"/>
        <w:autoSpaceDN w:val="0"/>
        <w:adjustRightInd w:val="0"/>
        <w:ind w:left="720" w:hanging="720"/>
      </w:pPr>
      <w:r w:rsidRPr="004019AF">
        <w:t xml:space="preserve">Greene, J.P. &amp; Winters, M.A. (2004). </w:t>
      </w:r>
      <w:r w:rsidRPr="004019AF">
        <w:rPr>
          <w:i/>
        </w:rPr>
        <w:t xml:space="preserve">Education working paper: Pushed out or pulled up? Exit </w:t>
      </w:r>
      <w:r w:rsidR="00BC0EB7">
        <w:rPr>
          <w:i/>
        </w:rPr>
        <w:t xml:space="preserve">examinations </w:t>
      </w:r>
      <w:r w:rsidRPr="004019AF">
        <w:rPr>
          <w:i/>
        </w:rPr>
        <w:t xml:space="preserve">and dropout rates in public high schools. </w:t>
      </w:r>
      <w:smartTag w:uri="urn:schemas-microsoft-com:office:smarttags" w:element="place">
        <w:smartTag w:uri="urn:schemas-microsoft-com:office:smarttags" w:element="State">
          <w:r>
            <w:t>New York</w:t>
          </w:r>
        </w:smartTag>
      </w:smartTag>
      <w:r>
        <w:t>: Center for Civic Innovation at the Manhattan Institute for Policy Research.</w:t>
      </w:r>
    </w:p>
    <w:p w:rsidR="008E665D" w:rsidRPr="004019AF" w:rsidRDefault="008E665D" w:rsidP="00774259">
      <w:pPr>
        <w:widowControl w:val="0"/>
        <w:ind w:left="720" w:hanging="720"/>
      </w:pPr>
    </w:p>
    <w:p w:rsidR="008E665D" w:rsidRDefault="008E665D" w:rsidP="00774259">
      <w:pPr>
        <w:widowControl w:val="0"/>
        <w:autoSpaceDE w:val="0"/>
        <w:autoSpaceDN w:val="0"/>
        <w:adjustRightInd w:val="0"/>
        <w:ind w:left="720" w:hanging="720"/>
        <w:rPr>
          <w:sz w:val="20"/>
          <w:szCs w:val="20"/>
        </w:rPr>
      </w:pPr>
      <w:smartTag w:uri="urn:schemas-microsoft-com:office:smarttags" w:element="place">
        <w:smartTag w:uri="urn:schemas-microsoft-com:office:smarttags" w:element="City">
          <w:r w:rsidRPr="004019AF">
            <w:t>Griffin</w:t>
          </w:r>
        </w:smartTag>
      </w:smartTag>
      <w:r>
        <w:t>, B.W.</w:t>
      </w:r>
      <w:r w:rsidRPr="004019AF">
        <w:t xml:space="preserve"> &amp; Heidorn, M.H. (1996). </w:t>
      </w:r>
      <w:r w:rsidRPr="004019AF">
        <w:rPr>
          <w:bCs/>
        </w:rPr>
        <w:t xml:space="preserve">An examination of the relationship between minimum competency test performance and dropping out of high school. </w:t>
      </w:r>
      <w:r w:rsidRPr="004019AF">
        <w:rPr>
          <w:i/>
          <w:iCs/>
        </w:rPr>
        <w:t>Educational Evaluation and Policy Analysis</w:t>
      </w:r>
      <w:r w:rsidRPr="004019AF">
        <w:t>, 18(3), 243-252</w:t>
      </w:r>
      <w:r>
        <w:t>.</w:t>
      </w:r>
    </w:p>
    <w:p w:rsidR="008E665D" w:rsidRDefault="008E665D" w:rsidP="00774259">
      <w:pPr>
        <w:widowControl w:val="0"/>
        <w:ind w:left="720" w:hanging="720"/>
      </w:pPr>
    </w:p>
    <w:p w:rsidR="00867B94" w:rsidRPr="00867B94" w:rsidRDefault="00867B94" w:rsidP="00774259">
      <w:pPr>
        <w:widowControl w:val="0"/>
        <w:autoSpaceDE w:val="0"/>
        <w:autoSpaceDN w:val="0"/>
        <w:adjustRightInd w:val="0"/>
        <w:ind w:left="720" w:hanging="720"/>
      </w:pPr>
      <w:r>
        <w:t xml:space="preserve">Hahn, J., Todd, P., &amp; Van der Klaauw, W. (2001). Identification and estimation of treatment effects with a regression-discontinuity design. </w:t>
      </w:r>
      <w:r>
        <w:rPr>
          <w:i/>
        </w:rPr>
        <w:t>Econometrica, 69</w:t>
      </w:r>
      <w:r>
        <w:t>(1): 201-209.</w:t>
      </w:r>
    </w:p>
    <w:p w:rsidR="00867B94" w:rsidRDefault="00867B94" w:rsidP="00774259">
      <w:pPr>
        <w:widowControl w:val="0"/>
        <w:autoSpaceDE w:val="0"/>
        <w:autoSpaceDN w:val="0"/>
        <w:adjustRightInd w:val="0"/>
        <w:ind w:left="720" w:hanging="720"/>
      </w:pPr>
    </w:p>
    <w:p w:rsidR="00774259" w:rsidRDefault="00774259" w:rsidP="00774259">
      <w:pPr>
        <w:widowControl w:val="0"/>
        <w:autoSpaceDE w:val="0"/>
        <w:autoSpaceDN w:val="0"/>
        <w:adjustRightInd w:val="0"/>
        <w:ind w:left="720" w:hanging="720"/>
      </w:pPr>
      <w:r>
        <w:t xml:space="preserve">Hanushek, E.A., </w:t>
      </w:r>
      <w:r w:rsidR="003F0678">
        <w:t>&amp;</w:t>
      </w:r>
      <w:r>
        <w:t xml:space="preserve"> Rivkin</w:t>
      </w:r>
      <w:r w:rsidR="003F0678">
        <w:t>, S.G.</w:t>
      </w:r>
      <w:r>
        <w:t xml:space="preserve">.  </w:t>
      </w:r>
      <w:r w:rsidR="003F0678">
        <w:t>(</w:t>
      </w:r>
      <w:r>
        <w:t>2006</w:t>
      </w:r>
      <w:r w:rsidR="003F0678">
        <w:t>)</w:t>
      </w:r>
      <w:r>
        <w:t xml:space="preserve">. School </w:t>
      </w:r>
      <w:r w:rsidR="003F0678">
        <w:t>q</w:t>
      </w:r>
      <w:r>
        <w:t xml:space="preserve">uality and the </w:t>
      </w:r>
      <w:r w:rsidR="003F0678">
        <w:t>b</w:t>
      </w:r>
      <w:r>
        <w:t>lack-</w:t>
      </w:r>
      <w:r w:rsidR="003F0678">
        <w:t>w</w:t>
      </w:r>
      <w:r>
        <w:t xml:space="preserve">hite </w:t>
      </w:r>
      <w:r w:rsidR="003F0678">
        <w:t>a</w:t>
      </w:r>
      <w:r>
        <w:t xml:space="preserve">chievement </w:t>
      </w:r>
      <w:r w:rsidR="003F0678">
        <w:t>g</w:t>
      </w:r>
      <w:r>
        <w:t xml:space="preserve">ap.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NBER Working Paper 12651. Retrieved </w:t>
      </w:r>
      <w:smartTag w:uri="urn:schemas-microsoft-com:office:smarttags" w:element="date">
        <w:smartTagPr>
          <w:attr w:name="Year" w:val="2008"/>
          <w:attr w:name="Day" w:val="26"/>
          <w:attr w:name="Month" w:val="6"/>
        </w:smartTagPr>
        <w:r>
          <w:t>June 26, 2008</w:t>
        </w:r>
      </w:smartTag>
      <w:r>
        <w:t xml:space="preserve">, from </w:t>
      </w:r>
      <w:hyperlink r:id="rId32" w:history="1">
        <w:r w:rsidRPr="0044234F">
          <w:rPr>
            <w:rStyle w:val="Hyperlink"/>
          </w:rPr>
          <w:t>http://www.nber.org/papers/w12651</w:t>
        </w:r>
      </w:hyperlink>
      <w:r>
        <w:t xml:space="preserve">. </w:t>
      </w:r>
    </w:p>
    <w:p w:rsidR="00774259" w:rsidRPr="00471CCD" w:rsidRDefault="00774259" w:rsidP="00774259">
      <w:pPr>
        <w:widowControl w:val="0"/>
        <w:autoSpaceDE w:val="0"/>
        <w:autoSpaceDN w:val="0"/>
        <w:adjustRightInd w:val="0"/>
        <w:ind w:left="720" w:hanging="720"/>
      </w:pPr>
    </w:p>
    <w:p w:rsidR="008E665D" w:rsidRDefault="008E665D" w:rsidP="00774259">
      <w:pPr>
        <w:widowControl w:val="0"/>
        <w:ind w:left="720" w:hanging="720"/>
      </w:pPr>
      <w:r>
        <w:t xml:space="preserve">Heubert, J.P. &amp; Hauser, R.M., eds. (1999). </w:t>
      </w:r>
      <w:r w:rsidRPr="004019AF">
        <w:rPr>
          <w:i/>
        </w:rPr>
        <w:t>High stakes: Testing for tracking, promotion, and graduation</w:t>
      </w:r>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lace">
        <w:smartTag w:uri="urn:schemas-microsoft-com:office:smarttags" w:element="PlaceName">
          <w:r>
            <w:t>National</w:t>
          </w:r>
        </w:smartTag>
        <w:r>
          <w:t xml:space="preserve"> </w:t>
        </w:r>
        <w:smartTag w:uri="urn:schemas-microsoft-com:office:smarttags" w:element="PlaceType">
          <w:r>
            <w:t>Academy</w:t>
          </w:r>
        </w:smartTag>
      </w:smartTag>
      <w:r>
        <w:t xml:space="preserve"> Press, 1999.</w:t>
      </w:r>
    </w:p>
    <w:p w:rsidR="008E665D" w:rsidRDefault="008E665D" w:rsidP="00774259">
      <w:pPr>
        <w:widowControl w:val="0"/>
        <w:ind w:left="720" w:hanging="720"/>
      </w:pPr>
    </w:p>
    <w:p w:rsidR="00143E7A" w:rsidRDefault="00143E7A" w:rsidP="00774259">
      <w:pPr>
        <w:widowControl w:val="0"/>
        <w:ind w:left="720" w:hanging="720"/>
      </w:pPr>
      <w:r>
        <w:t xml:space="preserve">Imbens, G. &amp; Lemieux, T. (2007). Regression discontinuity designs: A guide to practice.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NBER Working Paper 13039. Retrieved October 28, 2007, from </w:t>
      </w:r>
      <w:hyperlink r:id="rId33" w:history="1">
        <w:r w:rsidRPr="006E21E0">
          <w:rPr>
            <w:rStyle w:val="Hyperlink"/>
          </w:rPr>
          <w:t>http://www.nber.org/papers/w13039</w:t>
        </w:r>
      </w:hyperlink>
      <w:r>
        <w:t xml:space="preserve">. </w:t>
      </w:r>
    </w:p>
    <w:p w:rsidR="00143E7A" w:rsidRDefault="00143E7A" w:rsidP="00774259">
      <w:pPr>
        <w:widowControl w:val="0"/>
        <w:ind w:left="720" w:hanging="720"/>
      </w:pPr>
    </w:p>
    <w:p w:rsidR="00C6772A" w:rsidRDefault="00C6772A" w:rsidP="00774259">
      <w:pPr>
        <w:autoSpaceDE w:val="0"/>
        <w:autoSpaceDN w:val="0"/>
        <w:adjustRightInd w:val="0"/>
        <w:ind w:left="720" w:hanging="720"/>
        <w:rPr>
          <w:sz w:val="20"/>
          <w:szCs w:val="20"/>
        </w:rPr>
      </w:pPr>
      <w:r>
        <w:rPr>
          <w:bCs/>
        </w:rPr>
        <w:t xml:space="preserve">Jacob, B.A. (2001). </w:t>
      </w:r>
      <w:r w:rsidRPr="00C6772A">
        <w:rPr>
          <w:bCs/>
        </w:rPr>
        <w:t xml:space="preserve">Getting </w:t>
      </w:r>
      <w:r>
        <w:rPr>
          <w:bCs/>
        </w:rPr>
        <w:t>t</w:t>
      </w:r>
      <w:r w:rsidRPr="00C6772A">
        <w:rPr>
          <w:bCs/>
        </w:rPr>
        <w:t xml:space="preserve">ough? The </w:t>
      </w:r>
      <w:r>
        <w:rPr>
          <w:bCs/>
        </w:rPr>
        <w:t>i</w:t>
      </w:r>
      <w:r w:rsidRPr="00C6772A">
        <w:rPr>
          <w:bCs/>
        </w:rPr>
        <w:t xml:space="preserve">mpact of </w:t>
      </w:r>
      <w:r>
        <w:rPr>
          <w:bCs/>
        </w:rPr>
        <w:t>h</w:t>
      </w:r>
      <w:r w:rsidRPr="00C6772A">
        <w:rPr>
          <w:bCs/>
        </w:rPr>
        <w:t xml:space="preserve">igh </w:t>
      </w:r>
      <w:r>
        <w:rPr>
          <w:bCs/>
        </w:rPr>
        <w:t>s</w:t>
      </w:r>
      <w:r w:rsidRPr="00C6772A">
        <w:rPr>
          <w:bCs/>
        </w:rPr>
        <w:t xml:space="preserve">chool </w:t>
      </w:r>
      <w:r>
        <w:rPr>
          <w:bCs/>
        </w:rPr>
        <w:t>g</w:t>
      </w:r>
      <w:r w:rsidRPr="00C6772A">
        <w:rPr>
          <w:bCs/>
        </w:rPr>
        <w:t xml:space="preserve">raduation </w:t>
      </w:r>
      <w:r>
        <w:rPr>
          <w:bCs/>
        </w:rPr>
        <w:t>e</w:t>
      </w:r>
      <w:r w:rsidRPr="00C6772A">
        <w:rPr>
          <w:bCs/>
        </w:rPr>
        <w:t>xams</w:t>
      </w:r>
      <w:r>
        <w:rPr>
          <w:bCs/>
        </w:rPr>
        <w:t xml:space="preserve">. </w:t>
      </w:r>
      <w:r>
        <w:rPr>
          <w:i/>
          <w:iCs/>
        </w:rPr>
        <w:t>Educational Evaluation and Policy Analysis</w:t>
      </w:r>
      <w:r w:rsidRPr="00C6772A">
        <w:rPr>
          <w:i/>
        </w:rPr>
        <w:t>, 23</w:t>
      </w:r>
      <w:r>
        <w:t>(2), 99-121.</w:t>
      </w:r>
    </w:p>
    <w:p w:rsidR="005D582F" w:rsidRDefault="005D582F" w:rsidP="00774259">
      <w:pPr>
        <w:widowControl w:val="0"/>
        <w:ind w:left="720" w:hanging="720"/>
      </w:pPr>
    </w:p>
    <w:p w:rsidR="008E665D" w:rsidRDefault="008E665D" w:rsidP="00774259">
      <w:pPr>
        <w:widowControl w:val="0"/>
        <w:ind w:left="720" w:hanging="720"/>
      </w:pPr>
      <w:r>
        <w:t xml:space="preserve">Jones, M.G., Jones, B.D., &amp; Hargrove, T.Y. (2003). </w:t>
      </w:r>
      <w:r w:rsidRPr="003679F4">
        <w:rPr>
          <w:i/>
        </w:rPr>
        <w:t>The unintended consequences of high-stakes testing</w:t>
      </w:r>
      <w:r>
        <w:t xml:space="preserve">. </w:t>
      </w:r>
      <w:smartTag w:uri="urn:schemas-microsoft-com:office:smarttags" w:element="place">
        <w:smartTag w:uri="urn:schemas-microsoft-com:office:smarttags" w:element="City">
          <w:r>
            <w:t>Lanham</w:t>
          </w:r>
        </w:smartTag>
        <w:r>
          <w:t xml:space="preserve">, </w:t>
        </w:r>
        <w:smartTag w:uri="urn:schemas-microsoft-com:office:smarttags" w:element="State">
          <w:r>
            <w:t>MD</w:t>
          </w:r>
        </w:smartTag>
      </w:smartTag>
      <w:r>
        <w:t xml:space="preserve">: Rowman &amp; Littlefield Publishers, Inc. </w:t>
      </w:r>
    </w:p>
    <w:p w:rsidR="008E665D" w:rsidRDefault="008E665D" w:rsidP="00774259">
      <w:pPr>
        <w:widowControl w:val="0"/>
        <w:ind w:left="720" w:hanging="720"/>
      </w:pPr>
    </w:p>
    <w:p w:rsidR="006205B3" w:rsidRPr="006205B3" w:rsidRDefault="006205B3" w:rsidP="00774259">
      <w:pPr>
        <w:widowControl w:val="0"/>
        <w:ind w:left="720" w:hanging="720"/>
      </w:pPr>
      <w:r>
        <w:t xml:space="preserve">Levy, F. &amp; Murnane, R. (2004). </w:t>
      </w:r>
      <w:r>
        <w:rPr>
          <w:i/>
        </w:rPr>
        <w:t xml:space="preserve">The new division of labor: How computers are creating the next job market. </w:t>
      </w:r>
      <w:r w:rsidRPr="006205B3">
        <w:t xml:space="preserve"> </w:t>
      </w:r>
      <w:smartTag w:uri="urn:schemas-microsoft-com:office:smarttags" w:element="City">
        <w:r>
          <w:t>Princeton</w:t>
        </w:r>
      </w:smartTag>
      <w:r>
        <w:t xml:space="preserve">, </w:t>
      </w:r>
      <w:smartTag w:uri="urn:schemas-microsoft-com:office:smarttags" w:element="State">
        <w:r>
          <w:t>N.J</w:t>
        </w:r>
        <w:r w:rsidR="009B6BD2">
          <w:t>.</w:t>
        </w:r>
      </w:smartTag>
      <w:r>
        <w:t>: </w:t>
      </w:r>
      <w:smartTag w:uri="urn:schemas-microsoft-com:office:smarttags" w:element="PlaceName">
        <w:r>
          <w:t>Princeton</w:t>
        </w:r>
      </w:smartTag>
      <w:r>
        <w:t xml:space="preserve"> </w:t>
      </w:r>
      <w:smartTag w:uri="urn:schemas-microsoft-com:office:smarttags" w:element="PlaceType">
        <w:r>
          <w:t>University</w:t>
        </w:r>
      </w:smartTag>
      <w:r>
        <w:t xml:space="preserve"> Press; </w:t>
      </w:r>
      <w:smartTag w:uri="urn:schemas-microsoft-com:office:smarttags" w:element="place">
        <w:smartTag w:uri="urn:schemas-microsoft-com:office:smarttags" w:element="State">
          <w:r>
            <w:rPr>
              <w:rStyle w:val="text3"/>
            </w:rPr>
            <w:t>New</w:t>
          </w:r>
          <w:r>
            <w:t xml:space="preserve"> York</w:t>
          </w:r>
        </w:smartTag>
      </w:smartTag>
      <w:r>
        <w:t xml:space="preserve">: Russell Sage Foundation. </w:t>
      </w:r>
    </w:p>
    <w:p w:rsidR="00867B94" w:rsidRDefault="00867B94" w:rsidP="00774259">
      <w:pPr>
        <w:widowControl w:val="0"/>
        <w:ind w:left="720" w:hanging="720"/>
      </w:pPr>
    </w:p>
    <w:p w:rsidR="00774259" w:rsidRDefault="00774259" w:rsidP="00774259">
      <w:pPr>
        <w:widowControl w:val="0"/>
        <w:ind w:left="720" w:hanging="720"/>
        <w:rPr>
          <w:iCs/>
        </w:rPr>
      </w:pPr>
      <w:r>
        <w:t xml:space="preserve">Lleras-Muney, A. </w:t>
      </w:r>
      <w:r w:rsidR="003F0678">
        <w:t>(</w:t>
      </w:r>
      <w:r>
        <w:t>2004</w:t>
      </w:r>
      <w:r w:rsidR="003F0678">
        <w:t>)</w:t>
      </w:r>
      <w:r>
        <w:t xml:space="preserve">. The </w:t>
      </w:r>
      <w:r w:rsidR="003F0678">
        <w:t>r</w:t>
      </w:r>
      <w:r>
        <w:t xml:space="preserve">elationship </w:t>
      </w:r>
      <w:r w:rsidR="003F0678">
        <w:t>b</w:t>
      </w:r>
      <w:r>
        <w:t xml:space="preserve">etween </w:t>
      </w:r>
      <w:r w:rsidR="003F0678">
        <w:t>e</w:t>
      </w:r>
      <w:r>
        <w:t xml:space="preserve">ducation and </w:t>
      </w:r>
      <w:r w:rsidR="003F0678">
        <w:t>a</w:t>
      </w:r>
      <w:r>
        <w:t xml:space="preserve">dult </w:t>
      </w:r>
      <w:r w:rsidR="003F0678">
        <w:t>m</w:t>
      </w:r>
      <w:r>
        <w:t xml:space="preserve">ortality in the </w:t>
      </w:r>
      <w:smartTag w:uri="urn:schemas-microsoft-com:office:smarttags" w:element="place">
        <w:smartTag w:uri="urn:schemas-microsoft-com:office:smarttags" w:element="country-region">
          <w:r>
            <w:t>United States</w:t>
          </w:r>
        </w:smartTag>
      </w:smartTag>
      <w:r>
        <w:t xml:space="preserve">. </w:t>
      </w:r>
      <w:r>
        <w:rPr>
          <w:i/>
          <w:iCs/>
        </w:rPr>
        <w:t xml:space="preserve">Review of Economic Studies, </w:t>
      </w:r>
      <w:r w:rsidRPr="00506C1C">
        <w:rPr>
          <w:iCs/>
        </w:rPr>
        <w:t>72</w:t>
      </w:r>
      <w:r>
        <w:rPr>
          <w:iCs/>
        </w:rPr>
        <w:t>(1).</w:t>
      </w:r>
    </w:p>
    <w:p w:rsidR="00774259" w:rsidRPr="00D933EB" w:rsidRDefault="00774259" w:rsidP="00774259">
      <w:pPr>
        <w:widowControl w:val="0"/>
        <w:ind w:left="720" w:hanging="720"/>
      </w:pPr>
    </w:p>
    <w:p w:rsidR="00774259" w:rsidRDefault="00774259" w:rsidP="00774259">
      <w:pPr>
        <w:widowControl w:val="0"/>
        <w:ind w:left="720" w:hanging="720"/>
      </w:pPr>
      <w:r>
        <w:t xml:space="preserve">Lochner, L., </w:t>
      </w:r>
      <w:r w:rsidR="003F0678">
        <w:t>&amp;</w:t>
      </w:r>
      <w:r>
        <w:t xml:space="preserve"> Moretti</w:t>
      </w:r>
      <w:r w:rsidR="003F0678">
        <w:t>, E.</w:t>
      </w:r>
      <w:r>
        <w:t xml:space="preserve"> </w:t>
      </w:r>
      <w:r w:rsidR="003F0678">
        <w:t>(</w:t>
      </w:r>
      <w:r>
        <w:t>2004</w:t>
      </w:r>
      <w:r w:rsidR="003F0678">
        <w:t>)</w:t>
      </w:r>
      <w:r>
        <w:t xml:space="preserve">. The </w:t>
      </w:r>
      <w:r w:rsidR="003F0678">
        <w:t>e</w:t>
      </w:r>
      <w:r>
        <w:t xml:space="preserve">ffect of </w:t>
      </w:r>
      <w:r w:rsidR="003F0678">
        <w:t>e</w:t>
      </w:r>
      <w:r>
        <w:t xml:space="preserve">ducation on </w:t>
      </w:r>
      <w:r w:rsidR="003F0678">
        <w:t>c</w:t>
      </w:r>
      <w:r>
        <w:t xml:space="preserve">rime: Evidence from </w:t>
      </w:r>
      <w:r w:rsidR="003F0678">
        <w:t>p</w:t>
      </w:r>
      <w:r>
        <w:t xml:space="preserve">rison </w:t>
      </w:r>
      <w:r w:rsidR="003F0678">
        <w:t>i</w:t>
      </w:r>
      <w:r>
        <w:t xml:space="preserve">nmates, </w:t>
      </w:r>
      <w:r w:rsidR="003F0678">
        <w:t>a</w:t>
      </w:r>
      <w:r>
        <w:t xml:space="preserve">rrests, and </w:t>
      </w:r>
      <w:r w:rsidR="003F0678">
        <w:t>s</w:t>
      </w:r>
      <w:r>
        <w:t xml:space="preserve">elf-reports. </w:t>
      </w:r>
      <w:r>
        <w:rPr>
          <w:i/>
        </w:rPr>
        <w:t xml:space="preserve">American Economic Review, </w:t>
      </w:r>
      <w:r w:rsidRPr="00506C1C">
        <w:t>94</w:t>
      </w:r>
      <w:r>
        <w:t>(1), 155-189.</w:t>
      </w:r>
    </w:p>
    <w:p w:rsidR="00774259" w:rsidRDefault="00774259" w:rsidP="00774259">
      <w:pPr>
        <w:widowControl w:val="0"/>
        <w:ind w:left="720" w:hanging="720"/>
      </w:pPr>
    </w:p>
    <w:p w:rsidR="002A572B" w:rsidRPr="00140F85" w:rsidRDefault="002A572B" w:rsidP="00774259">
      <w:pPr>
        <w:widowControl w:val="0"/>
        <w:ind w:left="720" w:hanging="720"/>
      </w:pPr>
      <w:r w:rsidRPr="00140F85">
        <w:t>Martorell, F. (2005). Does failing a high school graduation exam matter? Unpublished working paper: Author.</w:t>
      </w:r>
    </w:p>
    <w:p w:rsidR="002A572B" w:rsidRPr="00140F85" w:rsidRDefault="002A572B" w:rsidP="00774259">
      <w:pPr>
        <w:widowControl w:val="0"/>
        <w:ind w:left="720" w:hanging="720"/>
      </w:pPr>
    </w:p>
    <w:p w:rsidR="008E665D" w:rsidRDefault="008E665D" w:rsidP="00774259">
      <w:pPr>
        <w:widowControl w:val="0"/>
        <w:ind w:left="720" w:hanging="720"/>
      </w:pPr>
      <w:r>
        <w:t xml:space="preserve">Massachusetts Department of Education. (2002). </w:t>
      </w:r>
      <w:r w:rsidR="00A70DBD">
        <w:rPr>
          <w:i/>
        </w:rPr>
        <w:t>2001 MCAS t</w:t>
      </w:r>
      <w:r w:rsidRPr="00F6693D">
        <w:rPr>
          <w:i/>
        </w:rPr>
        <w:t xml:space="preserve">echnical </w:t>
      </w:r>
      <w:r w:rsidR="00A70DBD">
        <w:rPr>
          <w:i/>
        </w:rPr>
        <w:t>r</w:t>
      </w:r>
      <w:r w:rsidRPr="00F6693D">
        <w:rPr>
          <w:i/>
        </w:rPr>
        <w:t>eport.</w:t>
      </w:r>
      <w:r>
        <w:t xml:space="preserve"> Retrieved April 30, 2007, from </w:t>
      </w:r>
      <w:hyperlink r:id="rId34" w:history="1">
        <w:r w:rsidRPr="004B2968">
          <w:rPr>
            <w:rStyle w:val="Hyperlink"/>
          </w:rPr>
          <w:t>http://www.doe.mass.edu/mcas/2002/news/01techrpt.pdf</w:t>
        </w:r>
      </w:hyperlink>
      <w:r>
        <w:t>.</w:t>
      </w:r>
    </w:p>
    <w:p w:rsidR="008E665D" w:rsidRDefault="008E665D" w:rsidP="00774259">
      <w:pPr>
        <w:widowControl w:val="0"/>
        <w:ind w:left="720" w:hanging="720"/>
      </w:pPr>
    </w:p>
    <w:p w:rsidR="008E665D" w:rsidRDefault="008E665D" w:rsidP="00774259">
      <w:pPr>
        <w:widowControl w:val="0"/>
        <w:ind w:left="720" w:hanging="720"/>
      </w:pPr>
      <w:r>
        <w:t xml:space="preserve">Massachusetts Department of Education. (2005). </w:t>
      </w:r>
      <w:r w:rsidRPr="00F6693D">
        <w:rPr>
          <w:i/>
        </w:rPr>
        <w:t>200</w:t>
      </w:r>
      <w:r>
        <w:rPr>
          <w:i/>
        </w:rPr>
        <w:t>4</w:t>
      </w:r>
      <w:r w:rsidRPr="00F6693D">
        <w:rPr>
          <w:i/>
        </w:rPr>
        <w:t xml:space="preserve"> MCAS </w:t>
      </w:r>
      <w:r w:rsidR="00A70DBD">
        <w:rPr>
          <w:i/>
        </w:rPr>
        <w:t>t</w:t>
      </w:r>
      <w:r w:rsidRPr="00F6693D">
        <w:rPr>
          <w:i/>
        </w:rPr>
        <w:t xml:space="preserve">echnical </w:t>
      </w:r>
      <w:r w:rsidR="00A70DBD">
        <w:rPr>
          <w:i/>
        </w:rPr>
        <w:t>r</w:t>
      </w:r>
      <w:r w:rsidRPr="00F6693D">
        <w:rPr>
          <w:i/>
        </w:rPr>
        <w:t>eport.</w:t>
      </w:r>
      <w:r>
        <w:t xml:space="preserve"> Retrieved April 30, 2007, from </w:t>
      </w:r>
      <w:hyperlink r:id="rId35" w:history="1">
        <w:r w:rsidRPr="004B2968">
          <w:rPr>
            <w:rStyle w:val="Hyperlink"/>
          </w:rPr>
          <w:t>http://www.doe.mass.edu/mcas/2005/news/04techrpt.pdf</w:t>
        </w:r>
      </w:hyperlink>
      <w:r>
        <w:t>.</w:t>
      </w:r>
    </w:p>
    <w:p w:rsidR="008E665D" w:rsidRDefault="008E665D" w:rsidP="00774259">
      <w:pPr>
        <w:widowControl w:val="0"/>
        <w:ind w:left="720" w:hanging="720"/>
      </w:pPr>
    </w:p>
    <w:p w:rsidR="00867B94" w:rsidRPr="00867B94" w:rsidRDefault="00867B94" w:rsidP="00774259">
      <w:pPr>
        <w:widowControl w:val="0"/>
        <w:ind w:left="720" w:hanging="720"/>
      </w:pP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Education Statistics. (2008). State comparisons: National Assessment of Educational Progress (NAEP).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lace">
        <w:smartTag w:uri="urn:schemas-microsoft-com:office:smarttags" w:element="country-region">
          <w:r>
            <w:t>U.S.</w:t>
          </w:r>
        </w:smartTag>
      </w:smartTag>
      <w:r>
        <w:t xml:space="preserve"> Department of Education. Retrieved April 5, 2008 from </w:t>
      </w:r>
      <w:hyperlink r:id="rId36" w:history="1">
        <w:r w:rsidRPr="00A65889">
          <w:rPr>
            <w:rStyle w:val="Hyperlink"/>
          </w:rPr>
          <w:t>http://nces.ed.gov/nationsreportcard/nde/statecomp/</w:t>
        </w:r>
      </w:hyperlink>
      <w:r>
        <w:t xml:space="preserve"> </w:t>
      </w:r>
    </w:p>
    <w:p w:rsidR="00867B94" w:rsidRDefault="00867B94" w:rsidP="00774259">
      <w:pPr>
        <w:widowControl w:val="0"/>
        <w:ind w:left="720" w:hanging="720"/>
      </w:pPr>
    </w:p>
    <w:p w:rsidR="008F1791" w:rsidRPr="00140F85" w:rsidRDefault="008F1791" w:rsidP="00774259">
      <w:pPr>
        <w:widowControl w:val="0"/>
        <w:ind w:left="720" w:hanging="720"/>
      </w:pPr>
      <w:r>
        <w:t xml:space="preserve">Neal, D. &amp; Schanzenbach, D.W. (2007). Left behind by design: Proficiency counts and test-based accountability. </w:t>
      </w:r>
      <w:r w:rsidRPr="00140F85">
        <w:t>Unpublished working paper: Author.</w:t>
      </w:r>
    </w:p>
    <w:p w:rsidR="008F1791" w:rsidRDefault="008F1791" w:rsidP="00774259">
      <w:pPr>
        <w:widowControl w:val="0"/>
        <w:autoSpaceDE w:val="0"/>
        <w:autoSpaceDN w:val="0"/>
        <w:adjustRightInd w:val="0"/>
        <w:ind w:left="720" w:hanging="720"/>
      </w:pPr>
    </w:p>
    <w:p w:rsidR="008E665D" w:rsidRDefault="008E665D" w:rsidP="00774259">
      <w:pPr>
        <w:widowControl w:val="0"/>
        <w:autoSpaceDE w:val="0"/>
        <w:autoSpaceDN w:val="0"/>
        <w:adjustRightInd w:val="0"/>
        <w:ind w:left="720" w:hanging="720"/>
      </w:pPr>
      <w:r w:rsidRPr="003679F4">
        <w:t>Nichols, S.L., Glass, G.V, &amp; Berliner, D.C. (2006). High-stakes testing and</w:t>
      </w:r>
      <w:r>
        <w:t xml:space="preserve"> </w:t>
      </w:r>
      <w:r w:rsidRPr="003679F4">
        <w:t xml:space="preserve">student achievement: Does accountability pressure increase student learning? </w:t>
      </w:r>
      <w:r w:rsidRPr="003679F4">
        <w:rPr>
          <w:i/>
          <w:iCs/>
        </w:rPr>
        <w:t>Education</w:t>
      </w:r>
      <w:r>
        <w:rPr>
          <w:i/>
          <w:iCs/>
        </w:rPr>
        <w:t xml:space="preserve"> </w:t>
      </w:r>
      <w:r w:rsidRPr="003679F4">
        <w:rPr>
          <w:i/>
          <w:iCs/>
        </w:rPr>
        <w:t xml:space="preserve">Policy Analysis </w:t>
      </w:r>
      <w:r w:rsidRPr="003679F4">
        <w:rPr>
          <w:i/>
          <w:iCs/>
        </w:rPr>
        <w:lastRenderedPageBreak/>
        <w:t>Archives, 14</w:t>
      </w:r>
      <w:r>
        <w:t>(1). Retrieved April 30, 2007,</w:t>
      </w:r>
      <w:r w:rsidRPr="003679F4">
        <w:t xml:space="preserve"> from </w:t>
      </w:r>
      <w:hyperlink r:id="rId37" w:history="1">
        <w:r w:rsidRPr="00BA3E59">
          <w:rPr>
            <w:rStyle w:val="Hyperlink"/>
          </w:rPr>
          <w:t>http://epaa.asu.edu/epaa/v14n1/</w:t>
        </w:r>
      </w:hyperlink>
      <w:r w:rsidRPr="003679F4">
        <w:t>.</w:t>
      </w:r>
    </w:p>
    <w:p w:rsidR="008E665D" w:rsidRDefault="008E665D" w:rsidP="00774259">
      <w:pPr>
        <w:widowControl w:val="0"/>
        <w:ind w:left="720" w:hanging="720"/>
      </w:pPr>
    </w:p>
    <w:p w:rsidR="00774259" w:rsidRDefault="00774259" w:rsidP="00774259">
      <w:pPr>
        <w:ind w:left="720" w:hanging="720"/>
      </w:pPr>
      <w:r>
        <w:t xml:space="preserve">Oreopoulos, P.  </w:t>
      </w:r>
      <w:r w:rsidR="003F0678">
        <w:t>(</w:t>
      </w:r>
      <w:r>
        <w:t>2007</w:t>
      </w:r>
      <w:r w:rsidR="003F0678">
        <w:t>)</w:t>
      </w:r>
      <w:r>
        <w:t xml:space="preserve">. Do </w:t>
      </w:r>
      <w:r w:rsidR="003F0678">
        <w:t>d</w:t>
      </w:r>
      <w:r>
        <w:t xml:space="preserve">ropouts </w:t>
      </w:r>
      <w:r w:rsidR="003F0678">
        <w:t>d</w:t>
      </w:r>
      <w:r>
        <w:t xml:space="preserve">rop </w:t>
      </w:r>
      <w:r w:rsidR="003F0678">
        <w:t>o</w:t>
      </w:r>
      <w:r>
        <w:t xml:space="preserve">ut </w:t>
      </w:r>
      <w:r w:rsidR="003F0678">
        <w:t>t</w:t>
      </w:r>
      <w:r>
        <w:t xml:space="preserve">oo </w:t>
      </w:r>
      <w:r w:rsidR="003F0678">
        <w:t>s</w:t>
      </w:r>
      <w:r>
        <w:t xml:space="preserve">oon? Wealth, </w:t>
      </w:r>
      <w:r w:rsidR="003F0678">
        <w:t>h</w:t>
      </w:r>
      <w:r>
        <w:t xml:space="preserve">ealth, and </w:t>
      </w:r>
      <w:r w:rsidR="003F0678">
        <w:t>h</w:t>
      </w:r>
      <w:r>
        <w:t xml:space="preserve">appiness from </w:t>
      </w:r>
      <w:r w:rsidR="003F0678">
        <w:t>c</w:t>
      </w:r>
      <w:r>
        <w:t xml:space="preserve">ompulsory </w:t>
      </w:r>
      <w:r w:rsidR="003F0678">
        <w:t>s</w:t>
      </w:r>
      <w:r>
        <w:t xml:space="preserve">chooling. </w:t>
      </w:r>
      <w:r>
        <w:rPr>
          <w:i/>
        </w:rPr>
        <w:t xml:space="preserve">Journal of Political Economy, </w:t>
      </w:r>
      <w:r w:rsidRPr="00964840">
        <w:t>91</w:t>
      </w:r>
      <w:r>
        <w:t xml:space="preserve">: 2213-2229. </w:t>
      </w:r>
    </w:p>
    <w:p w:rsidR="00774259" w:rsidRDefault="00774259" w:rsidP="00774259">
      <w:pPr>
        <w:ind w:left="720" w:hanging="720"/>
      </w:pPr>
    </w:p>
    <w:p w:rsidR="00774259" w:rsidRPr="00471CCD" w:rsidRDefault="00774259" w:rsidP="00774259">
      <w:pPr>
        <w:ind w:left="720" w:hanging="720"/>
      </w:pPr>
      <w:r>
        <w:t xml:space="preserve">Papay, J.P., Murnane, R.J., &amp; Willett, J.B. </w:t>
      </w:r>
      <w:r w:rsidR="003F0678">
        <w:t>(</w:t>
      </w:r>
      <w:r>
        <w:t>2008</w:t>
      </w:r>
      <w:r w:rsidR="003F0678">
        <w:t>)</w:t>
      </w:r>
      <w:r>
        <w:t xml:space="preserve">. </w:t>
      </w:r>
      <w:r w:rsidRPr="00774259">
        <w:rPr>
          <w:snapToGrid w:val="0"/>
        </w:rPr>
        <w:t xml:space="preserve">The </w:t>
      </w:r>
      <w:r w:rsidR="003F0678">
        <w:rPr>
          <w:snapToGrid w:val="0"/>
        </w:rPr>
        <w:t>c</w:t>
      </w:r>
      <w:r w:rsidRPr="00774259">
        <w:rPr>
          <w:snapToGrid w:val="0"/>
        </w:rPr>
        <w:t xml:space="preserve">onsequences of </w:t>
      </w:r>
      <w:r w:rsidR="003F0678">
        <w:rPr>
          <w:snapToGrid w:val="0"/>
        </w:rPr>
        <w:t>h</w:t>
      </w:r>
      <w:r w:rsidRPr="00774259">
        <w:rPr>
          <w:snapToGrid w:val="0"/>
        </w:rPr>
        <w:t xml:space="preserve">igh </w:t>
      </w:r>
      <w:r w:rsidR="003F0678">
        <w:rPr>
          <w:snapToGrid w:val="0"/>
        </w:rPr>
        <w:t>s</w:t>
      </w:r>
      <w:r w:rsidRPr="00774259">
        <w:rPr>
          <w:snapToGrid w:val="0"/>
        </w:rPr>
        <w:t xml:space="preserve">chool </w:t>
      </w:r>
      <w:r w:rsidR="003F0678">
        <w:rPr>
          <w:snapToGrid w:val="0"/>
        </w:rPr>
        <w:t>e</w:t>
      </w:r>
      <w:r w:rsidRPr="00774259">
        <w:rPr>
          <w:snapToGrid w:val="0"/>
        </w:rPr>
        <w:t xml:space="preserve">xit </w:t>
      </w:r>
      <w:r w:rsidR="003F0678">
        <w:rPr>
          <w:snapToGrid w:val="0"/>
        </w:rPr>
        <w:t>e</w:t>
      </w:r>
      <w:r w:rsidRPr="00774259">
        <w:rPr>
          <w:snapToGrid w:val="0"/>
        </w:rPr>
        <w:t xml:space="preserve">xaminations for </w:t>
      </w:r>
      <w:r w:rsidR="003F0678">
        <w:rPr>
          <w:snapToGrid w:val="0"/>
        </w:rPr>
        <w:t>s</w:t>
      </w:r>
      <w:r w:rsidRPr="00774259">
        <w:rPr>
          <w:snapToGrid w:val="0"/>
        </w:rPr>
        <w:t xml:space="preserve">truggling </w:t>
      </w:r>
      <w:r w:rsidR="003F0678">
        <w:rPr>
          <w:snapToGrid w:val="0"/>
        </w:rPr>
        <w:t>l</w:t>
      </w:r>
      <w:r w:rsidRPr="00774259">
        <w:rPr>
          <w:snapToGrid w:val="0"/>
        </w:rPr>
        <w:t>ow-</w:t>
      </w:r>
      <w:r w:rsidR="003F0678">
        <w:rPr>
          <w:snapToGrid w:val="0"/>
        </w:rPr>
        <w:t>i</w:t>
      </w:r>
      <w:r w:rsidRPr="00774259">
        <w:rPr>
          <w:snapToGrid w:val="0"/>
        </w:rPr>
        <w:t xml:space="preserve">ncome </w:t>
      </w:r>
      <w:r w:rsidR="003F0678">
        <w:rPr>
          <w:snapToGrid w:val="0"/>
        </w:rPr>
        <w:t>u</w:t>
      </w:r>
      <w:r w:rsidRPr="00774259">
        <w:rPr>
          <w:snapToGrid w:val="0"/>
        </w:rPr>
        <w:t xml:space="preserve">rban </w:t>
      </w:r>
      <w:r w:rsidR="003F0678">
        <w:rPr>
          <w:snapToGrid w:val="0"/>
        </w:rPr>
        <w:t>s</w:t>
      </w:r>
      <w:r w:rsidRPr="00774259">
        <w:rPr>
          <w:snapToGrid w:val="0"/>
        </w:rPr>
        <w:t xml:space="preserve">tudents: Evidence from </w:t>
      </w:r>
      <w:smartTag w:uri="urn:schemas-microsoft-com:office:smarttags" w:element="State">
        <w:smartTag w:uri="urn:schemas-microsoft-com:office:smarttags" w:element="place">
          <w:r w:rsidRPr="00774259">
            <w:rPr>
              <w:snapToGrid w:val="0"/>
            </w:rPr>
            <w:t>Massachusetts</w:t>
          </w:r>
        </w:smartTag>
      </w:smartTag>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NBER Working Paper 14186. Retrieved July 28, 2008, from </w:t>
      </w:r>
      <w:hyperlink r:id="rId38" w:history="1">
        <w:r w:rsidRPr="00B72631">
          <w:rPr>
            <w:rStyle w:val="Hyperlink"/>
          </w:rPr>
          <w:t>http://www.nber.org/papers/w14186</w:t>
        </w:r>
      </w:hyperlink>
      <w:r>
        <w:t xml:space="preserve">. </w:t>
      </w:r>
    </w:p>
    <w:p w:rsidR="00774259" w:rsidRDefault="00774259" w:rsidP="00774259">
      <w:pPr>
        <w:ind w:left="720" w:hanging="720"/>
      </w:pPr>
    </w:p>
    <w:p w:rsidR="00087D91" w:rsidRDefault="00087D91" w:rsidP="00774259">
      <w:pPr>
        <w:ind w:left="720" w:hanging="720"/>
      </w:pPr>
      <w:r>
        <w:t xml:space="preserve">Quality Counts. (2006). Quality counts at 10: A decade of standards-based education. </w:t>
      </w:r>
      <w:r>
        <w:rPr>
          <w:i/>
        </w:rPr>
        <w:t>Education Week, 25</w:t>
      </w:r>
      <w:r>
        <w:t>(17): 74.</w:t>
      </w:r>
    </w:p>
    <w:p w:rsidR="00087D91" w:rsidRDefault="00087D91" w:rsidP="00774259"/>
    <w:p w:rsidR="008E665D" w:rsidRPr="003679F4" w:rsidRDefault="008E665D" w:rsidP="00774259">
      <w:pPr>
        <w:widowControl w:val="0"/>
        <w:ind w:left="720" w:hanging="720"/>
        <w:rPr>
          <w:rFonts w:ascii="BIOGNK+TimesNewRoman" w:hAnsi="BIOGNK+TimesNewRoman" w:cs="BIOGNK+TimesNewRoman"/>
          <w:color w:val="000000"/>
        </w:rPr>
      </w:pPr>
      <w:r w:rsidRPr="003679F4">
        <w:t xml:space="preserve">Reardon, S.F. &amp; Galindo, C. (2002). </w:t>
      </w:r>
      <w:r w:rsidRPr="003679F4">
        <w:rPr>
          <w:i/>
        </w:rPr>
        <w:t xml:space="preserve">Do high-stakes tests affect students’ decisions to drop out of school? Evidence from NELS. </w:t>
      </w:r>
      <w:r w:rsidRPr="003679F4">
        <w:rPr>
          <w:rFonts w:ascii="BIOGNK+TimesNewRoman" w:hAnsi="BIOGNK+TimesNewRoman" w:cs="BIOGNK+TimesNewRoman"/>
          <w:color w:val="000000"/>
        </w:rPr>
        <w:t xml:space="preserve">Paper </w:t>
      </w:r>
      <w:r>
        <w:rPr>
          <w:rFonts w:ascii="BIOGNK+TimesNewRoman" w:hAnsi="BIOGNK+TimesNewRoman" w:cs="BIOGNK+TimesNewRoman"/>
          <w:color w:val="000000"/>
        </w:rPr>
        <w:t xml:space="preserve">presented </w:t>
      </w:r>
      <w:r w:rsidRPr="003679F4">
        <w:rPr>
          <w:rFonts w:ascii="BIOGNK+TimesNewRoman" w:hAnsi="BIOGNK+TimesNewRoman" w:cs="BIOGNK+TimesNewRoman"/>
          <w:color w:val="000000"/>
        </w:rPr>
        <w:t xml:space="preserve">at the Annual Meeting of the American Educational Research Association, </w:t>
      </w:r>
      <w:smartTag w:uri="urn:schemas-microsoft-com:office:smarttags" w:element="place">
        <w:smartTag w:uri="urn:schemas-microsoft-com:office:smarttags" w:element="City">
          <w:r w:rsidRPr="003679F4">
            <w:rPr>
              <w:rFonts w:ascii="BIOGNK+TimesNewRoman" w:hAnsi="BIOGNK+TimesNewRoman" w:cs="BIOGNK+TimesNewRoman"/>
              <w:color w:val="000000"/>
            </w:rPr>
            <w:t>New Orleans</w:t>
          </w:r>
        </w:smartTag>
        <w:r w:rsidRPr="003679F4">
          <w:rPr>
            <w:rFonts w:ascii="BIOGNK+TimesNewRoman" w:hAnsi="BIOGNK+TimesNewRoman" w:cs="BIOGNK+TimesNewRoman"/>
            <w:color w:val="000000"/>
          </w:rPr>
          <w:t xml:space="preserve">, </w:t>
        </w:r>
        <w:smartTag w:uri="urn:schemas-microsoft-com:office:smarttags" w:element="State">
          <w:r w:rsidRPr="003679F4">
            <w:rPr>
              <w:rFonts w:ascii="BIOGNK+TimesNewRoman" w:hAnsi="BIOGNK+TimesNewRoman" w:cs="BIOGNK+TimesNewRoman"/>
              <w:color w:val="000000"/>
            </w:rPr>
            <w:t>LA</w:t>
          </w:r>
          <w:r>
            <w:rPr>
              <w:rFonts w:ascii="BIOGNK+TimesNewRoman" w:hAnsi="BIOGNK+TimesNewRoman" w:cs="BIOGNK+TimesNewRoman"/>
              <w:color w:val="000000"/>
            </w:rPr>
            <w:t>.</w:t>
          </w:r>
        </w:smartTag>
      </w:smartTag>
      <w:r w:rsidRPr="003679F4">
        <w:rPr>
          <w:rFonts w:ascii="BIOGNK+TimesNewRoman" w:hAnsi="BIOGNK+TimesNewRoman" w:cs="BIOGNK+TimesNewRoman"/>
          <w:color w:val="000000"/>
        </w:rPr>
        <w:t xml:space="preserve"> </w:t>
      </w:r>
    </w:p>
    <w:p w:rsidR="008E665D" w:rsidRPr="003679F4" w:rsidRDefault="008E665D" w:rsidP="00774259">
      <w:pPr>
        <w:widowControl w:val="0"/>
        <w:ind w:left="720" w:hanging="720"/>
      </w:pPr>
    </w:p>
    <w:p w:rsidR="008E665D" w:rsidRPr="003679F4" w:rsidRDefault="008E665D" w:rsidP="00774259">
      <w:pPr>
        <w:widowControl w:val="0"/>
        <w:ind w:left="720" w:hanging="720"/>
      </w:pPr>
      <w:r w:rsidRPr="003679F4">
        <w:t>Shadish</w:t>
      </w:r>
      <w:r>
        <w:t>, W.R.</w:t>
      </w:r>
      <w:r w:rsidRPr="003679F4">
        <w:t>, Cook</w:t>
      </w:r>
      <w:r>
        <w:t>, T.D.</w:t>
      </w:r>
      <w:r w:rsidRPr="003679F4">
        <w:t>, &amp; Campbell</w:t>
      </w:r>
      <w:r>
        <w:t>, D.T</w:t>
      </w:r>
      <w:r w:rsidRPr="003679F4">
        <w:t>. (2002)</w:t>
      </w:r>
      <w:r>
        <w:t xml:space="preserve">. </w:t>
      </w:r>
      <w:r>
        <w:rPr>
          <w:i/>
        </w:rPr>
        <w:t xml:space="preserve">Experimental and quasi-experimental designs for generalized causal inference.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Houghton Mifflin Company.</w:t>
      </w:r>
    </w:p>
    <w:p w:rsidR="008E665D" w:rsidRPr="003679F4" w:rsidRDefault="008E665D" w:rsidP="00774259">
      <w:pPr>
        <w:widowControl w:val="0"/>
        <w:ind w:left="720" w:hanging="720"/>
      </w:pPr>
    </w:p>
    <w:p w:rsidR="008E665D" w:rsidRPr="003679F4" w:rsidRDefault="008E665D" w:rsidP="00774259">
      <w:pPr>
        <w:widowControl w:val="0"/>
        <w:ind w:left="720" w:hanging="720"/>
      </w:pPr>
      <w:r>
        <w:t xml:space="preserve">Thomas, R.M. (2005). </w:t>
      </w:r>
      <w:r>
        <w:rPr>
          <w:i/>
        </w:rPr>
        <w:t xml:space="preserve">High stakes testing: Coping with collateral damage. </w:t>
      </w:r>
      <w:smartTag w:uri="urn:schemas-microsoft-com:office:smarttags" w:element="City">
        <w:r>
          <w:t>Mahwah</w:t>
        </w:r>
      </w:smartTag>
      <w:r>
        <w:t xml:space="preserve">, </w:t>
      </w:r>
      <w:smartTag w:uri="urn:schemas-microsoft-com:office:smarttags" w:element="State">
        <w:r>
          <w:t>NJ</w:t>
        </w:r>
      </w:smartTag>
      <w:r>
        <w:t xml:space="preserve">: </w:t>
      </w:r>
      <w:smartTag w:uri="urn:schemas-microsoft-com:office:smarttags" w:element="place">
        <w:smartTag w:uri="urn:schemas-microsoft-com:office:smarttags" w:element="City">
          <w:r>
            <w:t>Lawrence</w:t>
          </w:r>
        </w:smartTag>
      </w:smartTag>
      <w:r>
        <w:t xml:space="preserve"> Erlbaum Associates, Publishers.</w:t>
      </w:r>
    </w:p>
    <w:p w:rsidR="00510299" w:rsidRDefault="00510299" w:rsidP="00774259">
      <w:pPr>
        <w:widowControl w:val="0"/>
        <w:ind w:left="720" w:hanging="720"/>
      </w:pPr>
    </w:p>
    <w:p w:rsidR="002A572B" w:rsidRPr="00140F85" w:rsidRDefault="002A572B" w:rsidP="00774259">
      <w:pPr>
        <w:widowControl w:val="0"/>
        <w:autoSpaceDE w:val="0"/>
        <w:autoSpaceDN w:val="0"/>
        <w:adjustRightInd w:val="0"/>
        <w:ind w:left="720" w:hanging="720"/>
      </w:pPr>
      <w:smartTag w:uri="urn:schemas-microsoft-com:office:smarttags" w:element="place">
        <w:smartTag w:uri="urn:schemas-microsoft-com:office:smarttags" w:element="City">
          <w:r w:rsidRPr="00140F85">
            <w:t>Warren</w:t>
          </w:r>
        </w:smartTag>
      </w:smartTag>
      <w:r w:rsidRPr="00140F85">
        <w:t xml:space="preserve">, J.W., Jenkins, K.N., &amp; Kulick, R.B. (2006). High school exit examinations and state-level completion and GED rates, 1975 through 2002. </w:t>
      </w:r>
      <w:r w:rsidRPr="00140F85">
        <w:rPr>
          <w:i/>
        </w:rPr>
        <w:t>Educational Evaluation and Policy Analysis, 28</w:t>
      </w:r>
      <w:r w:rsidRPr="00140F85">
        <w:t>:2, 131-152.</w:t>
      </w:r>
    </w:p>
    <w:p w:rsidR="00984AF0" w:rsidRPr="00140F85" w:rsidRDefault="00984AF0" w:rsidP="0041455F">
      <w:pPr>
        <w:widowControl w:val="0"/>
        <w:autoSpaceDE w:val="0"/>
        <w:autoSpaceDN w:val="0"/>
        <w:adjustRightInd w:val="0"/>
      </w:pPr>
    </w:p>
    <w:sectPr w:rsidR="00984AF0" w:rsidRPr="00140F85" w:rsidSect="00C00FA0">
      <w:headerReference w:type="even" r:id="rId39"/>
      <w:headerReference w:type="default" r:id="rId40"/>
      <w:footerReference w:type="default" r:id="rId41"/>
      <w:headerReference w:type="first" r:id="rId42"/>
      <w:footerReference w:type="first" r:id="rId43"/>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C5" w:rsidRDefault="000166C5">
      <w:r>
        <w:separator/>
      </w:r>
    </w:p>
  </w:endnote>
  <w:endnote w:type="continuationSeparator" w:id="0">
    <w:p w:rsidR="000166C5" w:rsidRDefault="0001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IOGNK+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D4" w:rsidRDefault="00245DD4" w:rsidP="004917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5DD4" w:rsidRDefault="00245DD4" w:rsidP="0009373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D4" w:rsidRDefault="00245DD4" w:rsidP="0009373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69" w:rsidRDefault="0045176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D4" w:rsidRDefault="00245DD4" w:rsidP="004917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981">
      <w:rPr>
        <w:rStyle w:val="PageNumber"/>
        <w:noProof/>
      </w:rPr>
      <w:t>2</w:t>
    </w:r>
    <w:r>
      <w:rPr>
        <w:rStyle w:val="PageNumber"/>
      </w:rPr>
      <w:fldChar w:fldCharType="end"/>
    </w:r>
  </w:p>
  <w:p w:rsidR="00245DD4" w:rsidRDefault="00245DD4" w:rsidP="0009373D">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D4" w:rsidRDefault="00245D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C5" w:rsidRDefault="000166C5">
      <w:r>
        <w:separator/>
      </w:r>
    </w:p>
  </w:footnote>
  <w:footnote w:type="continuationSeparator" w:id="0">
    <w:p w:rsidR="000166C5" w:rsidRDefault="000166C5">
      <w:r>
        <w:continuationSeparator/>
      </w:r>
    </w:p>
  </w:footnote>
  <w:footnote w:id="1">
    <w:p w:rsidR="00245DD4" w:rsidRPr="002E3C15" w:rsidRDefault="00245DD4">
      <w:pPr>
        <w:pStyle w:val="FootnoteText"/>
        <w:rPr>
          <w:sz w:val="24"/>
          <w:szCs w:val="24"/>
        </w:rPr>
      </w:pPr>
      <w:r w:rsidRPr="002E3C15">
        <w:rPr>
          <w:rStyle w:val="FootnoteReference"/>
          <w:sz w:val="24"/>
          <w:szCs w:val="24"/>
        </w:rPr>
        <w:footnoteRef/>
      </w:r>
      <w:r w:rsidRPr="002E3C15">
        <w:rPr>
          <w:sz w:val="24"/>
          <w:szCs w:val="24"/>
        </w:rPr>
        <w:t xml:space="preserve"> The authors thank Carrie Conaway, the Director of Planning, </w:t>
      </w:r>
      <w:smartTag w:uri="urn:schemas-microsoft-com:office:smarttags" w:element="PersonName">
        <w:r w:rsidRPr="002E3C15">
          <w:rPr>
            <w:sz w:val="24"/>
            <w:szCs w:val="24"/>
          </w:rPr>
          <w:t>Research</w:t>
        </w:r>
      </w:smartTag>
      <w:r w:rsidRPr="002E3C15">
        <w:rPr>
          <w:sz w:val="24"/>
          <w:szCs w:val="24"/>
        </w:rPr>
        <w:t>, and Evaluation</w:t>
      </w:r>
      <w:r>
        <w:rPr>
          <w:sz w:val="24"/>
          <w:szCs w:val="24"/>
        </w:rPr>
        <w:t xml:space="preserve"> of</w:t>
      </w:r>
      <w:r w:rsidRPr="002E3C15">
        <w:rPr>
          <w:sz w:val="24"/>
          <w:szCs w:val="24"/>
        </w:rPr>
        <w:t xml:space="preserve"> the Massachusetts Department of </w:t>
      </w:r>
      <w:r>
        <w:rPr>
          <w:sz w:val="24"/>
          <w:szCs w:val="24"/>
        </w:rPr>
        <w:t xml:space="preserve">Elementary and Secondary </w:t>
      </w:r>
      <w:r w:rsidRPr="002E3C15">
        <w:rPr>
          <w:sz w:val="24"/>
          <w:szCs w:val="24"/>
        </w:rPr>
        <w:t>Education, for providing the data and for answering many questions about data collection procedures.</w:t>
      </w:r>
      <w:r w:rsidRPr="00FC4A2C">
        <w:rPr>
          <w:sz w:val="24"/>
          <w:szCs w:val="24"/>
        </w:rPr>
        <w:t xml:space="preserve"> Participants in the May 1, 2008 NBER economics of education workshop provided helpful comments. Financial support was provided by the U.S. Department of Education Institute for Education Sciences (Grant Number R305A080127) and the Harvard Graduate School of Education Dean's Summer Fellowship. The views expressed he</w:t>
      </w:r>
      <w:r w:rsidR="00F22245">
        <w:rPr>
          <w:sz w:val="24"/>
          <w:szCs w:val="24"/>
        </w:rPr>
        <w:t>rein are those of the author</w:t>
      </w:r>
      <w:r w:rsidRPr="00FC4A2C">
        <w:rPr>
          <w:sz w:val="24"/>
          <w:szCs w:val="24"/>
        </w:rPr>
        <w:t xml:space="preserve">s and do not necessarily reflect the views of the </w:t>
      </w:r>
      <w:r w:rsidRPr="002E3C15">
        <w:rPr>
          <w:sz w:val="24"/>
          <w:szCs w:val="24"/>
        </w:rPr>
        <w:t xml:space="preserve">Massachusetts Department of </w:t>
      </w:r>
      <w:r>
        <w:rPr>
          <w:sz w:val="24"/>
          <w:szCs w:val="24"/>
        </w:rPr>
        <w:t xml:space="preserve">Elementary and Secondary </w:t>
      </w:r>
      <w:r w:rsidRPr="002E3C15">
        <w:rPr>
          <w:sz w:val="24"/>
          <w:szCs w:val="24"/>
        </w:rPr>
        <w:t>Education</w:t>
      </w:r>
      <w:r w:rsidRPr="00FC4A2C">
        <w:rPr>
          <w:sz w:val="24"/>
          <w:szCs w:val="24"/>
        </w:rPr>
        <w:t>.</w:t>
      </w:r>
    </w:p>
  </w:footnote>
  <w:footnote w:id="2">
    <w:p w:rsidR="00245DD4" w:rsidRPr="007B6699" w:rsidRDefault="00245DD4">
      <w:pPr>
        <w:pStyle w:val="FootnoteText"/>
      </w:pPr>
      <w:r>
        <w:rPr>
          <w:rStyle w:val="FootnoteReference"/>
        </w:rPr>
        <w:footnoteRef/>
      </w:r>
      <w:r>
        <w:t xml:space="preserve"> This same Fordham Foundation report, </w:t>
      </w:r>
      <w:r w:rsidRPr="00381A04">
        <w:rPr>
          <w:i/>
        </w:rPr>
        <w:t xml:space="preserve">The State of </w:t>
      </w:r>
      <w:smartTag w:uri="urn:schemas-microsoft-com:office:smarttags" w:element="State">
        <w:r w:rsidRPr="00381A04">
          <w:rPr>
            <w:i/>
          </w:rPr>
          <w:t>State Standards</w:t>
        </w:r>
      </w:smartTag>
      <w:r w:rsidRPr="00381A04">
        <w:rPr>
          <w:i/>
        </w:rPr>
        <w:t xml:space="preserve"> 2006</w:t>
      </w:r>
      <w:r>
        <w:t xml:space="preserve">, pointed out that the </w:t>
      </w:r>
      <w:smartTag w:uri="urn:schemas-microsoft-com:office:smarttags" w:element="place">
        <w:smartTag w:uri="urn:schemas-microsoft-com:office:smarttags" w:element="State">
          <w:r>
            <w:t>Massachusetts</w:t>
          </w:r>
        </w:smartTag>
      </w:smartTag>
      <w:r>
        <w:t xml:space="preserve"> standards were exceptional.  In contrast, “two-thirds of schoolchildren in </w:t>
      </w:r>
      <w:smartTag w:uri="urn:schemas-microsoft-com:office:smarttags" w:element="country-region">
        <w:smartTag w:uri="urn:schemas-microsoft-com:office:smarttags" w:element="place">
          <w:r>
            <w:t>America</w:t>
          </w:r>
        </w:smartTag>
      </w:smartTag>
      <w:r>
        <w:t xml:space="preserve"> attend class in states with mediocre (or worse) expectations for what their students should learn” (Finn, Julian, &amp; Petrilli, 2006).</w:t>
      </w:r>
    </w:p>
  </w:footnote>
  <w:footnote w:id="3">
    <w:p w:rsidR="00245DD4" w:rsidRPr="008F3231" w:rsidRDefault="00245DD4" w:rsidP="00ED7E2D">
      <w:pPr>
        <w:pStyle w:val="FootnoteText"/>
        <w:rPr>
          <w:sz w:val="24"/>
          <w:szCs w:val="24"/>
        </w:rPr>
      </w:pPr>
      <w:r w:rsidRPr="00517894">
        <w:rPr>
          <w:rStyle w:val="FootnoteReference"/>
        </w:rPr>
        <w:footnoteRef/>
      </w:r>
      <w:r w:rsidRPr="00517894">
        <w:t xml:space="preserve"> The state has a performance appeals process in place that allows students to demonstrate their proficiency in alternate ways. It also offers alternative assessments to certain students. Only 314 of the state’s 57,000 graduates in 2006 satisfied the requirement using either of these two alternative routes.</w:t>
      </w:r>
      <w:r w:rsidRPr="008F3231">
        <w:rPr>
          <w:sz w:val="24"/>
          <w:szCs w:val="24"/>
        </w:rPr>
        <w:t xml:space="preserve"> </w:t>
      </w:r>
    </w:p>
  </w:footnote>
  <w:footnote w:id="4">
    <w:p w:rsidR="00245DD4" w:rsidRDefault="00245DD4" w:rsidP="00046E5C">
      <w:pPr>
        <w:pStyle w:val="FootnoteText"/>
      </w:pPr>
      <w:r>
        <w:rPr>
          <w:rStyle w:val="FootnoteReference"/>
        </w:rPr>
        <w:footnoteRef/>
      </w:r>
      <w:r>
        <w:t xml:space="preserve"> </w:t>
      </w:r>
      <w:r w:rsidRPr="0013538A">
        <w:t>The state identifies slightly fewer than 3,000 students (</w:t>
      </w:r>
      <w:r>
        <w:t>less than</w:t>
      </w:r>
      <w:r w:rsidRPr="0013538A">
        <w:t xml:space="preserve"> 5% of the total sample) who are not in the “final 2006 cohort,” meaning that they moved out of the state </w:t>
      </w:r>
      <w:r>
        <w:t>before high school</w:t>
      </w:r>
      <w:r w:rsidRPr="0013538A">
        <w:t xml:space="preserve"> graduation. </w:t>
      </w:r>
      <w:r>
        <w:t>U</w:t>
      </w:r>
      <w:r w:rsidRPr="0013538A">
        <w:t>sing only the 63,361 individuals in the “final cohort” does not alter our results.</w:t>
      </w:r>
      <w:r>
        <w:t xml:space="preserve"> We include the full sample to account for any effects the high-stakes examination has on student mobility.</w:t>
      </w:r>
    </w:p>
  </w:footnote>
  <w:footnote w:id="5">
    <w:p w:rsidR="00245DD4" w:rsidRDefault="00245DD4">
      <w:pPr>
        <w:pStyle w:val="FootnoteText"/>
      </w:pPr>
      <w:r>
        <w:rPr>
          <w:rStyle w:val="FootnoteReference"/>
        </w:rPr>
        <w:footnoteRef/>
      </w:r>
      <w:r>
        <w:t xml:space="preserve"> Technically, students took the middle school ELA examination in 7</w:t>
      </w:r>
      <w:r w:rsidRPr="00473E55">
        <w:rPr>
          <w:vertAlign w:val="superscript"/>
        </w:rPr>
        <w:t>th</w:t>
      </w:r>
      <w:r>
        <w:t xml:space="preserve"> grade and the mathematics examination in 8</w:t>
      </w:r>
      <w:r w:rsidRPr="00473E55">
        <w:rPr>
          <w:vertAlign w:val="superscript"/>
        </w:rPr>
        <w:t>th</w:t>
      </w:r>
      <w:r>
        <w:t xml:space="preserve"> grade. For simplicity, we refer to these examinations as the “8</w:t>
      </w:r>
      <w:r w:rsidRPr="00473E55">
        <w:rPr>
          <w:vertAlign w:val="superscript"/>
        </w:rPr>
        <w:t>th</w:t>
      </w:r>
      <w:r>
        <w:t xml:space="preserve"> grade” tests.  </w:t>
      </w:r>
    </w:p>
  </w:footnote>
  <w:footnote w:id="6">
    <w:p w:rsidR="00245DD4" w:rsidRPr="007C0E1E" w:rsidRDefault="00245DD4" w:rsidP="00C67485">
      <w:pPr>
        <w:pStyle w:val="FootnoteText"/>
      </w:pPr>
      <w:r w:rsidRPr="007C0E1E">
        <w:rPr>
          <w:rStyle w:val="FootnoteReference"/>
        </w:rPr>
        <w:footnoteRef/>
      </w:r>
      <w:r w:rsidRPr="007C0E1E">
        <w:t xml:space="preserve"> For more information on MCAS scoring and scaling, see the MCAS Technical Reports (MA DOE, 2002, 2005).</w:t>
      </w:r>
    </w:p>
  </w:footnote>
  <w:footnote w:id="7">
    <w:p w:rsidR="00245DD4" w:rsidRDefault="00245DD4">
      <w:pPr>
        <w:pStyle w:val="FootnoteText"/>
      </w:pPr>
      <w:r>
        <w:rPr>
          <w:rStyle w:val="FootnoteReference"/>
        </w:rPr>
        <w:footnoteRef/>
      </w:r>
      <w:r>
        <w:t xml:space="preserve"> For the 8</w:t>
      </w:r>
      <w:r w:rsidRPr="0088375A">
        <w:rPr>
          <w:vertAlign w:val="superscript"/>
        </w:rPr>
        <w:t>th</w:t>
      </w:r>
      <w:r>
        <w:t xml:space="preserve"> grade mathematics test, students had to score 22 points to pass, and for the 10</w:t>
      </w:r>
      <w:r w:rsidRPr="00921148">
        <w:rPr>
          <w:vertAlign w:val="superscript"/>
        </w:rPr>
        <w:t>th</w:t>
      </w:r>
      <w:r>
        <w:t xml:space="preserve"> grade ELA examination the minimum passing score was 39.</w:t>
      </w:r>
    </w:p>
  </w:footnote>
  <w:footnote w:id="8">
    <w:p w:rsidR="00245DD4" w:rsidRPr="00273D3C" w:rsidRDefault="00245DD4" w:rsidP="003F207E">
      <w:pPr>
        <w:pStyle w:val="FootnoteText"/>
      </w:pPr>
      <w:r>
        <w:rPr>
          <w:rStyle w:val="FootnoteReference"/>
        </w:rPr>
        <w:footnoteRef/>
      </w:r>
      <w:r>
        <w:t xml:space="preserve"> Some of these students moved into the state after 8</w:t>
      </w:r>
      <w:r w:rsidRPr="00B02918">
        <w:rPr>
          <w:vertAlign w:val="superscript"/>
        </w:rPr>
        <w:t>th</w:t>
      </w:r>
      <w:r>
        <w:t xml:space="preserve"> grade, while others simply had missing 8</w:t>
      </w:r>
      <w:r w:rsidRPr="00B02918">
        <w:rPr>
          <w:vertAlign w:val="superscript"/>
        </w:rPr>
        <w:t>th</w:t>
      </w:r>
      <w:r>
        <w:t xml:space="preserve"> grade test scores. Because we cannot distinguish between these two groups, we cannot interpret this variable as a pure indicator of new students t</w:t>
      </w:r>
      <w:r w:rsidRPr="00273D3C">
        <w:t>o the state.</w:t>
      </w:r>
    </w:p>
  </w:footnote>
  <w:footnote w:id="9">
    <w:p w:rsidR="00245DD4" w:rsidRPr="003D2046" w:rsidRDefault="00245DD4" w:rsidP="00814E09">
      <w:pPr>
        <w:widowControl w:val="0"/>
        <w:autoSpaceDE w:val="0"/>
        <w:autoSpaceDN w:val="0"/>
        <w:adjustRightInd w:val="0"/>
        <w:rPr>
          <w:sz w:val="20"/>
          <w:szCs w:val="20"/>
        </w:rPr>
      </w:pPr>
      <w:r w:rsidRPr="00814E09">
        <w:rPr>
          <w:rStyle w:val="FootnoteReference"/>
          <w:sz w:val="20"/>
          <w:szCs w:val="20"/>
        </w:rPr>
        <w:footnoteRef/>
      </w:r>
      <w:r w:rsidRPr="00814E09">
        <w:rPr>
          <w:sz w:val="20"/>
          <w:szCs w:val="20"/>
        </w:rPr>
        <w:t xml:space="preserve"> </w:t>
      </w:r>
      <w:r w:rsidRPr="003D2046">
        <w:rPr>
          <w:sz w:val="20"/>
          <w:szCs w:val="20"/>
        </w:rPr>
        <w:t xml:space="preserve">For a </w:t>
      </w:r>
      <w:r>
        <w:rPr>
          <w:sz w:val="20"/>
          <w:szCs w:val="20"/>
        </w:rPr>
        <w:t xml:space="preserve">more detailed </w:t>
      </w:r>
      <w:r w:rsidRPr="003D2046">
        <w:rPr>
          <w:sz w:val="20"/>
          <w:szCs w:val="20"/>
        </w:rPr>
        <w:t xml:space="preserve">description of the regression discontinuity </w:t>
      </w:r>
      <w:r>
        <w:rPr>
          <w:sz w:val="20"/>
          <w:szCs w:val="20"/>
        </w:rPr>
        <w:t>approach</w:t>
      </w:r>
      <w:r w:rsidRPr="003D2046">
        <w:rPr>
          <w:sz w:val="20"/>
          <w:szCs w:val="20"/>
        </w:rPr>
        <w:t xml:space="preserve"> see Shadish, Cook, &amp; </w:t>
      </w:r>
      <w:smartTag w:uri="urn:schemas-microsoft-com:office:smarttags" w:element="place">
        <w:smartTag w:uri="urn:schemas-microsoft-com:office:smarttags" w:element="City">
          <w:r w:rsidRPr="003D2046">
            <w:rPr>
              <w:sz w:val="20"/>
              <w:szCs w:val="20"/>
            </w:rPr>
            <w:t>Campbell</w:t>
          </w:r>
        </w:smartTag>
      </w:smartTag>
      <w:r>
        <w:rPr>
          <w:sz w:val="20"/>
          <w:szCs w:val="20"/>
        </w:rPr>
        <w:t xml:space="preserve"> (</w:t>
      </w:r>
      <w:r w:rsidRPr="003D2046">
        <w:rPr>
          <w:sz w:val="20"/>
          <w:szCs w:val="20"/>
        </w:rPr>
        <w:t>2002</w:t>
      </w:r>
      <w:r>
        <w:rPr>
          <w:sz w:val="20"/>
          <w:szCs w:val="20"/>
        </w:rPr>
        <w:t>)</w:t>
      </w:r>
      <w:r w:rsidRPr="003D2046">
        <w:rPr>
          <w:sz w:val="20"/>
          <w:szCs w:val="20"/>
        </w:rPr>
        <w:t>.</w:t>
      </w:r>
    </w:p>
    <w:p w:rsidR="00245DD4" w:rsidRDefault="00245DD4">
      <w:pPr>
        <w:pStyle w:val="FootnoteText"/>
      </w:pPr>
    </w:p>
  </w:footnote>
  <w:footnote w:id="10">
    <w:p w:rsidR="00245DD4" w:rsidRDefault="00245DD4" w:rsidP="00186D4E">
      <w:pPr>
        <w:pStyle w:val="FootnoteText"/>
      </w:pPr>
      <w:r>
        <w:rPr>
          <w:rStyle w:val="FootnoteReference"/>
        </w:rPr>
        <w:footnoteRef/>
      </w:r>
      <w:r>
        <w:t xml:space="preserve"> </w:t>
      </w:r>
      <w:r w:rsidRPr="007C0E1E">
        <w:t xml:space="preserve">We estimate robust (Huber-White) standard errors to account for </w:t>
      </w:r>
      <w:r>
        <w:t xml:space="preserve">both </w:t>
      </w:r>
      <w:r w:rsidRPr="007C0E1E">
        <w:t>the clustering of students within schools</w:t>
      </w:r>
      <w:r>
        <w:t xml:space="preserve"> and heteroscedasticity in the dichotomous outcome</w:t>
      </w:r>
      <w:r w:rsidRPr="007C0E1E">
        <w:t>.</w:t>
      </w:r>
    </w:p>
  </w:footnote>
  <w:footnote w:id="11">
    <w:p w:rsidR="00774259" w:rsidRDefault="00774259" w:rsidP="00774259">
      <w:pPr>
        <w:pStyle w:val="Default"/>
      </w:pPr>
      <w:r>
        <w:rPr>
          <w:rStyle w:val="FootnoteReference"/>
        </w:rPr>
        <w:footnoteRef/>
      </w:r>
      <w:r>
        <w:t xml:space="preserve"> </w:t>
      </w:r>
      <w:r w:rsidRPr="004541C3">
        <w:rPr>
          <w:sz w:val="20"/>
          <w:szCs w:val="20"/>
        </w:rPr>
        <w:t xml:space="preserve">The authors thank Steven Rivkin for pointing out this issue and for his helpful suggestions for addressing it. </w:t>
      </w:r>
    </w:p>
  </w:footnote>
  <w:footnote w:id="12">
    <w:p w:rsidR="00245DD4" w:rsidRPr="00245DD4" w:rsidRDefault="00245DD4" w:rsidP="00245DD4">
      <w:pPr>
        <w:pStyle w:val="Default"/>
        <w:rPr>
          <w:sz w:val="20"/>
          <w:szCs w:val="20"/>
        </w:rPr>
      </w:pPr>
      <w:r w:rsidRPr="00245DD4">
        <w:rPr>
          <w:rStyle w:val="FootnoteReference"/>
          <w:sz w:val="20"/>
          <w:szCs w:val="20"/>
        </w:rPr>
        <w:footnoteRef/>
      </w:r>
      <w:r w:rsidRPr="00245DD4">
        <w:rPr>
          <w:sz w:val="20"/>
          <w:szCs w:val="20"/>
        </w:rPr>
        <w:t xml:space="preserve"> In the bottom panel, we use predicted math score because of the IV approach used for this analysis.</w:t>
      </w:r>
    </w:p>
  </w:footnote>
  <w:footnote w:id="13">
    <w:p w:rsidR="00245DD4" w:rsidRDefault="00245DD4">
      <w:pPr>
        <w:pStyle w:val="FootnoteText"/>
      </w:pPr>
      <w:r>
        <w:rPr>
          <w:rStyle w:val="FootnoteReference"/>
        </w:rPr>
        <w:footnoteRef/>
      </w:r>
      <w:r>
        <w:t xml:space="preserve"> Because the middle school ELA test for the 2006 cohort occurred in 7</w:t>
      </w:r>
      <w:r w:rsidRPr="00533B51">
        <w:rPr>
          <w:vertAlign w:val="superscript"/>
        </w:rPr>
        <w:t>th</w:t>
      </w:r>
      <w:r>
        <w:t xml:space="preserve"> grade, one year earlier than the mathematics test, the state data system, which began in 2001, cannot match students as accurately for this test. As a result, we cannot examine the effects that </w:t>
      </w:r>
      <w:r w:rsidRPr="00533B51">
        <w:rPr>
          <w:i/>
        </w:rPr>
        <w:t>Fear of Failing</w:t>
      </w:r>
      <w:r>
        <w:t xml:space="preserve"> the ELA examination may have on persistence to 10</w:t>
      </w:r>
      <w:r w:rsidRPr="005F5E6C">
        <w:rPr>
          <w:vertAlign w:val="superscript"/>
        </w:rPr>
        <w:t>th</w:t>
      </w:r>
      <w:r>
        <w:t xml:space="preserve"> grade.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69" w:rsidRDefault="00FC5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5219" o:spid="_x0000_s2050" type="#_x0000_t136" style="position:absolute;margin-left:0;margin-top:0;width:527.85pt;height:131.95pt;rotation:315;z-index:-251654144;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D4" w:rsidRDefault="00FC5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5220" o:spid="_x0000_s2051" type="#_x0000_t136" style="position:absolute;margin-left:0;margin-top:0;width:527.85pt;height:131.95pt;rotation:315;z-index:-251652096;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D4" w:rsidRDefault="00FC5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5218" o:spid="_x0000_s2049" type="#_x0000_t136" style="position:absolute;margin-left:0;margin-top:0;width:527.85pt;height:131.95pt;rotation:315;z-index:-25165619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69" w:rsidRDefault="00FC5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5222" o:spid="_x0000_s2053" type="#_x0000_t136" style="position:absolute;margin-left:0;margin-top:0;width:527.85pt;height:131.95pt;rotation:315;z-index:-251648000;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D4" w:rsidRPr="00FF6B35" w:rsidRDefault="00FC5981" w:rsidP="00FF6B35">
    <w:pPr>
      <w:pStyle w:val="Header"/>
      <w:jc w:val="cente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5223" o:spid="_x0000_s2054" type="#_x0000_t136" style="position:absolute;left:0;text-align:left;margin-left:0;margin-top:0;width:527.85pt;height:131.95pt;rotation:315;z-index:-25164595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69" w:rsidRDefault="00FC5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5221" o:spid="_x0000_s2052" type="#_x0000_t136" style="position:absolute;margin-left:0;margin-top:0;width:527.85pt;height:131.95pt;rotation:315;z-index:-251650048;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F41F8"/>
    <w:multiLevelType w:val="hybridMultilevel"/>
    <w:tmpl w:val="A0AC71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D90F85"/>
    <w:multiLevelType w:val="hybridMultilevel"/>
    <w:tmpl w:val="3CE216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D81A3B"/>
    <w:multiLevelType w:val="hybridMultilevel"/>
    <w:tmpl w:val="F0B88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0361D5"/>
    <w:multiLevelType w:val="hybridMultilevel"/>
    <w:tmpl w:val="0B342CAA"/>
    <w:lvl w:ilvl="0" w:tplc="F48C43E4">
      <w:start w:val="1"/>
      <w:numFmt w:val="upp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5ED67199"/>
    <w:multiLevelType w:val="hybridMultilevel"/>
    <w:tmpl w:val="78D29862"/>
    <w:lvl w:ilvl="0" w:tplc="0409000F">
      <w:start w:val="1"/>
      <w:numFmt w:val="decimal"/>
      <w:lvlText w:val="%1."/>
      <w:lvlJc w:val="left"/>
      <w:pPr>
        <w:tabs>
          <w:tab w:val="num" w:pos="720"/>
        </w:tabs>
        <w:ind w:left="720" w:hanging="360"/>
      </w:pPr>
      <w:rPr>
        <w:rFonts w:hint="default"/>
      </w:rPr>
    </w:lvl>
    <w:lvl w:ilvl="1" w:tplc="6FAA4B9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5"/>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B429FB"/>
    <w:rsid w:val="00001693"/>
    <w:rsid w:val="000026F6"/>
    <w:rsid w:val="00003794"/>
    <w:rsid w:val="00004804"/>
    <w:rsid w:val="000049C0"/>
    <w:rsid w:val="000065FB"/>
    <w:rsid w:val="00010522"/>
    <w:rsid w:val="000115C0"/>
    <w:rsid w:val="000117E0"/>
    <w:rsid w:val="00012A4A"/>
    <w:rsid w:val="00012E2B"/>
    <w:rsid w:val="00013F2B"/>
    <w:rsid w:val="000160C3"/>
    <w:rsid w:val="000166C5"/>
    <w:rsid w:val="000173C4"/>
    <w:rsid w:val="00021BD6"/>
    <w:rsid w:val="00023929"/>
    <w:rsid w:val="000242DF"/>
    <w:rsid w:val="00025DE8"/>
    <w:rsid w:val="00027EE9"/>
    <w:rsid w:val="000316DE"/>
    <w:rsid w:val="0003212A"/>
    <w:rsid w:val="000354E3"/>
    <w:rsid w:val="00035626"/>
    <w:rsid w:val="00036DA8"/>
    <w:rsid w:val="00040214"/>
    <w:rsid w:val="00041296"/>
    <w:rsid w:val="0004410F"/>
    <w:rsid w:val="00046E5C"/>
    <w:rsid w:val="0005068C"/>
    <w:rsid w:val="00050C1D"/>
    <w:rsid w:val="000524B7"/>
    <w:rsid w:val="00054DC4"/>
    <w:rsid w:val="00055044"/>
    <w:rsid w:val="000550B3"/>
    <w:rsid w:val="00055981"/>
    <w:rsid w:val="00056802"/>
    <w:rsid w:val="0006507F"/>
    <w:rsid w:val="000654BF"/>
    <w:rsid w:val="00065F5D"/>
    <w:rsid w:val="00067AD3"/>
    <w:rsid w:val="00070271"/>
    <w:rsid w:val="00073C37"/>
    <w:rsid w:val="000762DE"/>
    <w:rsid w:val="000766E2"/>
    <w:rsid w:val="00077454"/>
    <w:rsid w:val="000803E1"/>
    <w:rsid w:val="000832A5"/>
    <w:rsid w:val="00087635"/>
    <w:rsid w:val="00087D91"/>
    <w:rsid w:val="00090E23"/>
    <w:rsid w:val="000917B9"/>
    <w:rsid w:val="0009373D"/>
    <w:rsid w:val="00095217"/>
    <w:rsid w:val="000A177D"/>
    <w:rsid w:val="000A34CA"/>
    <w:rsid w:val="000A5DE7"/>
    <w:rsid w:val="000A61AD"/>
    <w:rsid w:val="000A62AE"/>
    <w:rsid w:val="000A646B"/>
    <w:rsid w:val="000B31E0"/>
    <w:rsid w:val="000B5F35"/>
    <w:rsid w:val="000C1AFF"/>
    <w:rsid w:val="000C47DE"/>
    <w:rsid w:val="000D1833"/>
    <w:rsid w:val="000D634F"/>
    <w:rsid w:val="000E07F9"/>
    <w:rsid w:val="000E140D"/>
    <w:rsid w:val="000E2B16"/>
    <w:rsid w:val="000E2C1A"/>
    <w:rsid w:val="000E607F"/>
    <w:rsid w:val="000E628D"/>
    <w:rsid w:val="000E6627"/>
    <w:rsid w:val="000E6C59"/>
    <w:rsid w:val="000E6ED9"/>
    <w:rsid w:val="000E762D"/>
    <w:rsid w:val="000F128B"/>
    <w:rsid w:val="000F2391"/>
    <w:rsid w:val="000F604B"/>
    <w:rsid w:val="000F6E11"/>
    <w:rsid w:val="000F7845"/>
    <w:rsid w:val="00100428"/>
    <w:rsid w:val="00100D00"/>
    <w:rsid w:val="00101E2C"/>
    <w:rsid w:val="00102996"/>
    <w:rsid w:val="00103A58"/>
    <w:rsid w:val="00103EF7"/>
    <w:rsid w:val="00104A71"/>
    <w:rsid w:val="00106112"/>
    <w:rsid w:val="00107E3B"/>
    <w:rsid w:val="00110713"/>
    <w:rsid w:val="00116333"/>
    <w:rsid w:val="00121C49"/>
    <w:rsid w:val="001243BC"/>
    <w:rsid w:val="00125B1B"/>
    <w:rsid w:val="00127F41"/>
    <w:rsid w:val="0013538A"/>
    <w:rsid w:val="00136B15"/>
    <w:rsid w:val="00141062"/>
    <w:rsid w:val="00142FF0"/>
    <w:rsid w:val="0014387E"/>
    <w:rsid w:val="00143E7A"/>
    <w:rsid w:val="0015043A"/>
    <w:rsid w:val="00151AAA"/>
    <w:rsid w:val="001530B6"/>
    <w:rsid w:val="0015428F"/>
    <w:rsid w:val="0015515E"/>
    <w:rsid w:val="001560B0"/>
    <w:rsid w:val="00156196"/>
    <w:rsid w:val="00160FD2"/>
    <w:rsid w:val="00163B93"/>
    <w:rsid w:val="001703F4"/>
    <w:rsid w:val="00170D5C"/>
    <w:rsid w:val="00172AC7"/>
    <w:rsid w:val="0017332E"/>
    <w:rsid w:val="001750FD"/>
    <w:rsid w:val="0018048A"/>
    <w:rsid w:val="001816AE"/>
    <w:rsid w:val="00181822"/>
    <w:rsid w:val="00183D1C"/>
    <w:rsid w:val="00185E93"/>
    <w:rsid w:val="00186D4E"/>
    <w:rsid w:val="00187470"/>
    <w:rsid w:val="00196072"/>
    <w:rsid w:val="001970BC"/>
    <w:rsid w:val="00197476"/>
    <w:rsid w:val="001A29FD"/>
    <w:rsid w:val="001A316A"/>
    <w:rsid w:val="001A36EC"/>
    <w:rsid w:val="001A7DB5"/>
    <w:rsid w:val="001A7FE7"/>
    <w:rsid w:val="001B4165"/>
    <w:rsid w:val="001C07A9"/>
    <w:rsid w:val="001C161B"/>
    <w:rsid w:val="001C4B66"/>
    <w:rsid w:val="001C6014"/>
    <w:rsid w:val="001D0887"/>
    <w:rsid w:val="001D4223"/>
    <w:rsid w:val="001D4C68"/>
    <w:rsid w:val="001D5B56"/>
    <w:rsid w:val="001D67B0"/>
    <w:rsid w:val="001D6ABB"/>
    <w:rsid w:val="001D6D8D"/>
    <w:rsid w:val="001D6F59"/>
    <w:rsid w:val="001D748D"/>
    <w:rsid w:val="001E08A5"/>
    <w:rsid w:val="001E1135"/>
    <w:rsid w:val="001E1936"/>
    <w:rsid w:val="001E1B21"/>
    <w:rsid w:val="001E663F"/>
    <w:rsid w:val="001E7739"/>
    <w:rsid w:val="001E7DE4"/>
    <w:rsid w:val="001E7F0B"/>
    <w:rsid w:val="001F12BB"/>
    <w:rsid w:val="001F2B3D"/>
    <w:rsid w:val="001F4756"/>
    <w:rsid w:val="00200384"/>
    <w:rsid w:val="002046FC"/>
    <w:rsid w:val="00204751"/>
    <w:rsid w:val="002055E9"/>
    <w:rsid w:val="00205B09"/>
    <w:rsid w:val="00210B40"/>
    <w:rsid w:val="00211222"/>
    <w:rsid w:val="002169FD"/>
    <w:rsid w:val="00222C0B"/>
    <w:rsid w:val="00230AB3"/>
    <w:rsid w:val="002323F1"/>
    <w:rsid w:val="00233300"/>
    <w:rsid w:val="002337F3"/>
    <w:rsid w:val="0023496C"/>
    <w:rsid w:val="0023563E"/>
    <w:rsid w:val="00235798"/>
    <w:rsid w:val="00236540"/>
    <w:rsid w:val="002373C8"/>
    <w:rsid w:val="00240A1C"/>
    <w:rsid w:val="00242171"/>
    <w:rsid w:val="00243107"/>
    <w:rsid w:val="00243352"/>
    <w:rsid w:val="002438A1"/>
    <w:rsid w:val="0024453C"/>
    <w:rsid w:val="00245DD4"/>
    <w:rsid w:val="0024619D"/>
    <w:rsid w:val="00246C43"/>
    <w:rsid w:val="002470A0"/>
    <w:rsid w:val="002473D0"/>
    <w:rsid w:val="00250D3B"/>
    <w:rsid w:val="0025280A"/>
    <w:rsid w:val="00255803"/>
    <w:rsid w:val="00256BB4"/>
    <w:rsid w:val="00257936"/>
    <w:rsid w:val="002619E5"/>
    <w:rsid w:val="00262B0C"/>
    <w:rsid w:val="00266039"/>
    <w:rsid w:val="00270F63"/>
    <w:rsid w:val="002716F9"/>
    <w:rsid w:val="00271AE0"/>
    <w:rsid w:val="00271CEE"/>
    <w:rsid w:val="0027229D"/>
    <w:rsid w:val="00273585"/>
    <w:rsid w:val="002737E6"/>
    <w:rsid w:val="00273A73"/>
    <w:rsid w:val="00273D3C"/>
    <w:rsid w:val="002742D2"/>
    <w:rsid w:val="00275886"/>
    <w:rsid w:val="002766A4"/>
    <w:rsid w:val="002819A8"/>
    <w:rsid w:val="002837C3"/>
    <w:rsid w:val="002849F0"/>
    <w:rsid w:val="00285589"/>
    <w:rsid w:val="002855F9"/>
    <w:rsid w:val="00286F0A"/>
    <w:rsid w:val="00287C97"/>
    <w:rsid w:val="00290063"/>
    <w:rsid w:val="00290AFB"/>
    <w:rsid w:val="002A0234"/>
    <w:rsid w:val="002A1D5A"/>
    <w:rsid w:val="002A3E5A"/>
    <w:rsid w:val="002A572B"/>
    <w:rsid w:val="002A7254"/>
    <w:rsid w:val="002A788E"/>
    <w:rsid w:val="002A79D4"/>
    <w:rsid w:val="002A7BDE"/>
    <w:rsid w:val="002B0407"/>
    <w:rsid w:val="002B2E38"/>
    <w:rsid w:val="002B45F4"/>
    <w:rsid w:val="002B46C5"/>
    <w:rsid w:val="002C2137"/>
    <w:rsid w:val="002C311A"/>
    <w:rsid w:val="002C4D45"/>
    <w:rsid w:val="002C55A3"/>
    <w:rsid w:val="002D069E"/>
    <w:rsid w:val="002D17FA"/>
    <w:rsid w:val="002D1B48"/>
    <w:rsid w:val="002D2CC9"/>
    <w:rsid w:val="002D2E17"/>
    <w:rsid w:val="002D5685"/>
    <w:rsid w:val="002D74E1"/>
    <w:rsid w:val="002E05CF"/>
    <w:rsid w:val="002E0D9B"/>
    <w:rsid w:val="002E1BDA"/>
    <w:rsid w:val="002E24E7"/>
    <w:rsid w:val="002E28D6"/>
    <w:rsid w:val="002E38A0"/>
    <w:rsid w:val="002E3C15"/>
    <w:rsid w:val="002E3CFF"/>
    <w:rsid w:val="002E4271"/>
    <w:rsid w:val="002E7B44"/>
    <w:rsid w:val="002E7D68"/>
    <w:rsid w:val="002F2B22"/>
    <w:rsid w:val="002F42D3"/>
    <w:rsid w:val="002F4415"/>
    <w:rsid w:val="002F7958"/>
    <w:rsid w:val="00301D3A"/>
    <w:rsid w:val="00302547"/>
    <w:rsid w:val="0030278A"/>
    <w:rsid w:val="00303330"/>
    <w:rsid w:val="00307119"/>
    <w:rsid w:val="00310838"/>
    <w:rsid w:val="003131E8"/>
    <w:rsid w:val="00322D0C"/>
    <w:rsid w:val="00324ABA"/>
    <w:rsid w:val="00324F71"/>
    <w:rsid w:val="003250B0"/>
    <w:rsid w:val="0032627F"/>
    <w:rsid w:val="00326588"/>
    <w:rsid w:val="0033019F"/>
    <w:rsid w:val="00332C65"/>
    <w:rsid w:val="00333151"/>
    <w:rsid w:val="00336A7D"/>
    <w:rsid w:val="00336C3C"/>
    <w:rsid w:val="00337571"/>
    <w:rsid w:val="00341DFE"/>
    <w:rsid w:val="003439A9"/>
    <w:rsid w:val="003442D1"/>
    <w:rsid w:val="00344D96"/>
    <w:rsid w:val="00350E36"/>
    <w:rsid w:val="00350FC6"/>
    <w:rsid w:val="00351DA3"/>
    <w:rsid w:val="00352942"/>
    <w:rsid w:val="00354B6D"/>
    <w:rsid w:val="0035604C"/>
    <w:rsid w:val="00362CAA"/>
    <w:rsid w:val="00362E60"/>
    <w:rsid w:val="0036714A"/>
    <w:rsid w:val="003728ED"/>
    <w:rsid w:val="003731DE"/>
    <w:rsid w:val="00374EF4"/>
    <w:rsid w:val="00375408"/>
    <w:rsid w:val="003765A9"/>
    <w:rsid w:val="003779F7"/>
    <w:rsid w:val="0038084C"/>
    <w:rsid w:val="00381A04"/>
    <w:rsid w:val="003822DE"/>
    <w:rsid w:val="003833D4"/>
    <w:rsid w:val="0038458A"/>
    <w:rsid w:val="00385081"/>
    <w:rsid w:val="00386593"/>
    <w:rsid w:val="003875DE"/>
    <w:rsid w:val="00390422"/>
    <w:rsid w:val="00390D5A"/>
    <w:rsid w:val="00393A66"/>
    <w:rsid w:val="00394639"/>
    <w:rsid w:val="003957CB"/>
    <w:rsid w:val="00397022"/>
    <w:rsid w:val="003971AB"/>
    <w:rsid w:val="00397FA4"/>
    <w:rsid w:val="003A0647"/>
    <w:rsid w:val="003A0D61"/>
    <w:rsid w:val="003A291D"/>
    <w:rsid w:val="003A41F3"/>
    <w:rsid w:val="003A4971"/>
    <w:rsid w:val="003A64B1"/>
    <w:rsid w:val="003A7275"/>
    <w:rsid w:val="003A7DFD"/>
    <w:rsid w:val="003B1C1F"/>
    <w:rsid w:val="003B3595"/>
    <w:rsid w:val="003B46E5"/>
    <w:rsid w:val="003B6111"/>
    <w:rsid w:val="003C0019"/>
    <w:rsid w:val="003C1F5F"/>
    <w:rsid w:val="003C27AC"/>
    <w:rsid w:val="003C2B33"/>
    <w:rsid w:val="003C312C"/>
    <w:rsid w:val="003C40C1"/>
    <w:rsid w:val="003C451C"/>
    <w:rsid w:val="003C570C"/>
    <w:rsid w:val="003C6839"/>
    <w:rsid w:val="003C7DDA"/>
    <w:rsid w:val="003D1808"/>
    <w:rsid w:val="003D2046"/>
    <w:rsid w:val="003D2386"/>
    <w:rsid w:val="003D3742"/>
    <w:rsid w:val="003D5074"/>
    <w:rsid w:val="003D6E36"/>
    <w:rsid w:val="003E1F78"/>
    <w:rsid w:val="003E2EB1"/>
    <w:rsid w:val="003E4569"/>
    <w:rsid w:val="003E4DC4"/>
    <w:rsid w:val="003E4E01"/>
    <w:rsid w:val="003E58B8"/>
    <w:rsid w:val="003E5B1F"/>
    <w:rsid w:val="003F0678"/>
    <w:rsid w:val="003F118F"/>
    <w:rsid w:val="003F207E"/>
    <w:rsid w:val="003F2F97"/>
    <w:rsid w:val="003F3BCC"/>
    <w:rsid w:val="003F6AF1"/>
    <w:rsid w:val="003F774F"/>
    <w:rsid w:val="003F7FA5"/>
    <w:rsid w:val="00400AFA"/>
    <w:rsid w:val="00401301"/>
    <w:rsid w:val="004014CD"/>
    <w:rsid w:val="0040362C"/>
    <w:rsid w:val="00403D43"/>
    <w:rsid w:val="00404254"/>
    <w:rsid w:val="00405F65"/>
    <w:rsid w:val="00407E7A"/>
    <w:rsid w:val="00410F8E"/>
    <w:rsid w:val="004113E0"/>
    <w:rsid w:val="00411A15"/>
    <w:rsid w:val="00411DE6"/>
    <w:rsid w:val="0041455F"/>
    <w:rsid w:val="004170D5"/>
    <w:rsid w:val="00421DF5"/>
    <w:rsid w:val="00422012"/>
    <w:rsid w:val="004226BF"/>
    <w:rsid w:val="00422EC6"/>
    <w:rsid w:val="00423C36"/>
    <w:rsid w:val="004255E6"/>
    <w:rsid w:val="00425762"/>
    <w:rsid w:val="00425B86"/>
    <w:rsid w:val="00425D24"/>
    <w:rsid w:val="004264E3"/>
    <w:rsid w:val="004278B7"/>
    <w:rsid w:val="004278EA"/>
    <w:rsid w:val="00427F3C"/>
    <w:rsid w:val="004315A4"/>
    <w:rsid w:val="00432139"/>
    <w:rsid w:val="0043229D"/>
    <w:rsid w:val="00437737"/>
    <w:rsid w:val="00440077"/>
    <w:rsid w:val="0044132F"/>
    <w:rsid w:val="004417D3"/>
    <w:rsid w:val="00442748"/>
    <w:rsid w:val="00443DB4"/>
    <w:rsid w:val="00443E4D"/>
    <w:rsid w:val="00444E2E"/>
    <w:rsid w:val="00447D22"/>
    <w:rsid w:val="00450A81"/>
    <w:rsid w:val="00451769"/>
    <w:rsid w:val="004517E0"/>
    <w:rsid w:val="0045350A"/>
    <w:rsid w:val="00453B28"/>
    <w:rsid w:val="004541C3"/>
    <w:rsid w:val="00461A7F"/>
    <w:rsid w:val="00466BAC"/>
    <w:rsid w:val="004700B6"/>
    <w:rsid w:val="00470E3D"/>
    <w:rsid w:val="00473E55"/>
    <w:rsid w:val="00476161"/>
    <w:rsid w:val="00476B71"/>
    <w:rsid w:val="00483C71"/>
    <w:rsid w:val="00484E4B"/>
    <w:rsid w:val="00491766"/>
    <w:rsid w:val="00491F16"/>
    <w:rsid w:val="004920E3"/>
    <w:rsid w:val="004938A2"/>
    <w:rsid w:val="00495E2E"/>
    <w:rsid w:val="004A177E"/>
    <w:rsid w:val="004A19CD"/>
    <w:rsid w:val="004A239A"/>
    <w:rsid w:val="004A4002"/>
    <w:rsid w:val="004A4CFB"/>
    <w:rsid w:val="004A4E71"/>
    <w:rsid w:val="004A7AE0"/>
    <w:rsid w:val="004B1467"/>
    <w:rsid w:val="004B1D83"/>
    <w:rsid w:val="004B2C3C"/>
    <w:rsid w:val="004B54F0"/>
    <w:rsid w:val="004B5E45"/>
    <w:rsid w:val="004B6A70"/>
    <w:rsid w:val="004B6B2F"/>
    <w:rsid w:val="004B6C67"/>
    <w:rsid w:val="004B71F0"/>
    <w:rsid w:val="004B7754"/>
    <w:rsid w:val="004B7EB5"/>
    <w:rsid w:val="004C084B"/>
    <w:rsid w:val="004C206F"/>
    <w:rsid w:val="004C216D"/>
    <w:rsid w:val="004C3672"/>
    <w:rsid w:val="004C3CB2"/>
    <w:rsid w:val="004C5994"/>
    <w:rsid w:val="004C5D41"/>
    <w:rsid w:val="004C5F9A"/>
    <w:rsid w:val="004C6820"/>
    <w:rsid w:val="004D134A"/>
    <w:rsid w:val="004D19B8"/>
    <w:rsid w:val="004D240C"/>
    <w:rsid w:val="004D26A1"/>
    <w:rsid w:val="004D3776"/>
    <w:rsid w:val="004D4AA5"/>
    <w:rsid w:val="004D4F58"/>
    <w:rsid w:val="004D6E2E"/>
    <w:rsid w:val="004D777F"/>
    <w:rsid w:val="004E0BD5"/>
    <w:rsid w:val="004E1293"/>
    <w:rsid w:val="004E21A1"/>
    <w:rsid w:val="004E3EB5"/>
    <w:rsid w:val="004E65B1"/>
    <w:rsid w:val="004F0BF9"/>
    <w:rsid w:val="004F1A72"/>
    <w:rsid w:val="004F1F84"/>
    <w:rsid w:val="004F587B"/>
    <w:rsid w:val="004F7212"/>
    <w:rsid w:val="0050051E"/>
    <w:rsid w:val="00500AA2"/>
    <w:rsid w:val="00501A08"/>
    <w:rsid w:val="0050504B"/>
    <w:rsid w:val="005065F4"/>
    <w:rsid w:val="00510299"/>
    <w:rsid w:val="0051216B"/>
    <w:rsid w:val="00513935"/>
    <w:rsid w:val="005140E0"/>
    <w:rsid w:val="0051507F"/>
    <w:rsid w:val="00515A06"/>
    <w:rsid w:val="005160C3"/>
    <w:rsid w:val="00516638"/>
    <w:rsid w:val="00517894"/>
    <w:rsid w:val="00524118"/>
    <w:rsid w:val="00524DD9"/>
    <w:rsid w:val="005267D8"/>
    <w:rsid w:val="0053006E"/>
    <w:rsid w:val="0053086A"/>
    <w:rsid w:val="00530AA5"/>
    <w:rsid w:val="005330CE"/>
    <w:rsid w:val="00533B51"/>
    <w:rsid w:val="00535F9E"/>
    <w:rsid w:val="00536278"/>
    <w:rsid w:val="00540E0C"/>
    <w:rsid w:val="00541E16"/>
    <w:rsid w:val="005427CB"/>
    <w:rsid w:val="005459E2"/>
    <w:rsid w:val="00545E08"/>
    <w:rsid w:val="0054699B"/>
    <w:rsid w:val="00547376"/>
    <w:rsid w:val="00547568"/>
    <w:rsid w:val="00547DC6"/>
    <w:rsid w:val="00550F54"/>
    <w:rsid w:val="00551A64"/>
    <w:rsid w:val="0055265F"/>
    <w:rsid w:val="00552F0B"/>
    <w:rsid w:val="00554265"/>
    <w:rsid w:val="005545CD"/>
    <w:rsid w:val="00562864"/>
    <w:rsid w:val="00562EDF"/>
    <w:rsid w:val="0056380B"/>
    <w:rsid w:val="00565010"/>
    <w:rsid w:val="005655C1"/>
    <w:rsid w:val="00566ABF"/>
    <w:rsid w:val="00567BEC"/>
    <w:rsid w:val="005728C6"/>
    <w:rsid w:val="005748F1"/>
    <w:rsid w:val="00574EF3"/>
    <w:rsid w:val="00575108"/>
    <w:rsid w:val="0058143F"/>
    <w:rsid w:val="005817CF"/>
    <w:rsid w:val="0058275F"/>
    <w:rsid w:val="0058354F"/>
    <w:rsid w:val="005839FC"/>
    <w:rsid w:val="00584654"/>
    <w:rsid w:val="005901A0"/>
    <w:rsid w:val="00590DF3"/>
    <w:rsid w:val="005935AE"/>
    <w:rsid w:val="00594384"/>
    <w:rsid w:val="00595D7D"/>
    <w:rsid w:val="00597707"/>
    <w:rsid w:val="005A2311"/>
    <w:rsid w:val="005A25B4"/>
    <w:rsid w:val="005A3BAA"/>
    <w:rsid w:val="005A50FD"/>
    <w:rsid w:val="005A5834"/>
    <w:rsid w:val="005A6208"/>
    <w:rsid w:val="005A6C86"/>
    <w:rsid w:val="005A6EFC"/>
    <w:rsid w:val="005B12C6"/>
    <w:rsid w:val="005B1602"/>
    <w:rsid w:val="005B2037"/>
    <w:rsid w:val="005B2918"/>
    <w:rsid w:val="005B30AF"/>
    <w:rsid w:val="005B47D0"/>
    <w:rsid w:val="005B6D2C"/>
    <w:rsid w:val="005B7A7B"/>
    <w:rsid w:val="005C059D"/>
    <w:rsid w:val="005C11F4"/>
    <w:rsid w:val="005C2962"/>
    <w:rsid w:val="005C4E8E"/>
    <w:rsid w:val="005C5ACF"/>
    <w:rsid w:val="005C6003"/>
    <w:rsid w:val="005D3FFB"/>
    <w:rsid w:val="005D444B"/>
    <w:rsid w:val="005D51F8"/>
    <w:rsid w:val="005D582F"/>
    <w:rsid w:val="005D6539"/>
    <w:rsid w:val="005D689F"/>
    <w:rsid w:val="005D69F4"/>
    <w:rsid w:val="005D6A49"/>
    <w:rsid w:val="005E0083"/>
    <w:rsid w:val="005E00EB"/>
    <w:rsid w:val="005E6D77"/>
    <w:rsid w:val="005F14E9"/>
    <w:rsid w:val="005F2C77"/>
    <w:rsid w:val="005F2DED"/>
    <w:rsid w:val="005F361D"/>
    <w:rsid w:val="005F396E"/>
    <w:rsid w:val="005F3CC6"/>
    <w:rsid w:val="005F44AC"/>
    <w:rsid w:val="005F457C"/>
    <w:rsid w:val="005F5017"/>
    <w:rsid w:val="005F5E6C"/>
    <w:rsid w:val="00603197"/>
    <w:rsid w:val="0060424C"/>
    <w:rsid w:val="00605A88"/>
    <w:rsid w:val="00606423"/>
    <w:rsid w:val="0060689E"/>
    <w:rsid w:val="00606D15"/>
    <w:rsid w:val="00607B37"/>
    <w:rsid w:val="00607E7C"/>
    <w:rsid w:val="00613AE6"/>
    <w:rsid w:val="006140B8"/>
    <w:rsid w:val="00614F80"/>
    <w:rsid w:val="00615028"/>
    <w:rsid w:val="00617FB4"/>
    <w:rsid w:val="006205B3"/>
    <w:rsid w:val="00621A79"/>
    <w:rsid w:val="0062490A"/>
    <w:rsid w:val="00624B0E"/>
    <w:rsid w:val="006262CA"/>
    <w:rsid w:val="006339DB"/>
    <w:rsid w:val="0063494B"/>
    <w:rsid w:val="00634F85"/>
    <w:rsid w:val="00636473"/>
    <w:rsid w:val="006368CA"/>
    <w:rsid w:val="0064032D"/>
    <w:rsid w:val="00641027"/>
    <w:rsid w:val="006413CF"/>
    <w:rsid w:val="006441AA"/>
    <w:rsid w:val="00644E09"/>
    <w:rsid w:val="0064583E"/>
    <w:rsid w:val="006500BF"/>
    <w:rsid w:val="0065068D"/>
    <w:rsid w:val="00651714"/>
    <w:rsid w:val="00651FE7"/>
    <w:rsid w:val="006521F8"/>
    <w:rsid w:val="0065231A"/>
    <w:rsid w:val="006526F9"/>
    <w:rsid w:val="0065457F"/>
    <w:rsid w:val="006551AB"/>
    <w:rsid w:val="00667C0D"/>
    <w:rsid w:val="00667D31"/>
    <w:rsid w:val="006720B6"/>
    <w:rsid w:val="0067304A"/>
    <w:rsid w:val="006734F5"/>
    <w:rsid w:val="00675EE1"/>
    <w:rsid w:val="0067699C"/>
    <w:rsid w:val="00676E6D"/>
    <w:rsid w:val="00677A3B"/>
    <w:rsid w:val="00681300"/>
    <w:rsid w:val="00683392"/>
    <w:rsid w:val="00684400"/>
    <w:rsid w:val="00684615"/>
    <w:rsid w:val="00686959"/>
    <w:rsid w:val="006911B1"/>
    <w:rsid w:val="00691BE6"/>
    <w:rsid w:val="00692238"/>
    <w:rsid w:val="00693551"/>
    <w:rsid w:val="00694579"/>
    <w:rsid w:val="006945B7"/>
    <w:rsid w:val="00697100"/>
    <w:rsid w:val="006A06FD"/>
    <w:rsid w:val="006A0F90"/>
    <w:rsid w:val="006A2FD1"/>
    <w:rsid w:val="006A4044"/>
    <w:rsid w:val="006B06E7"/>
    <w:rsid w:val="006B0B05"/>
    <w:rsid w:val="006B0C86"/>
    <w:rsid w:val="006B23DB"/>
    <w:rsid w:val="006B45B8"/>
    <w:rsid w:val="006B4EFC"/>
    <w:rsid w:val="006B61C9"/>
    <w:rsid w:val="006B7C7D"/>
    <w:rsid w:val="006C0650"/>
    <w:rsid w:val="006C0E64"/>
    <w:rsid w:val="006C25C7"/>
    <w:rsid w:val="006C35EF"/>
    <w:rsid w:val="006C5860"/>
    <w:rsid w:val="006C5A61"/>
    <w:rsid w:val="006D0279"/>
    <w:rsid w:val="006D485E"/>
    <w:rsid w:val="006D4EF5"/>
    <w:rsid w:val="006D5247"/>
    <w:rsid w:val="006D7CBB"/>
    <w:rsid w:val="006D7F11"/>
    <w:rsid w:val="006E0703"/>
    <w:rsid w:val="006E5085"/>
    <w:rsid w:val="006E51E0"/>
    <w:rsid w:val="006E6A84"/>
    <w:rsid w:val="006F2456"/>
    <w:rsid w:val="006F2836"/>
    <w:rsid w:val="006F2F63"/>
    <w:rsid w:val="006F4473"/>
    <w:rsid w:val="006F604B"/>
    <w:rsid w:val="006F67AF"/>
    <w:rsid w:val="00700FAA"/>
    <w:rsid w:val="00701AC7"/>
    <w:rsid w:val="00702FC0"/>
    <w:rsid w:val="00703ED1"/>
    <w:rsid w:val="0070433E"/>
    <w:rsid w:val="00705709"/>
    <w:rsid w:val="00711546"/>
    <w:rsid w:val="007140EB"/>
    <w:rsid w:val="00714283"/>
    <w:rsid w:val="00717DFF"/>
    <w:rsid w:val="00724317"/>
    <w:rsid w:val="00726AE1"/>
    <w:rsid w:val="00732CDC"/>
    <w:rsid w:val="00733AA2"/>
    <w:rsid w:val="00735076"/>
    <w:rsid w:val="00740A2D"/>
    <w:rsid w:val="00742235"/>
    <w:rsid w:val="00744E4F"/>
    <w:rsid w:val="00747023"/>
    <w:rsid w:val="00751735"/>
    <w:rsid w:val="007622E0"/>
    <w:rsid w:val="007625BB"/>
    <w:rsid w:val="0076294D"/>
    <w:rsid w:val="0076376B"/>
    <w:rsid w:val="00764420"/>
    <w:rsid w:val="00765E23"/>
    <w:rsid w:val="00766A93"/>
    <w:rsid w:val="00767692"/>
    <w:rsid w:val="00767940"/>
    <w:rsid w:val="00771AEE"/>
    <w:rsid w:val="0077257E"/>
    <w:rsid w:val="00773409"/>
    <w:rsid w:val="00774259"/>
    <w:rsid w:val="00775CDC"/>
    <w:rsid w:val="0077784E"/>
    <w:rsid w:val="00780858"/>
    <w:rsid w:val="00785BF2"/>
    <w:rsid w:val="00787734"/>
    <w:rsid w:val="007877D6"/>
    <w:rsid w:val="00791623"/>
    <w:rsid w:val="00792B00"/>
    <w:rsid w:val="00792E49"/>
    <w:rsid w:val="00793484"/>
    <w:rsid w:val="00795372"/>
    <w:rsid w:val="00795F53"/>
    <w:rsid w:val="007A0C00"/>
    <w:rsid w:val="007A235E"/>
    <w:rsid w:val="007A329F"/>
    <w:rsid w:val="007A355F"/>
    <w:rsid w:val="007A3878"/>
    <w:rsid w:val="007A452D"/>
    <w:rsid w:val="007A67DB"/>
    <w:rsid w:val="007B12D6"/>
    <w:rsid w:val="007B1340"/>
    <w:rsid w:val="007B3D22"/>
    <w:rsid w:val="007B43DD"/>
    <w:rsid w:val="007B6699"/>
    <w:rsid w:val="007C0E1E"/>
    <w:rsid w:val="007C100C"/>
    <w:rsid w:val="007C1158"/>
    <w:rsid w:val="007C1E60"/>
    <w:rsid w:val="007C4673"/>
    <w:rsid w:val="007C5C3E"/>
    <w:rsid w:val="007C5D7D"/>
    <w:rsid w:val="007D2044"/>
    <w:rsid w:val="007E10B0"/>
    <w:rsid w:val="007E20B8"/>
    <w:rsid w:val="007E672C"/>
    <w:rsid w:val="007E6BE8"/>
    <w:rsid w:val="007E7F6C"/>
    <w:rsid w:val="007F0200"/>
    <w:rsid w:val="007F0A5C"/>
    <w:rsid w:val="007F0C5A"/>
    <w:rsid w:val="007F1033"/>
    <w:rsid w:val="007F4ADA"/>
    <w:rsid w:val="007F7B81"/>
    <w:rsid w:val="008008E5"/>
    <w:rsid w:val="00803BB9"/>
    <w:rsid w:val="00803D11"/>
    <w:rsid w:val="00804549"/>
    <w:rsid w:val="00810524"/>
    <w:rsid w:val="00814E09"/>
    <w:rsid w:val="0081532B"/>
    <w:rsid w:val="00823FB5"/>
    <w:rsid w:val="00824775"/>
    <w:rsid w:val="008257C3"/>
    <w:rsid w:val="00826C8B"/>
    <w:rsid w:val="00826F20"/>
    <w:rsid w:val="00830B7C"/>
    <w:rsid w:val="00830D28"/>
    <w:rsid w:val="008326B1"/>
    <w:rsid w:val="008332C3"/>
    <w:rsid w:val="00833A9F"/>
    <w:rsid w:val="00834897"/>
    <w:rsid w:val="0083626F"/>
    <w:rsid w:val="00841AFC"/>
    <w:rsid w:val="00843108"/>
    <w:rsid w:val="008436E5"/>
    <w:rsid w:val="00843909"/>
    <w:rsid w:val="00845292"/>
    <w:rsid w:val="00846751"/>
    <w:rsid w:val="008469AE"/>
    <w:rsid w:val="00850230"/>
    <w:rsid w:val="00850FDA"/>
    <w:rsid w:val="00854503"/>
    <w:rsid w:val="00860E11"/>
    <w:rsid w:val="00860FDB"/>
    <w:rsid w:val="00861469"/>
    <w:rsid w:val="00861CB1"/>
    <w:rsid w:val="008628B4"/>
    <w:rsid w:val="008636E5"/>
    <w:rsid w:val="00867B94"/>
    <w:rsid w:val="00872460"/>
    <w:rsid w:val="0087295C"/>
    <w:rsid w:val="00874590"/>
    <w:rsid w:val="00875ABF"/>
    <w:rsid w:val="00875B70"/>
    <w:rsid w:val="00875E92"/>
    <w:rsid w:val="0087726F"/>
    <w:rsid w:val="00877416"/>
    <w:rsid w:val="00877F25"/>
    <w:rsid w:val="00880936"/>
    <w:rsid w:val="00881234"/>
    <w:rsid w:val="008813ED"/>
    <w:rsid w:val="008824F6"/>
    <w:rsid w:val="00882D6C"/>
    <w:rsid w:val="0088375A"/>
    <w:rsid w:val="00884497"/>
    <w:rsid w:val="00890BEA"/>
    <w:rsid w:val="00891D72"/>
    <w:rsid w:val="00894936"/>
    <w:rsid w:val="008962B5"/>
    <w:rsid w:val="0089765E"/>
    <w:rsid w:val="008A0657"/>
    <w:rsid w:val="008A3DB1"/>
    <w:rsid w:val="008A3FD5"/>
    <w:rsid w:val="008A7E21"/>
    <w:rsid w:val="008B093F"/>
    <w:rsid w:val="008B0D76"/>
    <w:rsid w:val="008B41B2"/>
    <w:rsid w:val="008B447C"/>
    <w:rsid w:val="008C1B8A"/>
    <w:rsid w:val="008C2F68"/>
    <w:rsid w:val="008D0A4F"/>
    <w:rsid w:val="008D30DF"/>
    <w:rsid w:val="008D322E"/>
    <w:rsid w:val="008D3576"/>
    <w:rsid w:val="008D357B"/>
    <w:rsid w:val="008D398A"/>
    <w:rsid w:val="008E0351"/>
    <w:rsid w:val="008E0FEC"/>
    <w:rsid w:val="008E23B6"/>
    <w:rsid w:val="008E3564"/>
    <w:rsid w:val="008E416E"/>
    <w:rsid w:val="008E4C2A"/>
    <w:rsid w:val="008E6255"/>
    <w:rsid w:val="008E665D"/>
    <w:rsid w:val="008E7388"/>
    <w:rsid w:val="008E74E0"/>
    <w:rsid w:val="008F0D49"/>
    <w:rsid w:val="008F1791"/>
    <w:rsid w:val="008F219B"/>
    <w:rsid w:val="008F30DA"/>
    <w:rsid w:val="008F35E2"/>
    <w:rsid w:val="008F3B7D"/>
    <w:rsid w:val="008F7B18"/>
    <w:rsid w:val="009021BC"/>
    <w:rsid w:val="00902B23"/>
    <w:rsid w:val="0090460B"/>
    <w:rsid w:val="0090767B"/>
    <w:rsid w:val="00913613"/>
    <w:rsid w:val="00913742"/>
    <w:rsid w:val="00914110"/>
    <w:rsid w:val="00915199"/>
    <w:rsid w:val="0091597D"/>
    <w:rsid w:val="00920853"/>
    <w:rsid w:val="00921148"/>
    <w:rsid w:val="00921700"/>
    <w:rsid w:val="00923619"/>
    <w:rsid w:val="00923DDC"/>
    <w:rsid w:val="00925D38"/>
    <w:rsid w:val="00927CF8"/>
    <w:rsid w:val="0093125C"/>
    <w:rsid w:val="0093137D"/>
    <w:rsid w:val="00931669"/>
    <w:rsid w:val="00935007"/>
    <w:rsid w:val="00936E09"/>
    <w:rsid w:val="00940EB5"/>
    <w:rsid w:val="00945EBE"/>
    <w:rsid w:val="00946EA6"/>
    <w:rsid w:val="0094701F"/>
    <w:rsid w:val="0095222C"/>
    <w:rsid w:val="0095794F"/>
    <w:rsid w:val="00961BC1"/>
    <w:rsid w:val="00962A62"/>
    <w:rsid w:val="009636BB"/>
    <w:rsid w:val="00964EBF"/>
    <w:rsid w:val="00965855"/>
    <w:rsid w:val="00966BA8"/>
    <w:rsid w:val="00975053"/>
    <w:rsid w:val="0097576E"/>
    <w:rsid w:val="00975B4F"/>
    <w:rsid w:val="009764B6"/>
    <w:rsid w:val="00984AF0"/>
    <w:rsid w:val="00987109"/>
    <w:rsid w:val="00990061"/>
    <w:rsid w:val="00990101"/>
    <w:rsid w:val="00990A3F"/>
    <w:rsid w:val="00990C95"/>
    <w:rsid w:val="00990D90"/>
    <w:rsid w:val="0099246D"/>
    <w:rsid w:val="00992DF4"/>
    <w:rsid w:val="00993528"/>
    <w:rsid w:val="00997695"/>
    <w:rsid w:val="009A6ABE"/>
    <w:rsid w:val="009A7700"/>
    <w:rsid w:val="009B386D"/>
    <w:rsid w:val="009B4717"/>
    <w:rsid w:val="009B514E"/>
    <w:rsid w:val="009B55BC"/>
    <w:rsid w:val="009B6BD2"/>
    <w:rsid w:val="009B6F7E"/>
    <w:rsid w:val="009C01DA"/>
    <w:rsid w:val="009C170C"/>
    <w:rsid w:val="009C1C31"/>
    <w:rsid w:val="009C1CF9"/>
    <w:rsid w:val="009C2374"/>
    <w:rsid w:val="009C38F5"/>
    <w:rsid w:val="009C7967"/>
    <w:rsid w:val="009D11CE"/>
    <w:rsid w:val="009D5B30"/>
    <w:rsid w:val="009D5B91"/>
    <w:rsid w:val="009E2732"/>
    <w:rsid w:val="009E2B5B"/>
    <w:rsid w:val="009E45B2"/>
    <w:rsid w:val="009E4B94"/>
    <w:rsid w:val="009E715F"/>
    <w:rsid w:val="009F18F5"/>
    <w:rsid w:val="009F29FE"/>
    <w:rsid w:val="009F3165"/>
    <w:rsid w:val="009F6D57"/>
    <w:rsid w:val="009F6D5D"/>
    <w:rsid w:val="009F7D76"/>
    <w:rsid w:val="00A0045F"/>
    <w:rsid w:val="00A01EE4"/>
    <w:rsid w:val="00A02F08"/>
    <w:rsid w:val="00A068B6"/>
    <w:rsid w:val="00A0692E"/>
    <w:rsid w:val="00A109B6"/>
    <w:rsid w:val="00A1190F"/>
    <w:rsid w:val="00A13B79"/>
    <w:rsid w:val="00A15AB3"/>
    <w:rsid w:val="00A1694C"/>
    <w:rsid w:val="00A17ABE"/>
    <w:rsid w:val="00A22653"/>
    <w:rsid w:val="00A22D01"/>
    <w:rsid w:val="00A242C2"/>
    <w:rsid w:val="00A2749B"/>
    <w:rsid w:val="00A2751E"/>
    <w:rsid w:val="00A30CE1"/>
    <w:rsid w:val="00A31C4C"/>
    <w:rsid w:val="00A367F7"/>
    <w:rsid w:val="00A37BD5"/>
    <w:rsid w:val="00A40CC9"/>
    <w:rsid w:val="00A410E7"/>
    <w:rsid w:val="00A41432"/>
    <w:rsid w:val="00A432F0"/>
    <w:rsid w:val="00A45B84"/>
    <w:rsid w:val="00A46E19"/>
    <w:rsid w:val="00A478EC"/>
    <w:rsid w:val="00A50DB5"/>
    <w:rsid w:val="00A5416D"/>
    <w:rsid w:val="00A56321"/>
    <w:rsid w:val="00A56E0D"/>
    <w:rsid w:val="00A570EF"/>
    <w:rsid w:val="00A6012B"/>
    <w:rsid w:val="00A67EAB"/>
    <w:rsid w:val="00A70D35"/>
    <w:rsid w:val="00A70DBD"/>
    <w:rsid w:val="00A714CE"/>
    <w:rsid w:val="00A7233D"/>
    <w:rsid w:val="00A72CC7"/>
    <w:rsid w:val="00A7328F"/>
    <w:rsid w:val="00A74D75"/>
    <w:rsid w:val="00A765FE"/>
    <w:rsid w:val="00A77E2C"/>
    <w:rsid w:val="00A85B94"/>
    <w:rsid w:val="00A9034B"/>
    <w:rsid w:val="00A92544"/>
    <w:rsid w:val="00A92ED0"/>
    <w:rsid w:val="00A932D2"/>
    <w:rsid w:val="00A940BA"/>
    <w:rsid w:val="00A94D39"/>
    <w:rsid w:val="00A94DC2"/>
    <w:rsid w:val="00A952EB"/>
    <w:rsid w:val="00AA446B"/>
    <w:rsid w:val="00AA5133"/>
    <w:rsid w:val="00AA7A25"/>
    <w:rsid w:val="00AB23B5"/>
    <w:rsid w:val="00AB425D"/>
    <w:rsid w:val="00AB4E34"/>
    <w:rsid w:val="00AB5945"/>
    <w:rsid w:val="00AC433F"/>
    <w:rsid w:val="00AD3BD5"/>
    <w:rsid w:val="00AD62B9"/>
    <w:rsid w:val="00AE1D4D"/>
    <w:rsid w:val="00AE2873"/>
    <w:rsid w:val="00AE29D0"/>
    <w:rsid w:val="00AE3576"/>
    <w:rsid w:val="00AE491C"/>
    <w:rsid w:val="00AE5B6C"/>
    <w:rsid w:val="00AE635F"/>
    <w:rsid w:val="00AE6DE9"/>
    <w:rsid w:val="00AF3C25"/>
    <w:rsid w:val="00AF53FB"/>
    <w:rsid w:val="00AF5DFC"/>
    <w:rsid w:val="00AF7173"/>
    <w:rsid w:val="00AF7667"/>
    <w:rsid w:val="00B0202E"/>
    <w:rsid w:val="00B02918"/>
    <w:rsid w:val="00B03A52"/>
    <w:rsid w:val="00B03F15"/>
    <w:rsid w:val="00B06211"/>
    <w:rsid w:val="00B06968"/>
    <w:rsid w:val="00B0730F"/>
    <w:rsid w:val="00B127BF"/>
    <w:rsid w:val="00B1369C"/>
    <w:rsid w:val="00B14A4D"/>
    <w:rsid w:val="00B1750A"/>
    <w:rsid w:val="00B17D30"/>
    <w:rsid w:val="00B2026C"/>
    <w:rsid w:val="00B2248A"/>
    <w:rsid w:val="00B22A2A"/>
    <w:rsid w:val="00B2371B"/>
    <w:rsid w:val="00B2447F"/>
    <w:rsid w:val="00B251DD"/>
    <w:rsid w:val="00B26818"/>
    <w:rsid w:val="00B30F8F"/>
    <w:rsid w:val="00B31BAC"/>
    <w:rsid w:val="00B3392C"/>
    <w:rsid w:val="00B35B1A"/>
    <w:rsid w:val="00B37857"/>
    <w:rsid w:val="00B41396"/>
    <w:rsid w:val="00B42798"/>
    <w:rsid w:val="00B42976"/>
    <w:rsid w:val="00B429FB"/>
    <w:rsid w:val="00B4395D"/>
    <w:rsid w:val="00B45669"/>
    <w:rsid w:val="00B4682A"/>
    <w:rsid w:val="00B46B23"/>
    <w:rsid w:val="00B50E9E"/>
    <w:rsid w:val="00B52044"/>
    <w:rsid w:val="00B522A7"/>
    <w:rsid w:val="00B5256B"/>
    <w:rsid w:val="00B55198"/>
    <w:rsid w:val="00B556B3"/>
    <w:rsid w:val="00B567C7"/>
    <w:rsid w:val="00B56CEC"/>
    <w:rsid w:val="00B6368A"/>
    <w:rsid w:val="00B6381E"/>
    <w:rsid w:val="00B65D2A"/>
    <w:rsid w:val="00B6745E"/>
    <w:rsid w:val="00B675D0"/>
    <w:rsid w:val="00B67B13"/>
    <w:rsid w:val="00B719F7"/>
    <w:rsid w:val="00B73B7F"/>
    <w:rsid w:val="00B73E45"/>
    <w:rsid w:val="00B76245"/>
    <w:rsid w:val="00B7680E"/>
    <w:rsid w:val="00B80116"/>
    <w:rsid w:val="00B86AB3"/>
    <w:rsid w:val="00B91928"/>
    <w:rsid w:val="00B95646"/>
    <w:rsid w:val="00B963BF"/>
    <w:rsid w:val="00B97ED3"/>
    <w:rsid w:val="00BA074E"/>
    <w:rsid w:val="00BA20D9"/>
    <w:rsid w:val="00BA59E8"/>
    <w:rsid w:val="00BB1A56"/>
    <w:rsid w:val="00BB557A"/>
    <w:rsid w:val="00BB626D"/>
    <w:rsid w:val="00BB6305"/>
    <w:rsid w:val="00BC02FD"/>
    <w:rsid w:val="00BC0EB7"/>
    <w:rsid w:val="00BC2891"/>
    <w:rsid w:val="00BC5CBC"/>
    <w:rsid w:val="00BD0A15"/>
    <w:rsid w:val="00BD225A"/>
    <w:rsid w:val="00BD3057"/>
    <w:rsid w:val="00BD4839"/>
    <w:rsid w:val="00BD4C6E"/>
    <w:rsid w:val="00BE2583"/>
    <w:rsid w:val="00BE34B2"/>
    <w:rsid w:val="00BE3A0E"/>
    <w:rsid w:val="00BE3BFD"/>
    <w:rsid w:val="00BE6DDF"/>
    <w:rsid w:val="00BF3B4C"/>
    <w:rsid w:val="00BF6B77"/>
    <w:rsid w:val="00BF6D6F"/>
    <w:rsid w:val="00C0028C"/>
    <w:rsid w:val="00C00A89"/>
    <w:rsid w:val="00C00FA0"/>
    <w:rsid w:val="00C04A66"/>
    <w:rsid w:val="00C05EA2"/>
    <w:rsid w:val="00C07064"/>
    <w:rsid w:val="00C103C0"/>
    <w:rsid w:val="00C10414"/>
    <w:rsid w:val="00C11401"/>
    <w:rsid w:val="00C16AB2"/>
    <w:rsid w:val="00C16EA5"/>
    <w:rsid w:val="00C17554"/>
    <w:rsid w:val="00C20535"/>
    <w:rsid w:val="00C22987"/>
    <w:rsid w:val="00C2336B"/>
    <w:rsid w:val="00C23DFC"/>
    <w:rsid w:val="00C27500"/>
    <w:rsid w:val="00C303D2"/>
    <w:rsid w:val="00C307F4"/>
    <w:rsid w:val="00C3398F"/>
    <w:rsid w:val="00C33A8A"/>
    <w:rsid w:val="00C35515"/>
    <w:rsid w:val="00C36411"/>
    <w:rsid w:val="00C36DA6"/>
    <w:rsid w:val="00C3783A"/>
    <w:rsid w:val="00C37B15"/>
    <w:rsid w:val="00C41867"/>
    <w:rsid w:val="00C428CA"/>
    <w:rsid w:val="00C45ED1"/>
    <w:rsid w:val="00C47E3D"/>
    <w:rsid w:val="00C50A9C"/>
    <w:rsid w:val="00C5115B"/>
    <w:rsid w:val="00C5274E"/>
    <w:rsid w:val="00C550D2"/>
    <w:rsid w:val="00C57826"/>
    <w:rsid w:val="00C60259"/>
    <w:rsid w:val="00C60B05"/>
    <w:rsid w:val="00C618E9"/>
    <w:rsid w:val="00C61C9C"/>
    <w:rsid w:val="00C61CB4"/>
    <w:rsid w:val="00C63657"/>
    <w:rsid w:val="00C63E08"/>
    <w:rsid w:val="00C6635E"/>
    <w:rsid w:val="00C667E8"/>
    <w:rsid w:val="00C670A7"/>
    <w:rsid w:val="00C67485"/>
    <w:rsid w:val="00C6772A"/>
    <w:rsid w:val="00C67C33"/>
    <w:rsid w:val="00C70BF9"/>
    <w:rsid w:val="00C71D6E"/>
    <w:rsid w:val="00C720FA"/>
    <w:rsid w:val="00C73159"/>
    <w:rsid w:val="00C73B81"/>
    <w:rsid w:val="00C74097"/>
    <w:rsid w:val="00C74FD1"/>
    <w:rsid w:val="00C80A79"/>
    <w:rsid w:val="00C81273"/>
    <w:rsid w:val="00C830C0"/>
    <w:rsid w:val="00C83F92"/>
    <w:rsid w:val="00C91F0C"/>
    <w:rsid w:val="00C92A7F"/>
    <w:rsid w:val="00C933F4"/>
    <w:rsid w:val="00C94AA7"/>
    <w:rsid w:val="00C95955"/>
    <w:rsid w:val="00C95DF1"/>
    <w:rsid w:val="00CA5E32"/>
    <w:rsid w:val="00CA77AC"/>
    <w:rsid w:val="00CB091B"/>
    <w:rsid w:val="00CB58D2"/>
    <w:rsid w:val="00CB66F0"/>
    <w:rsid w:val="00CC1B03"/>
    <w:rsid w:val="00CC2D2E"/>
    <w:rsid w:val="00CC3754"/>
    <w:rsid w:val="00CC397F"/>
    <w:rsid w:val="00CC4754"/>
    <w:rsid w:val="00CC5ED0"/>
    <w:rsid w:val="00CD00E1"/>
    <w:rsid w:val="00CD02CF"/>
    <w:rsid w:val="00CD1445"/>
    <w:rsid w:val="00CD168D"/>
    <w:rsid w:val="00CD2375"/>
    <w:rsid w:val="00CD4958"/>
    <w:rsid w:val="00CD630F"/>
    <w:rsid w:val="00CD6F57"/>
    <w:rsid w:val="00CE086F"/>
    <w:rsid w:val="00CE2315"/>
    <w:rsid w:val="00CE45E9"/>
    <w:rsid w:val="00CE484E"/>
    <w:rsid w:val="00CE6515"/>
    <w:rsid w:val="00CE653E"/>
    <w:rsid w:val="00CE68FA"/>
    <w:rsid w:val="00CF225F"/>
    <w:rsid w:val="00CF2F2C"/>
    <w:rsid w:val="00CF42BA"/>
    <w:rsid w:val="00CF42F6"/>
    <w:rsid w:val="00D014D0"/>
    <w:rsid w:val="00D04355"/>
    <w:rsid w:val="00D0496A"/>
    <w:rsid w:val="00D07B14"/>
    <w:rsid w:val="00D07C4B"/>
    <w:rsid w:val="00D1070A"/>
    <w:rsid w:val="00D11C95"/>
    <w:rsid w:val="00D11CB4"/>
    <w:rsid w:val="00D128C6"/>
    <w:rsid w:val="00D21F37"/>
    <w:rsid w:val="00D22B70"/>
    <w:rsid w:val="00D261B0"/>
    <w:rsid w:val="00D30896"/>
    <w:rsid w:val="00D32241"/>
    <w:rsid w:val="00D32AB5"/>
    <w:rsid w:val="00D33CD9"/>
    <w:rsid w:val="00D376BC"/>
    <w:rsid w:val="00D40E44"/>
    <w:rsid w:val="00D45A34"/>
    <w:rsid w:val="00D461BA"/>
    <w:rsid w:val="00D5056F"/>
    <w:rsid w:val="00D51604"/>
    <w:rsid w:val="00D52695"/>
    <w:rsid w:val="00D5325F"/>
    <w:rsid w:val="00D54669"/>
    <w:rsid w:val="00D546A5"/>
    <w:rsid w:val="00D54E3B"/>
    <w:rsid w:val="00D55B52"/>
    <w:rsid w:val="00D55FDB"/>
    <w:rsid w:val="00D57627"/>
    <w:rsid w:val="00D609F5"/>
    <w:rsid w:val="00D63DE1"/>
    <w:rsid w:val="00D64114"/>
    <w:rsid w:val="00D66B44"/>
    <w:rsid w:val="00D675D2"/>
    <w:rsid w:val="00D729DF"/>
    <w:rsid w:val="00D73FA6"/>
    <w:rsid w:val="00D75DA4"/>
    <w:rsid w:val="00D76935"/>
    <w:rsid w:val="00D770B2"/>
    <w:rsid w:val="00D779EC"/>
    <w:rsid w:val="00D87B53"/>
    <w:rsid w:val="00D93228"/>
    <w:rsid w:val="00D9373C"/>
    <w:rsid w:val="00D9417B"/>
    <w:rsid w:val="00D95A0F"/>
    <w:rsid w:val="00D95D76"/>
    <w:rsid w:val="00D97F84"/>
    <w:rsid w:val="00DA312D"/>
    <w:rsid w:val="00DA3E9A"/>
    <w:rsid w:val="00DA64C0"/>
    <w:rsid w:val="00DA6A79"/>
    <w:rsid w:val="00DA7856"/>
    <w:rsid w:val="00DA7AF1"/>
    <w:rsid w:val="00DB270C"/>
    <w:rsid w:val="00DC0A44"/>
    <w:rsid w:val="00DC2AA6"/>
    <w:rsid w:val="00DC589F"/>
    <w:rsid w:val="00DC5B1F"/>
    <w:rsid w:val="00DC6794"/>
    <w:rsid w:val="00DC69BC"/>
    <w:rsid w:val="00DD2905"/>
    <w:rsid w:val="00DD2A48"/>
    <w:rsid w:val="00DD2DCC"/>
    <w:rsid w:val="00DD4E07"/>
    <w:rsid w:val="00DD660A"/>
    <w:rsid w:val="00DD708E"/>
    <w:rsid w:val="00DE0E11"/>
    <w:rsid w:val="00DE1946"/>
    <w:rsid w:val="00DE1AD1"/>
    <w:rsid w:val="00DE1CC3"/>
    <w:rsid w:val="00DE1E76"/>
    <w:rsid w:val="00DE245D"/>
    <w:rsid w:val="00DE3E80"/>
    <w:rsid w:val="00DE59B8"/>
    <w:rsid w:val="00DE6E79"/>
    <w:rsid w:val="00DE70BF"/>
    <w:rsid w:val="00DE7182"/>
    <w:rsid w:val="00DF535B"/>
    <w:rsid w:val="00DF5CA9"/>
    <w:rsid w:val="00DF6467"/>
    <w:rsid w:val="00DF6D93"/>
    <w:rsid w:val="00DF7670"/>
    <w:rsid w:val="00DF7C28"/>
    <w:rsid w:val="00E0098E"/>
    <w:rsid w:val="00E01438"/>
    <w:rsid w:val="00E02CD4"/>
    <w:rsid w:val="00E06982"/>
    <w:rsid w:val="00E06F82"/>
    <w:rsid w:val="00E11B7E"/>
    <w:rsid w:val="00E124BA"/>
    <w:rsid w:val="00E21357"/>
    <w:rsid w:val="00E229EF"/>
    <w:rsid w:val="00E22F3D"/>
    <w:rsid w:val="00E24506"/>
    <w:rsid w:val="00E25E9F"/>
    <w:rsid w:val="00E301BB"/>
    <w:rsid w:val="00E3185A"/>
    <w:rsid w:val="00E33812"/>
    <w:rsid w:val="00E35044"/>
    <w:rsid w:val="00E3682C"/>
    <w:rsid w:val="00E412F5"/>
    <w:rsid w:val="00E43ED8"/>
    <w:rsid w:val="00E529B2"/>
    <w:rsid w:val="00E52B69"/>
    <w:rsid w:val="00E55B89"/>
    <w:rsid w:val="00E569CC"/>
    <w:rsid w:val="00E56F5A"/>
    <w:rsid w:val="00E57E95"/>
    <w:rsid w:val="00E61D01"/>
    <w:rsid w:val="00E61FA5"/>
    <w:rsid w:val="00E6234C"/>
    <w:rsid w:val="00E6235E"/>
    <w:rsid w:val="00E63FE6"/>
    <w:rsid w:val="00E644F1"/>
    <w:rsid w:val="00E65254"/>
    <w:rsid w:val="00E674C1"/>
    <w:rsid w:val="00E70E71"/>
    <w:rsid w:val="00E71D0B"/>
    <w:rsid w:val="00E73857"/>
    <w:rsid w:val="00E73DFB"/>
    <w:rsid w:val="00E75561"/>
    <w:rsid w:val="00E7689A"/>
    <w:rsid w:val="00E77028"/>
    <w:rsid w:val="00E77697"/>
    <w:rsid w:val="00E779BC"/>
    <w:rsid w:val="00E82C40"/>
    <w:rsid w:val="00E830A8"/>
    <w:rsid w:val="00E836C3"/>
    <w:rsid w:val="00E8411A"/>
    <w:rsid w:val="00E8454A"/>
    <w:rsid w:val="00E87136"/>
    <w:rsid w:val="00E87CF0"/>
    <w:rsid w:val="00E948BE"/>
    <w:rsid w:val="00EA0B24"/>
    <w:rsid w:val="00EA0BC8"/>
    <w:rsid w:val="00EC252D"/>
    <w:rsid w:val="00EC3BEE"/>
    <w:rsid w:val="00ED1CCD"/>
    <w:rsid w:val="00ED28CF"/>
    <w:rsid w:val="00ED2C21"/>
    <w:rsid w:val="00ED7E2D"/>
    <w:rsid w:val="00EE0E2D"/>
    <w:rsid w:val="00EE15AE"/>
    <w:rsid w:val="00EE367D"/>
    <w:rsid w:val="00EE3A83"/>
    <w:rsid w:val="00EE4A35"/>
    <w:rsid w:val="00EE5179"/>
    <w:rsid w:val="00EE63B0"/>
    <w:rsid w:val="00EF00EE"/>
    <w:rsid w:val="00EF410A"/>
    <w:rsid w:val="00F01A6E"/>
    <w:rsid w:val="00F02E46"/>
    <w:rsid w:val="00F04EFE"/>
    <w:rsid w:val="00F07E7D"/>
    <w:rsid w:val="00F11374"/>
    <w:rsid w:val="00F1176D"/>
    <w:rsid w:val="00F13704"/>
    <w:rsid w:val="00F13769"/>
    <w:rsid w:val="00F16AD7"/>
    <w:rsid w:val="00F218DC"/>
    <w:rsid w:val="00F22245"/>
    <w:rsid w:val="00F2292A"/>
    <w:rsid w:val="00F23527"/>
    <w:rsid w:val="00F23719"/>
    <w:rsid w:val="00F23A87"/>
    <w:rsid w:val="00F23A91"/>
    <w:rsid w:val="00F24CB9"/>
    <w:rsid w:val="00F26C17"/>
    <w:rsid w:val="00F27CFC"/>
    <w:rsid w:val="00F30B8F"/>
    <w:rsid w:val="00F32EBC"/>
    <w:rsid w:val="00F34BB2"/>
    <w:rsid w:val="00F37D4E"/>
    <w:rsid w:val="00F406DC"/>
    <w:rsid w:val="00F40BB0"/>
    <w:rsid w:val="00F41339"/>
    <w:rsid w:val="00F41BBD"/>
    <w:rsid w:val="00F424D2"/>
    <w:rsid w:val="00F470D3"/>
    <w:rsid w:val="00F47B08"/>
    <w:rsid w:val="00F5013B"/>
    <w:rsid w:val="00F5397C"/>
    <w:rsid w:val="00F53F46"/>
    <w:rsid w:val="00F53F81"/>
    <w:rsid w:val="00F54673"/>
    <w:rsid w:val="00F55EF2"/>
    <w:rsid w:val="00F572D6"/>
    <w:rsid w:val="00F5771F"/>
    <w:rsid w:val="00F578E3"/>
    <w:rsid w:val="00F57FFC"/>
    <w:rsid w:val="00F60AF9"/>
    <w:rsid w:val="00F67345"/>
    <w:rsid w:val="00F67929"/>
    <w:rsid w:val="00F704FE"/>
    <w:rsid w:val="00F72288"/>
    <w:rsid w:val="00F801CD"/>
    <w:rsid w:val="00F819A3"/>
    <w:rsid w:val="00F819A5"/>
    <w:rsid w:val="00F87ED3"/>
    <w:rsid w:val="00F92EA5"/>
    <w:rsid w:val="00F93445"/>
    <w:rsid w:val="00F95F5E"/>
    <w:rsid w:val="00FA04A9"/>
    <w:rsid w:val="00FA0A22"/>
    <w:rsid w:val="00FA152A"/>
    <w:rsid w:val="00FA5D56"/>
    <w:rsid w:val="00FA7BC2"/>
    <w:rsid w:val="00FB06E6"/>
    <w:rsid w:val="00FB23E2"/>
    <w:rsid w:val="00FB2C94"/>
    <w:rsid w:val="00FB2D13"/>
    <w:rsid w:val="00FB4A15"/>
    <w:rsid w:val="00FB4DA6"/>
    <w:rsid w:val="00FB6F4E"/>
    <w:rsid w:val="00FB723C"/>
    <w:rsid w:val="00FB7BE3"/>
    <w:rsid w:val="00FC0340"/>
    <w:rsid w:val="00FC1A08"/>
    <w:rsid w:val="00FC2E19"/>
    <w:rsid w:val="00FC4A2C"/>
    <w:rsid w:val="00FC4F91"/>
    <w:rsid w:val="00FC5981"/>
    <w:rsid w:val="00FC5FAE"/>
    <w:rsid w:val="00FD0F04"/>
    <w:rsid w:val="00FD5602"/>
    <w:rsid w:val="00FD63F6"/>
    <w:rsid w:val="00FE0F51"/>
    <w:rsid w:val="00FE39ED"/>
    <w:rsid w:val="00FE4D85"/>
    <w:rsid w:val="00FE7ABA"/>
    <w:rsid w:val="00FF060B"/>
    <w:rsid w:val="00FF11DD"/>
    <w:rsid w:val="00FF1B30"/>
    <w:rsid w:val="00FF3773"/>
    <w:rsid w:val="00FF43EE"/>
    <w:rsid w:val="00FF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5"/>
    <o:shapelayout v:ext="edit">
      <o:idmap v:ext="edit" data="1"/>
    </o:shapelayout>
  </w:shapeDefaults>
  <w:decimalSymbol w:val="."/>
  <w:listSeparator w:val=","/>
  <w15:docId w15:val="{4F534384-1C4F-4B8A-A1A2-13FC766F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51029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875DE"/>
    <w:rPr>
      <w:sz w:val="20"/>
      <w:szCs w:val="20"/>
    </w:rPr>
  </w:style>
  <w:style w:type="character" w:styleId="FootnoteReference">
    <w:name w:val="footnote reference"/>
    <w:basedOn w:val="DefaultParagraphFont"/>
    <w:semiHidden/>
    <w:rsid w:val="003875DE"/>
    <w:rPr>
      <w:vertAlign w:val="superscript"/>
    </w:rPr>
  </w:style>
  <w:style w:type="character" w:styleId="Hyperlink">
    <w:name w:val="Hyperlink"/>
    <w:basedOn w:val="DefaultParagraphFont"/>
    <w:rsid w:val="00686959"/>
    <w:rPr>
      <w:color w:val="0000FF"/>
      <w:u w:val="single"/>
    </w:rPr>
  </w:style>
  <w:style w:type="table" w:styleId="TableGrid">
    <w:name w:val="Table Grid"/>
    <w:basedOn w:val="TableNormal"/>
    <w:rsid w:val="00677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9373D"/>
    <w:pPr>
      <w:tabs>
        <w:tab w:val="center" w:pos="4320"/>
        <w:tab w:val="right" w:pos="8640"/>
      </w:tabs>
    </w:pPr>
  </w:style>
  <w:style w:type="character" w:styleId="PageNumber">
    <w:name w:val="page number"/>
    <w:basedOn w:val="DefaultParagraphFont"/>
    <w:rsid w:val="0009373D"/>
  </w:style>
  <w:style w:type="paragraph" w:styleId="Header">
    <w:name w:val="header"/>
    <w:basedOn w:val="Normal"/>
    <w:rsid w:val="00B1369C"/>
    <w:pPr>
      <w:tabs>
        <w:tab w:val="center" w:pos="4320"/>
        <w:tab w:val="right" w:pos="8640"/>
      </w:tabs>
    </w:pPr>
  </w:style>
  <w:style w:type="paragraph" w:customStyle="1" w:styleId="Cl">
    <w:name w:val="Cl"/>
    <w:basedOn w:val="Normal"/>
    <w:rsid w:val="00F01A6E"/>
  </w:style>
  <w:style w:type="character" w:styleId="FollowedHyperlink">
    <w:name w:val="FollowedHyperlink"/>
    <w:basedOn w:val="DefaultParagraphFont"/>
    <w:rsid w:val="00CC5ED0"/>
    <w:rPr>
      <w:color w:val="800080"/>
      <w:u w:val="single"/>
    </w:rPr>
  </w:style>
  <w:style w:type="paragraph" w:styleId="BalloonText">
    <w:name w:val="Balloon Text"/>
    <w:basedOn w:val="Normal"/>
    <w:semiHidden/>
    <w:rsid w:val="00846751"/>
    <w:rPr>
      <w:rFonts w:ascii="Tahoma" w:hAnsi="Tahoma" w:cs="Tahoma"/>
      <w:sz w:val="16"/>
      <w:szCs w:val="16"/>
    </w:rPr>
  </w:style>
  <w:style w:type="character" w:styleId="CommentReference">
    <w:name w:val="annotation reference"/>
    <w:basedOn w:val="DefaultParagraphFont"/>
    <w:semiHidden/>
    <w:rsid w:val="006E0703"/>
    <w:rPr>
      <w:sz w:val="16"/>
      <w:szCs w:val="16"/>
    </w:rPr>
  </w:style>
  <w:style w:type="paragraph" w:styleId="CommentText">
    <w:name w:val="annotation text"/>
    <w:basedOn w:val="Normal"/>
    <w:semiHidden/>
    <w:rsid w:val="006E0703"/>
    <w:rPr>
      <w:sz w:val="20"/>
      <w:szCs w:val="20"/>
    </w:rPr>
  </w:style>
  <w:style w:type="paragraph" w:styleId="CommentSubject">
    <w:name w:val="annotation subject"/>
    <w:basedOn w:val="CommentText"/>
    <w:next w:val="CommentText"/>
    <w:semiHidden/>
    <w:rsid w:val="006E0703"/>
    <w:rPr>
      <w:b/>
      <w:bCs/>
    </w:rPr>
  </w:style>
  <w:style w:type="character" w:customStyle="1" w:styleId="text3">
    <w:name w:val="text3"/>
    <w:basedOn w:val="DefaultParagraphFont"/>
    <w:rsid w:val="006205B3"/>
  </w:style>
  <w:style w:type="paragraph" w:styleId="NormalWeb">
    <w:name w:val="Normal (Web)"/>
    <w:basedOn w:val="Normal"/>
    <w:rsid w:val="0054699B"/>
    <w:pPr>
      <w:spacing w:before="100" w:beforeAutospacing="1" w:after="100" w:afterAutospacing="1"/>
    </w:pPr>
    <w:rPr>
      <w:rFonts w:ascii="Georgia" w:hAnsi="Georgia"/>
    </w:rPr>
  </w:style>
  <w:style w:type="character" w:styleId="HTMLTypewriter">
    <w:name w:val="HTML Typewriter"/>
    <w:basedOn w:val="DefaultParagraphFont"/>
    <w:rsid w:val="0054699B"/>
    <w:rPr>
      <w:rFonts w:ascii="Courier New" w:eastAsia="Times New Roman" w:hAnsi="Courier New" w:cs="Courier New"/>
      <w:sz w:val="20"/>
      <w:szCs w:val="20"/>
    </w:rPr>
  </w:style>
  <w:style w:type="paragraph" w:customStyle="1" w:styleId="Default">
    <w:name w:val="Default"/>
    <w:rsid w:val="00867B9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699">
      <w:bodyDiv w:val="1"/>
      <w:marLeft w:val="0"/>
      <w:marRight w:val="0"/>
      <w:marTop w:val="0"/>
      <w:marBottom w:val="0"/>
      <w:divBdr>
        <w:top w:val="none" w:sz="0" w:space="0" w:color="auto"/>
        <w:left w:val="none" w:sz="0" w:space="0" w:color="auto"/>
        <w:bottom w:val="none" w:sz="0" w:space="0" w:color="auto"/>
        <w:right w:val="none" w:sz="0" w:space="0" w:color="auto"/>
      </w:divBdr>
    </w:div>
    <w:div w:id="309292648">
      <w:bodyDiv w:val="1"/>
      <w:marLeft w:val="0"/>
      <w:marRight w:val="0"/>
      <w:marTop w:val="0"/>
      <w:marBottom w:val="0"/>
      <w:divBdr>
        <w:top w:val="none" w:sz="0" w:space="0" w:color="auto"/>
        <w:left w:val="none" w:sz="0" w:space="0" w:color="auto"/>
        <w:bottom w:val="none" w:sz="0" w:space="0" w:color="auto"/>
        <w:right w:val="none" w:sz="0" w:space="0" w:color="auto"/>
      </w:divBdr>
    </w:div>
    <w:div w:id="332297315">
      <w:bodyDiv w:val="1"/>
      <w:marLeft w:val="0"/>
      <w:marRight w:val="0"/>
      <w:marTop w:val="0"/>
      <w:marBottom w:val="0"/>
      <w:divBdr>
        <w:top w:val="none" w:sz="0" w:space="0" w:color="auto"/>
        <w:left w:val="none" w:sz="0" w:space="0" w:color="auto"/>
        <w:bottom w:val="none" w:sz="0" w:space="0" w:color="auto"/>
        <w:right w:val="none" w:sz="0" w:space="0" w:color="auto"/>
      </w:divBdr>
    </w:div>
    <w:div w:id="387995343">
      <w:bodyDiv w:val="1"/>
      <w:marLeft w:val="0"/>
      <w:marRight w:val="0"/>
      <w:marTop w:val="0"/>
      <w:marBottom w:val="0"/>
      <w:divBdr>
        <w:top w:val="none" w:sz="0" w:space="0" w:color="auto"/>
        <w:left w:val="none" w:sz="0" w:space="0" w:color="auto"/>
        <w:bottom w:val="none" w:sz="0" w:space="0" w:color="auto"/>
        <w:right w:val="none" w:sz="0" w:space="0" w:color="auto"/>
      </w:divBdr>
    </w:div>
    <w:div w:id="394737944">
      <w:bodyDiv w:val="1"/>
      <w:marLeft w:val="0"/>
      <w:marRight w:val="0"/>
      <w:marTop w:val="0"/>
      <w:marBottom w:val="0"/>
      <w:divBdr>
        <w:top w:val="none" w:sz="0" w:space="0" w:color="auto"/>
        <w:left w:val="none" w:sz="0" w:space="0" w:color="auto"/>
        <w:bottom w:val="none" w:sz="0" w:space="0" w:color="auto"/>
        <w:right w:val="none" w:sz="0" w:space="0" w:color="auto"/>
      </w:divBdr>
    </w:div>
    <w:div w:id="451482204">
      <w:bodyDiv w:val="1"/>
      <w:marLeft w:val="0"/>
      <w:marRight w:val="0"/>
      <w:marTop w:val="0"/>
      <w:marBottom w:val="0"/>
      <w:divBdr>
        <w:top w:val="none" w:sz="0" w:space="0" w:color="auto"/>
        <w:left w:val="none" w:sz="0" w:space="0" w:color="auto"/>
        <w:bottom w:val="none" w:sz="0" w:space="0" w:color="auto"/>
        <w:right w:val="none" w:sz="0" w:space="0" w:color="auto"/>
      </w:divBdr>
    </w:div>
    <w:div w:id="454955602">
      <w:bodyDiv w:val="1"/>
      <w:marLeft w:val="0"/>
      <w:marRight w:val="0"/>
      <w:marTop w:val="0"/>
      <w:marBottom w:val="0"/>
      <w:divBdr>
        <w:top w:val="none" w:sz="0" w:space="0" w:color="auto"/>
        <w:left w:val="none" w:sz="0" w:space="0" w:color="auto"/>
        <w:bottom w:val="none" w:sz="0" w:space="0" w:color="auto"/>
        <w:right w:val="none" w:sz="0" w:space="0" w:color="auto"/>
      </w:divBdr>
    </w:div>
    <w:div w:id="511913236">
      <w:bodyDiv w:val="1"/>
      <w:marLeft w:val="0"/>
      <w:marRight w:val="0"/>
      <w:marTop w:val="0"/>
      <w:marBottom w:val="0"/>
      <w:divBdr>
        <w:top w:val="none" w:sz="0" w:space="0" w:color="auto"/>
        <w:left w:val="none" w:sz="0" w:space="0" w:color="auto"/>
        <w:bottom w:val="none" w:sz="0" w:space="0" w:color="auto"/>
        <w:right w:val="none" w:sz="0" w:space="0" w:color="auto"/>
      </w:divBdr>
    </w:div>
    <w:div w:id="605774762">
      <w:bodyDiv w:val="1"/>
      <w:marLeft w:val="0"/>
      <w:marRight w:val="0"/>
      <w:marTop w:val="0"/>
      <w:marBottom w:val="0"/>
      <w:divBdr>
        <w:top w:val="none" w:sz="0" w:space="0" w:color="auto"/>
        <w:left w:val="none" w:sz="0" w:space="0" w:color="auto"/>
        <w:bottom w:val="none" w:sz="0" w:space="0" w:color="auto"/>
        <w:right w:val="none" w:sz="0" w:space="0" w:color="auto"/>
      </w:divBdr>
    </w:div>
    <w:div w:id="713310033">
      <w:bodyDiv w:val="1"/>
      <w:marLeft w:val="0"/>
      <w:marRight w:val="0"/>
      <w:marTop w:val="0"/>
      <w:marBottom w:val="0"/>
      <w:divBdr>
        <w:top w:val="none" w:sz="0" w:space="0" w:color="auto"/>
        <w:left w:val="none" w:sz="0" w:space="0" w:color="auto"/>
        <w:bottom w:val="none" w:sz="0" w:space="0" w:color="auto"/>
        <w:right w:val="none" w:sz="0" w:space="0" w:color="auto"/>
      </w:divBdr>
    </w:div>
    <w:div w:id="807279688">
      <w:bodyDiv w:val="1"/>
      <w:marLeft w:val="0"/>
      <w:marRight w:val="0"/>
      <w:marTop w:val="0"/>
      <w:marBottom w:val="0"/>
      <w:divBdr>
        <w:top w:val="none" w:sz="0" w:space="0" w:color="auto"/>
        <w:left w:val="none" w:sz="0" w:space="0" w:color="auto"/>
        <w:bottom w:val="none" w:sz="0" w:space="0" w:color="auto"/>
        <w:right w:val="none" w:sz="0" w:space="0" w:color="auto"/>
      </w:divBdr>
    </w:div>
    <w:div w:id="898899933">
      <w:bodyDiv w:val="1"/>
      <w:marLeft w:val="0"/>
      <w:marRight w:val="0"/>
      <w:marTop w:val="0"/>
      <w:marBottom w:val="0"/>
      <w:divBdr>
        <w:top w:val="none" w:sz="0" w:space="0" w:color="auto"/>
        <w:left w:val="none" w:sz="0" w:space="0" w:color="auto"/>
        <w:bottom w:val="none" w:sz="0" w:space="0" w:color="auto"/>
        <w:right w:val="none" w:sz="0" w:space="0" w:color="auto"/>
      </w:divBdr>
    </w:div>
    <w:div w:id="941033427">
      <w:bodyDiv w:val="1"/>
      <w:marLeft w:val="0"/>
      <w:marRight w:val="0"/>
      <w:marTop w:val="0"/>
      <w:marBottom w:val="0"/>
      <w:divBdr>
        <w:top w:val="none" w:sz="0" w:space="0" w:color="auto"/>
        <w:left w:val="none" w:sz="0" w:space="0" w:color="auto"/>
        <w:bottom w:val="none" w:sz="0" w:space="0" w:color="auto"/>
        <w:right w:val="none" w:sz="0" w:space="0" w:color="auto"/>
      </w:divBdr>
    </w:div>
    <w:div w:id="951203501">
      <w:bodyDiv w:val="1"/>
      <w:marLeft w:val="0"/>
      <w:marRight w:val="0"/>
      <w:marTop w:val="0"/>
      <w:marBottom w:val="0"/>
      <w:divBdr>
        <w:top w:val="none" w:sz="0" w:space="0" w:color="auto"/>
        <w:left w:val="none" w:sz="0" w:space="0" w:color="auto"/>
        <w:bottom w:val="none" w:sz="0" w:space="0" w:color="auto"/>
        <w:right w:val="none" w:sz="0" w:space="0" w:color="auto"/>
      </w:divBdr>
    </w:div>
    <w:div w:id="1001547597">
      <w:bodyDiv w:val="1"/>
      <w:marLeft w:val="0"/>
      <w:marRight w:val="0"/>
      <w:marTop w:val="0"/>
      <w:marBottom w:val="0"/>
      <w:divBdr>
        <w:top w:val="none" w:sz="0" w:space="0" w:color="auto"/>
        <w:left w:val="none" w:sz="0" w:space="0" w:color="auto"/>
        <w:bottom w:val="none" w:sz="0" w:space="0" w:color="auto"/>
        <w:right w:val="none" w:sz="0" w:space="0" w:color="auto"/>
      </w:divBdr>
    </w:div>
    <w:div w:id="1258977440">
      <w:bodyDiv w:val="1"/>
      <w:marLeft w:val="0"/>
      <w:marRight w:val="0"/>
      <w:marTop w:val="0"/>
      <w:marBottom w:val="0"/>
      <w:divBdr>
        <w:top w:val="none" w:sz="0" w:space="0" w:color="auto"/>
        <w:left w:val="none" w:sz="0" w:space="0" w:color="auto"/>
        <w:bottom w:val="none" w:sz="0" w:space="0" w:color="auto"/>
        <w:right w:val="none" w:sz="0" w:space="0" w:color="auto"/>
      </w:divBdr>
    </w:div>
    <w:div w:id="1456757227">
      <w:bodyDiv w:val="1"/>
      <w:marLeft w:val="0"/>
      <w:marRight w:val="0"/>
      <w:marTop w:val="0"/>
      <w:marBottom w:val="0"/>
      <w:divBdr>
        <w:top w:val="none" w:sz="0" w:space="0" w:color="auto"/>
        <w:left w:val="none" w:sz="0" w:space="0" w:color="auto"/>
        <w:bottom w:val="none" w:sz="0" w:space="0" w:color="auto"/>
        <w:right w:val="none" w:sz="0" w:space="0" w:color="auto"/>
      </w:divBdr>
    </w:div>
    <w:div w:id="1620141398">
      <w:bodyDiv w:val="1"/>
      <w:marLeft w:val="0"/>
      <w:marRight w:val="0"/>
      <w:marTop w:val="0"/>
      <w:marBottom w:val="0"/>
      <w:divBdr>
        <w:top w:val="none" w:sz="0" w:space="0" w:color="auto"/>
        <w:left w:val="none" w:sz="0" w:space="0" w:color="auto"/>
        <w:bottom w:val="none" w:sz="0" w:space="0" w:color="auto"/>
        <w:right w:val="none" w:sz="0" w:space="0" w:color="auto"/>
      </w:divBdr>
    </w:div>
    <w:div w:id="1791122150">
      <w:bodyDiv w:val="1"/>
      <w:marLeft w:val="0"/>
      <w:marRight w:val="0"/>
      <w:marTop w:val="0"/>
      <w:marBottom w:val="0"/>
      <w:divBdr>
        <w:top w:val="none" w:sz="0" w:space="0" w:color="auto"/>
        <w:left w:val="none" w:sz="0" w:space="0" w:color="auto"/>
        <w:bottom w:val="none" w:sz="0" w:space="0" w:color="auto"/>
        <w:right w:val="none" w:sz="0" w:space="0" w:color="auto"/>
      </w:divBdr>
    </w:div>
    <w:div w:id="1920601435">
      <w:bodyDiv w:val="1"/>
      <w:marLeft w:val="0"/>
      <w:marRight w:val="0"/>
      <w:marTop w:val="0"/>
      <w:marBottom w:val="0"/>
      <w:divBdr>
        <w:top w:val="none" w:sz="0" w:space="0" w:color="auto"/>
        <w:left w:val="none" w:sz="0" w:space="0" w:color="auto"/>
        <w:bottom w:val="none" w:sz="0" w:space="0" w:color="auto"/>
        <w:right w:val="none" w:sz="0" w:space="0" w:color="auto"/>
      </w:divBdr>
    </w:div>
    <w:div w:id="1954483713">
      <w:bodyDiv w:val="1"/>
      <w:marLeft w:val="0"/>
      <w:marRight w:val="0"/>
      <w:marTop w:val="0"/>
      <w:marBottom w:val="0"/>
      <w:divBdr>
        <w:top w:val="none" w:sz="0" w:space="0" w:color="auto"/>
        <w:left w:val="none" w:sz="0" w:space="0" w:color="auto"/>
        <w:bottom w:val="none" w:sz="0" w:space="0" w:color="auto"/>
        <w:right w:val="none" w:sz="0" w:space="0" w:color="auto"/>
      </w:divBdr>
    </w:div>
    <w:div w:id="1960601658">
      <w:bodyDiv w:val="1"/>
      <w:marLeft w:val="0"/>
      <w:marRight w:val="0"/>
      <w:marTop w:val="0"/>
      <w:marBottom w:val="0"/>
      <w:divBdr>
        <w:top w:val="none" w:sz="0" w:space="0" w:color="auto"/>
        <w:left w:val="none" w:sz="0" w:space="0" w:color="auto"/>
        <w:bottom w:val="none" w:sz="0" w:space="0" w:color="auto"/>
        <w:right w:val="none" w:sz="0" w:space="0" w:color="auto"/>
      </w:divBdr>
    </w:div>
    <w:div w:id="1994093072">
      <w:bodyDiv w:val="1"/>
      <w:marLeft w:val="0"/>
      <w:marRight w:val="0"/>
      <w:marTop w:val="0"/>
      <w:marBottom w:val="0"/>
      <w:divBdr>
        <w:top w:val="none" w:sz="0" w:space="0" w:color="auto"/>
        <w:left w:val="none" w:sz="0" w:space="0" w:color="auto"/>
        <w:bottom w:val="none" w:sz="0" w:space="0" w:color="auto"/>
        <w:right w:val="none" w:sz="0" w:space="0" w:color="auto"/>
      </w:divBdr>
    </w:div>
    <w:div w:id="2041741076">
      <w:bodyDiv w:val="1"/>
      <w:marLeft w:val="0"/>
      <w:marRight w:val="0"/>
      <w:marTop w:val="0"/>
      <w:marBottom w:val="0"/>
      <w:divBdr>
        <w:top w:val="none" w:sz="0" w:space="0" w:color="auto"/>
        <w:left w:val="none" w:sz="0" w:space="0" w:color="auto"/>
        <w:bottom w:val="none" w:sz="0" w:space="0" w:color="auto"/>
        <w:right w:val="none" w:sz="0" w:space="0" w:color="auto"/>
      </w:divBdr>
    </w:div>
    <w:div w:id="21416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11.emf"/><Relationship Id="rId39" Type="http://schemas.openxmlformats.org/officeDocument/2006/relationships/header" Target="header4.xml"/><Relationship Id="rId21" Type="http://schemas.openxmlformats.org/officeDocument/2006/relationships/image" Target="media/image6.wmf"/><Relationship Id="rId34" Type="http://schemas.openxmlformats.org/officeDocument/2006/relationships/hyperlink" Target="http://www.doe.mass.edu/mcas/2002/news/01techrpt.pdf" TargetMode="External"/><Relationship Id="rId42" Type="http://schemas.openxmlformats.org/officeDocument/2006/relationships/header" Target="header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hyperlink" Target="http://www.bc.edu/research/nbetpp/publications/v1n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9.emf"/><Relationship Id="rId32" Type="http://schemas.openxmlformats.org/officeDocument/2006/relationships/hyperlink" Target="http://www.nber.org/papers/w12651" TargetMode="External"/><Relationship Id="rId37" Type="http://schemas.openxmlformats.org/officeDocument/2006/relationships/hyperlink" Target="http://epaa.asu.edu/epaa/v14n1/" TargetMode="Externa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8.emf"/><Relationship Id="rId28" Type="http://schemas.openxmlformats.org/officeDocument/2006/relationships/hyperlink" Target="http://www.cep-dc.org/highschoolexit/JacksonAustin/Jackson&amp;Austin.pdf" TargetMode="External"/><Relationship Id="rId36" Type="http://schemas.openxmlformats.org/officeDocument/2006/relationships/hyperlink" Target="http://nces.ed.gov/nationsreportcard/nde/statecomp/" TargetMode="External"/><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hyperlink" Target="http://www.edexcellence.net/foundation/publication/publication.cfm?id=35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yperlink" Target="http://www.nber.org/papers/w12199" TargetMode="External"/><Relationship Id="rId35" Type="http://schemas.openxmlformats.org/officeDocument/2006/relationships/hyperlink" Target="http://www.doe.mass.edu/mcas/2005/news/04techrpt.pdf" TargetMode="External"/><Relationship Id="rId43" Type="http://schemas.openxmlformats.org/officeDocument/2006/relationships/footer" Target="footer5.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image" Target="media/image10.emf"/><Relationship Id="rId33" Type="http://schemas.openxmlformats.org/officeDocument/2006/relationships/hyperlink" Target="http://www.nber.org/papers/w13039" TargetMode="External"/><Relationship Id="rId38" Type="http://schemas.openxmlformats.org/officeDocument/2006/relationships/hyperlink" Target="http://www.nber.org/papers/w14186" TargetMode="External"/><Relationship Id="rId20" Type="http://schemas.openxmlformats.org/officeDocument/2006/relationships/image" Target="media/image5.wmf"/><Relationship Id="rId4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10108</Words>
  <Characters>57619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The Consequences of MCAS Exit Examinations for Struggling Low-Income Urban Students</vt:lpstr>
    </vt:vector>
  </TitlesOfParts>
  <Company/>
  <LinksUpToDate>false</LinksUpToDate>
  <CharactersWithSpaces>67592</CharactersWithSpaces>
  <SharedDoc>false</SharedDoc>
  <HLinks>
    <vt:vector size="66" baseType="variant">
      <vt:variant>
        <vt:i4>6225941</vt:i4>
      </vt:variant>
      <vt:variant>
        <vt:i4>45</vt:i4>
      </vt:variant>
      <vt:variant>
        <vt:i4>0</vt:i4>
      </vt:variant>
      <vt:variant>
        <vt:i4>5</vt:i4>
      </vt:variant>
      <vt:variant>
        <vt:lpwstr>http://www.nber.org/papers/w14186</vt:lpwstr>
      </vt:variant>
      <vt:variant>
        <vt:lpwstr/>
      </vt:variant>
      <vt:variant>
        <vt:i4>7667816</vt:i4>
      </vt:variant>
      <vt:variant>
        <vt:i4>42</vt:i4>
      </vt:variant>
      <vt:variant>
        <vt:i4>0</vt:i4>
      </vt:variant>
      <vt:variant>
        <vt:i4>5</vt:i4>
      </vt:variant>
      <vt:variant>
        <vt:lpwstr>http://epaa.asu.edu/epaa/v14n1/</vt:lpwstr>
      </vt:variant>
      <vt:variant>
        <vt:lpwstr/>
      </vt:variant>
      <vt:variant>
        <vt:i4>6619263</vt:i4>
      </vt:variant>
      <vt:variant>
        <vt:i4>39</vt:i4>
      </vt:variant>
      <vt:variant>
        <vt:i4>0</vt:i4>
      </vt:variant>
      <vt:variant>
        <vt:i4>5</vt:i4>
      </vt:variant>
      <vt:variant>
        <vt:lpwstr>http://nces.ed.gov/nationsreportcard/nde/statecomp/</vt:lpwstr>
      </vt:variant>
      <vt:variant>
        <vt:lpwstr/>
      </vt:variant>
      <vt:variant>
        <vt:i4>5046272</vt:i4>
      </vt:variant>
      <vt:variant>
        <vt:i4>36</vt:i4>
      </vt:variant>
      <vt:variant>
        <vt:i4>0</vt:i4>
      </vt:variant>
      <vt:variant>
        <vt:i4>5</vt:i4>
      </vt:variant>
      <vt:variant>
        <vt:lpwstr>http://www.doe.mass.edu/mcas/2005/news/04techrpt.pdf</vt:lpwstr>
      </vt:variant>
      <vt:variant>
        <vt:lpwstr/>
      </vt:variant>
      <vt:variant>
        <vt:i4>5046274</vt:i4>
      </vt:variant>
      <vt:variant>
        <vt:i4>33</vt:i4>
      </vt:variant>
      <vt:variant>
        <vt:i4>0</vt:i4>
      </vt:variant>
      <vt:variant>
        <vt:i4>5</vt:i4>
      </vt:variant>
      <vt:variant>
        <vt:lpwstr>http://www.doe.mass.edu/mcas/2002/news/01techrpt.pdf</vt:lpwstr>
      </vt:variant>
      <vt:variant>
        <vt:lpwstr/>
      </vt:variant>
      <vt:variant>
        <vt:i4>5439508</vt:i4>
      </vt:variant>
      <vt:variant>
        <vt:i4>30</vt:i4>
      </vt:variant>
      <vt:variant>
        <vt:i4>0</vt:i4>
      </vt:variant>
      <vt:variant>
        <vt:i4>5</vt:i4>
      </vt:variant>
      <vt:variant>
        <vt:lpwstr>http://www.nber.org/papers/w13039</vt:lpwstr>
      </vt:variant>
      <vt:variant>
        <vt:lpwstr/>
      </vt:variant>
      <vt:variant>
        <vt:i4>5505042</vt:i4>
      </vt:variant>
      <vt:variant>
        <vt:i4>27</vt:i4>
      </vt:variant>
      <vt:variant>
        <vt:i4>0</vt:i4>
      </vt:variant>
      <vt:variant>
        <vt:i4>5</vt:i4>
      </vt:variant>
      <vt:variant>
        <vt:lpwstr>http://www.nber.org/papers/w12651</vt:lpwstr>
      </vt:variant>
      <vt:variant>
        <vt:lpwstr/>
      </vt:variant>
      <vt:variant>
        <vt:i4>5111832</vt:i4>
      </vt:variant>
      <vt:variant>
        <vt:i4>24</vt:i4>
      </vt:variant>
      <vt:variant>
        <vt:i4>0</vt:i4>
      </vt:variant>
      <vt:variant>
        <vt:i4>5</vt:i4>
      </vt:variant>
      <vt:variant>
        <vt:lpwstr>http://www.edexcellence.net/foundation/publication/publication.cfm?id=358</vt:lpwstr>
      </vt:variant>
      <vt:variant>
        <vt:lpwstr/>
      </vt:variant>
      <vt:variant>
        <vt:i4>5767189</vt:i4>
      </vt:variant>
      <vt:variant>
        <vt:i4>21</vt:i4>
      </vt:variant>
      <vt:variant>
        <vt:i4>0</vt:i4>
      </vt:variant>
      <vt:variant>
        <vt:i4>5</vt:i4>
      </vt:variant>
      <vt:variant>
        <vt:lpwstr>http://www.nber.org/papers/w12199</vt:lpwstr>
      </vt:variant>
      <vt:variant>
        <vt:lpwstr/>
      </vt:variant>
      <vt:variant>
        <vt:i4>6160476</vt:i4>
      </vt:variant>
      <vt:variant>
        <vt:i4>18</vt:i4>
      </vt:variant>
      <vt:variant>
        <vt:i4>0</vt:i4>
      </vt:variant>
      <vt:variant>
        <vt:i4>5</vt:i4>
      </vt:variant>
      <vt:variant>
        <vt:lpwstr>http://www.bc.edu/research/nbetpp/publications/v1n3.html</vt:lpwstr>
      </vt:variant>
      <vt:variant>
        <vt:lpwstr/>
      </vt:variant>
      <vt:variant>
        <vt:i4>1835078</vt:i4>
      </vt:variant>
      <vt:variant>
        <vt:i4>15</vt:i4>
      </vt:variant>
      <vt:variant>
        <vt:i4>0</vt:i4>
      </vt:variant>
      <vt:variant>
        <vt:i4>5</vt:i4>
      </vt:variant>
      <vt:variant>
        <vt:lpwstr>http://www.cep-dc.org/highschoolexit/JacksonAustin/Jackson&amp;Austin.pdf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Consequences of MCAS Exit Examinations for Struggling Low-Income Urban Students</dc:title>
  <dc:creator>ESE</dc:creator>
  <cp:lastModifiedBy>Zou, Dong</cp:lastModifiedBy>
  <cp:revision>4</cp:revision>
  <cp:lastPrinted>2008-04-29T19:04:00Z</cp:lastPrinted>
  <dcterms:created xsi:type="dcterms:W3CDTF">2013-02-01T21:12:00Z</dcterms:created>
  <dcterms:modified xsi:type="dcterms:W3CDTF">2018-01-30T20:57:00Z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2008</vt:lpwstr>
  </property>
</Properties>
</file>