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AB8" w:rsidRDefault="008D2AB8" w:rsidP="008D2A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ambria"/>
          <w:bCs/>
          <w:color w:val="070707"/>
          <w:sz w:val="80"/>
          <w:szCs w:val="80"/>
        </w:rPr>
      </w:pPr>
    </w:p>
    <w:p w:rsidR="00C560A7" w:rsidRPr="000037AA" w:rsidRDefault="00C560A7" w:rsidP="00C560A7">
      <w:pPr>
        <w:jc w:val="center"/>
        <w:rPr>
          <w:rFonts w:ascii="Times New Roman" w:hAnsi="Times New Roman"/>
          <w:sz w:val="56"/>
          <w:szCs w:val="56"/>
        </w:rPr>
      </w:pPr>
      <w:bookmarkStart w:id="0" w:name="OLE_LINK1"/>
      <w:bookmarkStart w:id="1" w:name="OLE_LINK2"/>
      <w:r w:rsidRPr="000037AA">
        <w:rPr>
          <w:rFonts w:ascii="Times New Roman" w:hAnsi="Times New Roman"/>
          <w:sz w:val="56"/>
          <w:szCs w:val="56"/>
        </w:rPr>
        <w:t>Review of Special Education in the</w:t>
      </w:r>
    </w:p>
    <w:p w:rsidR="00C560A7" w:rsidRPr="000037AA" w:rsidRDefault="00C560A7" w:rsidP="00C560A7">
      <w:pPr>
        <w:jc w:val="center"/>
        <w:rPr>
          <w:rFonts w:ascii="Times New Roman" w:hAnsi="Times New Roman"/>
          <w:sz w:val="56"/>
          <w:szCs w:val="56"/>
        </w:rPr>
      </w:pPr>
      <w:r w:rsidRPr="000037AA">
        <w:rPr>
          <w:rFonts w:ascii="Times New Roman" w:hAnsi="Times New Roman"/>
          <w:sz w:val="56"/>
          <w:szCs w:val="56"/>
        </w:rPr>
        <w:t>Commonwealth of Massachusetts</w:t>
      </w:r>
    </w:p>
    <w:bookmarkEnd w:id="0"/>
    <w:bookmarkEnd w:id="1"/>
    <w:p w:rsidR="00C560A7" w:rsidRPr="008C467E" w:rsidRDefault="00B91530" w:rsidP="00C560A7">
      <w:pPr>
        <w:jc w:val="center"/>
        <w:rPr>
          <w:rFonts w:ascii="Times New Roman" w:hAnsi="Times New Roman"/>
          <w:sz w:val="48"/>
          <w:szCs w:val="48"/>
        </w:rPr>
      </w:pPr>
      <w:r>
        <w:pict>
          <v:rect id="_x0000_i1025" style="width:0;height:1.5pt" o:hralign="center" o:hrstd="t" o:hr="t" fillcolor="#aaa" stroked="f"/>
        </w:pict>
      </w:r>
    </w:p>
    <w:p w:rsidR="00C560A7" w:rsidRDefault="00C560A7" w:rsidP="00C560A7">
      <w:pPr>
        <w:jc w:val="center"/>
        <w:rPr>
          <w:rFonts w:ascii="Times New Roman" w:hAnsi="Times New Roman"/>
          <w:sz w:val="32"/>
          <w:szCs w:val="32"/>
        </w:rPr>
      </w:pPr>
    </w:p>
    <w:p w:rsidR="00C560A7" w:rsidRPr="00DC1EB6" w:rsidRDefault="00C560A7" w:rsidP="00C560A7">
      <w:pPr>
        <w:jc w:val="center"/>
        <w:rPr>
          <w:rFonts w:ascii="Times New Roman" w:hAnsi="Times New Roman"/>
          <w:sz w:val="36"/>
          <w:szCs w:val="36"/>
        </w:rPr>
      </w:pPr>
      <w:bookmarkStart w:id="2" w:name="OLE_LINK6"/>
      <w:bookmarkStart w:id="3" w:name="OLE_LINK7"/>
      <w:r w:rsidRPr="00DC1EB6">
        <w:rPr>
          <w:rFonts w:ascii="Times New Roman" w:hAnsi="Times New Roman"/>
          <w:sz w:val="36"/>
          <w:szCs w:val="36"/>
        </w:rPr>
        <w:t>Thomas Hehir and Associates</w:t>
      </w:r>
      <w:bookmarkEnd w:id="2"/>
      <w:bookmarkEnd w:id="3"/>
    </w:p>
    <w:p w:rsidR="008D2AB8" w:rsidRPr="00F5063E" w:rsidRDefault="008D2AB8" w:rsidP="008D2A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ambria"/>
          <w:b/>
          <w:bCs/>
          <w:color w:val="070707"/>
          <w:sz w:val="68"/>
          <w:szCs w:val="68"/>
        </w:rPr>
      </w:pPr>
    </w:p>
    <w:p w:rsidR="008D2AB8" w:rsidRPr="00F5063E" w:rsidRDefault="008D2AB8" w:rsidP="008D2A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color w:val="070707"/>
          <w:sz w:val="68"/>
          <w:szCs w:val="68"/>
        </w:rPr>
      </w:pPr>
    </w:p>
    <w:p w:rsidR="008D2AB8" w:rsidRPr="00F5063E" w:rsidRDefault="008D2AB8" w:rsidP="008D2A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color w:val="070707"/>
          <w:sz w:val="68"/>
          <w:szCs w:val="68"/>
        </w:rPr>
      </w:pPr>
    </w:p>
    <w:p w:rsidR="008D2AB8" w:rsidRPr="00F5063E" w:rsidRDefault="008D2AB8" w:rsidP="008D2A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ambria"/>
          <w:b/>
          <w:bCs/>
          <w:color w:val="070707"/>
          <w:sz w:val="68"/>
          <w:szCs w:val="68"/>
        </w:rPr>
      </w:pPr>
    </w:p>
    <w:p w:rsidR="008D2AB8" w:rsidRDefault="008D2AB8" w:rsidP="008D2A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ambria"/>
          <w:b/>
          <w:bCs/>
          <w:color w:val="070707"/>
          <w:sz w:val="68"/>
          <w:szCs w:val="68"/>
        </w:rPr>
      </w:pPr>
    </w:p>
    <w:p w:rsidR="00C560A7" w:rsidRDefault="00C560A7" w:rsidP="008D2A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ambria"/>
          <w:b/>
          <w:bCs/>
          <w:color w:val="070707"/>
          <w:sz w:val="68"/>
          <w:szCs w:val="68"/>
        </w:rPr>
      </w:pPr>
    </w:p>
    <w:p w:rsidR="00C560A7" w:rsidRPr="00F5063E" w:rsidRDefault="00C560A7" w:rsidP="008D2A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ambria"/>
          <w:b/>
          <w:bCs/>
          <w:color w:val="070707"/>
          <w:sz w:val="68"/>
          <w:szCs w:val="68"/>
        </w:rPr>
      </w:pPr>
    </w:p>
    <w:p w:rsidR="00C560A7" w:rsidRPr="00DC1EB6" w:rsidRDefault="00C560A7" w:rsidP="00C560A7">
      <w:pPr>
        <w:jc w:val="center"/>
        <w:rPr>
          <w:rFonts w:ascii="Times New Roman" w:hAnsi="Times New Roman"/>
          <w:sz w:val="32"/>
          <w:szCs w:val="32"/>
        </w:rPr>
      </w:pPr>
      <w:r w:rsidRPr="00DC1EB6">
        <w:rPr>
          <w:rFonts w:ascii="Times New Roman" w:hAnsi="Times New Roman"/>
          <w:sz w:val="32"/>
          <w:szCs w:val="32"/>
        </w:rPr>
        <w:t>Thomas Hehir, Todd Grindal</w:t>
      </w:r>
      <w:r w:rsidR="000879AE">
        <w:rPr>
          <w:rFonts w:ascii="Times New Roman" w:hAnsi="Times New Roman"/>
          <w:sz w:val="32"/>
          <w:szCs w:val="32"/>
        </w:rPr>
        <w:t xml:space="preserve"> and</w:t>
      </w:r>
      <w:r w:rsidRPr="00DC1EB6">
        <w:rPr>
          <w:rFonts w:ascii="Times New Roman" w:hAnsi="Times New Roman"/>
          <w:sz w:val="32"/>
          <w:szCs w:val="32"/>
        </w:rPr>
        <w:t xml:space="preserve"> </w:t>
      </w:r>
      <w:proofErr w:type="spellStart"/>
      <w:r w:rsidRPr="00DC1EB6">
        <w:rPr>
          <w:rFonts w:ascii="Times New Roman" w:hAnsi="Times New Roman"/>
          <w:sz w:val="32"/>
          <w:szCs w:val="32"/>
        </w:rPr>
        <w:t>Hadas</w:t>
      </w:r>
      <w:proofErr w:type="spellEnd"/>
      <w:r w:rsidRPr="00DC1EB6">
        <w:rPr>
          <w:rFonts w:ascii="Times New Roman" w:hAnsi="Times New Roman"/>
          <w:sz w:val="32"/>
          <w:szCs w:val="32"/>
        </w:rPr>
        <w:t xml:space="preserve"> </w:t>
      </w:r>
      <w:proofErr w:type="spellStart"/>
      <w:r w:rsidRPr="00DC1EB6">
        <w:rPr>
          <w:rFonts w:ascii="Times New Roman" w:hAnsi="Times New Roman"/>
          <w:sz w:val="32"/>
          <w:szCs w:val="32"/>
        </w:rPr>
        <w:t>Eidelman</w:t>
      </w:r>
      <w:proofErr w:type="spellEnd"/>
    </w:p>
    <w:p w:rsidR="009F3BCE" w:rsidRDefault="00C560A7" w:rsidP="009F3BCE">
      <w:pPr>
        <w:pStyle w:val="Default"/>
        <w:jc w:val="center"/>
      </w:pPr>
      <w:r w:rsidRPr="00DC1EB6">
        <w:rPr>
          <w:sz w:val="32"/>
          <w:szCs w:val="32"/>
        </w:rPr>
        <w:t>Boston, Massachusetts</w:t>
      </w:r>
    </w:p>
    <w:p w:rsidR="009F3BCE" w:rsidRPr="00DC1EB6" w:rsidRDefault="009F3BCE" w:rsidP="009F3BCE">
      <w:pPr>
        <w:jc w:val="center"/>
        <w:rPr>
          <w:rFonts w:ascii="Times New Roman" w:hAnsi="Times New Roman"/>
          <w:sz w:val="32"/>
          <w:szCs w:val="32"/>
        </w:rPr>
      </w:pPr>
      <w:r>
        <w:rPr>
          <w:sz w:val="28"/>
          <w:szCs w:val="28"/>
        </w:rPr>
        <w:t>April 2012</w:t>
      </w:r>
    </w:p>
    <w:p w:rsidR="00C560A7" w:rsidRDefault="00C560A7" w:rsidP="00C560A7">
      <w:pPr>
        <w:ind w:right="1757"/>
        <w:rPr>
          <w:rFonts w:ascii="Times New Roman" w:hAnsi="Times New Roman"/>
          <w:sz w:val="28"/>
          <w:szCs w:val="28"/>
        </w:rPr>
      </w:pPr>
    </w:p>
    <w:p w:rsidR="00C560A7" w:rsidRDefault="00C560A7" w:rsidP="00C560A7">
      <w:pPr>
        <w:ind w:right="1757"/>
        <w:rPr>
          <w:rFonts w:ascii="Times New Roman" w:hAnsi="Times New Roman"/>
          <w:sz w:val="28"/>
          <w:szCs w:val="28"/>
        </w:rPr>
      </w:pPr>
    </w:p>
    <w:p w:rsidR="00C560A7" w:rsidRDefault="00C560A7" w:rsidP="00C560A7">
      <w:pPr>
        <w:ind w:right="1757"/>
        <w:rPr>
          <w:rFonts w:ascii="Times New Roman" w:hAnsi="Times New Roman"/>
          <w:sz w:val="28"/>
          <w:szCs w:val="28"/>
        </w:rPr>
      </w:pPr>
    </w:p>
    <w:p w:rsidR="00C560A7" w:rsidRDefault="00C560A7" w:rsidP="00C560A7">
      <w:pPr>
        <w:jc w:val="center"/>
        <w:rPr>
          <w:rFonts w:ascii="Times New Roman" w:hAnsi="Times New Roman"/>
          <w:sz w:val="32"/>
          <w:szCs w:val="32"/>
        </w:rPr>
      </w:pPr>
      <w:r>
        <w:rPr>
          <w:rFonts w:ascii="Times New Roman" w:hAnsi="Times New Roman"/>
          <w:sz w:val="32"/>
          <w:szCs w:val="32"/>
        </w:rPr>
        <w:t>Report c</w:t>
      </w:r>
      <w:r w:rsidR="002318A0">
        <w:rPr>
          <w:rFonts w:ascii="Times New Roman" w:hAnsi="Times New Roman"/>
          <w:sz w:val="32"/>
          <w:szCs w:val="32"/>
        </w:rPr>
        <w:t xml:space="preserve">ommissioned </w:t>
      </w:r>
      <w:r w:rsidRPr="00DC1EB6">
        <w:rPr>
          <w:rFonts w:ascii="Times New Roman" w:hAnsi="Times New Roman"/>
          <w:sz w:val="32"/>
          <w:szCs w:val="32"/>
        </w:rPr>
        <w:t>by the</w:t>
      </w:r>
      <w:r>
        <w:rPr>
          <w:rFonts w:ascii="Times New Roman" w:hAnsi="Times New Roman"/>
          <w:sz w:val="32"/>
          <w:szCs w:val="32"/>
        </w:rPr>
        <w:t xml:space="preserve"> </w:t>
      </w:r>
    </w:p>
    <w:p w:rsidR="00C560A7" w:rsidRDefault="00C560A7" w:rsidP="00C560A7">
      <w:pPr>
        <w:jc w:val="center"/>
        <w:rPr>
          <w:rFonts w:ascii="Times New Roman" w:hAnsi="Times New Roman"/>
          <w:sz w:val="32"/>
          <w:szCs w:val="32"/>
        </w:rPr>
      </w:pPr>
      <w:r w:rsidRPr="00DC1EB6">
        <w:rPr>
          <w:rFonts w:ascii="Times New Roman" w:hAnsi="Times New Roman"/>
          <w:sz w:val="32"/>
          <w:szCs w:val="32"/>
        </w:rPr>
        <w:t>Massachusetts Department of Elementary and Secondary Education</w:t>
      </w:r>
    </w:p>
    <w:p w:rsidR="00C560A7" w:rsidRPr="00DC1EB6" w:rsidRDefault="00C560A7" w:rsidP="00C560A7">
      <w:pPr>
        <w:jc w:val="center"/>
        <w:rPr>
          <w:rFonts w:ascii="Times New Roman" w:hAnsi="Times New Roman"/>
          <w:sz w:val="32"/>
          <w:szCs w:val="32"/>
        </w:rPr>
      </w:pPr>
      <w:r>
        <w:rPr>
          <w:rFonts w:ascii="Times New Roman" w:hAnsi="Times New Roman"/>
          <w:sz w:val="32"/>
          <w:szCs w:val="32"/>
        </w:rPr>
        <w:t xml:space="preserve">Mitchell D. Chester, </w:t>
      </w:r>
      <w:proofErr w:type="spellStart"/>
      <w:proofErr w:type="gramStart"/>
      <w:r>
        <w:rPr>
          <w:rFonts w:ascii="Times New Roman" w:hAnsi="Times New Roman"/>
          <w:sz w:val="32"/>
          <w:szCs w:val="32"/>
        </w:rPr>
        <w:t>Ed.D</w:t>
      </w:r>
      <w:proofErr w:type="spellEnd"/>
      <w:r>
        <w:rPr>
          <w:rFonts w:ascii="Times New Roman" w:hAnsi="Times New Roman"/>
          <w:sz w:val="32"/>
          <w:szCs w:val="32"/>
        </w:rPr>
        <w:t>.,</w:t>
      </w:r>
      <w:proofErr w:type="gramEnd"/>
      <w:r>
        <w:rPr>
          <w:rFonts w:ascii="Times New Roman" w:hAnsi="Times New Roman"/>
          <w:sz w:val="32"/>
          <w:szCs w:val="32"/>
        </w:rPr>
        <w:t xml:space="preserve"> Commissioner</w:t>
      </w:r>
    </w:p>
    <w:p w:rsidR="008D2AB8" w:rsidRDefault="008D2AB8" w:rsidP="008D2A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ambria"/>
          <w:b/>
          <w:bCs/>
          <w:color w:val="070707"/>
          <w:sz w:val="68"/>
          <w:szCs w:val="68"/>
        </w:rPr>
      </w:pPr>
    </w:p>
    <w:p w:rsidR="00003C4D" w:rsidRPr="00954447" w:rsidRDefault="00003C4D" w:rsidP="00954447">
      <w:pPr>
        <w:rPr>
          <w:rFonts w:cs="Cambria"/>
          <w:b/>
          <w:bCs/>
          <w:color w:val="070707"/>
          <w:sz w:val="32"/>
          <w:szCs w:val="32"/>
        </w:rPr>
        <w:sectPr w:rsidR="00003C4D" w:rsidRPr="00954447" w:rsidSect="008D2AB8">
          <w:headerReference w:type="default" r:id="rId8"/>
          <w:pgSz w:w="12240" w:h="15840"/>
          <w:pgMar w:top="1440" w:right="1440" w:bottom="1440" w:left="1440" w:header="720" w:footer="720" w:gutter="0"/>
          <w:pgNumType w:start="1"/>
          <w:cols w:space="720"/>
          <w:docGrid w:linePitch="360"/>
        </w:sectPr>
      </w:pPr>
      <w:r>
        <w:rPr>
          <w:rFonts w:cs="Cambria"/>
          <w:b/>
          <w:bCs/>
          <w:color w:val="070707"/>
          <w:sz w:val="32"/>
          <w:szCs w:val="32"/>
        </w:rPr>
        <w:br w:type="page"/>
      </w:r>
    </w:p>
    <w:p w:rsidR="0015483A" w:rsidRPr="00AB739C" w:rsidRDefault="0015483A" w:rsidP="008D2A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ambria"/>
          <w:b/>
          <w:bCs/>
          <w:color w:val="070707"/>
          <w:sz w:val="28"/>
          <w:szCs w:val="28"/>
        </w:rPr>
      </w:pPr>
      <w:r w:rsidRPr="00AB739C">
        <w:rPr>
          <w:rFonts w:cs="Cambria"/>
          <w:bCs/>
          <w:color w:val="070707"/>
          <w:sz w:val="28"/>
          <w:szCs w:val="28"/>
        </w:rPr>
        <w:lastRenderedPageBreak/>
        <w:t xml:space="preserve">Review of Special Education in the </w:t>
      </w:r>
      <w:r w:rsidRPr="00AB739C">
        <w:rPr>
          <w:rFonts w:cs="Cambria"/>
          <w:bCs/>
          <w:color w:val="070707"/>
          <w:sz w:val="28"/>
          <w:szCs w:val="28"/>
        </w:rPr>
        <w:br/>
        <w:t>Commonwealth of Massachusetts</w:t>
      </w:r>
      <w:r w:rsidRPr="00AB739C">
        <w:rPr>
          <w:rFonts w:cs="Cambria"/>
          <w:b/>
          <w:bCs/>
          <w:color w:val="070707"/>
          <w:sz w:val="28"/>
          <w:szCs w:val="28"/>
        </w:rPr>
        <w:t xml:space="preserve"> </w:t>
      </w:r>
    </w:p>
    <w:p w:rsidR="008D2AB8" w:rsidRPr="004C0222" w:rsidRDefault="008D2AB8" w:rsidP="008D2A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ambria"/>
          <w:bCs/>
          <w:color w:val="070707"/>
          <w:sz w:val="28"/>
          <w:szCs w:val="28"/>
          <w:u w:val="single"/>
        </w:rPr>
      </w:pPr>
      <w:r w:rsidRPr="004C0222">
        <w:rPr>
          <w:rFonts w:cs="Cambria"/>
          <w:bCs/>
          <w:color w:val="070707"/>
          <w:sz w:val="28"/>
          <w:szCs w:val="28"/>
          <w:u w:val="single"/>
        </w:rPr>
        <w:t xml:space="preserve">Table of Contents </w:t>
      </w:r>
    </w:p>
    <w:p w:rsidR="0015483A" w:rsidRPr="004C0222" w:rsidRDefault="0015483A" w:rsidP="001548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Cs/>
          <w:color w:val="070707"/>
        </w:rPr>
      </w:pPr>
      <w:r w:rsidRPr="004C0222">
        <w:rPr>
          <w:rFonts w:cs="Cambria"/>
          <w:bCs/>
          <w:color w:val="070707"/>
        </w:rPr>
        <w:t>Exe</w:t>
      </w:r>
      <w:r w:rsidR="008F1C1A">
        <w:rPr>
          <w:rFonts w:cs="Cambria"/>
          <w:bCs/>
          <w:color w:val="070707"/>
        </w:rPr>
        <w:t xml:space="preserve">cutive Summary </w:t>
      </w:r>
      <w:r w:rsidR="008F1C1A">
        <w:rPr>
          <w:rFonts w:cs="Cambria"/>
          <w:bCs/>
          <w:color w:val="070707"/>
        </w:rPr>
        <w:tab/>
      </w:r>
      <w:r w:rsidR="008F1C1A">
        <w:rPr>
          <w:rFonts w:cs="Cambria"/>
          <w:bCs/>
          <w:color w:val="070707"/>
        </w:rPr>
        <w:tab/>
      </w:r>
      <w:r w:rsidR="008F1C1A">
        <w:rPr>
          <w:rFonts w:cs="Cambria"/>
          <w:bCs/>
          <w:color w:val="070707"/>
        </w:rPr>
        <w:tab/>
      </w:r>
      <w:r w:rsidR="008F1C1A">
        <w:rPr>
          <w:rFonts w:cs="Cambria"/>
          <w:bCs/>
          <w:color w:val="070707"/>
        </w:rPr>
        <w:tab/>
      </w:r>
      <w:r w:rsidR="008F1C1A">
        <w:rPr>
          <w:rFonts w:cs="Cambria"/>
          <w:bCs/>
          <w:color w:val="070707"/>
        </w:rPr>
        <w:tab/>
      </w:r>
      <w:r w:rsidR="008F1C1A">
        <w:rPr>
          <w:rFonts w:cs="Cambria"/>
          <w:bCs/>
          <w:color w:val="070707"/>
        </w:rPr>
        <w:tab/>
      </w:r>
      <w:r w:rsidR="008F1C1A">
        <w:rPr>
          <w:rFonts w:cs="Cambria"/>
          <w:bCs/>
          <w:color w:val="070707"/>
        </w:rPr>
        <w:tab/>
      </w:r>
      <w:r w:rsidR="008F1C1A">
        <w:rPr>
          <w:rFonts w:cs="Cambria"/>
          <w:bCs/>
          <w:color w:val="070707"/>
        </w:rPr>
        <w:tab/>
      </w:r>
      <w:r w:rsidR="008F1C1A">
        <w:rPr>
          <w:rFonts w:cs="Cambria"/>
          <w:bCs/>
          <w:color w:val="070707"/>
        </w:rPr>
        <w:tab/>
      </w:r>
      <w:r w:rsidR="008F1C1A">
        <w:rPr>
          <w:rFonts w:cs="Cambria"/>
          <w:bCs/>
          <w:color w:val="070707"/>
        </w:rPr>
        <w:tab/>
      </w:r>
      <w:r w:rsidR="008F1C1A">
        <w:rPr>
          <w:rFonts w:cs="Cambria"/>
          <w:bCs/>
          <w:color w:val="070707"/>
        </w:rPr>
        <w:tab/>
        <w:t>Page 1</w:t>
      </w:r>
    </w:p>
    <w:p w:rsidR="00AB739C" w:rsidRPr="004C0222" w:rsidRDefault="00AB739C" w:rsidP="001548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Cs/>
          <w:color w:val="070707"/>
        </w:rPr>
      </w:pPr>
    </w:p>
    <w:p w:rsidR="0015483A" w:rsidRPr="004C0222" w:rsidRDefault="008F1C1A" w:rsidP="001548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Cs/>
          <w:color w:val="070707"/>
        </w:rPr>
      </w:pPr>
      <w:r>
        <w:rPr>
          <w:rFonts w:cs="Cambria"/>
          <w:bCs/>
          <w:color w:val="070707"/>
        </w:rPr>
        <w:t xml:space="preserve">Introduction </w:t>
      </w:r>
      <w:r>
        <w:rPr>
          <w:rFonts w:cs="Cambria"/>
          <w:bCs/>
          <w:color w:val="070707"/>
        </w:rPr>
        <w:tab/>
        <w:t xml:space="preserve"> </w:t>
      </w:r>
      <w:r>
        <w:rPr>
          <w:rFonts w:cs="Cambria"/>
          <w:bCs/>
          <w:color w:val="070707"/>
        </w:rPr>
        <w:tab/>
      </w:r>
      <w:r>
        <w:rPr>
          <w:rFonts w:cs="Cambria"/>
          <w:bCs/>
          <w:color w:val="070707"/>
        </w:rPr>
        <w:tab/>
      </w:r>
      <w:r>
        <w:rPr>
          <w:rFonts w:cs="Cambria"/>
          <w:bCs/>
          <w:color w:val="070707"/>
        </w:rPr>
        <w:tab/>
      </w:r>
      <w:r>
        <w:rPr>
          <w:rFonts w:cs="Cambria"/>
          <w:bCs/>
          <w:color w:val="070707"/>
        </w:rPr>
        <w:tab/>
      </w:r>
      <w:r>
        <w:rPr>
          <w:rFonts w:cs="Cambria"/>
          <w:bCs/>
          <w:color w:val="070707"/>
        </w:rPr>
        <w:tab/>
      </w:r>
      <w:r>
        <w:rPr>
          <w:rFonts w:cs="Cambria"/>
          <w:bCs/>
          <w:color w:val="070707"/>
        </w:rPr>
        <w:tab/>
      </w:r>
      <w:r>
        <w:rPr>
          <w:rFonts w:cs="Cambria"/>
          <w:bCs/>
          <w:color w:val="070707"/>
        </w:rPr>
        <w:tab/>
      </w:r>
      <w:r>
        <w:rPr>
          <w:rFonts w:cs="Cambria"/>
          <w:bCs/>
          <w:color w:val="070707"/>
        </w:rPr>
        <w:tab/>
      </w:r>
      <w:r>
        <w:rPr>
          <w:rFonts w:cs="Cambria"/>
          <w:bCs/>
          <w:color w:val="070707"/>
        </w:rPr>
        <w:tab/>
      </w:r>
      <w:r>
        <w:rPr>
          <w:rFonts w:cs="Cambria"/>
          <w:bCs/>
          <w:color w:val="070707"/>
        </w:rPr>
        <w:tab/>
      </w:r>
      <w:r>
        <w:rPr>
          <w:rFonts w:cs="Cambria"/>
          <w:bCs/>
          <w:color w:val="070707"/>
        </w:rPr>
        <w:tab/>
        <w:t>Page 3</w:t>
      </w:r>
    </w:p>
    <w:p w:rsidR="00AB739C" w:rsidRPr="004C0222" w:rsidRDefault="00AB739C" w:rsidP="001548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Cs/>
          <w:color w:val="070707"/>
        </w:rPr>
      </w:pPr>
    </w:p>
    <w:p w:rsidR="0015483A" w:rsidRPr="004C0222" w:rsidRDefault="008F1C1A" w:rsidP="001548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Cs/>
          <w:color w:val="070707"/>
        </w:rPr>
      </w:pPr>
      <w:r>
        <w:rPr>
          <w:rFonts w:cs="Cambria"/>
          <w:bCs/>
          <w:color w:val="070707"/>
        </w:rPr>
        <w:t xml:space="preserve">Methods </w:t>
      </w:r>
      <w:r>
        <w:rPr>
          <w:rFonts w:cs="Cambria"/>
          <w:bCs/>
          <w:color w:val="070707"/>
        </w:rPr>
        <w:tab/>
      </w:r>
      <w:r>
        <w:rPr>
          <w:rFonts w:cs="Cambria"/>
          <w:bCs/>
          <w:color w:val="070707"/>
        </w:rPr>
        <w:tab/>
        <w:t xml:space="preserve"> </w:t>
      </w:r>
      <w:r>
        <w:rPr>
          <w:rFonts w:cs="Cambria"/>
          <w:bCs/>
          <w:color w:val="070707"/>
        </w:rPr>
        <w:tab/>
      </w:r>
      <w:r>
        <w:rPr>
          <w:rFonts w:cs="Cambria"/>
          <w:bCs/>
          <w:color w:val="070707"/>
        </w:rPr>
        <w:tab/>
      </w:r>
      <w:r>
        <w:rPr>
          <w:rFonts w:cs="Cambria"/>
          <w:bCs/>
          <w:color w:val="070707"/>
        </w:rPr>
        <w:tab/>
      </w:r>
      <w:r>
        <w:rPr>
          <w:rFonts w:cs="Cambria"/>
          <w:bCs/>
          <w:color w:val="070707"/>
        </w:rPr>
        <w:tab/>
      </w:r>
      <w:r>
        <w:rPr>
          <w:rFonts w:cs="Cambria"/>
          <w:bCs/>
          <w:color w:val="070707"/>
        </w:rPr>
        <w:tab/>
      </w:r>
      <w:r>
        <w:rPr>
          <w:rFonts w:cs="Cambria"/>
          <w:bCs/>
          <w:color w:val="070707"/>
        </w:rPr>
        <w:tab/>
      </w:r>
      <w:r>
        <w:rPr>
          <w:rFonts w:cs="Cambria"/>
          <w:bCs/>
          <w:color w:val="070707"/>
        </w:rPr>
        <w:tab/>
      </w:r>
      <w:r>
        <w:rPr>
          <w:rFonts w:cs="Cambria"/>
          <w:bCs/>
          <w:color w:val="070707"/>
        </w:rPr>
        <w:tab/>
      </w:r>
      <w:r>
        <w:rPr>
          <w:rFonts w:cs="Cambria"/>
          <w:bCs/>
          <w:color w:val="070707"/>
        </w:rPr>
        <w:tab/>
      </w:r>
      <w:r>
        <w:rPr>
          <w:rFonts w:cs="Cambria"/>
          <w:bCs/>
          <w:color w:val="070707"/>
        </w:rPr>
        <w:tab/>
      </w:r>
      <w:r>
        <w:rPr>
          <w:rFonts w:cs="Cambria"/>
          <w:bCs/>
          <w:color w:val="070707"/>
        </w:rPr>
        <w:tab/>
        <w:t>Page 4</w:t>
      </w:r>
    </w:p>
    <w:p w:rsidR="00AB739C" w:rsidRPr="004C0222" w:rsidRDefault="00AB739C" w:rsidP="001548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Cs/>
          <w:color w:val="070707"/>
        </w:rPr>
      </w:pPr>
    </w:p>
    <w:p w:rsidR="0015483A" w:rsidRPr="004C0222" w:rsidRDefault="0015483A" w:rsidP="001548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Cs/>
          <w:color w:val="070707"/>
        </w:rPr>
      </w:pPr>
      <w:r w:rsidRPr="004C0222">
        <w:rPr>
          <w:rFonts w:cs="Cambria"/>
          <w:bCs/>
          <w:color w:val="070707"/>
        </w:rPr>
        <w:t>Summary of Key Findings</w:t>
      </w:r>
      <w:r w:rsidRPr="004C0222">
        <w:rPr>
          <w:rFonts w:cs="Cambria"/>
          <w:bCs/>
          <w:color w:val="070707"/>
        </w:rPr>
        <w:tab/>
      </w:r>
      <w:r w:rsidRPr="004C0222">
        <w:rPr>
          <w:rFonts w:cs="Cambria"/>
          <w:bCs/>
          <w:color w:val="070707"/>
        </w:rPr>
        <w:tab/>
      </w:r>
      <w:r w:rsidRPr="004C0222">
        <w:rPr>
          <w:rFonts w:cs="Cambria"/>
          <w:bCs/>
          <w:color w:val="070707"/>
        </w:rPr>
        <w:tab/>
      </w:r>
      <w:r w:rsidRPr="004C0222">
        <w:rPr>
          <w:rFonts w:cs="Cambria"/>
          <w:bCs/>
          <w:color w:val="070707"/>
        </w:rPr>
        <w:tab/>
      </w:r>
      <w:r w:rsidRPr="004C0222">
        <w:rPr>
          <w:rFonts w:cs="Cambria"/>
          <w:bCs/>
          <w:color w:val="070707"/>
        </w:rPr>
        <w:tab/>
      </w:r>
      <w:r w:rsidRPr="004C0222">
        <w:rPr>
          <w:rFonts w:cs="Cambria"/>
          <w:bCs/>
          <w:color w:val="070707"/>
        </w:rPr>
        <w:tab/>
      </w:r>
      <w:r w:rsidRPr="004C0222">
        <w:rPr>
          <w:rFonts w:cs="Cambria"/>
          <w:bCs/>
          <w:color w:val="070707"/>
        </w:rPr>
        <w:tab/>
      </w:r>
      <w:r w:rsidRPr="004C0222">
        <w:rPr>
          <w:rFonts w:cs="Cambria"/>
          <w:bCs/>
          <w:color w:val="070707"/>
        </w:rPr>
        <w:tab/>
      </w:r>
      <w:r w:rsidR="00AB739C" w:rsidRPr="004C0222">
        <w:rPr>
          <w:rFonts w:cs="Cambria"/>
          <w:bCs/>
          <w:color w:val="070707"/>
        </w:rPr>
        <w:tab/>
      </w:r>
      <w:r w:rsidR="008F1C1A">
        <w:rPr>
          <w:rFonts w:cs="Cambria"/>
          <w:bCs/>
          <w:color w:val="070707"/>
        </w:rPr>
        <w:tab/>
        <w:t>Page 5</w:t>
      </w:r>
    </w:p>
    <w:p w:rsidR="0015483A" w:rsidRPr="004C0222" w:rsidRDefault="0015483A" w:rsidP="0015483A">
      <w:pPr>
        <w:ind w:left="720" w:right="2880"/>
      </w:pPr>
    </w:p>
    <w:p w:rsidR="00AB739C" w:rsidRPr="004C0222" w:rsidRDefault="008F1C1A" w:rsidP="009176F2">
      <w:r>
        <w:t xml:space="preserve">Findings </w:t>
      </w:r>
      <w:r>
        <w:tab/>
      </w:r>
      <w:r>
        <w:tab/>
      </w:r>
      <w:r>
        <w:tab/>
      </w:r>
      <w:r>
        <w:tab/>
      </w:r>
      <w:r>
        <w:tab/>
      </w:r>
      <w:r>
        <w:tab/>
      </w:r>
      <w:r>
        <w:tab/>
      </w:r>
      <w:r>
        <w:tab/>
      </w:r>
      <w:r>
        <w:tab/>
      </w:r>
      <w:r>
        <w:tab/>
        <w:t>Page 5</w:t>
      </w:r>
    </w:p>
    <w:p w:rsidR="00AB739C" w:rsidRPr="004C0222" w:rsidRDefault="00AB739C" w:rsidP="009176F2"/>
    <w:p w:rsidR="009176F2" w:rsidRPr="004C0222" w:rsidRDefault="009176F2" w:rsidP="004C0222">
      <w:pPr>
        <w:ind w:left="720"/>
      </w:pPr>
      <w:r w:rsidRPr="004C0222">
        <w:t>Part 1: Detailed findings compar</w:t>
      </w:r>
      <w:r w:rsidR="008F1C1A">
        <w:t>ing the identification,</w:t>
      </w:r>
      <w:r w:rsidR="008F1C1A">
        <w:tab/>
      </w:r>
      <w:r w:rsidR="008F1C1A">
        <w:tab/>
      </w:r>
      <w:r w:rsidR="008F1C1A">
        <w:tab/>
        <w:t>Page 6</w:t>
      </w:r>
      <w:r w:rsidRPr="004C0222">
        <w:t xml:space="preserve"> </w:t>
      </w:r>
    </w:p>
    <w:p w:rsidR="009176F2" w:rsidRPr="004C0222" w:rsidRDefault="009176F2" w:rsidP="004C0222">
      <w:pPr>
        <w:ind w:left="720" w:right="2160"/>
      </w:pPr>
      <w:proofErr w:type="gramStart"/>
      <w:r w:rsidRPr="004C0222">
        <w:t>placement</w:t>
      </w:r>
      <w:proofErr w:type="gramEnd"/>
      <w:r w:rsidRPr="004C0222">
        <w:t xml:space="preserve"> and performance of Massachusetts students with disabilities with students in the rest of the country</w:t>
      </w:r>
      <w:r w:rsidRPr="004C0222">
        <w:tab/>
      </w:r>
      <w:r w:rsidRPr="004C0222">
        <w:tab/>
      </w:r>
      <w:r w:rsidRPr="004C0222">
        <w:tab/>
      </w:r>
      <w:r w:rsidRPr="004C0222">
        <w:tab/>
      </w:r>
    </w:p>
    <w:p w:rsidR="009176F2" w:rsidRPr="004C0222" w:rsidRDefault="009176F2" w:rsidP="004C0222">
      <w:pPr>
        <w:ind w:left="720"/>
      </w:pPr>
      <w:r w:rsidRPr="004C0222">
        <w:t>Part 2: Detailed findings regarding rate</w:t>
      </w:r>
      <w:r w:rsidR="008F1C1A">
        <w:t xml:space="preserve">s of special education </w:t>
      </w:r>
      <w:r w:rsidR="008F1C1A">
        <w:tab/>
      </w:r>
      <w:r w:rsidR="008F1C1A">
        <w:tab/>
        <w:t>Page 10</w:t>
      </w:r>
    </w:p>
    <w:p w:rsidR="009176F2" w:rsidRPr="004C0222" w:rsidRDefault="009176F2" w:rsidP="004C0222">
      <w:pPr>
        <w:ind w:left="720"/>
      </w:pPr>
      <w:proofErr w:type="gramStart"/>
      <w:r w:rsidRPr="004C0222">
        <w:t>identification</w:t>
      </w:r>
      <w:proofErr w:type="gramEnd"/>
      <w:r w:rsidRPr="004C0222">
        <w:t xml:space="preserve"> in the commonwealth of Massachusetts</w:t>
      </w:r>
      <w:r w:rsidRPr="004C0222">
        <w:tab/>
      </w:r>
      <w:r w:rsidRPr="004C0222">
        <w:tab/>
      </w:r>
      <w:r w:rsidRPr="004C0222">
        <w:tab/>
      </w:r>
    </w:p>
    <w:p w:rsidR="0015483A" w:rsidRPr="004C0222" w:rsidRDefault="0015483A" w:rsidP="001548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Cs/>
          <w:color w:val="070707"/>
        </w:rPr>
      </w:pPr>
    </w:p>
    <w:p w:rsidR="00AB739C" w:rsidRPr="004C0222" w:rsidRDefault="00AB739C" w:rsidP="004C0222">
      <w:pPr>
        <w:ind w:left="720"/>
      </w:pPr>
      <w:r w:rsidRPr="004C0222">
        <w:t>Part 3: Detailed findings describing t</w:t>
      </w:r>
      <w:r w:rsidR="008F1C1A">
        <w:t>he relationship between</w:t>
      </w:r>
      <w:r w:rsidR="008F1C1A">
        <w:tab/>
      </w:r>
      <w:r w:rsidR="008F1C1A">
        <w:tab/>
        <w:t>Page 13</w:t>
      </w:r>
    </w:p>
    <w:p w:rsidR="00AB739C" w:rsidRPr="004C0222" w:rsidRDefault="00AB739C" w:rsidP="004C0222">
      <w:pPr>
        <w:ind w:left="720" w:right="2160"/>
      </w:pPr>
      <w:proofErr w:type="gramStart"/>
      <w:r w:rsidRPr="004C0222">
        <w:t>district</w:t>
      </w:r>
      <w:proofErr w:type="gramEnd"/>
      <w:r w:rsidRPr="004C0222">
        <w:t xml:space="preserve"> rates of identification and proficiency on the Massachusetts Comprehensive Assessment System (MCAS)</w:t>
      </w:r>
      <w:r w:rsidRPr="004C0222">
        <w:tab/>
      </w:r>
      <w:r w:rsidRPr="004C0222">
        <w:tab/>
      </w:r>
    </w:p>
    <w:p w:rsidR="00AB739C" w:rsidRPr="004C0222" w:rsidRDefault="00AB739C" w:rsidP="004C0222">
      <w:pPr>
        <w:ind w:left="720"/>
      </w:pPr>
      <w:r w:rsidRPr="004C0222">
        <w:t>Part 4: Detailed findings regarding t</w:t>
      </w:r>
      <w:r w:rsidR="008F1C1A">
        <w:t>he relationship between</w:t>
      </w:r>
      <w:r w:rsidR="008F1C1A">
        <w:tab/>
      </w:r>
      <w:r w:rsidR="008F1C1A">
        <w:tab/>
        <w:t>Page 17</w:t>
      </w:r>
    </w:p>
    <w:p w:rsidR="00AB739C" w:rsidRPr="004C0222" w:rsidRDefault="00AB739C" w:rsidP="004C0222">
      <w:pPr>
        <w:ind w:left="720" w:right="2160"/>
      </w:pPr>
      <w:proofErr w:type="gramStart"/>
      <w:r w:rsidRPr="004C0222">
        <w:t>student</w:t>
      </w:r>
      <w:proofErr w:type="gramEnd"/>
      <w:r w:rsidRPr="004C0222">
        <w:t xml:space="preserve"> characteristics and likelihood of being identified as eligible for special education services</w:t>
      </w:r>
      <w:r w:rsidRPr="004C0222">
        <w:tab/>
      </w:r>
      <w:r w:rsidRPr="004C0222">
        <w:tab/>
      </w:r>
      <w:r w:rsidRPr="004C0222">
        <w:tab/>
      </w:r>
    </w:p>
    <w:p w:rsidR="00AB739C" w:rsidRPr="004C0222" w:rsidRDefault="00AB739C" w:rsidP="001548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Cs/>
          <w:color w:val="070707"/>
        </w:rPr>
      </w:pPr>
    </w:p>
    <w:p w:rsidR="00AB739C" w:rsidRPr="004C0222" w:rsidRDefault="00AB739C" w:rsidP="004C0222">
      <w:pPr>
        <w:ind w:left="720"/>
      </w:pPr>
      <w:r w:rsidRPr="004C0222">
        <w:t>Part 5: Detailed findings describing the relatio</w:t>
      </w:r>
      <w:r w:rsidR="008F1C1A">
        <w:t>nship between</w:t>
      </w:r>
      <w:r w:rsidR="008F1C1A">
        <w:tab/>
      </w:r>
      <w:r w:rsidR="008F1C1A">
        <w:tab/>
        <w:t>Page 23</w:t>
      </w:r>
    </w:p>
    <w:p w:rsidR="00AB739C" w:rsidRPr="004C0222" w:rsidRDefault="00AB739C" w:rsidP="004C02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2160"/>
        <w:rPr>
          <w:rFonts w:cs="Cambria"/>
          <w:bCs/>
          <w:color w:val="070707"/>
        </w:rPr>
      </w:pPr>
      <w:proofErr w:type="gramStart"/>
      <w:r w:rsidRPr="004C0222">
        <w:t>characteristics</w:t>
      </w:r>
      <w:proofErr w:type="gramEnd"/>
      <w:r w:rsidRPr="004C0222">
        <w:t xml:space="preserve"> of students with ‘High Incidence’ disabilities and </w:t>
      </w:r>
      <w:r w:rsidR="00F32A1C">
        <w:t xml:space="preserve">the </w:t>
      </w:r>
      <w:r w:rsidRPr="004C0222">
        <w:t xml:space="preserve">proportion of the school day spent in classrooms with their typically developing peers  </w:t>
      </w:r>
    </w:p>
    <w:p w:rsidR="00AB739C" w:rsidRPr="004C0222" w:rsidRDefault="00AB739C" w:rsidP="004C0222">
      <w:pPr>
        <w:ind w:left="720"/>
      </w:pPr>
      <w:r w:rsidRPr="004C0222">
        <w:tab/>
      </w:r>
      <w:r w:rsidRPr="004C0222">
        <w:tab/>
      </w:r>
      <w:r w:rsidRPr="004C0222">
        <w:tab/>
      </w:r>
    </w:p>
    <w:p w:rsidR="00AB739C" w:rsidRPr="004C0222" w:rsidRDefault="00AB739C" w:rsidP="004C0222">
      <w:pPr>
        <w:ind w:left="720"/>
      </w:pPr>
      <w:r w:rsidRPr="004C0222">
        <w:t>Part 6: Detailed findings describing the relationship between</w:t>
      </w:r>
      <w:r w:rsidRPr="004C0222">
        <w:tab/>
      </w:r>
      <w:r w:rsidRPr="004C0222">
        <w:tab/>
        <w:t xml:space="preserve">Page </w:t>
      </w:r>
      <w:r w:rsidR="00D76A58">
        <w:t>2</w:t>
      </w:r>
      <w:r w:rsidR="008F1C1A">
        <w:t>7</w:t>
      </w:r>
    </w:p>
    <w:p w:rsidR="00AB739C" w:rsidRPr="004C0222" w:rsidRDefault="00AB739C" w:rsidP="004C02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2160"/>
      </w:pPr>
      <w:proofErr w:type="gramStart"/>
      <w:r w:rsidRPr="004C0222">
        <w:t>the</w:t>
      </w:r>
      <w:proofErr w:type="gramEnd"/>
      <w:r w:rsidRPr="004C0222">
        <w:t xml:space="preserve"> proportion of the school day a student spent in classrooms with their typically developing peers and scores on the MCAS for students with ‘High Incidence’ disabilities  </w:t>
      </w:r>
    </w:p>
    <w:p w:rsidR="00AB739C" w:rsidRPr="004C0222" w:rsidRDefault="00AB739C" w:rsidP="00AB73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AB739C" w:rsidRPr="004C0222" w:rsidRDefault="00AB739C" w:rsidP="00AB73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C0222">
        <w:t>R</w:t>
      </w:r>
      <w:r w:rsidR="008F1C1A">
        <w:t xml:space="preserve">ecommendations </w:t>
      </w:r>
      <w:r w:rsidR="008F1C1A">
        <w:tab/>
      </w:r>
      <w:r w:rsidR="008F1C1A">
        <w:tab/>
      </w:r>
      <w:r w:rsidR="008F1C1A">
        <w:tab/>
      </w:r>
      <w:r w:rsidR="008F1C1A">
        <w:tab/>
      </w:r>
      <w:r w:rsidR="008F1C1A">
        <w:tab/>
      </w:r>
      <w:r w:rsidR="008F1C1A">
        <w:tab/>
      </w:r>
      <w:r w:rsidR="008F1C1A">
        <w:tab/>
      </w:r>
      <w:r w:rsidR="008F1C1A">
        <w:tab/>
      </w:r>
      <w:r w:rsidR="008F1C1A">
        <w:tab/>
      </w:r>
      <w:r w:rsidR="008F1C1A">
        <w:tab/>
      </w:r>
      <w:r w:rsidR="008F1C1A">
        <w:tab/>
        <w:t>Page 30</w:t>
      </w:r>
      <w:r w:rsidRPr="004C0222">
        <w:t xml:space="preserve"> </w:t>
      </w:r>
    </w:p>
    <w:p w:rsidR="00AB739C" w:rsidRPr="004C0222" w:rsidRDefault="00AB739C" w:rsidP="00AB73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AB739C" w:rsidRPr="004C0222" w:rsidRDefault="008F1C1A" w:rsidP="00AB73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References </w:t>
      </w:r>
      <w:r>
        <w:tab/>
      </w:r>
      <w:r>
        <w:tab/>
      </w:r>
      <w:r>
        <w:tab/>
      </w:r>
      <w:r>
        <w:tab/>
      </w:r>
      <w:r>
        <w:tab/>
      </w:r>
      <w:r>
        <w:tab/>
      </w:r>
      <w:r>
        <w:tab/>
      </w:r>
      <w:r>
        <w:tab/>
      </w:r>
      <w:r>
        <w:tab/>
      </w:r>
      <w:r>
        <w:tab/>
      </w:r>
      <w:r>
        <w:tab/>
      </w:r>
      <w:r>
        <w:tab/>
        <w:t>Page 34</w:t>
      </w:r>
      <w:r w:rsidR="00AB739C" w:rsidRPr="004C0222">
        <w:t xml:space="preserve"> </w:t>
      </w:r>
    </w:p>
    <w:p w:rsidR="00AB739C" w:rsidRPr="004C0222" w:rsidRDefault="00AB739C" w:rsidP="00AB73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AB739C" w:rsidRPr="004C0222" w:rsidRDefault="00AB739C" w:rsidP="00AB73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C0222">
        <w:t>Appendix A: Additional Methodological</w:t>
      </w:r>
      <w:r w:rsidR="004C0222">
        <w:t xml:space="preserve"> I</w:t>
      </w:r>
      <w:r w:rsidRPr="004C0222">
        <w:t xml:space="preserve">nformation </w:t>
      </w:r>
      <w:r w:rsidRPr="004C0222">
        <w:tab/>
      </w:r>
      <w:r w:rsidRPr="004C0222">
        <w:tab/>
      </w:r>
      <w:r w:rsidRPr="004C0222">
        <w:tab/>
      </w:r>
      <w:r w:rsidRPr="004C0222">
        <w:tab/>
      </w:r>
      <w:r w:rsidRPr="004C0222">
        <w:tab/>
        <w:t xml:space="preserve">Page </w:t>
      </w:r>
      <w:r w:rsidR="008F1C1A">
        <w:t>36</w:t>
      </w:r>
      <w:r w:rsidRPr="004C0222">
        <w:t xml:space="preserve"> </w:t>
      </w:r>
    </w:p>
    <w:p w:rsidR="00AB739C" w:rsidRPr="004C0222" w:rsidRDefault="00AB739C" w:rsidP="00AB73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AB739C" w:rsidRPr="004C0222" w:rsidRDefault="00AB739C" w:rsidP="00AB73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Cs/>
          <w:color w:val="070707"/>
        </w:rPr>
      </w:pPr>
      <w:r w:rsidRPr="004C0222">
        <w:t xml:space="preserve">Appendix B:  </w:t>
      </w:r>
      <w:r w:rsidR="004C0222" w:rsidRPr="004C0222">
        <w:t>Selected</w:t>
      </w:r>
      <w:r w:rsidR="008F1C1A">
        <w:t xml:space="preserve"> Regression Models</w:t>
      </w:r>
      <w:r w:rsidR="008F1C1A">
        <w:tab/>
      </w:r>
      <w:r w:rsidR="008F1C1A">
        <w:tab/>
      </w:r>
      <w:r w:rsidR="008F1C1A">
        <w:tab/>
      </w:r>
      <w:r w:rsidR="008F1C1A">
        <w:tab/>
      </w:r>
      <w:r w:rsidR="008F1C1A">
        <w:tab/>
      </w:r>
      <w:r w:rsidR="008F1C1A">
        <w:tab/>
      </w:r>
      <w:r w:rsidR="008F1C1A">
        <w:tab/>
        <w:t>Page 39</w:t>
      </w:r>
      <w:r w:rsidR="004C0222" w:rsidRPr="004C0222">
        <w:t xml:space="preserve"> </w:t>
      </w:r>
    </w:p>
    <w:p w:rsidR="00003C4D" w:rsidRDefault="00003C4D">
      <w:pPr>
        <w:jc w:val="center"/>
        <w:rPr>
          <w:rFonts w:cs="Cambria"/>
          <w:b/>
          <w:bCs/>
          <w:color w:val="070707"/>
          <w:sz w:val="32"/>
          <w:szCs w:val="32"/>
        </w:rPr>
        <w:sectPr w:rsidR="00003C4D" w:rsidSect="00003C4D">
          <w:type w:val="continuous"/>
          <w:pgSz w:w="12240" w:h="15840" w:code="1"/>
          <w:pgMar w:top="1440" w:right="720" w:bottom="720" w:left="1440" w:header="720" w:footer="720" w:gutter="0"/>
          <w:pgNumType w:start="1"/>
          <w:cols w:space="720"/>
          <w:docGrid w:linePitch="360"/>
        </w:sectPr>
      </w:pPr>
    </w:p>
    <w:p w:rsidR="009F3BCE" w:rsidRDefault="009F3BCE">
      <w:pPr>
        <w:jc w:val="center"/>
        <w:rPr>
          <w:rFonts w:cs="Cambria"/>
          <w:b/>
          <w:bCs/>
          <w:color w:val="070707"/>
          <w:sz w:val="32"/>
          <w:szCs w:val="32"/>
        </w:rPr>
        <w:sectPr w:rsidR="009F3BCE" w:rsidSect="009F3BCE">
          <w:headerReference w:type="default" r:id="rId9"/>
          <w:pgSz w:w="12240" w:h="15840"/>
          <w:pgMar w:top="1440" w:right="1440" w:bottom="1440" w:left="1440" w:header="720" w:footer="720" w:gutter="0"/>
          <w:pgNumType w:start="1"/>
          <w:cols w:space="720"/>
          <w:docGrid w:linePitch="360"/>
        </w:sectPr>
      </w:pPr>
    </w:p>
    <w:p w:rsidR="008D2AB8" w:rsidRPr="00483553" w:rsidRDefault="008D2AB8">
      <w:pPr>
        <w:jc w:val="center"/>
        <w:rPr>
          <w:rFonts w:cs="Cambria"/>
          <w:b/>
          <w:bCs/>
          <w:color w:val="070707"/>
          <w:sz w:val="32"/>
          <w:szCs w:val="32"/>
        </w:rPr>
      </w:pPr>
      <w:r w:rsidRPr="00483553">
        <w:rPr>
          <w:rFonts w:cs="Cambria"/>
          <w:b/>
          <w:bCs/>
          <w:color w:val="070707"/>
          <w:sz w:val="32"/>
          <w:szCs w:val="32"/>
        </w:rPr>
        <w:lastRenderedPageBreak/>
        <w:t>Executive Summary</w:t>
      </w:r>
    </w:p>
    <w:p w:rsidR="008D2AB8" w:rsidRDefault="008D2AB8">
      <w:pPr>
        <w:jc w:val="center"/>
        <w:rPr>
          <w:rFonts w:cs="Cambria"/>
          <w:bCs/>
          <w:color w:val="070707"/>
          <w:sz w:val="36"/>
          <w:szCs w:val="36"/>
        </w:rPr>
      </w:pPr>
    </w:p>
    <w:p w:rsidR="008D2AB8" w:rsidRPr="006E78E0" w:rsidRDefault="008D2AB8" w:rsidP="008D2AB8">
      <w:pPr>
        <w:pStyle w:val="ColorfulList-Accent1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pPr>
      <w:r w:rsidRPr="006E78E0">
        <w:t xml:space="preserve">We conducted this study at the behest of </w:t>
      </w:r>
      <w:r>
        <w:t xml:space="preserve">Massachusetts </w:t>
      </w:r>
      <w:r w:rsidRPr="006E78E0">
        <w:t>Commissioner of Elementary and Secondary Education</w:t>
      </w:r>
      <w:r>
        <w:t>,</w:t>
      </w:r>
      <w:r w:rsidRPr="006E78E0">
        <w:t xml:space="preserve"> </w:t>
      </w:r>
      <w:r w:rsidR="00D65032">
        <w:t xml:space="preserve">Dr. </w:t>
      </w:r>
      <w:r w:rsidRPr="006E78E0">
        <w:t xml:space="preserve">Mitchell D. Chester. The commissioner was concerned about the relatively high numbers of students with disabilities identified in the commonwealth and the degree to which those identification rates were beneficial to students given the high costs associated with special education.  For the purposes of this study we primarily examined those disability categories </w:t>
      </w:r>
      <w:r>
        <w:t>whose determination – whether a child is identified as having a disability or not – might involve</w:t>
      </w:r>
      <w:r w:rsidRPr="006E78E0">
        <w:t xml:space="preserve"> </w:t>
      </w:r>
      <w:r>
        <w:t>a greater degree of</w:t>
      </w:r>
      <w:r w:rsidRPr="006E78E0">
        <w:t xml:space="preserve"> subjectivity</w:t>
      </w:r>
      <w:r>
        <w:t xml:space="preserve"> and therefore</w:t>
      </w:r>
      <w:r w:rsidRPr="006E78E0">
        <w:t xml:space="preserve"> </w:t>
      </w:r>
      <w:r w:rsidR="00D65032">
        <w:t>represent</w:t>
      </w:r>
      <w:r w:rsidRPr="006E78E0">
        <w:t xml:space="preserve"> likely sources of high </w:t>
      </w:r>
      <w:r w:rsidR="00D65032" w:rsidRPr="006E78E0">
        <w:t xml:space="preserve">rates </w:t>
      </w:r>
      <w:r w:rsidR="00D65032">
        <w:t xml:space="preserve">of special education </w:t>
      </w:r>
      <w:r w:rsidRPr="006E78E0">
        <w:t xml:space="preserve">identification. </w:t>
      </w:r>
    </w:p>
    <w:p w:rsidR="008D2AB8" w:rsidRPr="006E78E0" w:rsidRDefault="008D2AB8" w:rsidP="008D2AB8">
      <w:pPr>
        <w:pStyle w:val="ColorfulList-Accent1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D2AB8" w:rsidRPr="006E78E0" w:rsidRDefault="008D2AB8" w:rsidP="008D2AB8">
      <w:pPr>
        <w:pStyle w:val="ColorfulList-Accent1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pPr>
      <w:r w:rsidRPr="006E78E0">
        <w:t xml:space="preserve">We </w:t>
      </w:r>
      <w:r>
        <w:t>performed</w:t>
      </w:r>
      <w:r w:rsidR="00BF4C95">
        <w:t xml:space="preserve"> extensive statistical analyse</w:t>
      </w:r>
      <w:r w:rsidRPr="006E78E0">
        <w:t xml:space="preserve">s </w:t>
      </w:r>
      <w:r>
        <w:t>using</w:t>
      </w:r>
      <w:r w:rsidRPr="006E78E0">
        <w:t xml:space="preserve"> the </w:t>
      </w:r>
      <w:r>
        <w:t xml:space="preserve">state </w:t>
      </w:r>
      <w:r w:rsidRPr="006E78E0">
        <w:t>student database</w:t>
      </w:r>
      <w:r>
        <w:t>s</w:t>
      </w:r>
      <w:r w:rsidRPr="006E78E0">
        <w:t xml:space="preserve"> examining many</w:t>
      </w:r>
      <w:r w:rsidR="00BF4C95">
        <w:t xml:space="preserve"> student and </w:t>
      </w:r>
      <w:r w:rsidR="006240D9">
        <w:t xml:space="preserve">district-level </w:t>
      </w:r>
      <w:r w:rsidR="00BF4C95">
        <w:t>characteristics</w:t>
      </w:r>
      <w:r w:rsidRPr="006E78E0">
        <w:t xml:space="preserve">. We looked at demographic information concerning the populations </w:t>
      </w:r>
      <w:r>
        <w:t>receiving</w:t>
      </w:r>
      <w:r w:rsidRPr="006E78E0">
        <w:t xml:space="preserve"> special education</w:t>
      </w:r>
      <w:r>
        <w:t xml:space="preserve"> services</w:t>
      </w:r>
      <w:r w:rsidRPr="006E78E0">
        <w:t xml:space="preserve">, the performance of these students on the </w:t>
      </w:r>
      <w:r w:rsidR="00BF4C95" w:rsidRPr="006E78E0">
        <w:t>Massachusetts Compreh</w:t>
      </w:r>
      <w:r w:rsidR="00BF4C95">
        <w:t xml:space="preserve">ensive Assessment System (MCAS) </w:t>
      </w:r>
      <w:r w:rsidRPr="006E78E0">
        <w:t xml:space="preserve">and the </w:t>
      </w:r>
      <w:r w:rsidR="00BF4C95" w:rsidRPr="006E78E0">
        <w:t>N</w:t>
      </w:r>
      <w:r w:rsidR="00BF4C95">
        <w:t xml:space="preserve">ational </w:t>
      </w:r>
      <w:r w:rsidR="00BF4C95" w:rsidRPr="006E78E0">
        <w:t>A</w:t>
      </w:r>
      <w:r w:rsidR="00BF4C95">
        <w:t xml:space="preserve">ssessment of </w:t>
      </w:r>
      <w:r w:rsidR="00BF4C95" w:rsidRPr="006E78E0">
        <w:t>E</w:t>
      </w:r>
      <w:r w:rsidR="00BF4C95">
        <w:t xml:space="preserve">ducational </w:t>
      </w:r>
      <w:r w:rsidR="00BF4C95" w:rsidRPr="006E78E0">
        <w:t>P</w:t>
      </w:r>
      <w:r w:rsidR="00BF4C95">
        <w:t>rogress (NAEP)</w:t>
      </w:r>
      <w:r w:rsidRPr="006E78E0">
        <w:t>, the level of integration these students experienced in school</w:t>
      </w:r>
      <w:r>
        <w:t xml:space="preserve"> (the extent to which they were included in classrooms with their typically developing peers)</w:t>
      </w:r>
      <w:r w:rsidRPr="006E78E0">
        <w:t>, the variability among districts in serving these students</w:t>
      </w:r>
      <w:r w:rsidR="000879AE">
        <w:t xml:space="preserve"> and</w:t>
      </w:r>
      <w:r w:rsidRPr="006E78E0">
        <w:t xml:space="preserve"> factors that were associated with identification rates and student performance.</w:t>
      </w:r>
    </w:p>
    <w:p w:rsidR="008D2AB8" w:rsidRPr="006E78E0" w:rsidRDefault="008D2AB8" w:rsidP="008D2AB8">
      <w:pPr>
        <w:pStyle w:val="ColorfulList-Accent1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D2AB8" w:rsidRPr="006E78E0" w:rsidRDefault="008D2AB8" w:rsidP="008D2AB8">
      <w:pPr>
        <w:pStyle w:val="ColorfulList-Accent1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pPr>
      <w:r w:rsidRPr="006E78E0">
        <w:t xml:space="preserve">Several powerful trends emerged from our </w:t>
      </w:r>
      <w:r w:rsidR="00EC4AFC">
        <w:t>analyse</w:t>
      </w:r>
      <w:r w:rsidRPr="006E78E0">
        <w:t>s:</w:t>
      </w:r>
    </w:p>
    <w:p w:rsidR="008D2AB8" w:rsidRPr="006E78E0" w:rsidRDefault="008D2AB8" w:rsidP="008D2AB8">
      <w:pPr>
        <w:pStyle w:val="ColorfulList-Accent1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pPr>
    </w:p>
    <w:p w:rsidR="008D2AB8" w:rsidRPr="006E78E0" w:rsidRDefault="008D2AB8" w:rsidP="008D2AB8">
      <w:pPr>
        <w:pStyle w:val="ColorfulList-Accent1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6E78E0">
        <w:t>-Massachusetts</w:t>
      </w:r>
      <w:r>
        <w:t xml:space="preserve"> general education students and students </w:t>
      </w:r>
      <w:r w:rsidR="000879AE">
        <w:t xml:space="preserve">with disabilities </w:t>
      </w:r>
      <w:r w:rsidRPr="006E78E0">
        <w:t xml:space="preserve">score near or at the top </w:t>
      </w:r>
      <w:r>
        <w:t xml:space="preserve">of the </w:t>
      </w:r>
      <w:r w:rsidRPr="006E78E0">
        <w:t>N</w:t>
      </w:r>
      <w:r>
        <w:t xml:space="preserve">ational </w:t>
      </w:r>
      <w:r w:rsidRPr="006E78E0">
        <w:t>A</w:t>
      </w:r>
      <w:r>
        <w:t xml:space="preserve">ssessment of </w:t>
      </w:r>
      <w:r w:rsidRPr="006E78E0">
        <w:t>E</w:t>
      </w:r>
      <w:r>
        <w:t xml:space="preserve">ducational </w:t>
      </w:r>
      <w:r w:rsidRPr="006E78E0">
        <w:t>P</w:t>
      </w:r>
      <w:r>
        <w:t xml:space="preserve">rogress (NAEP) distribution </w:t>
      </w:r>
      <w:r w:rsidRPr="006E78E0">
        <w:t>compared to</w:t>
      </w:r>
      <w:r>
        <w:t xml:space="preserve"> students in</w:t>
      </w:r>
      <w:r w:rsidRPr="006E78E0">
        <w:t xml:space="preserve"> other states</w:t>
      </w:r>
      <w:r>
        <w:t>.</w:t>
      </w:r>
      <w:r w:rsidRPr="006E78E0">
        <w:t xml:space="preserve"> </w:t>
      </w:r>
    </w:p>
    <w:p w:rsidR="008D2AB8" w:rsidRPr="006E78E0" w:rsidRDefault="008D2AB8" w:rsidP="008D2AB8">
      <w:pPr>
        <w:pStyle w:val="ColorfulList-Accent1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D2AB8" w:rsidRPr="006E78E0" w:rsidRDefault="008D2AB8" w:rsidP="008D2AB8">
      <w:pPr>
        <w:pStyle w:val="ColorfulList-Accent1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6E78E0">
        <w:t xml:space="preserve">-Massachusetts has </w:t>
      </w:r>
      <w:r>
        <w:t xml:space="preserve">the </w:t>
      </w:r>
      <w:r w:rsidRPr="006E78E0">
        <w:t xml:space="preserve">second highest rate </w:t>
      </w:r>
      <w:r>
        <w:t xml:space="preserve">of special education </w:t>
      </w:r>
      <w:r w:rsidRPr="006E78E0">
        <w:t xml:space="preserve">identification in the </w:t>
      </w:r>
      <w:r>
        <w:t>United States</w:t>
      </w:r>
      <w:r w:rsidRPr="006E78E0">
        <w:t>.</w:t>
      </w:r>
    </w:p>
    <w:p w:rsidR="008D2AB8" w:rsidRPr="006E78E0" w:rsidRDefault="008D2AB8" w:rsidP="008D2AB8">
      <w:pPr>
        <w:pStyle w:val="ColorfulList-Accent1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D2AB8" w:rsidRPr="006E78E0" w:rsidRDefault="008D2AB8" w:rsidP="008D2AB8">
      <w:pPr>
        <w:pStyle w:val="ColorfulList-Accent1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6E78E0">
        <w:t xml:space="preserve">-The </w:t>
      </w:r>
      <w:r>
        <w:t xml:space="preserve">percentage of students identified as eligible for special education does </w:t>
      </w:r>
      <w:r w:rsidRPr="006E78E0">
        <w:t xml:space="preserve">not appear to have a </w:t>
      </w:r>
      <w:r>
        <w:t xml:space="preserve">consistently </w:t>
      </w:r>
      <w:r w:rsidRPr="006E78E0">
        <w:t xml:space="preserve">positive or negative </w:t>
      </w:r>
      <w:r>
        <w:t>impact</w:t>
      </w:r>
      <w:r w:rsidRPr="006E78E0">
        <w:t xml:space="preserve"> on </w:t>
      </w:r>
      <w:r w:rsidR="00EC4AFC">
        <w:t xml:space="preserve">average </w:t>
      </w:r>
      <w:r w:rsidRPr="006E78E0">
        <w:t>district performance on the MCAS.</w:t>
      </w:r>
    </w:p>
    <w:p w:rsidR="008D2AB8" w:rsidRPr="006E78E0" w:rsidRDefault="008D2AB8" w:rsidP="008D2AB8">
      <w:pPr>
        <w:pStyle w:val="ColorfulList-Accent1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D2AB8" w:rsidRPr="006E78E0" w:rsidRDefault="008D2AB8" w:rsidP="00C821B8">
      <w:pPr>
        <w:pStyle w:val="ColorfulList-Accent11"/>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80"/>
      </w:pPr>
      <w:r w:rsidRPr="006E78E0">
        <w:t xml:space="preserve">However, the degree to which students </w:t>
      </w:r>
      <w:r>
        <w:t xml:space="preserve">with disabilities </w:t>
      </w:r>
      <w:r w:rsidRPr="006E78E0">
        <w:t xml:space="preserve">are included </w:t>
      </w:r>
      <w:r>
        <w:t xml:space="preserve">in classrooms </w:t>
      </w:r>
      <w:r w:rsidRPr="006E78E0">
        <w:t xml:space="preserve">with their non-disabled peers </w:t>
      </w:r>
      <w:r>
        <w:t>is</w:t>
      </w:r>
      <w:r w:rsidRPr="006E78E0">
        <w:t xml:space="preserve"> substantial</w:t>
      </w:r>
      <w:r>
        <w:t>ly</w:t>
      </w:r>
      <w:r w:rsidRPr="006E78E0">
        <w:t xml:space="preserve"> </w:t>
      </w:r>
      <w:r>
        <w:t>related to</w:t>
      </w:r>
      <w:r w:rsidRPr="006E78E0">
        <w:t xml:space="preserve"> MCAS performance</w:t>
      </w:r>
      <w:r>
        <w:t>,</w:t>
      </w:r>
      <w:r w:rsidRPr="006E78E0">
        <w:t xml:space="preserve"> controlling for a host of </w:t>
      </w:r>
      <w:r>
        <w:t xml:space="preserve">relevant </w:t>
      </w:r>
      <w:r w:rsidRPr="006E78E0">
        <w:t>variables such as income, race</w:t>
      </w:r>
      <w:r w:rsidR="000879AE">
        <w:t xml:space="preserve"> and</w:t>
      </w:r>
      <w:r w:rsidRPr="006E78E0">
        <w:t xml:space="preserve"> English language proficiency.</w:t>
      </w:r>
    </w:p>
    <w:p w:rsidR="008D2AB8" w:rsidRPr="006E78E0" w:rsidRDefault="008D2AB8" w:rsidP="00C821B8">
      <w:pPr>
        <w:pStyle w:val="ColorfulList-Accent1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180"/>
      </w:pPr>
    </w:p>
    <w:p w:rsidR="008D2AB8" w:rsidRPr="006E78E0" w:rsidRDefault="008D2AB8" w:rsidP="00C821B8">
      <w:pPr>
        <w:pStyle w:val="ColorfulList-Accent11"/>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80"/>
      </w:pPr>
      <w:r w:rsidRPr="006E78E0">
        <w:t xml:space="preserve">Low-income students are considerably more likely </w:t>
      </w:r>
      <w:r>
        <w:t xml:space="preserve">than their counterparts </w:t>
      </w:r>
      <w:r w:rsidRPr="006E78E0">
        <w:t xml:space="preserve">to be </w:t>
      </w:r>
      <w:r>
        <w:t>deemed eligible for</w:t>
      </w:r>
      <w:r w:rsidRPr="006E78E0">
        <w:t xml:space="preserve"> special education</w:t>
      </w:r>
      <w:r>
        <w:t xml:space="preserve"> services</w:t>
      </w:r>
      <w:r w:rsidRPr="006E78E0">
        <w:t>.</w:t>
      </w:r>
    </w:p>
    <w:p w:rsidR="008D2AB8" w:rsidRPr="006E78E0" w:rsidRDefault="008D2AB8" w:rsidP="00C821B8">
      <w:pPr>
        <w:pStyle w:val="ColorfulList-Accent1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hanging="180"/>
      </w:pPr>
    </w:p>
    <w:p w:rsidR="008D2AB8" w:rsidRPr="006E78E0" w:rsidRDefault="008D2AB8" w:rsidP="00C821B8">
      <w:pPr>
        <w:pStyle w:val="ColorfulList-Accent11"/>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80"/>
      </w:pPr>
      <w:r w:rsidRPr="006E78E0">
        <w:lastRenderedPageBreak/>
        <w:t xml:space="preserve">Low-income </w:t>
      </w:r>
      <w:r w:rsidR="000879AE">
        <w:t>students with disabilities</w:t>
      </w:r>
      <w:r w:rsidR="000879AE" w:rsidDel="000879AE">
        <w:t xml:space="preserve"> </w:t>
      </w:r>
      <w:r w:rsidRPr="006E78E0">
        <w:t xml:space="preserve">and Latino and </w:t>
      </w:r>
      <w:r>
        <w:t>African American</w:t>
      </w:r>
      <w:r w:rsidRPr="006E78E0">
        <w:t xml:space="preserve"> </w:t>
      </w:r>
      <w:r w:rsidR="000879AE">
        <w:t>students with disabilities</w:t>
      </w:r>
      <w:r w:rsidR="000879AE" w:rsidDel="000879AE">
        <w:t xml:space="preserve"> </w:t>
      </w:r>
      <w:r w:rsidRPr="006E78E0">
        <w:t xml:space="preserve">are considerably less likely to be included in general education classes </w:t>
      </w:r>
      <w:r>
        <w:t xml:space="preserve">when </w:t>
      </w:r>
      <w:r w:rsidRPr="006E78E0">
        <w:t xml:space="preserve">compared to their </w:t>
      </w:r>
      <w:r>
        <w:t>W</w:t>
      </w:r>
      <w:r w:rsidRPr="006E78E0">
        <w:t xml:space="preserve">hite and Asian </w:t>
      </w:r>
      <w:r w:rsidR="00EC4AFC">
        <w:t xml:space="preserve">special education </w:t>
      </w:r>
      <w:r w:rsidRPr="006E78E0">
        <w:t>counterparts.</w:t>
      </w:r>
    </w:p>
    <w:p w:rsidR="008D2AB8" w:rsidRPr="006E78E0" w:rsidRDefault="008D2AB8" w:rsidP="008D2AB8">
      <w:pPr>
        <w:pStyle w:val="ColorfulList-Accent1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pPr>
    </w:p>
    <w:p w:rsidR="008D2AB8" w:rsidRPr="006E78E0" w:rsidRDefault="00EC4AFC" w:rsidP="00C821B8">
      <w:pPr>
        <w:pStyle w:val="ColorfulList-Accent11"/>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80"/>
      </w:pPr>
      <w:r>
        <w:t>We find</w:t>
      </w:r>
      <w:r w:rsidR="008D2AB8">
        <w:t xml:space="preserve"> evidence that </w:t>
      </w:r>
      <w:r w:rsidR="008D2AB8" w:rsidRPr="006E78E0">
        <w:t xml:space="preserve">among </w:t>
      </w:r>
      <w:r w:rsidR="008D2AB8">
        <w:t xml:space="preserve">special education </w:t>
      </w:r>
      <w:r w:rsidR="008D2AB8" w:rsidRPr="006E78E0">
        <w:t>students</w:t>
      </w:r>
      <w:r w:rsidR="008D2AB8">
        <w:t>,</w:t>
      </w:r>
      <w:r w:rsidR="008D2AB8" w:rsidRPr="006E78E0">
        <w:t xml:space="preserve"> </w:t>
      </w:r>
      <w:r w:rsidR="008D2AB8">
        <w:t>l</w:t>
      </w:r>
      <w:r w:rsidR="008D2AB8" w:rsidRPr="006E78E0">
        <w:t>ack of integration may be a contributing factor for lower performance on the MCAS.</w:t>
      </w:r>
    </w:p>
    <w:p w:rsidR="008D2AB8" w:rsidRPr="006E78E0" w:rsidRDefault="008D2AB8" w:rsidP="008D2AB8">
      <w:pPr>
        <w:pStyle w:val="ColorfulList-Accent1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pPr>
    </w:p>
    <w:p w:rsidR="008D2AB8" w:rsidRPr="006E78E0" w:rsidRDefault="008D2AB8" w:rsidP="008D2AB8">
      <w:pPr>
        <w:pStyle w:val="ColorfulList-Accent1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pPr>
      <w:r>
        <w:t>T</w:t>
      </w:r>
      <w:r w:rsidRPr="006E78E0">
        <w:t>h</w:t>
      </w:r>
      <w:r>
        <w:t>ese</w:t>
      </w:r>
      <w:r w:rsidRPr="006E78E0">
        <w:t xml:space="preserve"> data </w:t>
      </w:r>
      <w:r>
        <w:t xml:space="preserve">paint an uneven picture of </w:t>
      </w:r>
      <w:r w:rsidRPr="006E78E0">
        <w:t>special</w:t>
      </w:r>
      <w:r>
        <w:t xml:space="preserve"> education </w:t>
      </w:r>
      <w:r w:rsidRPr="006E78E0">
        <w:t>policy and practice</w:t>
      </w:r>
      <w:r w:rsidR="001971A1">
        <w:t xml:space="preserve"> in the commonwealth</w:t>
      </w:r>
      <w:r w:rsidRPr="006E78E0">
        <w:t>. On the one hand, many students with disabilities are doing comparatively well in Massachusetts</w:t>
      </w:r>
      <w:r>
        <w:t xml:space="preserve"> and are</w:t>
      </w:r>
      <w:r w:rsidRPr="006E78E0">
        <w:t xml:space="preserve"> experiencing high levels of integration and success. However, there appear to be some disturbing trends among low-income students and students </w:t>
      </w:r>
      <w:r>
        <w:t>of</w:t>
      </w:r>
      <w:r w:rsidRPr="006E78E0">
        <w:t xml:space="preserve"> color. Low-income students are far more likely to be </w:t>
      </w:r>
      <w:r>
        <w:t>eligible for</w:t>
      </w:r>
      <w:r w:rsidRPr="006E78E0">
        <w:t xml:space="preserve"> special education </w:t>
      </w:r>
      <w:r>
        <w:t xml:space="preserve">services </w:t>
      </w:r>
      <w:r w:rsidRPr="006E78E0">
        <w:t>than other students</w:t>
      </w:r>
      <w:r w:rsidR="000879AE">
        <w:t xml:space="preserve"> and</w:t>
      </w:r>
      <w:r w:rsidRPr="006E78E0">
        <w:t xml:space="preserve"> once </w:t>
      </w:r>
      <w:r>
        <w:t>they receive services,</w:t>
      </w:r>
      <w:r w:rsidRPr="006E78E0">
        <w:t xml:space="preserve"> are more apt to be</w:t>
      </w:r>
      <w:r>
        <w:t xml:space="preserve"> educated in separate settings</w:t>
      </w:r>
      <w:r w:rsidRPr="006E78E0">
        <w:t xml:space="preserve">. </w:t>
      </w:r>
      <w:r>
        <w:t>This is particularly alarming given evidence that</w:t>
      </w:r>
      <w:r w:rsidRPr="006E78E0">
        <w:t xml:space="preserve"> </w:t>
      </w:r>
      <w:r w:rsidR="001A14D1">
        <w:t>separation from the mainstream</w:t>
      </w:r>
      <w:r w:rsidR="001A14D1" w:rsidRPr="006E78E0">
        <w:t xml:space="preserve"> </w:t>
      </w:r>
      <w:r w:rsidRPr="006E78E0">
        <w:t xml:space="preserve">is associated with poorer </w:t>
      </w:r>
      <w:r>
        <w:t xml:space="preserve">standardized test </w:t>
      </w:r>
      <w:r w:rsidRPr="006E78E0">
        <w:t>performance</w:t>
      </w:r>
      <w:r w:rsidR="001A14D1">
        <w:t xml:space="preserve"> for students with disabilities</w:t>
      </w:r>
      <w:r w:rsidRPr="006E78E0">
        <w:t>.</w:t>
      </w:r>
    </w:p>
    <w:p w:rsidR="008D2AB8" w:rsidRPr="006E78E0" w:rsidRDefault="008D2AB8" w:rsidP="008D2AB8">
      <w:pPr>
        <w:pStyle w:val="ColorfulList-Accent1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D2AB8" w:rsidRPr="006E78E0" w:rsidRDefault="008D2AB8" w:rsidP="008D2AB8">
      <w:pPr>
        <w:pStyle w:val="ColorfulList-Accent1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pPr>
      <w:r>
        <w:t xml:space="preserve">Though we </w:t>
      </w:r>
      <w:r w:rsidRPr="006E78E0">
        <w:t>believe that the findings of this report call for state action</w:t>
      </w:r>
      <w:r>
        <w:t>, we do not recommend major state policy changes in special education</w:t>
      </w:r>
      <w:r w:rsidRPr="006E78E0">
        <w:t xml:space="preserve">. </w:t>
      </w:r>
      <w:r>
        <w:t xml:space="preserve"> This report should not be interpreted as a call to dramatically reduce the number of Massachusetts</w:t>
      </w:r>
      <w:r w:rsidRPr="00B92F8C">
        <w:t xml:space="preserve"> </w:t>
      </w:r>
      <w:r>
        <w:t>student served through special education across the board.  Special education helps to ensure that students with disabilities receive supports and services critical to their academic and life-long success</w:t>
      </w:r>
      <w:r w:rsidRPr="006E78E0">
        <w:t xml:space="preserve">.  </w:t>
      </w:r>
      <w:r>
        <w:t xml:space="preserve">Large numbers of </w:t>
      </w:r>
      <w:r w:rsidR="000879AE">
        <w:t>students with disabilities</w:t>
      </w:r>
      <w:r w:rsidR="000879AE" w:rsidDel="000879AE">
        <w:t xml:space="preserve"> </w:t>
      </w:r>
      <w:r>
        <w:t xml:space="preserve">the commonwealth are doing well, compared to </w:t>
      </w:r>
      <w:r w:rsidR="000879AE">
        <w:t>students with disabilities</w:t>
      </w:r>
      <w:r w:rsidR="000879AE" w:rsidDel="000879AE">
        <w:t xml:space="preserve"> </w:t>
      </w:r>
      <w:r>
        <w:t>across the country. However, t</w:t>
      </w:r>
      <w:r w:rsidRPr="006E78E0">
        <w:t xml:space="preserve">he </w:t>
      </w:r>
      <w:r>
        <w:t xml:space="preserve">substantial variation in district practices and student performance from one school district to another as it relates to low-income students, calls for state action.  The </w:t>
      </w:r>
      <w:r w:rsidRPr="00020862">
        <w:t>Department of Elementary and Secondary Educatio</w:t>
      </w:r>
      <w:r>
        <w:t xml:space="preserve">n </w:t>
      </w:r>
      <w:r w:rsidRPr="006E78E0">
        <w:t>should be</w:t>
      </w:r>
      <w:r>
        <w:t xml:space="preserve"> more </w:t>
      </w:r>
      <w:r w:rsidR="001971A1">
        <w:t xml:space="preserve">actively </w:t>
      </w:r>
      <w:r w:rsidR="001971A1" w:rsidRPr="006E78E0">
        <w:t>intervening</w:t>
      </w:r>
      <w:r w:rsidRPr="006E78E0">
        <w:t xml:space="preserve"> in districts whose identification rates and </w:t>
      </w:r>
      <w:r w:rsidR="001A14D1">
        <w:t>use of substantially separate educational settings</w:t>
      </w:r>
      <w:r w:rsidRPr="006E78E0">
        <w:t xml:space="preserve"> </w:t>
      </w:r>
      <w:r w:rsidR="001A14D1">
        <w:t>for</w:t>
      </w:r>
      <w:r w:rsidR="001A14D1" w:rsidRPr="006E78E0">
        <w:t xml:space="preserve"> </w:t>
      </w:r>
      <w:r w:rsidRPr="006E78E0">
        <w:t>low-income students</w:t>
      </w:r>
      <w:r>
        <w:t xml:space="preserve"> – and </w:t>
      </w:r>
      <w:r w:rsidR="000879AE">
        <w:t>students with disabilities</w:t>
      </w:r>
      <w:r w:rsidR="000879AE" w:rsidDel="000879AE">
        <w:t xml:space="preserve"> </w:t>
      </w:r>
      <w:r>
        <w:t>as a whole</w:t>
      </w:r>
      <w:r w:rsidRPr="006E78E0">
        <w:t xml:space="preserve"> </w:t>
      </w:r>
      <w:r>
        <w:t xml:space="preserve">– </w:t>
      </w:r>
      <w:r w:rsidRPr="006E78E0">
        <w:t xml:space="preserve">are </w:t>
      </w:r>
      <w:r>
        <w:t xml:space="preserve">substantially higher than average. </w:t>
      </w:r>
      <w:r w:rsidRPr="006E78E0">
        <w:t xml:space="preserve">Further, we believe that the commonwealth should be examining its current efforts under Title 1 of </w:t>
      </w:r>
      <w:r>
        <w:t xml:space="preserve">the </w:t>
      </w:r>
      <w:r w:rsidRPr="006E78E0">
        <w:t>E</w:t>
      </w:r>
      <w:r>
        <w:t xml:space="preserve">lementary and </w:t>
      </w:r>
      <w:r w:rsidRPr="006E78E0">
        <w:t>S</w:t>
      </w:r>
      <w:r>
        <w:t xml:space="preserve">econdary </w:t>
      </w:r>
      <w:r w:rsidRPr="006E78E0">
        <w:t>E</w:t>
      </w:r>
      <w:r>
        <w:t xml:space="preserve">ducation </w:t>
      </w:r>
      <w:r w:rsidRPr="006E78E0">
        <w:t>A</w:t>
      </w:r>
      <w:r>
        <w:t>ct</w:t>
      </w:r>
      <w:r w:rsidRPr="006E78E0">
        <w:t xml:space="preserve"> and </w:t>
      </w:r>
      <w:r>
        <w:t xml:space="preserve">should </w:t>
      </w:r>
      <w:r w:rsidRPr="006E78E0">
        <w:t xml:space="preserve">promote more powerful practices in general education to assure that low-income students receive </w:t>
      </w:r>
      <w:r>
        <w:t xml:space="preserve">the </w:t>
      </w:r>
      <w:r w:rsidRPr="006E78E0">
        <w:t xml:space="preserve">support they may need </w:t>
      </w:r>
      <w:r>
        <w:t xml:space="preserve">in order </w:t>
      </w:r>
      <w:r w:rsidRPr="006E78E0">
        <w:t>to be successful in school. Detailed recommendations are included at the end of this report.</w:t>
      </w:r>
    </w:p>
    <w:p w:rsidR="008D2AB8" w:rsidRPr="006E78E0" w:rsidRDefault="008D2AB8" w:rsidP="008D2AB8">
      <w:pPr>
        <w:rPr>
          <w:rFonts w:cs="Cambria"/>
          <w:color w:val="000000"/>
        </w:rPr>
      </w:pPr>
    </w:p>
    <w:p w:rsidR="008D2AB8" w:rsidRPr="006E78E0" w:rsidRDefault="008D2AB8" w:rsidP="008D2AB8">
      <w:pPr>
        <w:rPr>
          <w:rFonts w:cs="Cambria"/>
          <w:color w:val="000000"/>
        </w:rPr>
      </w:pPr>
    </w:p>
    <w:p w:rsidR="008D2AB8" w:rsidRPr="00483553" w:rsidRDefault="008D2AB8" w:rsidP="008D2AB8">
      <w:pPr>
        <w:jc w:val="center"/>
        <w:rPr>
          <w:rFonts w:cs="Cambria"/>
          <w:b/>
          <w:color w:val="000000"/>
          <w:sz w:val="32"/>
          <w:szCs w:val="32"/>
        </w:rPr>
      </w:pPr>
      <w:r w:rsidRPr="00483553">
        <w:rPr>
          <w:rFonts w:cs="Cambria"/>
          <w:b/>
          <w:color w:val="000000"/>
          <w:sz w:val="32"/>
          <w:szCs w:val="32"/>
        </w:rPr>
        <w:br w:type="page"/>
      </w:r>
      <w:r w:rsidRPr="00483553">
        <w:rPr>
          <w:rFonts w:cs="Cambria"/>
          <w:b/>
          <w:color w:val="000000"/>
          <w:sz w:val="32"/>
          <w:szCs w:val="32"/>
        </w:rPr>
        <w:lastRenderedPageBreak/>
        <w:t>Introduction</w:t>
      </w:r>
    </w:p>
    <w:p w:rsidR="008D2AB8" w:rsidRPr="00105F47" w:rsidRDefault="008D2AB8" w:rsidP="008D2AB8">
      <w:pPr>
        <w:jc w:val="center"/>
        <w:rPr>
          <w:rFonts w:cs="Cambria"/>
          <w:color w:val="000000"/>
          <w:sz w:val="40"/>
          <w:szCs w:val="40"/>
        </w:rPr>
      </w:pPr>
    </w:p>
    <w:p w:rsidR="008D2AB8" w:rsidRPr="00F5063E" w:rsidRDefault="008D2AB8" w:rsidP="008D2AB8">
      <w:r w:rsidRPr="00F5063E">
        <w:rPr>
          <w:rFonts w:cs="Cambria"/>
          <w:color w:val="000000"/>
        </w:rPr>
        <w:t xml:space="preserve">This report presents findings from our </w:t>
      </w:r>
      <w:r w:rsidRPr="00F5063E">
        <w:t>comprehensive review of the identification</w:t>
      </w:r>
      <w:r w:rsidRPr="00F5063E">
        <w:rPr>
          <w:rStyle w:val="FootnoteReference"/>
        </w:rPr>
        <w:footnoteReference w:id="1"/>
      </w:r>
      <w:r w:rsidRPr="00F5063E">
        <w:t>, placement</w:t>
      </w:r>
      <w:r w:rsidRPr="00F5063E">
        <w:rPr>
          <w:rStyle w:val="FootnoteReference"/>
        </w:rPr>
        <w:footnoteReference w:id="2"/>
      </w:r>
      <w:r w:rsidR="000879AE">
        <w:t xml:space="preserve"> and</w:t>
      </w:r>
      <w:r w:rsidRPr="00F5063E">
        <w:t xml:space="preserve"> performance</w:t>
      </w:r>
      <w:r w:rsidRPr="00F5063E">
        <w:rPr>
          <w:rStyle w:val="FootnoteReference"/>
        </w:rPr>
        <w:footnoteReference w:id="3"/>
      </w:r>
      <w:r w:rsidRPr="00F5063E">
        <w:t xml:space="preserve"> of students with disabilities in the </w:t>
      </w:r>
      <w:r w:rsidR="00C821B8">
        <w:t>C</w:t>
      </w:r>
      <w:r w:rsidR="00C821B8" w:rsidRPr="00F5063E">
        <w:t xml:space="preserve">ommonwealth </w:t>
      </w:r>
      <w:r w:rsidRPr="00F5063E">
        <w:t xml:space="preserve">of Massachusetts. </w:t>
      </w:r>
    </w:p>
    <w:p w:rsidR="008D2AB8" w:rsidRPr="00375639" w:rsidRDefault="008D2AB8" w:rsidP="008D2AB8">
      <w:pPr>
        <w:pStyle w:val="ColorfulList-Accent1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Cambria"/>
          <w:b/>
          <w:bCs/>
          <w:color w:val="070707"/>
        </w:rPr>
      </w:pPr>
    </w:p>
    <w:p w:rsidR="008D2AB8" w:rsidRPr="006E78E0" w:rsidRDefault="008D2AB8" w:rsidP="008D2A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color w:val="070707"/>
        </w:rPr>
      </w:pPr>
      <w:r w:rsidRPr="006E78E0">
        <w:rPr>
          <w:rFonts w:cs="Cambria"/>
          <w:bCs/>
          <w:color w:val="070707"/>
        </w:rPr>
        <w:t xml:space="preserve">In the spring of 2011, Thomas Hehir and Associates was retained by the Massachusetts Department of Elementary and Secondary Education to conduct a comprehensive review of special education in the </w:t>
      </w:r>
      <w:r w:rsidR="00C821B8">
        <w:rPr>
          <w:rFonts w:cs="Cambria"/>
          <w:bCs/>
          <w:color w:val="070707"/>
        </w:rPr>
        <w:t>C</w:t>
      </w:r>
      <w:r w:rsidR="00C821B8" w:rsidRPr="006E78E0">
        <w:rPr>
          <w:rFonts w:cs="Cambria"/>
          <w:bCs/>
          <w:color w:val="070707"/>
        </w:rPr>
        <w:t xml:space="preserve">ommonwealth </w:t>
      </w:r>
      <w:r w:rsidRPr="006E78E0">
        <w:rPr>
          <w:rFonts w:cs="Cambria"/>
          <w:bCs/>
          <w:color w:val="070707"/>
        </w:rPr>
        <w:t>of Massachusetts.  Our review focused on the following questions:</w:t>
      </w:r>
    </w:p>
    <w:p w:rsidR="008D2AB8" w:rsidRPr="006E78E0" w:rsidRDefault="008D2AB8" w:rsidP="008D2AB8">
      <w:pPr>
        <w:pStyle w:val="ColorfulList-Accent1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Cambria"/>
          <w:b/>
          <w:bCs/>
          <w:color w:val="070707"/>
        </w:rPr>
      </w:pPr>
    </w:p>
    <w:p w:rsidR="008D2AB8" w:rsidRPr="006E78E0" w:rsidRDefault="008D2AB8" w:rsidP="008D2AB8">
      <w:pPr>
        <w:ind w:left="720" w:right="360"/>
      </w:pPr>
      <w:r w:rsidRPr="006E78E0">
        <w:rPr>
          <w:rFonts w:cs="Cambria"/>
          <w:b/>
          <w:color w:val="000000"/>
        </w:rPr>
        <w:t xml:space="preserve">Question 1: </w:t>
      </w:r>
      <w:r w:rsidRPr="006E78E0">
        <w:t xml:space="preserve">How do the identification, placement and performance of students with disabilities in Massachusetts compare to students with disabilities across the </w:t>
      </w:r>
      <w:r>
        <w:t>United States</w:t>
      </w:r>
      <w:r w:rsidRPr="006E78E0">
        <w:t>?</w:t>
      </w:r>
    </w:p>
    <w:p w:rsidR="008D2AB8" w:rsidRPr="006E78E0" w:rsidRDefault="008D2AB8" w:rsidP="008D2AB8">
      <w:pPr>
        <w:ind w:left="720" w:right="360"/>
        <w:rPr>
          <w:rFonts w:cs="Cambria"/>
          <w:b/>
          <w:color w:val="000000"/>
        </w:rPr>
      </w:pPr>
    </w:p>
    <w:p w:rsidR="008D2AB8" w:rsidRPr="006E78E0" w:rsidRDefault="008D2AB8" w:rsidP="008D2AB8">
      <w:pPr>
        <w:ind w:left="720" w:right="360"/>
      </w:pPr>
      <w:r w:rsidRPr="006E78E0">
        <w:rPr>
          <w:rFonts w:cs="Cambria"/>
          <w:b/>
          <w:color w:val="000000"/>
        </w:rPr>
        <w:t xml:space="preserve">Question </w:t>
      </w:r>
      <w:r w:rsidRPr="006E78E0">
        <w:rPr>
          <w:b/>
        </w:rPr>
        <w:t xml:space="preserve">2: </w:t>
      </w:r>
      <w:r w:rsidRPr="006E78E0">
        <w:t xml:space="preserve">What are </w:t>
      </w:r>
      <w:r>
        <w:t xml:space="preserve">the </w:t>
      </w:r>
      <w:r w:rsidRPr="006E78E0">
        <w:t>characteristics of school districts in Massachusetts that identify a relatively high percentage of students as eligible for special education</w:t>
      </w:r>
      <w:r w:rsidR="000879AE">
        <w:t xml:space="preserve"> and</w:t>
      </w:r>
      <w:r w:rsidRPr="006E78E0">
        <w:t xml:space="preserve"> how do these characteristics compare to Massachusetts school districts that identify a moderate or relatively low percentage of students as eligible for special education? </w:t>
      </w:r>
    </w:p>
    <w:p w:rsidR="008D2AB8" w:rsidRPr="006E78E0" w:rsidRDefault="008D2AB8" w:rsidP="008D2AB8">
      <w:pPr>
        <w:ind w:left="720" w:right="360"/>
      </w:pPr>
    </w:p>
    <w:p w:rsidR="008D2AB8" w:rsidRPr="006E78E0" w:rsidRDefault="008D2AB8" w:rsidP="008D2AB8">
      <w:pPr>
        <w:ind w:left="720" w:right="360"/>
      </w:pPr>
      <w:r w:rsidRPr="006E78E0">
        <w:rPr>
          <w:rFonts w:cs="Cambria"/>
          <w:b/>
          <w:color w:val="000000"/>
        </w:rPr>
        <w:t xml:space="preserve">Question </w:t>
      </w:r>
      <w:r w:rsidRPr="006E78E0">
        <w:rPr>
          <w:b/>
        </w:rPr>
        <w:t>3:</w:t>
      </w:r>
      <w:r w:rsidRPr="006E78E0">
        <w:t xml:space="preserve"> What district-level characteristics or practices are associated with higher district wide performance of students with disabilities on the Massachusetts Comprehensive Assessment System (MCAS)?</w:t>
      </w:r>
    </w:p>
    <w:p w:rsidR="008D2AB8" w:rsidRPr="006E78E0" w:rsidRDefault="008D2AB8" w:rsidP="008D2AB8">
      <w:pPr>
        <w:ind w:left="720" w:right="360"/>
      </w:pPr>
    </w:p>
    <w:p w:rsidR="008D2AB8" w:rsidRPr="006E78E0" w:rsidRDefault="008D2AB8" w:rsidP="008D2AB8">
      <w:pPr>
        <w:ind w:left="720" w:right="360"/>
      </w:pPr>
      <w:r w:rsidRPr="006E78E0">
        <w:rPr>
          <w:rFonts w:cs="Cambria"/>
          <w:b/>
          <w:color w:val="000000"/>
        </w:rPr>
        <w:t xml:space="preserve">Question </w:t>
      </w:r>
      <w:r w:rsidRPr="006E78E0">
        <w:rPr>
          <w:b/>
        </w:rPr>
        <w:t>4:</w:t>
      </w:r>
      <w:r w:rsidRPr="006E78E0">
        <w:t xml:space="preserve"> Are some </w:t>
      </w:r>
      <w:r w:rsidR="00E13844">
        <w:t xml:space="preserve">Massachusetts </w:t>
      </w:r>
      <w:r w:rsidRPr="006E78E0">
        <w:t xml:space="preserve">students more likely than other students to be identified as eligible for special education?  </w:t>
      </w:r>
    </w:p>
    <w:p w:rsidR="008D2AB8" w:rsidRPr="006E78E0" w:rsidRDefault="008D2AB8" w:rsidP="008D2AB8">
      <w:pPr>
        <w:ind w:left="720" w:right="360"/>
      </w:pPr>
    </w:p>
    <w:p w:rsidR="008D2AB8" w:rsidRPr="006E78E0" w:rsidRDefault="008D2AB8" w:rsidP="008D2AB8">
      <w:pPr>
        <w:ind w:left="720" w:right="360"/>
      </w:pPr>
      <w:r w:rsidRPr="006E78E0">
        <w:rPr>
          <w:rFonts w:cs="Cambria"/>
          <w:b/>
          <w:color w:val="000000"/>
        </w:rPr>
        <w:t xml:space="preserve">Question </w:t>
      </w:r>
      <w:r w:rsidRPr="006E78E0">
        <w:rPr>
          <w:b/>
        </w:rPr>
        <w:t xml:space="preserve">5: </w:t>
      </w:r>
      <w:r w:rsidRPr="006E78E0">
        <w:t>Among students with disabilities, are some students more likely than other students to be educated in classrooms with their typically developing peers?</w:t>
      </w:r>
    </w:p>
    <w:p w:rsidR="008D2AB8" w:rsidRPr="006E78E0" w:rsidRDefault="008D2AB8" w:rsidP="008D2AB8">
      <w:pPr>
        <w:ind w:left="720" w:right="360"/>
      </w:pPr>
    </w:p>
    <w:p w:rsidR="008D2AB8" w:rsidRPr="006E78E0" w:rsidRDefault="008D2AB8" w:rsidP="008D2AB8">
      <w:pPr>
        <w:ind w:left="720" w:right="360"/>
      </w:pPr>
      <w:r w:rsidRPr="006E78E0">
        <w:rPr>
          <w:rFonts w:cs="Cambria"/>
          <w:b/>
          <w:color w:val="000000"/>
        </w:rPr>
        <w:t xml:space="preserve">Question </w:t>
      </w:r>
      <w:r w:rsidRPr="006E78E0">
        <w:rPr>
          <w:b/>
        </w:rPr>
        <w:t xml:space="preserve">6: </w:t>
      </w:r>
      <w:r w:rsidRPr="006E78E0">
        <w:t xml:space="preserve">What student and district-level characteristics are related to the performance of </w:t>
      </w:r>
      <w:r w:rsidR="000879AE">
        <w:t>students with disabilities</w:t>
      </w:r>
      <w:r w:rsidR="000879AE" w:rsidRPr="006E78E0" w:rsidDel="000879AE">
        <w:t xml:space="preserve"> </w:t>
      </w:r>
      <w:r w:rsidRPr="006E78E0">
        <w:t>on the MCAS?</w:t>
      </w:r>
    </w:p>
    <w:p w:rsidR="008D2AB8" w:rsidRPr="006E78E0" w:rsidRDefault="008D2AB8" w:rsidP="008D2A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Cs/>
          <w:color w:val="070707"/>
        </w:rPr>
      </w:pPr>
    </w:p>
    <w:p w:rsidR="008D2AB8" w:rsidRPr="006E78E0" w:rsidRDefault="008D2AB8" w:rsidP="008D2A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color w:val="070707"/>
        </w:rPr>
      </w:pPr>
    </w:p>
    <w:p w:rsidR="008D2AB8" w:rsidRDefault="008D2AB8" w:rsidP="008D2A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color w:val="070707"/>
        </w:rPr>
      </w:pPr>
    </w:p>
    <w:p w:rsidR="008D2AB8" w:rsidRDefault="008D2AB8" w:rsidP="008D2A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color w:val="070707"/>
        </w:rPr>
      </w:pPr>
    </w:p>
    <w:p w:rsidR="00483553" w:rsidRDefault="00483553" w:rsidP="008D2A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color w:val="070707"/>
        </w:rPr>
      </w:pPr>
    </w:p>
    <w:p w:rsidR="008D2AB8" w:rsidRPr="00F5063E" w:rsidRDefault="008D2AB8" w:rsidP="008D2A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color w:val="070707"/>
        </w:rPr>
      </w:pPr>
      <w:r w:rsidRPr="00F5063E">
        <w:rPr>
          <w:rFonts w:cs="Cambria"/>
          <w:b/>
          <w:bCs/>
          <w:color w:val="070707"/>
        </w:rPr>
        <w:lastRenderedPageBreak/>
        <w:t>Method</w:t>
      </w:r>
      <w:r>
        <w:rPr>
          <w:rFonts w:cs="Cambria"/>
          <w:b/>
          <w:bCs/>
          <w:color w:val="070707"/>
        </w:rPr>
        <w:t>s</w:t>
      </w:r>
      <w:r w:rsidRPr="00F5063E">
        <w:rPr>
          <w:rFonts w:cs="Cambria"/>
          <w:b/>
          <w:bCs/>
          <w:color w:val="070707"/>
        </w:rPr>
        <w:t xml:space="preserve"> </w:t>
      </w:r>
    </w:p>
    <w:p w:rsidR="008D2AB8" w:rsidRPr="00375639" w:rsidRDefault="008D2AB8" w:rsidP="008D2A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color w:val="070707"/>
        </w:rPr>
      </w:pPr>
    </w:p>
    <w:p w:rsidR="008D2AB8"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6E78E0">
        <w:rPr>
          <w:color w:val="000000"/>
        </w:rPr>
        <w:t xml:space="preserve">This report is based on quantitative – </w:t>
      </w:r>
      <w:r w:rsidR="00647D7E">
        <w:rPr>
          <w:color w:val="000000"/>
        </w:rPr>
        <w:t>i.e.,</w:t>
      </w:r>
      <w:r w:rsidR="00C821B8" w:rsidRPr="006E78E0">
        <w:rPr>
          <w:color w:val="000000"/>
        </w:rPr>
        <w:t xml:space="preserve"> </w:t>
      </w:r>
      <w:r w:rsidRPr="006E78E0">
        <w:rPr>
          <w:color w:val="000000"/>
        </w:rPr>
        <w:t>statistical – analyses of district</w:t>
      </w:r>
      <w:r w:rsidRPr="00F5063E">
        <w:rPr>
          <w:color w:val="000000"/>
        </w:rPr>
        <w:t>, school</w:t>
      </w:r>
      <w:r w:rsidR="000879AE">
        <w:rPr>
          <w:color w:val="000000"/>
        </w:rPr>
        <w:t xml:space="preserve"> and</w:t>
      </w:r>
      <w:r w:rsidRPr="00F5063E">
        <w:rPr>
          <w:color w:val="000000"/>
        </w:rPr>
        <w:t xml:space="preserve"> student data</w:t>
      </w:r>
      <w:r w:rsidR="000879AE">
        <w:rPr>
          <w:color w:val="000000"/>
        </w:rPr>
        <w:t xml:space="preserve"> and</w:t>
      </w:r>
      <w:r w:rsidRPr="00F5063E">
        <w:rPr>
          <w:color w:val="000000"/>
        </w:rPr>
        <w:t xml:space="preserve"> qualitative – </w:t>
      </w:r>
      <w:r w:rsidR="00647D7E">
        <w:rPr>
          <w:color w:val="000000"/>
        </w:rPr>
        <w:t>i.e.,</w:t>
      </w:r>
      <w:r w:rsidR="00C821B8" w:rsidRPr="00F5063E">
        <w:rPr>
          <w:color w:val="000000"/>
        </w:rPr>
        <w:t xml:space="preserve"> </w:t>
      </w:r>
      <w:r w:rsidRPr="00F5063E">
        <w:rPr>
          <w:color w:val="000000"/>
        </w:rPr>
        <w:t>interview and focus group – data collected through meetings with district and state administrators as well as special educators and advocates. Quant</w:t>
      </w:r>
      <w:r w:rsidRPr="00375639">
        <w:rPr>
          <w:color w:val="000000"/>
        </w:rPr>
        <w:t xml:space="preserve">itative data on </w:t>
      </w:r>
      <w:r w:rsidR="009E466B" w:rsidRPr="00375639">
        <w:rPr>
          <w:color w:val="000000"/>
        </w:rPr>
        <w:t>Massachusetts’s</w:t>
      </w:r>
      <w:r w:rsidRPr="00375639">
        <w:rPr>
          <w:color w:val="000000"/>
        </w:rPr>
        <w:t xml:space="preserve"> students </w:t>
      </w:r>
      <w:r>
        <w:rPr>
          <w:color w:val="000000"/>
        </w:rPr>
        <w:t>included</w:t>
      </w:r>
      <w:r w:rsidRPr="00375639">
        <w:rPr>
          <w:color w:val="000000"/>
        </w:rPr>
        <w:t xml:space="preserve"> information on student performance on the Massachusetts Comprehensive Assessment System (MCAS) and student background information from the Student Information Management System (SIMS).  Where possible, we ad</w:t>
      </w:r>
      <w:r w:rsidRPr="006E78E0">
        <w:rPr>
          <w:color w:val="000000"/>
        </w:rPr>
        <w:t xml:space="preserve">ded additional school district information to </w:t>
      </w:r>
      <w:r w:rsidR="00E13844">
        <w:rPr>
          <w:color w:val="000000"/>
        </w:rPr>
        <w:t xml:space="preserve">the </w:t>
      </w:r>
      <w:r w:rsidRPr="006E78E0">
        <w:rPr>
          <w:color w:val="000000"/>
        </w:rPr>
        <w:t>SIMS and MCAS data by using publicly available data sets, such as the 2000 Census and the National Center for Education Statistics (NCES) Common Core of Data (CCD).  We also examined publicly available datasets and reports from the Data Accountability Center (</w:t>
      </w:r>
      <w:hyperlink r:id="rId10" w:history="1">
        <w:r w:rsidRPr="00F5063E">
          <w:rPr>
            <w:rStyle w:val="Hyperlink"/>
          </w:rPr>
          <w:t>www.ideadata.org</w:t>
        </w:r>
      </w:hyperlink>
      <w:r w:rsidRPr="00F5063E">
        <w:rPr>
          <w:color w:val="000000"/>
        </w:rPr>
        <w:t>) to provide comparison information on students with disabilities across the country</w:t>
      </w:r>
      <w:r>
        <w:rPr>
          <w:color w:val="000000"/>
        </w:rPr>
        <w:t>.</w:t>
      </w:r>
    </w:p>
    <w:p w:rsidR="008D2AB8"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8D2AB8"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 xml:space="preserve">Although the combination of these data sources provided us with an unprecedented level of information regarding a large number of students with disabilities, it is important to note that they do not permit us to account for district-level factors such as </w:t>
      </w:r>
      <w:r w:rsidR="002E334F">
        <w:rPr>
          <w:color w:val="000000"/>
        </w:rPr>
        <w:t>the quality of classroom teaching</w:t>
      </w:r>
      <w:r>
        <w:rPr>
          <w:color w:val="000000"/>
        </w:rPr>
        <w:t xml:space="preserve"> or child-level factors such as </w:t>
      </w:r>
      <w:r>
        <w:t xml:space="preserve">the experience of trauma or </w:t>
      </w:r>
      <w:r w:rsidR="002E334F">
        <w:t>housing instability</w:t>
      </w:r>
      <w:r>
        <w:t xml:space="preserve"> that can be associated with performance on the MCAS.  Further</w:t>
      </w:r>
      <w:r w:rsidR="002E334F">
        <w:t>,</w:t>
      </w:r>
      <w:r>
        <w:t xml:space="preserve"> we do not have information</w:t>
      </w:r>
      <w:r w:rsidR="002E334F">
        <w:t xml:space="preserve"> on</w:t>
      </w:r>
      <w:r>
        <w:t xml:space="preserve"> indicators of students</w:t>
      </w:r>
      <w:r w:rsidR="000812B4">
        <w:t>’</w:t>
      </w:r>
      <w:r>
        <w:t xml:space="preserve"> social emotional development which we believe to be a critical component of </w:t>
      </w:r>
      <w:r w:rsidR="003F53F3">
        <w:t>student’s</w:t>
      </w:r>
      <w:r>
        <w:t xml:space="preserve"> lifelong success</w:t>
      </w:r>
    </w:p>
    <w:p w:rsidR="008D2AB8"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8D2AB8" w:rsidRPr="00471F0D" w:rsidRDefault="00CE7289"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CE7289">
        <w:rPr>
          <w:color w:val="000000"/>
        </w:rPr>
        <w:t>In this report, the term “</w:t>
      </w:r>
      <w:r w:rsidR="003E25CA">
        <w:rPr>
          <w:color w:val="000000"/>
        </w:rPr>
        <w:t xml:space="preserve">District” refers to traditional, </w:t>
      </w:r>
      <w:r w:rsidRPr="00CE7289">
        <w:rPr>
          <w:color w:val="000000"/>
        </w:rPr>
        <w:t>multi-grade</w:t>
      </w:r>
      <w:r w:rsidR="003E25CA">
        <w:rPr>
          <w:color w:val="000000"/>
        </w:rPr>
        <w:t>, academically-</w:t>
      </w:r>
      <w:r w:rsidRPr="00CE7289">
        <w:rPr>
          <w:color w:val="000000"/>
        </w:rPr>
        <w:t>focus</w:t>
      </w:r>
      <w:r w:rsidR="003E25CA">
        <w:rPr>
          <w:color w:val="000000"/>
        </w:rPr>
        <w:t>ed</w:t>
      </w:r>
      <w:r w:rsidRPr="00CE7289">
        <w:rPr>
          <w:color w:val="000000"/>
        </w:rPr>
        <w:t xml:space="preserve"> school districts only (</w:t>
      </w:r>
      <w:r w:rsidRPr="00CE7289">
        <w:rPr>
          <w:i/>
          <w:iCs/>
          <w:color w:val="000000"/>
        </w:rPr>
        <w:t>n</w:t>
      </w:r>
      <w:r w:rsidRPr="00CE7289">
        <w:rPr>
          <w:color w:val="000000"/>
        </w:rPr>
        <w:t>=298). We chose to exclude charter schools, vocational districts and separate special education public and private schools from our analysis</w:t>
      </w:r>
      <w:r w:rsidR="008D2AB8">
        <w:rPr>
          <w:color w:val="000000"/>
        </w:rPr>
        <w:t xml:space="preserve"> </w:t>
      </w:r>
      <w:r w:rsidR="008D2AB8" w:rsidRPr="00471F0D">
        <w:rPr>
          <w:color w:val="000000"/>
        </w:rPr>
        <w:t xml:space="preserve">for the following reasons.  First, vocational </w:t>
      </w:r>
      <w:r w:rsidR="00647D7E">
        <w:rPr>
          <w:color w:val="000000"/>
        </w:rPr>
        <w:t xml:space="preserve">schools </w:t>
      </w:r>
      <w:r w:rsidR="008D2AB8" w:rsidRPr="00471F0D">
        <w:rPr>
          <w:color w:val="000000"/>
        </w:rPr>
        <w:t xml:space="preserve">and </w:t>
      </w:r>
      <w:r w:rsidR="00647D7E" w:rsidRPr="00CE7289">
        <w:rPr>
          <w:color w:val="000000"/>
        </w:rPr>
        <w:t>separate special education public and private schools</w:t>
      </w:r>
      <w:r w:rsidR="00647D7E" w:rsidRPr="00471F0D" w:rsidDel="00647D7E">
        <w:rPr>
          <w:color w:val="000000"/>
        </w:rPr>
        <w:t xml:space="preserve"> </w:t>
      </w:r>
      <w:r w:rsidR="008D2AB8" w:rsidRPr="00471F0D">
        <w:rPr>
          <w:color w:val="000000"/>
        </w:rPr>
        <w:t>enroll substantially higher than average percentages of students with disabilities</w:t>
      </w:r>
      <w:r w:rsidR="000879AE">
        <w:rPr>
          <w:color w:val="000000"/>
        </w:rPr>
        <w:t xml:space="preserve"> and</w:t>
      </w:r>
      <w:r w:rsidR="008D2AB8" w:rsidRPr="00471F0D">
        <w:rPr>
          <w:color w:val="000000"/>
        </w:rPr>
        <w:t xml:space="preserve"> thus behave quite differently from traditional school districts, which are the intended focus of this analysis.  Secondly, since charter schools are each their own district, including them in our analysis would confound schools with districts. Third, since charter schools enroll a substantially lower than average percentage of students with disabilities, they also behave quite differently than traditional school districts and therefore represent a separate substantive area for analysis. Lastly, we are not able to incorporate geographic census data (such as median family income) for these types of non-standard districts, so the models we fit that included such variables would by default exclude such non-traditional districts from the analysis</w:t>
      </w:r>
      <w:r w:rsidR="008D2AB8">
        <w:rPr>
          <w:color w:val="000000"/>
        </w:rPr>
        <w:t xml:space="preserve">.  </w:t>
      </w:r>
    </w:p>
    <w:p w:rsidR="008D2AB8"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8D2AB8"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 xml:space="preserve">Additional details describing the specific methods used to determine each of our findings are presented in Appendix A.  </w:t>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8D2AB8"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p>
    <w:p w:rsidR="003E25CA" w:rsidRDefault="003E25CA"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p>
    <w:p w:rsidR="003E25CA" w:rsidRDefault="003E25CA"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p>
    <w:p w:rsidR="003E25CA" w:rsidRDefault="003E25CA"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p>
    <w:p w:rsidR="008D2AB8" w:rsidRPr="006E78E0" w:rsidRDefault="003E25CA"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r>
        <w:rPr>
          <w:b/>
          <w:color w:val="000000"/>
        </w:rPr>
        <w:br w:type="page"/>
      </w:r>
      <w:r w:rsidR="008D2AB8" w:rsidRPr="006E78E0">
        <w:rPr>
          <w:b/>
          <w:color w:val="000000"/>
        </w:rPr>
        <w:lastRenderedPageBreak/>
        <w:t xml:space="preserve">Summary </w:t>
      </w:r>
      <w:r w:rsidR="0015483A">
        <w:rPr>
          <w:b/>
          <w:color w:val="000000"/>
        </w:rPr>
        <w:t xml:space="preserve">of Key </w:t>
      </w:r>
      <w:r w:rsidR="008D2AB8" w:rsidRPr="006E78E0">
        <w:rPr>
          <w:b/>
          <w:color w:val="000000"/>
        </w:rPr>
        <w:t xml:space="preserve">Findings </w:t>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8D2AB8" w:rsidRPr="006E78E0" w:rsidRDefault="008D2AB8" w:rsidP="008D2AB8">
      <w:r w:rsidRPr="006E78E0">
        <w:t xml:space="preserve">Some of the </w:t>
      </w:r>
      <w:r w:rsidRPr="006E78E0">
        <w:rPr>
          <w:b/>
        </w:rPr>
        <w:t>key findings</w:t>
      </w:r>
      <w:r w:rsidRPr="006E78E0">
        <w:t xml:space="preserve"> we </w:t>
      </w:r>
      <w:r>
        <w:t>discuss</w:t>
      </w:r>
      <w:r w:rsidRPr="006E78E0">
        <w:t xml:space="preserve"> in this </w:t>
      </w:r>
      <w:r>
        <w:t>report</w:t>
      </w:r>
      <w:r w:rsidRPr="006E78E0">
        <w:t xml:space="preserve">, tied to their respective research questions, include: </w:t>
      </w:r>
    </w:p>
    <w:p w:rsidR="008D2AB8" w:rsidRPr="006E78E0" w:rsidRDefault="008D2AB8" w:rsidP="008D2AB8"/>
    <w:p w:rsidR="008D2AB8" w:rsidRPr="006E78E0" w:rsidRDefault="008D2AB8" w:rsidP="008D2AB8">
      <w:pPr>
        <w:ind w:left="360" w:right="360"/>
      </w:pPr>
      <w:r w:rsidRPr="006E78E0">
        <w:rPr>
          <w:b/>
        </w:rPr>
        <w:t xml:space="preserve">Summary of Findings for Question 1: </w:t>
      </w:r>
      <w:r w:rsidRPr="006E78E0">
        <w:t xml:space="preserve">Overall, </w:t>
      </w:r>
      <w:r w:rsidR="000812B4" w:rsidRPr="006E78E0">
        <w:t>Massachusetts’s</w:t>
      </w:r>
      <w:r w:rsidRPr="006E78E0">
        <w:t xml:space="preserve"> schools identify a higher percentage of students as having a disability than do schools across the country.  </w:t>
      </w:r>
      <w:r w:rsidR="000812B4" w:rsidRPr="006E78E0">
        <w:t>Massachusetts’s</w:t>
      </w:r>
      <w:r w:rsidRPr="006E78E0">
        <w:t xml:space="preserve"> students with disabilities compare favorably to students across the country in terms of their academic achievement and the degree to which they are included with their typically developing peers. </w:t>
      </w:r>
    </w:p>
    <w:p w:rsidR="008D2AB8" w:rsidRPr="006E78E0" w:rsidRDefault="008D2AB8" w:rsidP="008D2AB8">
      <w:pPr>
        <w:ind w:left="360" w:right="360"/>
      </w:pPr>
    </w:p>
    <w:p w:rsidR="008D2AB8" w:rsidRPr="006E78E0" w:rsidRDefault="008D2AB8" w:rsidP="008D2AB8">
      <w:pPr>
        <w:ind w:left="360" w:right="360"/>
      </w:pPr>
      <w:r w:rsidRPr="006E78E0">
        <w:rPr>
          <w:b/>
        </w:rPr>
        <w:t xml:space="preserve">Summary of Findings for Question 2: </w:t>
      </w:r>
      <w:r w:rsidRPr="006E78E0">
        <w:t xml:space="preserve">Though some wealthy districts have high rates of special education identification, overall high-income districts are not primarily responsible for the commonwealth’s relatively high identification rates statewide. Rather, districts with higher percentages of low-income students, on average, identify a higher percentage of their students as disabled than do districts with low percentages of low-income students. </w:t>
      </w:r>
    </w:p>
    <w:p w:rsidR="008D2AB8" w:rsidRPr="006E78E0" w:rsidRDefault="008D2AB8" w:rsidP="008D2AB8">
      <w:pPr>
        <w:ind w:left="360" w:right="360"/>
      </w:pPr>
    </w:p>
    <w:p w:rsidR="008D2AB8" w:rsidRPr="006E78E0" w:rsidRDefault="008D2AB8" w:rsidP="008D2AB8">
      <w:pPr>
        <w:ind w:left="360" w:right="360"/>
      </w:pPr>
      <w:r w:rsidRPr="006E78E0">
        <w:rPr>
          <w:b/>
        </w:rPr>
        <w:t xml:space="preserve">Summary of Findings for Question 3: </w:t>
      </w:r>
      <w:r w:rsidRPr="006E78E0">
        <w:t xml:space="preserve">At the district level, the performance of </w:t>
      </w:r>
      <w:r w:rsidR="000879AE">
        <w:t>students with disabilities</w:t>
      </w:r>
      <w:r w:rsidR="000879AE" w:rsidRPr="006E78E0" w:rsidDel="000879AE">
        <w:t xml:space="preserve"> </w:t>
      </w:r>
      <w:r w:rsidRPr="006E78E0">
        <w:t xml:space="preserve">– while consistently lower on average – </w:t>
      </w:r>
      <w:r>
        <w:t>typically</w:t>
      </w:r>
      <w:r w:rsidRPr="006E78E0">
        <w:t xml:space="preserve"> parallels the performance of general education students; such that in districts where general education students have higher MCAS scores, </w:t>
      </w:r>
      <w:r w:rsidR="000879AE">
        <w:t>students with disabilities</w:t>
      </w:r>
      <w:r w:rsidRPr="006E78E0">
        <w:t xml:space="preserve"> also, on average, earn higher scores on the MCAS.</w:t>
      </w:r>
    </w:p>
    <w:p w:rsidR="008D2AB8" w:rsidRPr="006E78E0" w:rsidRDefault="008D2AB8" w:rsidP="008D2AB8">
      <w:pPr>
        <w:ind w:left="360" w:right="360"/>
      </w:pPr>
    </w:p>
    <w:p w:rsidR="008D2AB8" w:rsidRPr="006E78E0" w:rsidRDefault="008D2AB8" w:rsidP="008D2AB8">
      <w:pPr>
        <w:ind w:left="360" w:right="360"/>
      </w:pPr>
      <w:r w:rsidRPr="006E78E0">
        <w:rPr>
          <w:b/>
        </w:rPr>
        <w:t xml:space="preserve">Summary of Findings for Question 4: </w:t>
      </w:r>
      <w:r w:rsidRPr="00E3025F">
        <w:t>Low-income students in</w:t>
      </w:r>
      <w:r w:rsidRPr="006E78E0">
        <w:t xml:space="preserve"> Massachusetts are more likely to be identified as eligible for special education services than are students who are not low-income.  This is particularly true for low-income </w:t>
      </w:r>
      <w:r>
        <w:t xml:space="preserve">students </w:t>
      </w:r>
      <w:r w:rsidRPr="006E78E0">
        <w:t xml:space="preserve">who attend school in high-income districts.  Meanwhile, among </w:t>
      </w:r>
      <w:r w:rsidRPr="00E3025F">
        <w:t xml:space="preserve">students with limited English proficiency, there </w:t>
      </w:r>
      <w:r w:rsidRPr="006E78E0">
        <w:t xml:space="preserve">are dramatic differences in the rates of disability identification between students whose home language is Spanish and students whose home language is not Spanish. </w:t>
      </w:r>
    </w:p>
    <w:p w:rsidR="008D2AB8" w:rsidRPr="006E78E0" w:rsidRDefault="008D2AB8" w:rsidP="008D2AB8">
      <w:pPr>
        <w:ind w:left="360" w:right="360"/>
        <w:rPr>
          <w:i/>
        </w:rPr>
      </w:pPr>
    </w:p>
    <w:p w:rsidR="008D2AB8" w:rsidRPr="006E78E0" w:rsidRDefault="008D2AB8" w:rsidP="008D2AB8">
      <w:pPr>
        <w:ind w:left="360" w:right="360"/>
      </w:pPr>
      <w:r w:rsidRPr="006E78E0">
        <w:rPr>
          <w:b/>
        </w:rPr>
        <w:t xml:space="preserve">Summary of Findings for Question 5: </w:t>
      </w:r>
      <w:r w:rsidRPr="006E78E0">
        <w:t xml:space="preserve">Among students with disabilities, low-income students, African American students and Latino students are consistently more likely to be educated in classrooms away from their typically developing peers than are middle- or high-income students or students who are not African American or Latino. </w:t>
      </w:r>
    </w:p>
    <w:p w:rsidR="008D2AB8" w:rsidRPr="006E78E0" w:rsidRDefault="008D2AB8" w:rsidP="008D2AB8">
      <w:pPr>
        <w:ind w:left="360" w:right="360"/>
      </w:pPr>
    </w:p>
    <w:p w:rsidR="008D2AB8" w:rsidRPr="006E78E0" w:rsidRDefault="008D2AB8" w:rsidP="008D2AB8">
      <w:pPr>
        <w:ind w:left="360" w:right="360"/>
        <w:rPr>
          <w:i/>
        </w:rPr>
      </w:pPr>
      <w:r w:rsidRPr="006E78E0">
        <w:rPr>
          <w:b/>
        </w:rPr>
        <w:t xml:space="preserve">Summary of Findings for Question 6: </w:t>
      </w:r>
      <w:r w:rsidRPr="006E78E0">
        <w:t xml:space="preserve">Holding constant other student and </w:t>
      </w:r>
      <w:r w:rsidR="006240D9">
        <w:t xml:space="preserve">district-level </w:t>
      </w:r>
      <w:r w:rsidRPr="006E78E0">
        <w:t>characteristics associated with MCAS performance, students with disabilities who spend more time being educated with their typically developing peers, on average, earn higher scores on the MCAS than students who spend much of their time</w:t>
      </w:r>
      <w:r w:rsidR="001A14D1">
        <w:t xml:space="preserve"> in</w:t>
      </w:r>
      <w:r w:rsidRPr="006E78E0">
        <w:t xml:space="preserve"> </w:t>
      </w:r>
      <w:r w:rsidR="001A14D1">
        <w:t>substantially-separate,</w:t>
      </w:r>
      <w:r w:rsidR="001A14D1" w:rsidRPr="006E78E0">
        <w:t xml:space="preserve"> </w:t>
      </w:r>
      <w:r w:rsidRPr="006E78E0">
        <w:t>non-mainstream classes.</w:t>
      </w:r>
    </w:p>
    <w:p w:rsidR="008D2AB8" w:rsidRPr="006E78E0" w:rsidRDefault="008D2AB8" w:rsidP="008D2AB8">
      <w:pPr>
        <w:rPr>
          <w:b/>
        </w:rPr>
      </w:pP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8D2AB8" w:rsidRPr="006E78E0" w:rsidRDefault="008D2AB8" w:rsidP="008D2AB8">
      <w:pPr>
        <w:outlineLvl w:val="0"/>
        <w:rPr>
          <w:rFonts w:cs="Cambria"/>
          <w:color w:val="000000"/>
          <w:sz w:val="28"/>
          <w:szCs w:val="28"/>
          <w:u w:val="single"/>
        </w:rPr>
        <w:sectPr w:rsidR="008D2AB8" w:rsidRPr="006E78E0" w:rsidSect="009F3BCE">
          <w:type w:val="continuous"/>
          <w:pgSz w:w="12240" w:h="15840"/>
          <w:pgMar w:top="1440" w:right="1440" w:bottom="1440" w:left="1440" w:header="720" w:footer="720" w:gutter="0"/>
          <w:cols w:space="720"/>
          <w:docGrid w:linePitch="360"/>
        </w:sectPr>
      </w:pPr>
    </w:p>
    <w:p w:rsidR="008D2AB8" w:rsidRPr="006E78E0" w:rsidRDefault="008D2AB8" w:rsidP="008D2AB8">
      <w:pPr>
        <w:rPr>
          <w:i/>
        </w:rPr>
      </w:pPr>
      <w:r w:rsidRPr="00026834">
        <w:rPr>
          <w:i/>
          <w:sz w:val="40"/>
          <w:szCs w:val="40"/>
        </w:rPr>
        <w:lastRenderedPageBreak/>
        <w:t>Part 1:</w:t>
      </w:r>
      <w:r w:rsidRPr="006E78E0">
        <w:rPr>
          <w:i/>
        </w:rPr>
        <w:t xml:space="preserve"> Detailed findings comparing the identification, placement and performance of Massachusetts students with disabilities with students in the rest of the country</w:t>
      </w:r>
    </w:p>
    <w:p w:rsidR="008D2AB8" w:rsidRPr="006E78E0" w:rsidRDefault="008D2AB8" w:rsidP="008D2AB8">
      <w:pPr>
        <w:rPr>
          <w:rFonts w:cs="Cambria"/>
          <w:i/>
          <w:color w:val="000000"/>
        </w:rPr>
      </w:pPr>
    </w:p>
    <w:p w:rsidR="008D2AB8" w:rsidRPr="006E78E0" w:rsidRDefault="008D2AB8" w:rsidP="008D2AB8">
      <w:pPr>
        <w:rPr>
          <w:b/>
        </w:rPr>
      </w:pPr>
      <w:r w:rsidRPr="006E78E0">
        <w:rPr>
          <w:b/>
        </w:rPr>
        <w:t xml:space="preserve">Question 1: </w:t>
      </w:r>
      <w:r w:rsidRPr="006E78E0">
        <w:t>How do the identification, placement and performance of students with disabilities in Massachusetts compare to students with disabilities across the U</w:t>
      </w:r>
      <w:r w:rsidR="00E3025F">
        <w:t xml:space="preserve">nited </w:t>
      </w:r>
      <w:r w:rsidRPr="006E78E0">
        <w:t>S</w:t>
      </w:r>
      <w:r w:rsidR="00E3025F">
        <w:t>tates</w:t>
      </w:r>
      <w:r w:rsidRPr="006E78E0">
        <w:t>.?</w:t>
      </w:r>
    </w:p>
    <w:p w:rsidR="008D2AB8" w:rsidRDefault="008D2AB8" w:rsidP="008D2AB8">
      <w:pPr>
        <w:ind w:left="1440" w:hanging="1440"/>
        <w:rPr>
          <w:b/>
        </w:rPr>
      </w:pPr>
    </w:p>
    <w:p w:rsidR="008D2AB8" w:rsidRPr="006E78E0" w:rsidRDefault="008D2AB8" w:rsidP="008D2AB8">
      <w:pPr>
        <w:ind w:left="1440" w:hanging="1440"/>
        <w:rPr>
          <w:b/>
        </w:rPr>
      </w:pPr>
      <w:r w:rsidRPr="006E78E0">
        <w:rPr>
          <w:b/>
        </w:rPr>
        <w:t xml:space="preserve">Finding 1a – Identification: </w:t>
      </w:r>
    </w:p>
    <w:p w:rsidR="008D2AB8" w:rsidRPr="006E78E0" w:rsidRDefault="008D2AB8" w:rsidP="008D2AB8">
      <w:pPr>
        <w:ind w:left="1440" w:hanging="1440"/>
        <w:rPr>
          <w:i/>
        </w:rPr>
      </w:pPr>
      <w:r w:rsidRPr="006E78E0">
        <w:rPr>
          <w:b/>
        </w:rPr>
        <w:tab/>
      </w:r>
      <w:r w:rsidRPr="006E78E0">
        <w:rPr>
          <w:i/>
        </w:rPr>
        <w:t xml:space="preserve">Massachusetts identifies students as eligible for special education and related services at rates substantially higher than the rest of the country.  </w:t>
      </w:r>
    </w:p>
    <w:p w:rsidR="008D2AB8" w:rsidRPr="006E78E0" w:rsidRDefault="008D2AB8" w:rsidP="008D2AB8">
      <w:pPr>
        <w:pStyle w:val="ColorfulList-Accent11"/>
        <w:ind w:left="360"/>
      </w:pPr>
    </w:p>
    <w:p w:rsidR="008D2AB8" w:rsidRPr="006E78E0" w:rsidRDefault="008D2AB8" w:rsidP="008D2AB8">
      <w:pPr>
        <w:pStyle w:val="ColorfulList-Accent11"/>
        <w:ind w:left="0"/>
      </w:pPr>
      <w:r w:rsidRPr="006E78E0">
        <w:t>More than 17% of Kindergarten through 12</w:t>
      </w:r>
      <w:r w:rsidRPr="006E78E0">
        <w:rPr>
          <w:vertAlign w:val="superscript"/>
        </w:rPr>
        <w:t>th</w:t>
      </w:r>
      <w:r w:rsidRPr="006E78E0">
        <w:t xml:space="preserve"> grade students in the Commonwealth of Massachusetts </w:t>
      </w:r>
      <w:proofErr w:type="gramStart"/>
      <w:r w:rsidRPr="006E78E0">
        <w:t>are</w:t>
      </w:r>
      <w:proofErr w:type="gramEnd"/>
      <w:r w:rsidRPr="006E78E0">
        <w:t xml:space="preserve"> eligible for special education services. This rate of identification for special education service eligibility is the second highest in the country, behind Rhode Island (~19%). In Figure1 (on the following page), we display a comparison of identification rates in Massachusetts and the rest of the </w:t>
      </w:r>
      <w:r w:rsidR="00E3025F">
        <w:t>Unit</w:t>
      </w:r>
      <w:r w:rsidR="000812B4">
        <w:t>ed States</w:t>
      </w:r>
      <w:r w:rsidRPr="006E78E0">
        <w:t xml:space="preserve">., by disability category. </w:t>
      </w:r>
    </w:p>
    <w:p w:rsidR="008D2AB8" w:rsidRPr="006E78E0" w:rsidRDefault="008D2AB8" w:rsidP="008D2AB8">
      <w:pPr>
        <w:pStyle w:val="ColorfulList-Accent11"/>
        <w:ind w:left="0"/>
      </w:pPr>
    </w:p>
    <w:p w:rsidR="008D2AB8" w:rsidRPr="00F5063E" w:rsidRDefault="008D2AB8" w:rsidP="008D2AB8">
      <w:r w:rsidRPr="006E78E0">
        <w:t>We interpret Figure 1 as indicating three general patterns. In the first pattern, which applies to categories whose designations have relatively strict and narrow definitions (</w:t>
      </w:r>
      <w:r w:rsidRPr="006E78E0">
        <w:rPr>
          <w:i/>
        </w:rPr>
        <w:t xml:space="preserve">Vision, Hard of Hearing/Deaf-Blind </w:t>
      </w:r>
      <w:r w:rsidRPr="006E78E0">
        <w:t>and</w:t>
      </w:r>
      <w:r w:rsidRPr="006E78E0">
        <w:rPr>
          <w:i/>
        </w:rPr>
        <w:t xml:space="preserve"> Physical Disabilities</w:t>
      </w:r>
      <w:r w:rsidRPr="006E78E0">
        <w:t>), rates of identification in Massachusetts look very similar to national averages. In the second pattern, we find disabilities (</w:t>
      </w:r>
      <w:r w:rsidRPr="006E78E0">
        <w:rPr>
          <w:i/>
        </w:rPr>
        <w:t>Intellectual Disabilities, Autism, Emotional Disturbance</w:t>
      </w:r>
      <w:r w:rsidRPr="006E78E0">
        <w:t xml:space="preserve">, </w:t>
      </w:r>
      <w:r w:rsidRPr="006E78E0">
        <w:rPr>
          <w:i/>
        </w:rPr>
        <w:t>Multiple Disabilities</w:t>
      </w:r>
      <w:r w:rsidR="000879AE">
        <w:rPr>
          <w:i/>
        </w:rPr>
        <w:t xml:space="preserve"> and</w:t>
      </w:r>
      <w:r w:rsidRPr="006E78E0">
        <w:t xml:space="preserve"> </w:t>
      </w:r>
      <w:r w:rsidRPr="006E78E0">
        <w:rPr>
          <w:i/>
        </w:rPr>
        <w:t>Developmental Delay</w:t>
      </w:r>
      <w:r w:rsidRPr="006E78E0">
        <w:t xml:space="preserve">) where Massachusetts rates of identification, while high relative to the national average, may be more in line with recent </w:t>
      </w:r>
      <w:r w:rsidR="000812B4" w:rsidRPr="006E78E0">
        <w:t xml:space="preserve">research </w:t>
      </w:r>
      <w:r w:rsidRPr="006E78E0">
        <w:t>findings (</w:t>
      </w:r>
      <w:r w:rsidR="00647D7E">
        <w:t>e.g.,</w:t>
      </w:r>
      <w:r w:rsidRPr="006E78E0">
        <w:t xml:space="preserve"> Bhasin,2006; Rice, 200</w:t>
      </w:r>
      <w:r>
        <w:t>9</w:t>
      </w:r>
      <w:r w:rsidRPr="00F5063E">
        <w:t xml:space="preserve">, Sheldrick, 2011; Pizur-Barnekow, 2010) </w:t>
      </w:r>
      <w:r w:rsidR="000812B4">
        <w:t>regarding</w:t>
      </w:r>
      <w:r w:rsidRPr="00F5063E">
        <w:t xml:space="preserve"> true incidence in the population of school age children.  </w:t>
      </w:r>
    </w:p>
    <w:p w:rsidR="008D2AB8" w:rsidRPr="00375639" w:rsidRDefault="008D2AB8" w:rsidP="008D2AB8">
      <w:pPr>
        <w:pStyle w:val="ColorfulList-Accent11"/>
        <w:ind w:left="0"/>
      </w:pPr>
    </w:p>
    <w:p w:rsidR="008D2AB8" w:rsidRDefault="008D2AB8" w:rsidP="008D2AB8">
      <w:pPr>
        <w:pStyle w:val="ColorfulList-Accent11"/>
        <w:ind w:left="0"/>
      </w:pPr>
      <w:r w:rsidRPr="006E78E0">
        <w:t xml:space="preserve">The third pattern, which will be the focus of the majority of </w:t>
      </w:r>
      <w:r>
        <w:t xml:space="preserve">the analyses presented in </w:t>
      </w:r>
      <w:r w:rsidRPr="006E78E0">
        <w:t>this report, is applicable to disability categories whose definitions may be more subject to interpretation (</w:t>
      </w:r>
      <w:r w:rsidRPr="00E3025F">
        <w:rPr>
          <w:i/>
        </w:rPr>
        <w:t>Specific Learning Disability, Communication</w:t>
      </w:r>
      <w:r w:rsidR="000879AE">
        <w:rPr>
          <w:i/>
        </w:rPr>
        <w:t xml:space="preserve"> and</w:t>
      </w:r>
      <w:r w:rsidRPr="00E3025F">
        <w:rPr>
          <w:i/>
        </w:rPr>
        <w:t xml:space="preserve"> Other Health Impairment</w:t>
      </w:r>
      <w:r w:rsidR="009A4D5A">
        <w:t>).</w:t>
      </w:r>
      <w:r w:rsidRPr="009A4D5A">
        <w:rPr>
          <w:rStyle w:val="FootnoteReference"/>
        </w:rPr>
        <w:footnoteReference w:id="4"/>
      </w:r>
      <w:r w:rsidRPr="006E78E0">
        <w:t xml:space="preserve"> Nearly two out of every three Massachusetts students with a disability are identified as belonging in one of these </w:t>
      </w:r>
      <w:r>
        <w:t xml:space="preserve">three </w:t>
      </w:r>
      <w:r w:rsidRPr="006E78E0">
        <w:t>categories</w:t>
      </w:r>
      <w:r w:rsidR="000879AE">
        <w:t xml:space="preserve"> and</w:t>
      </w:r>
      <w:r w:rsidRPr="006E78E0">
        <w:t xml:space="preserve"> due to the potentially subjective nature of their diagnosis, rates of identification for these categories may be more sensitive to policy decisions than rates for the more strictly defined categories. </w:t>
      </w:r>
      <w:r>
        <w:t xml:space="preserve">Further, we see evidence throughout the </w:t>
      </w:r>
      <w:r w:rsidR="00E3025F">
        <w:t>commonwealth</w:t>
      </w:r>
      <w:r>
        <w:t xml:space="preserve"> that indicates that children with similar profiles may fall differentially into one of these three categories, depending on the designation conventions of different school districts. </w:t>
      </w:r>
    </w:p>
    <w:p w:rsidR="008D2AB8" w:rsidRDefault="008D2AB8" w:rsidP="008D2AB8">
      <w:pPr>
        <w:pStyle w:val="ColorfulList-Accent11"/>
        <w:ind w:left="0"/>
      </w:pPr>
    </w:p>
    <w:p w:rsidR="008D2AB8" w:rsidRPr="009A4D5A" w:rsidRDefault="008D2AB8" w:rsidP="008D2AB8">
      <w:pPr>
        <w:pStyle w:val="ColorfulList-Accent11"/>
        <w:ind w:left="0"/>
      </w:pPr>
      <w:r>
        <w:t xml:space="preserve">For these reasons, </w:t>
      </w:r>
      <w:r w:rsidRPr="006E78E0">
        <w:t>we</w:t>
      </w:r>
      <w:r>
        <w:t xml:space="preserve"> combine students in the </w:t>
      </w:r>
      <w:r w:rsidRPr="009A4D5A">
        <w:t>Specific Learning Disability, Communication</w:t>
      </w:r>
      <w:r w:rsidR="000879AE">
        <w:t xml:space="preserve"> and</w:t>
      </w:r>
      <w:r w:rsidRPr="009A4D5A">
        <w:t xml:space="preserve"> Other Health Impairment </w:t>
      </w:r>
      <w:r>
        <w:t>categories for many of our analyses</w:t>
      </w:r>
      <w:r w:rsidR="000879AE">
        <w:t xml:space="preserve"> and</w:t>
      </w:r>
      <w:r>
        <w:t xml:space="preserve"> we </w:t>
      </w:r>
      <w:r w:rsidRPr="006E78E0">
        <w:t>refer to th</w:t>
      </w:r>
      <w:r>
        <w:t xml:space="preserve">is combined group as the </w:t>
      </w:r>
      <w:r w:rsidRPr="0083443D">
        <w:rPr>
          <w:i/>
        </w:rPr>
        <w:t xml:space="preserve">‘High Incidence’ </w:t>
      </w:r>
      <w:r w:rsidRPr="006E78E0">
        <w:t>disability categories</w:t>
      </w:r>
      <w:r>
        <w:t xml:space="preserve">. We will discuss in detail later in this report </w:t>
      </w:r>
      <w:r w:rsidRPr="006E78E0">
        <w:t xml:space="preserve">evidence of overrepresentation </w:t>
      </w:r>
      <w:r>
        <w:t xml:space="preserve">of the </w:t>
      </w:r>
      <w:r w:rsidRPr="0083443D">
        <w:rPr>
          <w:i/>
        </w:rPr>
        <w:t xml:space="preserve">‘High Incidence’ </w:t>
      </w:r>
      <w:r w:rsidRPr="006E78E0">
        <w:t xml:space="preserve">disability categories </w:t>
      </w:r>
      <w:r w:rsidR="000812B4">
        <w:t>among</w:t>
      </w:r>
      <w:r w:rsidRPr="006E78E0">
        <w:t xml:space="preserve"> Massachusetts students</w:t>
      </w:r>
      <w:r w:rsidR="000879AE">
        <w:t xml:space="preserve"> and</w:t>
      </w:r>
      <w:r>
        <w:t xml:space="preserve"> b</w:t>
      </w:r>
      <w:r w:rsidRPr="00F5063E">
        <w:t xml:space="preserve">ecause of their policy </w:t>
      </w:r>
      <w:proofErr w:type="gramStart"/>
      <w:r w:rsidRPr="00F5063E">
        <w:t>relevance,</w:t>
      </w:r>
      <w:proofErr w:type="gramEnd"/>
      <w:r w:rsidRPr="00F5063E">
        <w:t xml:space="preserve"> we focus the majority of analyses disc</w:t>
      </w:r>
      <w:r w:rsidRPr="00375639">
        <w:t xml:space="preserve">ussed in this report on this subset of children. </w:t>
      </w:r>
      <w:r>
        <w:t xml:space="preserve">Throughout this report, any reference to the </w:t>
      </w:r>
      <w:r w:rsidRPr="0083443D">
        <w:rPr>
          <w:i/>
        </w:rPr>
        <w:t xml:space="preserve">‘High Incidence’ </w:t>
      </w:r>
      <w:r w:rsidRPr="006E78E0">
        <w:t>disability categories</w:t>
      </w:r>
      <w:r>
        <w:t xml:space="preserve"> therefore refers to the combined group of children who are identified as </w:t>
      </w:r>
      <w:r w:rsidR="000812B4">
        <w:t>having</w:t>
      </w:r>
      <w:r>
        <w:t xml:space="preserve"> a </w:t>
      </w:r>
      <w:r w:rsidRPr="009A4D5A">
        <w:t>Specific Learning Disability, Communication Impairment, or Other Health Impairment.</w:t>
      </w:r>
    </w:p>
    <w:p w:rsidR="008D2AB8" w:rsidRPr="006E78E0" w:rsidRDefault="008D2AB8" w:rsidP="008D2AB8">
      <w:pPr>
        <w:pStyle w:val="ColorfulList-Accent11"/>
        <w:ind w:left="360"/>
      </w:pPr>
    </w:p>
    <w:p w:rsidR="008D2AB8" w:rsidRPr="00394546" w:rsidRDefault="008D2AB8" w:rsidP="008D2AB8">
      <w:pPr>
        <w:pStyle w:val="Caption"/>
        <w:keepNext/>
        <w:ind w:left="360" w:right="360"/>
        <w:rPr>
          <w:color w:val="auto"/>
          <w:sz w:val="21"/>
          <w:szCs w:val="21"/>
        </w:rPr>
      </w:pPr>
      <w:proofErr w:type="gramStart"/>
      <w:r w:rsidRPr="00394546">
        <w:rPr>
          <w:b w:val="0"/>
          <w:i/>
          <w:color w:val="auto"/>
          <w:sz w:val="21"/>
          <w:szCs w:val="21"/>
        </w:rPr>
        <w:t xml:space="preserve">Figure </w:t>
      </w:r>
      <w:r w:rsidR="00B91530" w:rsidRPr="00394546">
        <w:rPr>
          <w:b w:val="0"/>
          <w:i/>
          <w:color w:val="auto"/>
          <w:sz w:val="21"/>
          <w:szCs w:val="21"/>
        </w:rPr>
        <w:fldChar w:fldCharType="begin"/>
      </w:r>
      <w:r w:rsidRPr="00394546">
        <w:rPr>
          <w:b w:val="0"/>
          <w:i/>
          <w:color w:val="auto"/>
          <w:sz w:val="21"/>
          <w:szCs w:val="21"/>
        </w:rPr>
        <w:instrText xml:space="preserve"> SEQ Figure \* ARABIC </w:instrText>
      </w:r>
      <w:r w:rsidR="00B91530" w:rsidRPr="00394546">
        <w:rPr>
          <w:b w:val="0"/>
          <w:i/>
          <w:color w:val="auto"/>
          <w:sz w:val="21"/>
          <w:szCs w:val="21"/>
        </w:rPr>
        <w:fldChar w:fldCharType="separate"/>
      </w:r>
      <w:r w:rsidR="00A54ECF">
        <w:rPr>
          <w:b w:val="0"/>
          <w:i/>
          <w:noProof/>
          <w:color w:val="auto"/>
          <w:sz w:val="21"/>
          <w:szCs w:val="21"/>
        </w:rPr>
        <w:t>1</w:t>
      </w:r>
      <w:r w:rsidR="00B91530" w:rsidRPr="00394546">
        <w:rPr>
          <w:b w:val="0"/>
          <w:i/>
          <w:color w:val="auto"/>
          <w:sz w:val="21"/>
          <w:szCs w:val="21"/>
        </w:rPr>
        <w:fldChar w:fldCharType="end"/>
      </w:r>
      <w:r w:rsidRPr="00394546">
        <w:rPr>
          <w:b w:val="0"/>
          <w:i/>
          <w:color w:val="auto"/>
          <w:sz w:val="21"/>
          <w:szCs w:val="21"/>
        </w:rPr>
        <w:t>.</w:t>
      </w:r>
      <w:proofErr w:type="gramEnd"/>
      <w:r w:rsidRPr="00394546">
        <w:rPr>
          <w:color w:val="auto"/>
          <w:sz w:val="21"/>
          <w:szCs w:val="21"/>
        </w:rPr>
        <w:t xml:space="preserve"> </w:t>
      </w:r>
      <w:r w:rsidRPr="00394546">
        <w:rPr>
          <w:b w:val="0"/>
          <w:color w:val="auto"/>
          <w:sz w:val="21"/>
          <w:szCs w:val="21"/>
        </w:rPr>
        <w:t xml:space="preserve">Percentage of students identified with specific disabilities in the </w:t>
      </w:r>
      <w:r w:rsidRPr="00520DFB">
        <w:rPr>
          <w:color w:val="00B0F0"/>
          <w:sz w:val="21"/>
          <w:szCs w:val="21"/>
        </w:rPr>
        <w:t>United States</w:t>
      </w:r>
      <w:r w:rsidRPr="00394546">
        <w:rPr>
          <w:b w:val="0"/>
          <w:color w:val="auto"/>
          <w:sz w:val="21"/>
          <w:szCs w:val="21"/>
        </w:rPr>
        <w:t xml:space="preserve"> and </w:t>
      </w:r>
      <w:r w:rsidRPr="00394546">
        <w:rPr>
          <w:color w:val="FF0000"/>
          <w:sz w:val="21"/>
          <w:szCs w:val="21"/>
        </w:rPr>
        <w:t>Massachusetts</w:t>
      </w:r>
      <w:r w:rsidRPr="00394546">
        <w:rPr>
          <w:b w:val="0"/>
          <w:color w:val="auto"/>
          <w:sz w:val="21"/>
          <w:szCs w:val="21"/>
        </w:rPr>
        <w:t>.</w:t>
      </w:r>
    </w:p>
    <w:p w:rsidR="008D2AB8" w:rsidRPr="00F5063E" w:rsidRDefault="004B42C3" w:rsidP="008D2AB8">
      <w:pPr>
        <w:pStyle w:val="ColorfulList-Accent11"/>
        <w:ind w:left="360"/>
        <w:jc w:val="center"/>
      </w:pPr>
      <w:r>
        <w:rPr>
          <w:noProof/>
          <w:sz w:val="18"/>
          <w:szCs w:val="18"/>
        </w:rPr>
        <w:drawing>
          <wp:inline distT="0" distB="0" distL="0" distR="0">
            <wp:extent cx="5486400" cy="3543300"/>
            <wp:effectExtent l="19050" t="0" r="0" b="0"/>
            <wp:docPr id="2" name="Picture 2" descr="Figure 1. &#10;The percentage of Massachusetts students identified with specific disabilities are as follows:&#10;Specific Learning Disability 5.7%&#10;Health 1.3%&#10;Communication 3.0%&#10;Development Delay 1.8%&#10;Emotional 1.4%&#10;Autism 1.1%&#10;Intellectual 1.1%&#10;Multiple Disabilities 0.5%&#10;Neurological 0.7%&#10;Physical 0.2%&#10;Sensory/Deaf blind 0.0%&#10;Sensory/Hard of Hearing 0.1%&#10;Sensory/Vision Impairment 0.1%&#10;The percentage of United States students identified with specific disabilities are as follows:&#10;&#10;Specific Learning Disability 4.8%&#10;Health 1.3%&#10;Communication 2.3%&#10;Development Delay 0.2%&#10;Emotional 0.8%&#10;Autism 0.6%&#10;Intellectual 0.8%&#10;Multiple Disabilities 0.2%&#10;Neurological 0.0%&#10;Physical 0.1%&#10;Sensory/Deaf blind 0.0%&#10;Sensory/Hard of Hearing 0.1%&#10;Sensory/Vision Impairment 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 &#10;The percentage of Massachusetts students identified with specific disabilities are as follows:&#10;Specific Learning Disability 5.7%&#10;Health 1.3%&#10;Communication 3.0%&#10;Development Delay 1.8%&#10;Emotional 1.4%&#10;Autism 1.1%&#10;Intellectual 1.1%&#10;Multiple Disabilities 0.5%&#10;Neurological 0.7%&#10;Physical 0.2%&#10;Sensory/Deaf blind 0.0%&#10;Sensory/Hard of Hearing 0.1%&#10;Sensory/Vision Impairment 0.1%&#10;The percentage of United States students identified with specific disabilities are as follows:&#10;&#10;Specific Learning Disability 4.8%&#10;Health 1.3%&#10;Communication 2.3%&#10;Development Delay 0.2%&#10;Emotional 0.8%&#10;Autism 0.6%&#10;Intellectual 0.8%&#10;Multiple Disabilities 0.2%&#10;Neurological 0.0%&#10;Physical 0.1%&#10;Sensory/Deaf blind 0.0%&#10;Sensory/Hard of Hearing 0.1%&#10;Sensory/Vision Impairment 0.1%&#10;"/>
                    <pic:cNvPicPr>
                      <a:picLocks noChangeAspect="1" noChangeArrowheads="1"/>
                    </pic:cNvPicPr>
                  </pic:nvPicPr>
                  <pic:blipFill>
                    <a:blip r:embed="rId11"/>
                    <a:srcRect t="13867"/>
                    <a:stretch>
                      <a:fillRect/>
                    </a:stretch>
                  </pic:blipFill>
                  <pic:spPr bwMode="auto">
                    <a:xfrm>
                      <a:off x="0" y="0"/>
                      <a:ext cx="5486400" cy="3543300"/>
                    </a:xfrm>
                    <a:prstGeom prst="rect">
                      <a:avLst/>
                    </a:prstGeom>
                    <a:noFill/>
                    <a:ln w="9525">
                      <a:noFill/>
                      <a:miter lim="800000"/>
                      <a:headEnd/>
                      <a:tailEnd/>
                    </a:ln>
                  </pic:spPr>
                </pic:pic>
              </a:graphicData>
            </a:graphic>
          </wp:inline>
        </w:drawing>
      </w:r>
    </w:p>
    <w:p w:rsidR="008D2AB8" w:rsidRPr="00375639" w:rsidRDefault="008D2AB8" w:rsidP="008D2AB8">
      <w:pPr>
        <w:pStyle w:val="ColorfulList-Accent11"/>
        <w:ind w:left="0"/>
      </w:pPr>
    </w:p>
    <w:p w:rsidR="008D2AB8" w:rsidRPr="006E78E0" w:rsidRDefault="008D2AB8" w:rsidP="008D2AB8">
      <w:pPr>
        <w:ind w:left="1440" w:hanging="1440"/>
        <w:rPr>
          <w:i/>
        </w:rPr>
      </w:pPr>
      <w:r w:rsidRPr="006E78E0">
        <w:rPr>
          <w:b/>
        </w:rPr>
        <w:t>Finding 1b – Placement</w:t>
      </w:r>
      <w:r w:rsidRPr="006E78E0">
        <w:t>:</w:t>
      </w:r>
      <w:r w:rsidRPr="006E78E0">
        <w:rPr>
          <w:b/>
        </w:rPr>
        <w:tab/>
      </w:r>
      <w:r w:rsidRPr="006E78E0">
        <w:rPr>
          <w:b/>
        </w:rPr>
        <w:br/>
      </w:r>
      <w:r w:rsidRPr="006E78E0">
        <w:rPr>
          <w:i/>
        </w:rPr>
        <w:t xml:space="preserve">Students with disabilities in Massachusetts are educated in classrooms with their typically developing peers at rates that are the same as or higher than rates for students across the country.  </w:t>
      </w:r>
    </w:p>
    <w:p w:rsidR="008D2AB8" w:rsidRPr="006E78E0" w:rsidRDefault="008D2AB8" w:rsidP="008D2AB8"/>
    <w:p w:rsidR="008D2AB8" w:rsidRDefault="008D2AB8" w:rsidP="008D2AB8">
      <w:r w:rsidRPr="006E78E0">
        <w:t xml:space="preserve">The majority of students with disabilities in Massachusetts (approximately 63 out of every hundred students with disabilities) spend at least 80% of their school day in classrooms with their typically developing peers. This compares favorably with figures for the rest of the country, where approximately 58 out of every hundred students with disabilities are included to this extent. This relationship between </w:t>
      </w:r>
      <w:r w:rsidRPr="006E78E0">
        <w:lastRenderedPageBreak/>
        <w:t xml:space="preserve">rates of inclusion in Massachusetts and the rest of the country is relatively consistent across disability categories. </w:t>
      </w:r>
    </w:p>
    <w:p w:rsidR="002E334F" w:rsidRPr="006E78E0" w:rsidRDefault="002E334F" w:rsidP="008D2AB8"/>
    <w:p w:rsidR="008D2AB8" w:rsidRPr="006E78E0" w:rsidRDefault="008D2AB8" w:rsidP="008D2AB8">
      <w:r w:rsidRPr="006E78E0">
        <w:t xml:space="preserve">We see this as a positive finding. Numerous studies of students across the country indicate that students with disabilities who spend more time with their typically developing peers outperform similar students who are educated in less integrated settings on measures of numerous social, academic and post-school </w:t>
      </w:r>
      <w:proofErr w:type="gramStart"/>
      <w:r w:rsidRPr="006E78E0">
        <w:t>success</w:t>
      </w:r>
      <w:proofErr w:type="gramEnd"/>
      <w:r w:rsidRPr="006E78E0">
        <w:t xml:space="preserve"> (Wagner et al, 2003; Hehir, 2005).  Later in this report, we will discuss the relationship between inclusion with typically developing peers and academic performance for Massachusetts students with disabilities</w:t>
      </w:r>
      <w:r w:rsidR="00E3025F">
        <w:t xml:space="preserve"> specifically. </w:t>
      </w:r>
    </w:p>
    <w:p w:rsidR="008D2AB8" w:rsidRPr="006E78E0" w:rsidRDefault="008D2AB8" w:rsidP="008D2AB8"/>
    <w:p w:rsidR="008D2AB8" w:rsidRPr="006E78E0" w:rsidRDefault="008D2AB8" w:rsidP="008D2AB8">
      <w:pPr>
        <w:ind w:left="1440" w:hanging="1440"/>
      </w:pPr>
      <w:r w:rsidRPr="006E78E0">
        <w:rPr>
          <w:b/>
        </w:rPr>
        <w:t>Finding 1c – Performance:</w:t>
      </w:r>
      <w:r w:rsidRPr="006E78E0">
        <w:tab/>
      </w:r>
      <w:r w:rsidRPr="006E78E0">
        <w:br/>
      </w:r>
      <w:r w:rsidRPr="006E78E0">
        <w:rPr>
          <w:i/>
        </w:rPr>
        <w:t>Massachusetts students with disabilities, on average, score higher than students with disabilities across the country on the National Assessment of Educational Progress (NAEP).</w:t>
      </w:r>
    </w:p>
    <w:p w:rsidR="008D2AB8" w:rsidRPr="006E78E0" w:rsidRDefault="008D2AB8" w:rsidP="008D2AB8"/>
    <w:p w:rsidR="008D2AB8" w:rsidRPr="006E78E0" w:rsidRDefault="008D2AB8" w:rsidP="008D2AB8">
      <w:r w:rsidRPr="006E78E0">
        <w:t xml:space="preserve">In 2009, students with disabilities in Massachusetts scored at or near the top of the national distribution on the NAEP English and Mathematics tests. This finding was </w:t>
      </w:r>
      <w:r w:rsidR="00E3025F">
        <w:t xml:space="preserve">generally </w:t>
      </w:r>
      <w:r w:rsidRPr="006E78E0">
        <w:t xml:space="preserve">consistent across grade levels. </w:t>
      </w:r>
    </w:p>
    <w:p w:rsidR="008D2AB8" w:rsidRPr="006E78E0" w:rsidRDefault="008D2AB8" w:rsidP="008D2AB8"/>
    <w:p w:rsidR="008D2AB8" w:rsidRPr="006E78E0" w:rsidRDefault="008D2AB8" w:rsidP="008D2AB8">
      <w:r w:rsidRPr="006E78E0">
        <w:t>While this is laudable, we urge the reader to interpret this finding with caution. As we will discuss below, we have reason to believe that the phenomenon of higher rates of disability identification in Massachusetts creates a pool of students with disabilities whose challeng</w:t>
      </w:r>
      <w:r w:rsidR="000812B4">
        <w:t>es are potentially less severe</w:t>
      </w:r>
      <w:r w:rsidR="006B700E">
        <w:t xml:space="preserve"> than in other states</w:t>
      </w:r>
      <w:r w:rsidR="000812B4">
        <w:t xml:space="preserve">.  These students therefore are </w:t>
      </w:r>
      <w:r w:rsidRPr="006E78E0">
        <w:t>more likely to perform well on average on measures of academic achievement than students with disabilities in states that identify a relatively smaller percentage of students as eligible for special education and related services.</w:t>
      </w:r>
    </w:p>
    <w:p w:rsidR="008D2AB8" w:rsidRPr="006E78E0" w:rsidRDefault="008D2AB8" w:rsidP="008D2AB8"/>
    <w:p w:rsidR="008D2AB8" w:rsidRPr="006E78E0" w:rsidRDefault="008D2AB8" w:rsidP="008D2AB8">
      <w:pPr>
        <w:outlineLvl w:val="0"/>
        <w:rPr>
          <w:b/>
        </w:rPr>
      </w:pPr>
      <w:r w:rsidRPr="006E78E0">
        <w:rPr>
          <w:b/>
        </w:rPr>
        <w:t xml:space="preserve">Question 1:  Summary </w:t>
      </w:r>
    </w:p>
    <w:p w:rsidR="008D2AB8" w:rsidRPr="006E78E0" w:rsidRDefault="008D2AB8" w:rsidP="008D2AB8">
      <w:pPr>
        <w:ind w:left="360" w:hanging="360"/>
      </w:pPr>
    </w:p>
    <w:p w:rsidR="008D2AB8" w:rsidRPr="006E78E0" w:rsidRDefault="006B700E" w:rsidP="008D2AB8">
      <w:pPr>
        <w:pStyle w:val="ColorfulList-Accent11"/>
        <w:numPr>
          <w:ilvl w:val="0"/>
          <w:numId w:val="2"/>
        </w:numPr>
      </w:pPr>
      <w:r w:rsidRPr="006E78E0">
        <w:t>Massachusetts’s</w:t>
      </w:r>
      <w:r w:rsidR="008D2AB8" w:rsidRPr="006E78E0">
        <w:t xml:space="preserve"> students are identified as eligible for special education in the categories of </w:t>
      </w:r>
      <w:r w:rsidR="008D2AB8" w:rsidRPr="006B700E">
        <w:t>Vision, Hard of Hearing/Deaf-Blind</w:t>
      </w:r>
      <w:r w:rsidR="000879AE">
        <w:t xml:space="preserve"> and</w:t>
      </w:r>
      <w:r w:rsidR="008D2AB8" w:rsidRPr="006B700E">
        <w:t xml:space="preserve"> Physical Disabilities</w:t>
      </w:r>
      <w:r w:rsidR="008D2AB8" w:rsidRPr="006E78E0">
        <w:rPr>
          <w:i/>
        </w:rPr>
        <w:t xml:space="preserve"> </w:t>
      </w:r>
      <w:r w:rsidR="008D2AB8" w:rsidRPr="006E78E0">
        <w:t xml:space="preserve">at rates similar to students across the country. </w:t>
      </w:r>
    </w:p>
    <w:p w:rsidR="008D2AB8" w:rsidRPr="006E78E0" w:rsidRDefault="008D2AB8" w:rsidP="008D2AB8">
      <w:pPr>
        <w:pStyle w:val="ColorfulList-Accent11"/>
      </w:pPr>
    </w:p>
    <w:p w:rsidR="008D2AB8" w:rsidRPr="006E78E0" w:rsidRDefault="006B700E" w:rsidP="008D2AB8">
      <w:pPr>
        <w:pStyle w:val="ColorfulList-Accent11"/>
        <w:numPr>
          <w:ilvl w:val="0"/>
          <w:numId w:val="2"/>
        </w:numPr>
      </w:pPr>
      <w:r w:rsidRPr="006E78E0">
        <w:t>Massachusetts’s</w:t>
      </w:r>
      <w:r w:rsidR="008D2AB8" w:rsidRPr="006E78E0">
        <w:t xml:space="preserve"> students are identified as eligible for special education in the categories of </w:t>
      </w:r>
      <w:r w:rsidR="008D2AB8" w:rsidRPr="009A4D5A">
        <w:t>Intellectual Disabilities, Autism, Emotional Disturbance, Multiple Disabilities</w:t>
      </w:r>
      <w:r w:rsidR="000879AE">
        <w:t xml:space="preserve"> and</w:t>
      </w:r>
      <w:r w:rsidR="008D2AB8" w:rsidRPr="009A4D5A">
        <w:t xml:space="preserve"> Developmental Delay</w:t>
      </w:r>
      <w:r w:rsidR="008D2AB8" w:rsidRPr="006E78E0">
        <w:t xml:space="preserve"> at rates higher than students across the country, but we believe, based on findings from other research, that these higher rates may represent a more accurate reflection of true population incidence. </w:t>
      </w:r>
    </w:p>
    <w:p w:rsidR="008D2AB8" w:rsidRPr="006E78E0" w:rsidRDefault="008D2AB8" w:rsidP="008D2AB8"/>
    <w:p w:rsidR="008D2AB8" w:rsidRPr="006E78E0" w:rsidRDefault="006B700E" w:rsidP="008D2AB8">
      <w:pPr>
        <w:pStyle w:val="ColorfulList-Accent11"/>
        <w:numPr>
          <w:ilvl w:val="0"/>
          <w:numId w:val="2"/>
        </w:numPr>
      </w:pPr>
      <w:r w:rsidRPr="006E78E0">
        <w:t>Massachusetts’s</w:t>
      </w:r>
      <w:r w:rsidR="008D2AB8" w:rsidRPr="006E78E0">
        <w:t xml:space="preserve"> students may be inappropriately overrepresented in the disability categories of </w:t>
      </w:r>
      <w:r w:rsidR="008D2AB8" w:rsidRPr="009A4D5A">
        <w:t>Specific Lear</w:t>
      </w:r>
      <w:r w:rsidR="00A13057">
        <w:t xml:space="preserve">ning Disability, Communication and </w:t>
      </w:r>
      <w:r w:rsidR="008D2AB8" w:rsidRPr="009A4D5A">
        <w:t>Other Health Impairment.</w:t>
      </w:r>
    </w:p>
    <w:p w:rsidR="008D2AB8" w:rsidRPr="006E78E0" w:rsidRDefault="008D2AB8" w:rsidP="008D2AB8"/>
    <w:p w:rsidR="008D2AB8" w:rsidRPr="006E78E0" w:rsidRDefault="006B700E" w:rsidP="008D2AB8">
      <w:pPr>
        <w:pStyle w:val="ColorfulList-Accent11"/>
        <w:numPr>
          <w:ilvl w:val="0"/>
          <w:numId w:val="2"/>
        </w:numPr>
      </w:pPr>
      <w:r w:rsidRPr="006E78E0">
        <w:t>Massachusetts’s</w:t>
      </w:r>
      <w:r w:rsidR="008D2AB8" w:rsidRPr="006E78E0">
        <w:t xml:space="preserve"> students with disabilities are educated in classrooms with their typically developing peers at </w:t>
      </w:r>
      <w:r w:rsidR="00A13057">
        <w:t xml:space="preserve">slightly higher </w:t>
      </w:r>
      <w:r w:rsidR="008D2AB8" w:rsidRPr="006E78E0">
        <w:t xml:space="preserve">rates </w:t>
      </w:r>
      <w:r w:rsidR="00A13057">
        <w:t>compared to</w:t>
      </w:r>
      <w:r w:rsidR="008D2AB8" w:rsidRPr="006E78E0">
        <w:t xml:space="preserve"> students with disabilities across the country. </w:t>
      </w:r>
    </w:p>
    <w:p w:rsidR="008D2AB8" w:rsidRPr="006E78E0" w:rsidRDefault="008D2AB8" w:rsidP="008D2AB8"/>
    <w:p w:rsidR="008D2AB8" w:rsidRPr="006E78E0" w:rsidRDefault="006B700E" w:rsidP="008D2AB8">
      <w:pPr>
        <w:pStyle w:val="ColorfulList-Accent11"/>
        <w:numPr>
          <w:ilvl w:val="0"/>
          <w:numId w:val="2"/>
        </w:numPr>
      </w:pPr>
      <w:r w:rsidRPr="006E78E0">
        <w:t>Massachusetts’s</w:t>
      </w:r>
      <w:r w:rsidR="008D2AB8" w:rsidRPr="006E78E0">
        <w:t xml:space="preserve"> students with disabilities, on average, outperform students with disabilities across the country on the National Assessment of Educational Progress (NAEP).</w:t>
      </w:r>
    </w:p>
    <w:p w:rsidR="008D2AB8" w:rsidRPr="006E78E0" w:rsidRDefault="008D2AB8" w:rsidP="008D2AB8">
      <w:pPr>
        <w:pStyle w:val="ColorfulList-Accent11"/>
        <w:ind w:left="360"/>
      </w:pPr>
    </w:p>
    <w:p w:rsidR="008D2AB8" w:rsidRPr="006E78E0" w:rsidRDefault="008D2AB8" w:rsidP="008D2AB8">
      <w:pPr>
        <w:rPr>
          <w:i/>
        </w:rPr>
      </w:pPr>
      <w:r>
        <w:rPr>
          <w:i/>
        </w:rPr>
        <w:br w:type="page"/>
      </w:r>
      <w:r w:rsidRPr="00084668">
        <w:rPr>
          <w:i/>
          <w:sz w:val="40"/>
          <w:szCs w:val="40"/>
        </w:rPr>
        <w:lastRenderedPageBreak/>
        <w:t>Part 2:</w:t>
      </w:r>
      <w:r w:rsidRPr="006E78E0">
        <w:rPr>
          <w:i/>
        </w:rPr>
        <w:t xml:space="preserve"> Detailed findings regarding rates of special education identification in the </w:t>
      </w:r>
      <w:r w:rsidR="00A32806">
        <w:rPr>
          <w:i/>
        </w:rPr>
        <w:t>C</w:t>
      </w:r>
      <w:r w:rsidR="00AB739C">
        <w:rPr>
          <w:i/>
        </w:rPr>
        <w:t>ommonwealth</w:t>
      </w:r>
      <w:r w:rsidR="00AB739C" w:rsidRPr="006E78E0">
        <w:rPr>
          <w:i/>
        </w:rPr>
        <w:t xml:space="preserve"> </w:t>
      </w:r>
      <w:r w:rsidRPr="006E78E0">
        <w:rPr>
          <w:i/>
        </w:rPr>
        <w:t>of Massachusetts</w:t>
      </w:r>
    </w:p>
    <w:p w:rsidR="008D2AB8" w:rsidRPr="006E78E0" w:rsidRDefault="008D2AB8" w:rsidP="008D2AB8">
      <w:pPr>
        <w:rPr>
          <w:b/>
        </w:rPr>
      </w:pPr>
    </w:p>
    <w:p w:rsidR="008D2AB8" w:rsidRPr="006E78E0" w:rsidRDefault="008D2AB8" w:rsidP="008D2AB8">
      <w:pPr>
        <w:rPr>
          <w:b/>
        </w:rPr>
      </w:pPr>
      <w:r w:rsidRPr="006E78E0">
        <w:rPr>
          <w:b/>
        </w:rPr>
        <w:t xml:space="preserve">Question 2:  </w:t>
      </w:r>
      <w:r w:rsidRPr="006E78E0">
        <w:t>What are</w:t>
      </w:r>
      <w:r w:rsidR="00CF12E3">
        <w:t xml:space="preserve"> the</w:t>
      </w:r>
      <w:r w:rsidRPr="006E78E0">
        <w:t xml:space="preserve"> characteristics of school districts in Massachusetts that identify a relatively high percentage of students as eligible for special education</w:t>
      </w:r>
      <w:r w:rsidR="000879AE">
        <w:t xml:space="preserve"> and</w:t>
      </w:r>
      <w:r w:rsidRPr="006E78E0">
        <w:t xml:space="preserve"> how do these characteristics compare to Massachusetts school districts that identify a moderate or relatively low percentage of students as eligible for special education?</w:t>
      </w:r>
    </w:p>
    <w:p w:rsidR="008D2AB8" w:rsidRPr="006E78E0" w:rsidRDefault="008D2AB8" w:rsidP="008D2AB8">
      <w:pPr>
        <w:rPr>
          <w:b/>
        </w:rPr>
      </w:pPr>
    </w:p>
    <w:p w:rsidR="008D2AB8" w:rsidRPr="006E78E0" w:rsidRDefault="008D2AB8" w:rsidP="008D2AB8">
      <w:pPr>
        <w:widowControl w:val="0"/>
        <w:tabs>
          <w:tab w:val="left" w:pos="0"/>
          <w:tab w:val="left" w:pos="56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cs="Cambria"/>
          <w:bCs/>
          <w:i/>
          <w:color w:val="000000"/>
        </w:rPr>
      </w:pPr>
      <w:r w:rsidRPr="006E78E0">
        <w:rPr>
          <w:rFonts w:cs="Cambria"/>
          <w:b/>
          <w:bCs/>
          <w:color w:val="000000"/>
        </w:rPr>
        <w:t>Finding 2a – Variation in Identification Rates Within and Between Districts</w:t>
      </w:r>
      <w:proofErr w:type="gramStart"/>
      <w:r w:rsidRPr="006E78E0">
        <w:rPr>
          <w:rFonts w:cs="Cambria"/>
          <w:b/>
          <w:bCs/>
          <w:color w:val="000000"/>
        </w:rPr>
        <w:t>:</w:t>
      </w:r>
      <w:proofErr w:type="gramEnd"/>
      <w:r w:rsidRPr="006E78E0">
        <w:rPr>
          <w:rFonts w:cs="Cambria"/>
          <w:b/>
          <w:bCs/>
          <w:color w:val="000000"/>
        </w:rPr>
        <w:br/>
      </w:r>
      <w:r w:rsidRPr="006E78E0">
        <w:rPr>
          <w:rFonts w:cs="Cambria"/>
          <w:bCs/>
          <w:i/>
          <w:color w:val="000000"/>
        </w:rPr>
        <w:t xml:space="preserve">Rates of special education identification vary substantially within and between Massachusetts school districts. </w:t>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2160"/>
        <w:rPr>
          <w:rFonts w:cs="Cambria"/>
          <w:b/>
          <w:bCs/>
          <w:color w:val="000000"/>
        </w:rPr>
      </w:pPr>
    </w:p>
    <w:p w:rsidR="008D2AB8"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6E78E0">
        <w:rPr>
          <w:rFonts w:cs="Cambria"/>
          <w:color w:val="000000"/>
        </w:rPr>
        <w:t xml:space="preserve">Rates of special education identification vary substantially across </w:t>
      </w:r>
      <w:r w:rsidR="004C02D4" w:rsidRPr="006E78E0">
        <w:rPr>
          <w:rFonts w:cs="Cambria"/>
          <w:color w:val="000000"/>
        </w:rPr>
        <w:t>Massachusetts’s</w:t>
      </w:r>
      <w:r w:rsidRPr="006E78E0">
        <w:rPr>
          <w:rFonts w:cs="Cambria"/>
          <w:color w:val="000000"/>
        </w:rPr>
        <w:t xml:space="preserve"> school districts</w:t>
      </w:r>
      <w:r w:rsidR="004C02D4">
        <w:rPr>
          <w:rFonts w:cs="Cambria"/>
          <w:color w:val="000000"/>
        </w:rPr>
        <w:t>,</w:t>
      </w:r>
      <w:r w:rsidRPr="00375639">
        <w:rPr>
          <w:rStyle w:val="FootnoteReference"/>
          <w:rFonts w:cs="Cambria"/>
          <w:color w:val="000000"/>
        </w:rPr>
        <w:footnoteReference w:id="5"/>
      </w:r>
      <w:r w:rsidRPr="00375639">
        <w:rPr>
          <w:rFonts w:cs="Cambria"/>
          <w:color w:val="000000"/>
        </w:rPr>
        <w:t xml:space="preserve"> ranging from a low of approximately 9% to a high of 29% of a district’s students identified as eligible f</w:t>
      </w:r>
      <w:r w:rsidRPr="006E78E0">
        <w:rPr>
          <w:rFonts w:cs="Cambria"/>
          <w:color w:val="000000"/>
        </w:rPr>
        <w:t xml:space="preserve">or special education and related services. While this does not change the overall finding that the state demonstrates a higher rate of students with disabilities than most of the rest of the country, it does indicate that this higher rate is not evident in </w:t>
      </w:r>
      <w:r w:rsidRPr="00D35969">
        <w:rPr>
          <w:rFonts w:cs="Cambria"/>
          <w:color w:val="000000"/>
        </w:rPr>
        <w:t>all districts.</w:t>
      </w:r>
      <w:r w:rsidR="00047DE8">
        <w:rPr>
          <w:rFonts w:cs="Cambria"/>
          <w:color w:val="000000"/>
        </w:rPr>
        <w:t xml:space="preserve"> The map below displays the variation </w:t>
      </w:r>
      <w:r w:rsidR="00E57A56">
        <w:rPr>
          <w:rFonts w:cs="Cambria"/>
          <w:color w:val="000000"/>
        </w:rPr>
        <w:t>in rates</w:t>
      </w:r>
      <w:r w:rsidR="00047DE8">
        <w:rPr>
          <w:rFonts w:cs="Cambria"/>
          <w:color w:val="000000"/>
        </w:rPr>
        <w:t xml:space="preserve"> of identification of students with high incidence disabilities for school districts across the state. </w:t>
      </w:r>
    </w:p>
    <w:p w:rsidR="00047DE8" w:rsidRDefault="00047DE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p>
    <w:p w:rsidR="00047DE8" w:rsidRPr="00047DE8" w:rsidRDefault="00047DE8" w:rsidP="00047DE8">
      <w:pPr>
        <w:spacing w:after="200" w:line="276" w:lineRule="auto"/>
        <w:ind w:left="360"/>
        <w:rPr>
          <w:sz w:val="16"/>
          <w:szCs w:val="16"/>
        </w:rPr>
      </w:pPr>
      <w:r w:rsidRPr="0003402C">
        <w:rPr>
          <w:i/>
          <w:sz w:val="21"/>
          <w:szCs w:val="21"/>
        </w:rPr>
        <w:t>Figure 2:</w:t>
      </w:r>
      <w:r>
        <w:rPr>
          <w:sz w:val="21"/>
          <w:szCs w:val="21"/>
        </w:rPr>
        <w:t xml:space="preserve"> </w:t>
      </w:r>
      <w:r w:rsidRPr="0003402C">
        <w:rPr>
          <w:sz w:val="21"/>
          <w:szCs w:val="21"/>
        </w:rPr>
        <w:t>Displaying variation in the percentage of students in a district identified with high incidence disabilities (Specific Learning Disability, Communication Impairment, or Other Health Impairment).</w:t>
      </w:r>
      <w:r>
        <w:rPr>
          <w:sz w:val="21"/>
          <w:szCs w:val="21"/>
        </w:rPr>
        <w:t xml:space="preserve">  </w:t>
      </w:r>
      <w:r w:rsidRPr="0003402C">
        <w:rPr>
          <w:sz w:val="21"/>
          <w:szCs w:val="21"/>
        </w:rPr>
        <w:t>n=275 school districts</w:t>
      </w:r>
      <w:r>
        <w:rPr>
          <w:sz w:val="21"/>
          <w:szCs w:val="21"/>
        </w:rPr>
        <w:t>.</w:t>
      </w:r>
      <w:r>
        <w:rPr>
          <w:rStyle w:val="FootnoteReference"/>
          <w:sz w:val="21"/>
          <w:szCs w:val="21"/>
        </w:rPr>
        <w:footnoteReference w:id="6"/>
      </w:r>
      <w:r w:rsidRPr="0003402C">
        <w:rPr>
          <w:sz w:val="21"/>
          <w:szCs w:val="21"/>
        </w:rPr>
        <w:t xml:space="preserve">  </w:t>
      </w:r>
    </w:p>
    <w:p w:rsidR="00016214" w:rsidRPr="006E78E0" w:rsidRDefault="004B42C3" w:rsidP="00047D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ambria"/>
          <w:color w:val="000000"/>
        </w:rPr>
      </w:pPr>
      <w:r>
        <w:rPr>
          <w:rFonts w:cs="Cambria"/>
          <w:noProof/>
          <w:color w:val="000000"/>
        </w:rPr>
        <w:drawing>
          <wp:inline distT="0" distB="0" distL="0" distR="0">
            <wp:extent cx="4324350" cy="2743200"/>
            <wp:effectExtent l="19050" t="0" r="0" b="0"/>
            <wp:docPr id="3" name="Picture 3" descr="Figure 2: Map of Massachusetts school districts displaying variation in special education identification rat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2: Map of Massachusetts school districts displaying variation in special education identification rates.&#10;"/>
                    <pic:cNvPicPr>
                      <a:picLocks noChangeAspect="1" noChangeArrowheads="1"/>
                    </pic:cNvPicPr>
                  </pic:nvPicPr>
                  <pic:blipFill>
                    <a:blip r:embed="rId12"/>
                    <a:srcRect/>
                    <a:stretch>
                      <a:fillRect/>
                    </a:stretch>
                  </pic:blipFill>
                  <pic:spPr bwMode="auto">
                    <a:xfrm>
                      <a:off x="0" y="0"/>
                      <a:ext cx="4324350" cy="2743200"/>
                    </a:xfrm>
                    <a:prstGeom prst="rect">
                      <a:avLst/>
                    </a:prstGeom>
                    <a:noFill/>
                    <a:ln w="9525">
                      <a:noFill/>
                      <a:miter lim="800000"/>
                      <a:headEnd/>
                      <a:tailEnd/>
                    </a:ln>
                  </pic:spPr>
                </pic:pic>
              </a:graphicData>
            </a:graphic>
          </wp:inline>
        </w:drawing>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6E78E0">
        <w:rPr>
          <w:rFonts w:cs="Cambria"/>
          <w:color w:val="000000"/>
        </w:rPr>
        <w:t xml:space="preserve">The variability in identification between specific disability categories from district to district is also notable. For example, we found one district with the highest rates of identification for </w:t>
      </w:r>
      <w:r w:rsidR="009A4D5A" w:rsidRPr="009A4D5A">
        <w:rPr>
          <w:rFonts w:cs="Cambria"/>
          <w:color w:val="000000"/>
        </w:rPr>
        <w:t xml:space="preserve">Specific Learning Disability </w:t>
      </w:r>
      <w:r w:rsidRPr="006E78E0">
        <w:rPr>
          <w:rFonts w:cs="Cambria"/>
          <w:color w:val="000000"/>
        </w:rPr>
        <w:t xml:space="preserve">in the </w:t>
      </w:r>
      <w:r w:rsidR="00C821B8">
        <w:rPr>
          <w:rFonts w:cs="Cambria"/>
          <w:color w:val="000000"/>
        </w:rPr>
        <w:t>c</w:t>
      </w:r>
      <w:r w:rsidR="00C821B8" w:rsidRPr="006E78E0">
        <w:rPr>
          <w:rFonts w:cs="Cambria"/>
          <w:color w:val="000000"/>
        </w:rPr>
        <w:t xml:space="preserve">ommonwealth </w:t>
      </w:r>
      <w:r w:rsidRPr="006E78E0">
        <w:rPr>
          <w:rFonts w:cs="Cambria"/>
          <w:color w:val="000000"/>
        </w:rPr>
        <w:t>(17.7%)</w:t>
      </w:r>
      <w:r w:rsidR="000879AE">
        <w:rPr>
          <w:rFonts w:cs="Cambria"/>
          <w:color w:val="000000"/>
        </w:rPr>
        <w:t xml:space="preserve"> and</w:t>
      </w:r>
      <w:r w:rsidRPr="006E78E0">
        <w:rPr>
          <w:rFonts w:cs="Cambria"/>
          <w:color w:val="000000"/>
        </w:rPr>
        <w:t xml:space="preserve"> the lowest rates of identification for the </w:t>
      </w:r>
      <w:r w:rsidR="009A4D5A">
        <w:rPr>
          <w:rFonts w:cs="Cambria"/>
          <w:color w:val="000000"/>
        </w:rPr>
        <w:t>C</w:t>
      </w:r>
      <w:r w:rsidRPr="006E78E0">
        <w:rPr>
          <w:rFonts w:cs="Cambria"/>
          <w:color w:val="000000"/>
        </w:rPr>
        <w:t xml:space="preserve">ommunication category (0%). This same district, meanwhile, had an average identification rate for the </w:t>
      </w:r>
      <w:r w:rsidR="009A4D5A">
        <w:rPr>
          <w:rFonts w:cs="Cambria"/>
          <w:color w:val="000000"/>
        </w:rPr>
        <w:t>H</w:t>
      </w:r>
      <w:r w:rsidRPr="006E78E0">
        <w:rPr>
          <w:rFonts w:cs="Cambria"/>
          <w:color w:val="000000"/>
        </w:rPr>
        <w:t xml:space="preserve">ealth category (&lt;1%). In another district, we found the </w:t>
      </w:r>
      <w:r w:rsidR="00C821B8">
        <w:rPr>
          <w:rFonts w:cs="Cambria"/>
          <w:color w:val="000000"/>
        </w:rPr>
        <w:t xml:space="preserve">commonwealth’s </w:t>
      </w:r>
      <w:r w:rsidRPr="006E78E0">
        <w:rPr>
          <w:rFonts w:cs="Cambria"/>
          <w:color w:val="000000"/>
        </w:rPr>
        <w:t xml:space="preserve">lowest rate of identification for </w:t>
      </w:r>
      <w:r w:rsidR="009A4D5A" w:rsidRPr="009A4D5A">
        <w:rPr>
          <w:rFonts w:cs="Cambria"/>
          <w:color w:val="000000"/>
        </w:rPr>
        <w:t>S</w:t>
      </w:r>
      <w:r w:rsidRPr="009A4D5A">
        <w:rPr>
          <w:rFonts w:cs="Cambria"/>
          <w:color w:val="000000"/>
        </w:rPr>
        <w:t xml:space="preserve">pecific </w:t>
      </w:r>
      <w:r w:rsidR="009A4D5A" w:rsidRPr="009A4D5A">
        <w:rPr>
          <w:rFonts w:cs="Cambria"/>
          <w:color w:val="000000"/>
        </w:rPr>
        <w:t>L</w:t>
      </w:r>
      <w:r w:rsidRPr="009A4D5A">
        <w:rPr>
          <w:rFonts w:cs="Cambria"/>
          <w:color w:val="000000"/>
        </w:rPr>
        <w:t xml:space="preserve">earning </w:t>
      </w:r>
      <w:r w:rsidR="009A4D5A" w:rsidRPr="009A4D5A">
        <w:rPr>
          <w:rFonts w:cs="Cambria"/>
          <w:color w:val="000000"/>
        </w:rPr>
        <w:t>D</w:t>
      </w:r>
      <w:r w:rsidRPr="009A4D5A">
        <w:rPr>
          <w:rFonts w:cs="Cambria"/>
          <w:color w:val="000000"/>
        </w:rPr>
        <w:t xml:space="preserve">isabilities </w:t>
      </w:r>
      <w:r w:rsidRPr="006E78E0">
        <w:rPr>
          <w:rFonts w:cs="Cambria"/>
          <w:color w:val="000000"/>
        </w:rPr>
        <w:t xml:space="preserve">(&lt;1%), one of the highest rates of identification in the </w:t>
      </w:r>
      <w:r w:rsidR="009A4D5A">
        <w:rPr>
          <w:rFonts w:cs="Cambria"/>
          <w:color w:val="000000"/>
        </w:rPr>
        <w:t>C</w:t>
      </w:r>
      <w:r w:rsidRPr="006E78E0">
        <w:rPr>
          <w:rFonts w:cs="Cambria"/>
          <w:color w:val="000000"/>
        </w:rPr>
        <w:t>ommunication category (7.4%)</w:t>
      </w:r>
      <w:r w:rsidR="000879AE">
        <w:rPr>
          <w:rFonts w:cs="Cambria"/>
          <w:color w:val="000000"/>
        </w:rPr>
        <w:t xml:space="preserve"> and</w:t>
      </w:r>
      <w:r w:rsidRPr="006E78E0">
        <w:rPr>
          <w:rFonts w:cs="Cambria"/>
          <w:color w:val="000000"/>
        </w:rPr>
        <w:t xml:space="preserve"> an above average rate of identification in the Health category (1.7%). While these districts represent extreme examples, this high degree of variation in the use of these three disability categories was evident across the commonwealth. </w:t>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6E78E0">
        <w:rPr>
          <w:rFonts w:cs="Cambria"/>
          <w:color w:val="000000"/>
        </w:rPr>
        <w:t>Through focus groups with advocates and state special education officials, we learned that local school districts are given substantial flexibility in their interpretation of these specific disability categories. In some cases, this appears to result in children with the same underlying issues receiving different disability labels in different school districts. This represents a potential impediment to the effective delivery of services to children and also presents challenges for our analyses. Based on what appears to be the relative diagnostic subjectivity for certain disabi</w:t>
      </w:r>
      <w:r w:rsidR="004C02D4">
        <w:rPr>
          <w:rFonts w:cs="Cambria"/>
          <w:color w:val="000000"/>
        </w:rPr>
        <w:t>lity categories across the C</w:t>
      </w:r>
      <w:r w:rsidRPr="006E78E0">
        <w:rPr>
          <w:rFonts w:cs="Cambria"/>
          <w:color w:val="000000"/>
        </w:rPr>
        <w:t xml:space="preserve">ommonwealth, we combined </w:t>
      </w:r>
      <w:r>
        <w:rPr>
          <w:rFonts w:cs="Cambria"/>
          <w:color w:val="000000"/>
        </w:rPr>
        <w:t xml:space="preserve">– as described in Part 1 of this report – </w:t>
      </w:r>
      <w:r w:rsidRPr="006E78E0">
        <w:rPr>
          <w:rFonts w:cs="Cambria"/>
          <w:color w:val="000000"/>
        </w:rPr>
        <w:t xml:space="preserve">children in the </w:t>
      </w:r>
      <w:r w:rsidRPr="009A4D5A">
        <w:rPr>
          <w:rFonts w:cs="Cambria"/>
          <w:color w:val="000000"/>
        </w:rPr>
        <w:t>Specific Learning</w:t>
      </w:r>
      <w:r w:rsidR="009A4D5A" w:rsidRPr="009A4D5A">
        <w:rPr>
          <w:rFonts w:cs="Cambria"/>
          <w:color w:val="000000"/>
        </w:rPr>
        <w:t xml:space="preserve"> Disability</w:t>
      </w:r>
      <w:r w:rsidRPr="009A4D5A">
        <w:rPr>
          <w:rFonts w:cs="Cambria"/>
          <w:color w:val="000000"/>
        </w:rPr>
        <w:t>, Health</w:t>
      </w:r>
      <w:r w:rsidR="000879AE">
        <w:rPr>
          <w:rFonts w:cs="Cambria"/>
          <w:color w:val="000000"/>
        </w:rPr>
        <w:t xml:space="preserve"> and</w:t>
      </w:r>
      <w:r w:rsidRPr="009A4D5A">
        <w:rPr>
          <w:rFonts w:cs="Cambria"/>
          <w:color w:val="000000"/>
        </w:rPr>
        <w:t xml:space="preserve"> Communication</w:t>
      </w:r>
      <w:r w:rsidRPr="006E78E0">
        <w:rPr>
          <w:rFonts w:cs="Cambria"/>
          <w:i/>
          <w:color w:val="000000"/>
        </w:rPr>
        <w:t xml:space="preserve"> </w:t>
      </w:r>
      <w:r w:rsidRPr="006E78E0">
        <w:rPr>
          <w:rFonts w:cs="Cambria"/>
          <w:color w:val="000000"/>
        </w:rPr>
        <w:t xml:space="preserve">disability categories into one </w:t>
      </w:r>
      <w:r w:rsidRPr="00022B00">
        <w:rPr>
          <w:rFonts w:cs="Cambria"/>
          <w:i/>
          <w:color w:val="000000"/>
        </w:rPr>
        <w:t>‘High Incidence’</w:t>
      </w:r>
      <w:r w:rsidRPr="006E78E0">
        <w:rPr>
          <w:rFonts w:cs="Cambria"/>
          <w:color w:val="000000"/>
        </w:rPr>
        <w:t xml:space="preserve"> </w:t>
      </w:r>
      <w:r>
        <w:rPr>
          <w:rFonts w:cs="Cambria"/>
          <w:color w:val="000000"/>
        </w:rPr>
        <w:t xml:space="preserve">disability </w:t>
      </w:r>
      <w:r w:rsidRPr="006E78E0">
        <w:rPr>
          <w:rFonts w:cs="Cambria"/>
          <w:color w:val="000000"/>
        </w:rPr>
        <w:t xml:space="preserve">category in </w:t>
      </w:r>
      <w:r w:rsidR="004C02D4">
        <w:rPr>
          <w:rFonts w:cs="Cambria"/>
          <w:color w:val="000000"/>
        </w:rPr>
        <w:t>some</w:t>
      </w:r>
      <w:r w:rsidRPr="006E78E0">
        <w:rPr>
          <w:rFonts w:cs="Cambria"/>
          <w:color w:val="000000"/>
        </w:rPr>
        <w:t xml:space="preserve"> of the analyses reported below. </w:t>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bCs/>
        </w:rPr>
      </w:pPr>
      <w:r w:rsidRPr="006E78E0">
        <w:rPr>
          <w:b/>
          <w:bCs/>
        </w:rPr>
        <w:t xml:space="preserve">Finding 2b – </w:t>
      </w:r>
      <w:r w:rsidR="00483553">
        <w:rPr>
          <w:b/>
          <w:bCs/>
        </w:rPr>
        <w:t xml:space="preserve">Low-Income </w:t>
      </w:r>
      <w:r w:rsidRPr="006E78E0">
        <w:rPr>
          <w:b/>
          <w:bCs/>
        </w:rPr>
        <w:t>Students and Special Education</w:t>
      </w:r>
      <w:proofErr w:type="gramStart"/>
      <w:r w:rsidR="00B028CD">
        <w:rPr>
          <w:b/>
          <w:bCs/>
        </w:rPr>
        <w:t>:</w:t>
      </w:r>
      <w:proofErr w:type="gramEnd"/>
      <w:r w:rsidRPr="006E78E0">
        <w:rPr>
          <w:bCs/>
        </w:rPr>
        <w:br/>
      </w:r>
      <w:r w:rsidRPr="006E78E0">
        <w:t xml:space="preserve">Districts that have a larger percentage of low-income students, on average, identify a larger percentage of their students in the </w:t>
      </w:r>
      <w:r w:rsidRPr="00022B00">
        <w:rPr>
          <w:i/>
        </w:rPr>
        <w:t>‘High Incidence’</w:t>
      </w:r>
      <w:r w:rsidRPr="006E78E0">
        <w:t xml:space="preserve"> </w:t>
      </w:r>
      <w:r>
        <w:rPr>
          <w:rFonts w:cs="Cambria"/>
          <w:color w:val="000000"/>
        </w:rPr>
        <w:t>disability</w:t>
      </w:r>
      <w:r w:rsidRPr="006E78E0">
        <w:t xml:space="preserve"> categories.</w:t>
      </w:r>
    </w:p>
    <w:p w:rsidR="008D2AB8" w:rsidRPr="006E78E0" w:rsidRDefault="008D2AB8" w:rsidP="008D2AB8">
      <w:pPr>
        <w:widowControl w:val="0"/>
        <w:tabs>
          <w:tab w:val="left" w:pos="56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cs="Cambria"/>
          <w:color w:val="000000"/>
        </w:rPr>
      </w:pP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6E78E0">
        <w:rPr>
          <w:rFonts w:cs="Cambria"/>
          <w:color w:val="000000"/>
        </w:rPr>
        <w:t xml:space="preserve">As we discussed our work with colleagues who are familiar with </w:t>
      </w:r>
      <w:r w:rsidR="00CF12E3">
        <w:rPr>
          <w:rFonts w:cs="Cambria"/>
          <w:color w:val="000000"/>
        </w:rPr>
        <w:t xml:space="preserve">special </w:t>
      </w:r>
      <w:r w:rsidRPr="006E78E0">
        <w:rPr>
          <w:rFonts w:cs="Cambria"/>
          <w:color w:val="000000"/>
        </w:rPr>
        <w:t xml:space="preserve">education in the commonwealth, we have repeatedly encountered a narrative that attributes the high rates of special education identification in Massachusetts to high-resource parents seeking to secure advantages (for example, untimed or otherwise accommodated standardized exams) for their children through gaining eligibility for special education. However, in our examination of district–level data, we find </w:t>
      </w:r>
      <w:r>
        <w:rPr>
          <w:rFonts w:cs="Cambria"/>
          <w:color w:val="000000"/>
        </w:rPr>
        <w:t>little</w:t>
      </w:r>
      <w:r w:rsidRPr="006E78E0">
        <w:rPr>
          <w:rFonts w:cs="Cambria"/>
          <w:color w:val="000000"/>
        </w:rPr>
        <w:t xml:space="preserve"> evidence that this is the case. Districts with higher median family incomes do not identify a higher percentage of their students as eligible for special education and related services. </w:t>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6E78E0">
        <w:rPr>
          <w:rFonts w:cs="Cambria"/>
          <w:color w:val="000000"/>
        </w:rPr>
        <w:t xml:space="preserve">In fact, counter to the narrative that district wealth might drive high rates of special education </w:t>
      </w:r>
      <w:r w:rsidR="004C02D4" w:rsidRPr="006E78E0">
        <w:rPr>
          <w:rFonts w:cs="Cambria"/>
          <w:color w:val="000000"/>
        </w:rPr>
        <w:t>identification;</w:t>
      </w:r>
      <w:r w:rsidRPr="006E78E0">
        <w:rPr>
          <w:rFonts w:cs="Cambria"/>
          <w:color w:val="000000"/>
        </w:rPr>
        <w:t xml:space="preserve"> we found that districts with a larger percentage of low-income</w:t>
      </w:r>
      <w:r w:rsidRPr="00375639">
        <w:rPr>
          <w:rFonts w:cs="Cambria"/>
          <w:color w:val="000000"/>
          <w:vertAlign w:val="superscript"/>
        </w:rPr>
        <w:footnoteReference w:id="7"/>
      </w:r>
      <w:r w:rsidRPr="00375639">
        <w:rPr>
          <w:rFonts w:cs="Cambria"/>
          <w:color w:val="000000"/>
        </w:rPr>
        <w:t xml:space="preserve"> students, on average, identif</w:t>
      </w:r>
      <w:r w:rsidR="00CF12E3">
        <w:rPr>
          <w:rFonts w:cs="Cambria"/>
          <w:color w:val="000000"/>
        </w:rPr>
        <w:t>ied</w:t>
      </w:r>
      <w:r w:rsidRPr="00375639">
        <w:rPr>
          <w:rFonts w:cs="Cambria"/>
          <w:color w:val="000000"/>
        </w:rPr>
        <w:t xml:space="preserve"> a larger percentage of their students into </w:t>
      </w:r>
      <w:r w:rsidRPr="00375639">
        <w:rPr>
          <w:rFonts w:cs="Cambria"/>
          <w:color w:val="000000"/>
        </w:rPr>
        <w:lastRenderedPageBreak/>
        <w:t xml:space="preserve">the </w:t>
      </w:r>
      <w:r w:rsidRPr="00022B00">
        <w:rPr>
          <w:i/>
        </w:rPr>
        <w:t>‘High Incidence’</w:t>
      </w:r>
      <w:r w:rsidRPr="00375639">
        <w:rPr>
          <w:rFonts w:cs="Cambria"/>
          <w:color w:val="000000"/>
        </w:rPr>
        <w:t xml:space="preserve"> special education categories</w:t>
      </w:r>
      <w:r w:rsidR="004C02D4">
        <w:rPr>
          <w:rFonts w:cs="Cambria"/>
          <w:color w:val="000000"/>
        </w:rPr>
        <w:t>.</w:t>
      </w:r>
      <w:r w:rsidRPr="00375639">
        <w:rPr>
          <w:rFonts w:cs="Cambria"/>
          <w:color w:val="000000"/>
          <w:vertAlign w:val="superscript"/>
        </w:rPr>
        <w:footnoteReference w:id="8"/>
      </w:r>
      <w:r w:rsidR="004C02D4">
        <w:rPr>
          <w:rFonts w:cs="Cambria"/>
          <w:color w:val="000000"/>
        </w:rPr>
        <w:t xml:space="preserve"> </w:t>
      </w:r>
      <w:r w:rsidRPr="00375639">
        <w:rPr>
          <w:rFonts w:cs="Cambria"/>
          <w:color w:val="000000"/>
        </w:rPr>
        <w:t>In this portion of our analysis, we fit a series</w:t>
      </w:r>
      <w:r w:rsidRPr="006E78E0">
        <w:t xml:space="preserve"> of statistical models in which we predicted district-level percentage of students identified </w:t>
      </w:r>
      <w:r>
        <w:t>in the</w:t>
      </w:r>
      <w:r w:rsidRPr="006E78E0">
        <w:t xml:space="preserve"> </w:t>
      </w:r>
      <w:bookmarkStart w:id="4" w:name="OLE_LINK5"/>
      <w:r w:rsidRPr="00022B00">
        <w:rPr>
          <w:i/>
        </w:rPr>
        <w:t>‘High Incidence’</w:t>
      </w:r>
      <w:r>
        <w:t xml:space="preserve"> disability </w:t>
      </w:r>
      <w:bookmarkEnd w:id="4"/>
      <w:r>
        <w:t xml:space="preserve">categories, </w:t>
      </w:r>
      <w:r w:rsidRPr="006E78E0">
        <w:t>controlling for the effect of other relevant district characteristics</w:t>
      </w:r>
      <w:r w:rsidR="004C02D4">
        <w:t>,</w:t>
      </w:r>
      <w:r w:rsidRPr="00375639">
        <w:rPr>
          <w:rStyle w:val="FootnoteReference"/>
        </w:rPr>
        <w:footnoteReference w:id="9"/>
      </w:r>
      <w:r w:rsidRPr="00375639">
        <w:t xml:space="preserve"> and we found that </w:t>
      </w:r>
      <w:r w:rsidRPr="00375639">
        <w:rPr>
          <w:rFonts w:cs="Cambria"/>
          <w:color w:val="000000"/>
        </w:rPr>
        <w:t xml:space="preserve">every doubling of district percentage of free or reduced price lunch students (for example, from 5% to 10%, or 12% to 24%, etc.) was associated with nearly a one percentage point difference in the district percentage </w:t>
      </w:r>
      <w:r w:rsidRPr="006E78E0">
        <w:rPr>
          <w:rFonts w:cs="Cambria"/>
          <w:color w:val="000000"/>
        </w:rPr>
        <w:t xml:space="preserve">of students identified as having a </w:t>
      </w:r>
      <w:r w:rsidRPr="009A4D5A">
        <w:rPr>
          <w:rFonts w:cs="Cambria"/>
          <w:color w:val="000000"/>
        </w:rPr>
        <w:t>Specific Learning Disability, Other Health Impairment, or Communication Impairment</w:t>
      </w:r>
      <w:r w:rsidRPr="006E78E0">
        <w:rPr>
          <w:rFonts w:cs="Cambria"/>
          <w:i/>
          <w:color w:val="000000"/>
        </w:rPr>
        <w:t xml:space="preserve"> </w:t>
      </w:r>
      <w:r w:rsidRPr="006E78E0">
        <w:rPr>
          <w:rFonts w:cs="Cambria"/>
          <w:color w:val="000000"/>
        </w:rPr>
        <w:t xml:space="preserve">designation. </w:t>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p>
    <w:p w:rsidR="008D2AB8" w:rsidRPr="006E78E0" w:rsidRDefault="008D2AB8" w:rsidP="008D2AB8">
      <w:pPr>
        <w:outlineLvl w:val="0"/>
        <w:rPr>
          <w:b/>
        </w:rPr>
      </w:pPr>
      <w:r w:rsidRPr="006E78E0">
        <w:rPr>
          <w:b/>
        </w:rPr>
        <w:t xml:space="preserve">Question 2: Summary </w:t>
      </w:r>
    </w:p>
    <w:p w:rsidR="008D2AB8" w:rsidRPr="006E78E0" w:rsidRDefault="008D2AB8" w:rsidP="008D2AB8">
      <w:pPr>
        <w:rPr>
          <w:b/>
        </w:rPr>
      </w:pPr>
    </w:p>
    <w:p w:rsidR="008D2AB8" w:rsidRPr="006E78E0" w:rsidRDefault="008D2AB8" w:rsidP="008D2AB8">
      <w:pPr>
        <w:pStyle w:val="ColorfulList-Accent11"/>
        <w:widowControl w:val="0"/>
        <w:numPr>
          <w:ilvl w:val="0"/>
          <w:numId w:val="3"/>
        </w:numPr>
        <w:tabs>
          <w:tab w:val="left" w:pos="0"/>
          <w:tab w:val="left" w:pos="72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rPr>
          <w:rFonts w:cs="Cambria"/>
          <w:bCs/>
          <w:color w:val="000000"/>
        </w:rPr>
      </w:pPr>
      <w:r w:rsidRPr="006E78E0">
        <w:rPr>
          <w:rFonts w:cs="Cambria"/>
          <w:bCs/>
          <w:color w:val="000000"/>
        </w:rPr>
        <w:t xml:space="preserve">Rates of special education identification vary substantially within and between </w:t>
      </w:r>
      <w:r w:rsidR="004C02D4" w:rsidRPr="006E78E0">
        <w:rPr>
          <w:rFonts w:cs="Cambria"/>
          <w:bCs/>
          <w:color w:val="000000"/>
        </w:rPr>
        <w:t>Massachusetts’s</w:t>
      </w:r>
      <w:r w:rsidRPr="006E78E0">
        <w:rPr>
          <w:rFonts w:cs="Cambria"/>
          <w:bCs/>
          <w:color w:val="000000"/>
        </w:rPr>
        <w:t xml:space="preserve"> school districts.</w:t>
      </w:r>
    </w:p>
    <w:p w:rsidR="008D2AB8" w:rsidRPr="006E78E0" w:rsidRDefault="008D2AB8" w:rsidP="008D2AB8">
      <w:pPr>
        <w:pStyle w:val="ColorfulList-Accent11"/>
        <w:widowControl w:val="0"/>
        <w:tabs>
          <w:tab w:val="left" w:pos="0"/>
          <w:tab w:val="left" w:pos="72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rPr>
          <w:rFonts w:cs="Cambria"/>
          <w:bCs/>
          <w:color w:val="000000"/>
        </w:rPr>
      </w:pPr>
    </w:p>
    <w:p w:rsidR="008D2AB8" w:rsidRPr="006E78E0" w:rsidRDefault="008D2AB8" w:rsidP="008D2AB8">
      <w:pPr>
        <w:pStyle w:val="ColorfulList-Accent11"/>
        <w:widowControl w:val="0"/>
        <w:numPr>
          <w:ilvl w:val="0"/>
          <w:numId w:val="3"/>
        </w:numPr>
        <w:tabs>
          <w:tab w:val="left" w:pos="0"/>
          <w:tab w:val="left" w:pos="72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rPr>
          <w:rFonts w:cs="Cambria"/>
          <w:bCs/>
          <w:color w:val="000000"/>
        </w:rPr>
      </w:pPr>
      <w:r w:rsidRPr="006E78E0">
        <w:t xml:space="preserve">Though some wealthy districts have high rates of special education identification, overall </w:t>
      </w:r>
      <w:r w:rsidR="004C02D4" w:rsidRPr="006E78E0">
        <w:t>high-income</w:t>
      </w:r>
      <w:r w:rsidRPr="006E78E0">
        <w:t xml:space="preserve"> districts are not primarily responsible for the relatively high identification rates in the state</w:t>
      </w:r>
      <w:r w:rsidRPr="006E78E0">
        <w:rPr>
          <w:rFonts w:cs="Cambria"/>
          <w:bCs/>
          <w:color w:val="000000"/>
        </w:rPr>
        <w:t>.</w:t>
      </w:r>
    </w:p>
    <w:p w:rsidR="008D2AB8" w:rsidRPr="006E78E0" w:rsidRDefault="008D2AB8" w:rsidP="008D2AB8">
      <w:pPr>
        <w:widowControl w:val="0"/>
        <w:tabs>
          <w:tab w:val="left" w:pos="0"/>
          <w:tab w:val="left" w:pos="72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rPr>
          <w:rFonts w:cs="Cambria"/>
          <w:i/>
          <w:color w:val="000000"/>
        </w:rPr>
      </w:pPr>
    </w:p>
    <w:p w:rsidR="008D2AB8" w:rsidRPr="006E78E0" w:rsidRDefault="008D2AB8" w:rsidP="008D2AB8">
      <w:pPr>
        <w:pStyle w:val="ColorfulList-Accent11"/>
        <w:widowControl w:val="0"/>
        <w:numPr>
          <w:ilvl w:val="0"/>
          <w:numId w:val="3"/>
        </w:numPr>
        <w:tabs>
          <w:tab w:val="left" w:pos="0"/>
          <w:tab w:val="left" w:pos="72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rPr>
          <w:rFonts w:cs="Cambria"/>
          <w:bCs/>
          <w:color w:val="000000"/>
        </w:rPr>
      </w:pPr>
      <w:r w:rsidRPr="006E78E0">
        <w:rPr>
          <w:rFonts w:cs="Cambria"/>
          <w:color w:val="000000"/>
        </w:rPr>
        <w:t xml:space="preserve">Districts that have a larger percentage of low-income students, on average, identify a larger percentage of their students in the </w:t>
      </w:r>
      <w:r w:rsidRPr="00022B00">
        <w:rPr>
          <w:i/>
        </w:rPr>
        <w:t>‘High Incidence’</w:t>
      </w:r>
      <w:r>
        <w:t xml:space="preserve"> disability </w:t>
      </w:r>
      <w:r w:rsidRPr="006E78E0">
        <w:rPr>
          <w:rFonts w:cs="Cambria"/>
          <w:color w:val="000000"/>
        </w:rPr>
        <w:t>categories.</w:t>
      </w:r>
    </w:p>
    <w:p w:rsidR="008D2AB8" w:rsidRPr="006E78E0" w:rsidRDefault="008D2AB8" w:rsidP="008D2AB8">
      <w:pPr>
        <w:pStyle w:val="ColorfulList-Accent11"/>
        <w:widowControl w:val="0"/>
        <w:tabs>
          <w:tab w:val="left" w:pos="0"/>
          <w:tab w:val="left" w:pos="72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0"/>
        <w:rPr>
          <w:rFonts w:cs="Cambria"/>
          <w:bCs/>
          <w:color w:val="000000"/>
        </w:rPr>
      </w:pPr>
    </w:p>
    <w:p w:rsidR="008D2AB8" w:rsidRPr="00AB739C" w:rsidRDefault="008D2AB8" w:rsidP="008D2AB8">
      <w:pPr>
        <w:rPr>
          <w:i/>
        </w:rPr>
      </w:pPr>
      <w:r>
        <w:rPr>
          <w:i/>
        </w:rPr>
        <w:br w:type="page"/>
      </w:r>
      <w:r w:rsidRPr="00AB739C">
        <w:rPr>
          <w:i/>
          <w:sz w:val="40"/>
          <w:szCs w:val="40"/>
        </w:rPr>
        <w:lastRenderedPageBreak/>
        <w:t>Part 3:</w:t>
      </w:r>
      <w:r w:rsidRPr="00AB739C">
        <w:rPr>
          <w:i/>
        </w:rPr>
        <w:t xml:space="preserve"> Detailed findings describing the relationship between </w:t>
      </w:r>
      <w:r w:rsidR="00AB739C">
        <w:rPr>
          <w:i/>
        </w:rPr>
        <w:t>d</w:t>
      </w:r>
      <w:r w:rsidR="00AB739C" w:rsidRPr="00AB739C">
        <w:rPr>
          <w:i/>
        </w:rPr>
        <w:t xml:space="preserve">istrict </w:t>
      </w:r>
      <w:r w:rsidRPr="00AB739C">
        <w:rPr>
          <w:i/>
        </w:rPr>
        <w:t>rates of identification and proficiency</w:t>
      </w:r>
      <w:r w:rsidR="00AB739C" w:rsidRPr="00AB739C">
        <w:rPr>
          <w:i/>
        </w:rPr>
        <w:t xml:space="preserve"> on the Massachusetts Comprehensive Assessment System (MCAS)</w:t>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p>
    <w:p w:rsidR="008D2AB8" w:rsidRPr="006E78E0" w:rsidRDefault="008D2AB8" w:rsidP="008D2AB8">
      <w:pPr>
        <w:rPr>
          <w:b/>
        </w:rPr>
      </w:pPr>
      <w:r w:rsidRPr="006E78E0">
        <w:rPr>
          <w:b/>
        </w:rPr>
        <w:t xml:space="preserve">Question 3:  </w:t>
      </w:r>
      <w:r w:rsidRPr="006E78E0">
        <w:t>What district-level characteristics or practices are associated with higher district wide performance of students with disabilities on the Massachusetts Comprehensive Assessment System (MCAS)?</w:t>
      </w:r>
    </w:p>
    <w:p w:rsidR="008D2AB8" w:rsidRPr="006E78E0" w:rsidRDefault="008D2AB8" w:rsidP="008D2AB8">
      <w:pPr>
        <w:rPr>
          <w:b/>
        </w:rPr>
      </w:pP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6E78E0">
        <w:t xml:space="preserve">In the previous section of this report, where we </w:t>
      </w:r>
      <w:r>
        <w:t>discussed</w:t>
      </w:r>
      <w:r w:rsidRPr="006E78E0">
        <w:t xml:space="preserve"> findings related to Question 2, we discussed the fact that some school districts identify higher numbers of children as eligible for special education than other districts. In this section, we explore this further, looking not only at rates of identification but also at</w:t>
      </w:r>
      <w:r w:rsidR="00882FCF">
        <w:t xml:space="preserve"> aggregate student</w:t>
      </w:r>
      <w:r w:rsidRPr="006E78E0">
        <w:t xml:space="preserve"> performance on the MCAS. Given the crucial importance of MCAS performance on school attainment (most notably, high school graduation), the MCAS performance of students with disabilities, as well as the relationship between rates of identification and students’ MCAS scores, are indispensable to this analysis. Specifically, we examine here whether on average, district characteristics, including districts’ percentage of students identified </w:t>
      </w:r>
      <w:r>
        <w:t xml:space="preserve">in the </w:t>
      </w:r>
      <w:r w:rsidRPr="00022B00">
        <w:rPr>
          <w:i/>
        </w:rPr>
        <w:t>‘High Incidence’</w:t>
      </w:r>
      <w:r>
        <w:t xml:space="preserve"> disability</w:t>
      </w:r>
      <w:r w:rsidRPr="005B48CC">
        <w:t xml:space="preserve"> categor</w:t>
      </w:r>
      <w:r>
        <w:t>y</w:t>
      </w:r>
      <w:r w:rsidRPr="006E78E0">
        <w:rPr>
          <w:i/>
        </w:rPr>
        <w:t xml:space="preserve"> </w:t>
      </w:r>
      <w:r w:rsidRPr="006E78E0">
        <w:t xml:space="preserve">are meaningfully associated with </w:t>
      </w:r>
      <w:r w:rsidR="0046283F">
        <w:t>d</w:t>
      </w:r>
      <w:r w:rsidR="0046283F" w:rsidRPr="006E78E0">
        <w:t xml:space="preserve">istrict </w:t>
      </w:r>
      <w:r w:rsidRPr="006E78E0">
        <w:t xml:space="preserve">average performance on the MCAS. </w:t>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color w:val="000000"/>
        </w:rPr>
      </w:pPr>
      <w:r w:rsidRPr="006E78E0">
        <w:rPr>
          <w:rFonts w:cs="Cambria"/>
          <w:b/>
          <w:bCs/>
          <w:color w:val="000000"/>
        </w:rPr>
        <w:t>Finding 3a – Districts with High Rates of MCAS Proficiency for General Ed</w:t>
      </w:r>
      <w:r w:rsidR="0046283F">
        <w:rPr>
          <w:rFonts w:cs="Cambria"/>
          <w:b/>
          <w:bCs/>
          <w:color w:val="000000"/>
        </w:rPr>
        <w:t>ucation</w:t>
      </w:r>
      <w:r w:rsidRPr="006E78E0">
        <w:rPr>
          <w:rFonts w:cs="Cambria"/>
          <w:b/>
          <w:bCs/>
          <w:color w:val="000000"/>
        </w:rPr>
        <w:t xml:space="preserve"> Students </w:t>
      </w:r>
      <w:r w:rsidR="00CF12E3" w:rsidRPr="006E78E0">
        <w:rPr>
          <w:rFonts w:cs="Cambria"/>
          <w:b/>
          <w:bCs/>
          <w:color w:val="000000"/>
        </w:rPr>
        <w:t>tend</w:t>
      </w:r>
      <w:r w:rsidRPr="006E78E0">
        <w:rPr>
          <w:rFonts w:cs="Cambria"/>
          <w:b/>
          <w:bCs/>
          <w:color w:val="000000"/>
        </w:rPr>
        <w:t xml:space="preserve"> to also have High Rates of MCAS Proficiency for Students with Disabilities:</w:t>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cs="Cambria"/>
          <w:bCs/>
          <w:i/>
          <w:color w:val="000000"/>
        </w:rPr>
      </w:pPr>
      <w:r w:rsidRPr="006E78E0">
        <w:rPr>
          <w:rFonts w:cs="Cambria"/>
          <w:bCs/>
          <w:i/>
          <w:color w:val="000000"/>
        </w:rPr>
        <w:t xml:space="preserve">The performance of a school district’s general education students is, on average, the strongest </w:t>
      </w:r>
      <w:r w:rsidR="00882FCF">
        <w:rPr>
          <w:rFonts w:cs="Cambria"/>
          <w:bCs/>
          <w:i/>
          <w:color w:val="000000"/>
        </w:rPr>
        <w:t xml:space="preserve">district-level </w:t>
      </w:r>
      <w:r w:rsidRPr="006E78E0">
        <w:rPr>
          <w:rFonts w:cs="Cambria"/>
          <w:bCs/>
          <w:i/>
          <w:color w:val="000000"/>
        </w:rPr>
        <w:t xml:space="preserve">predictor of that district’s special education students’ performance on the MCAS.   </w:t>
      </w:r>
    </w:p>
    <w:p w:rsidR="008D2AB8" w:rsidRPr="006E78E0" w:rsidRDefault="008D2AB8" w:rsidP="008D2AB8">
      <w:pPr>
        <w:widowControl w:val="0"/>
        <w:tabs>
          <w:tab w:val="left" w:pos="0"/>
          <w:tab w:val="left" w:pos="56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cs="Cambria"/>
          <w:bCs/>
          <w:i/>
          <w:color w:val="000000"/>
        </w:rPr>
      </w:pP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6E78E0">
        <w:rPr>
          <w:rFonts w:cs="Cambria"/>
          <w:color w:val="000000"/>
        </w:rPr>
        <w:t xml:space="preserve">General education students consistently outperform students with disabilities on the MCAS. For example, on average, approximately 78% of a district's general education students score proficient or higher on the English language MCAS, while only 38% of a district’s students in the </w:t>
      </w:r>
      <w:r w:rsidRPr="00022B00">
        <w:rPr>
          <w:i/>
        </w:rPr>
        <w:t>‘High Incidence’</w:t>
      </w:r>
      <w:r w:rsidRPr="006E78E0">
        <w:rPr>
          <w:rFonts w:cs="Cambria"/>
          <w:color w:val="000000"/>
        </w:rPr>
        <w:t xml:space="preserve"> </w:t>
      </w:r>
      <w:r>
        <w:rPr>
          <w:rFonts w:cs="Cambria"/>
          <w:color w:val="000000"/>
        </w:rPr>
        <w:t xml:space="preserve">disability </w:t>
      </w:r>
      <w:r w:rsidRPr="006E78E0">
        <w:rPr>
          <w:rFonts w:cs="Cambria"/>
          <w:color w:val="000000"/>
        </w:rPr>
        <w:t xml:space="preserve">category do the same. That </w:t>
      </w:r>
      <w:proofErr w:type="gramStart"/>
      <w:r w:rsidRPr="006E78E0">
        <w:rPr>
          <w:rFonts w:cs="Cambria"/>
          <w:color w:val="000000"/>
        </w:rPr>
        <w:t>said,</w:t>
      </w:r>
      <w:proofErr w:type="gramEnd"/>
      <w:r w:rsidRPr="006E78E0">
        <w:rPr>
          <w:rFonts w:cs="Cambria"/>
          <w:color w:val="000000"/>
        </w:rPr>
        <w:t xml:space="preserve"> the performance of a district’s general </w:t>
      </w:r>
      <w:r w:rsidR="000879AE">
        <w:rPr>
          <w:rFonts w:cs="Cambria"/>
          <w:color w:val="000000"/>
        </w:rPr>
        <w:t xml:space="preserve">education students </w:t>
      </w:r>
      <w:r w:rsidRPr="006E78E0">
        <w:rPr>
          <w:rFonts w:cs="Cambria"/>
          <w:color w:val="000000"/>
        </w:rPr>
        <w:t xml:space="preserve">and </w:t>
      </w:r>
      <w:r w:rsidR="000879AE">
        <w:t>students with disabilities</w:t>
      </w:r>
      <w:r w:rsidR="000879AE" w:rsidRPr="006E78E0" w:rsidDel="000879AE">
        <w:rPr>
          <w:rFonts w:cs="Cambria"/>
          <w:color w:val="000000"/>
        </w:rPr>
        <w:t xml:space="preserve"> </w:t>
      </w:r>
      <w:r w:rsidRPr="006E78E0">
        <w:rPr>
          <w:rFonts w:cs="Cambria"/>
          <w:color w:val="000000"/>
        </w:rPr>
        <w:t xml:space="preserve">are closely related, although average scores for students with disabilities are consistently lower.  We conducted </w:t>
      </w:r>
      <w:r>
        <w:rPr>
          <w:rFonts w:cs="Cambria"/>
          <w:color w:val="000000"/>
        </w:rPr>
        <w:t>O</w:t>
      </w:r>
      <w:r w:rsidRPr="006E78E0">
        <w:rPr>
          <w:rFonts w:cs="Cambria"/>
          <w:color w:val="000000"/>
        </w:rPr>
        <w:t xml:space="preserve">rdinary </w:t>
      </w:r>
      <w:r>
        <w:rPr>
          <w:rFonts w:cs="Cambria"/>
          <w:color w:val="000000"/>
        </w:rPr>
        <w:t>L</w:t>
      </w:r>
      <w:r w:rsidRPr="006E78E0">
        <w:rPr>
          <w:rFonts w:cs="Cambria"/>
          <w:color w:val="000000"/>
        </w:rPr>
        <w:t xml:space="preserve">east </w:t>
      </w:r>
      <w:r>
        <w:rPr>
          <w:rFonts w:cs="Cambria"/>
          <w:color w:val="000000"/>
        </w:rPr>
        <w:t>S</w:t>
      </w:r>
      <w:r w:rsidRPr="006E78E0">
        <w:rPr>
          <w:rFonts w:cs="Cambria"/>
          <w:color w:val="000000"/>
        </w:rPr>
        <w:t xml:space="preserve">quares regression analyses and found that, controlling </w:t>
      </w:r>
      <w:r>
        <w:rPr>
          <w:rFonts w:cs="Cambria"/>
          <w:color w:val="000000"/>
        </w:rPr>
        <w:t xml:space="preserve">for </w:t>
      </w:r>
      <w:r w:rsidRPr="006E78E0">
        <w:rPr>
          <w:rFonts w:cs="Cambria"/>
          <w:color w:val="000000"/>
        </w:rPr>
        <w:t>relevant district-level characteristics</w:t>
      </w:r>
      <w:r w:rsidR="00882FCF">
        <w:rPr>
          <w:rFonts w:cs="Cambria"/>
          <w:color w:val="000000"/>
        </w:rPr>
        <w:t>,</w:t>
      </w:r>
      <w:r w:rsidRPr="00375639">
        <w:rPr>
          <w:rStyle w:val="FootnoteReference"/>
          <w:color w:val="000000"/>
        </w:rPr>
        <w:footnoteReference w:id="10"/>
      </w:r>
      <w:r w:rsidRPr="00375639">
        <w:rPr>
          <w:rFonts w:cs="Cambria"/>
          <w:color w:val="000000"/>
        </w:rPr>
        <w:t xml:space="preserve"> </w:t>
      </w:r>
      <w:r w:rsidRPr="006E78E0">
        <w:rPr>
          <w:rFonts w:cs="Cambria"/>
          <w:color w:val="000000"/>
        </w:rPr>
        <w:t xml:space="preserve">a one-percentage-point difference in the percentage of </w:t>
      </w:r>
      <w:r w:rsidRPr="006E78E0">
        <w:rPr>
          <w:rFonts w:cs="Cambria"/>
          <w:bCs/>
          <w:color w:val="000000"/>
        </w:rPr>
        <w:t>general education students</w:t>
      </w:r>
      <w:r w:rsidRPr="006E78E0">
        <w:rPr>
          <w:rFonts w:cs="Cambria"/>
          <w:color w:val="000000"/>
        </w:rPr>
        <w:t xml:space="preserve"> scoring proficient or higher on the English language MCAS (for example, 78% vs. 79%; or 85% vs. 86%) is associated with an approximately one-percentage-point difference in the percentage of </w:t>
      </w:r>
      <w:r w:rsidR="000879AE">
        <w:t>students with disabilities</w:t>
      </w:r>
      <w:r w:rsidRPr="006E78E0">
        <w:rPr>
          <w:rFonts w:cs="Cambria"/>
          <w:color w:val="000000"/>
        </w:rPr>
        <w:t xml:space="preserve"> </w:t>
      </w:r>
      <w:r>
        <w:rPr>
          <w:rFonts w:cs="Cambria"/>
          <w:color w:val="000000"/>
        </w:rPr>
        <w:t xml:space="preserve">with a </w:t>
      </w:r>
      <w:r>
        <w:rPr>
          <w:rFonts w:cs="Cambria"/>
          <w:i/>
          <w:color w:val="000000"/>
        </w:rPr>
        <w:t>‘High Incidence’</w:t>
      </w:r>
      <w:r>
        <w:rPr>
          <w:rFonts w:cs="Cambria"/>
          <w:color w:val="000000"/>
        </w:rPr>
        <w:t xml:space="preserve"> disability designation </w:t>
      </w:r>
      <w:r w:rsidRPr="006E78E0">
        <w:rPr>
          <w:rFonts w:cs="Cambria"/>
          <w:color w:val="000000"/>
        </w:rPr>
        <w:t>scoring proficient or higher on the same exam (for example, 38% vs. 39%; or 45% vs. 46%). Put another way, districts with higher-</w:t>
      </w:r>
      <w:r w:rsidRPr="006E78E0">
        <w:rPr>
          <w:rFonts w:cs="Cambria"/>
          <w:color w:val="000000"/>
        </w:rPr>
        <w:lastRenderedPageBreak/>
        <w:t xml:space="preserve">than-average rates of general education students scoring proficient or higher on the MCAS are also likely to have higher-than-average rates of </w:t>
      </w:r>
      <w:r w:rsidR="000879AE">
        <w:t>students with disabilities</w:t>
      </w:r>
      <w:r w:rsidR="000879AE" w:rsidRPr="006E78E0" w:rsidDel="000879AE">
        <w:rPr>
          <w:rFonts w:cs="Cambria"/>
          <w:color w:val="000000"/>
        </w:rPr>
        <w:t xml:space="preserve"> </w:t>
      </w:r>
      <w:r w:rsidRPr="006E78E0">
        <w:rPr>
          <w:rFonts w:cs="Cambria"/>
          <w:color w:val="000000"/>
        </w:rPr>
        <w:t xml:space="preserve">scoring proficient or higher. </w:t>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p>
    <w:p w:rsidR="008D2AB8" w:rsidRDefault="005A2FBF"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360"/>
        <w:rPr>
          <w:rFonts w:cs="Cambria"/>
          <w:color w:val="000000"/>
          <w:sz w:val="21"/>
          <w:szCs w:val="21"/>
        </w:rPr>
      </w:pPr>
      <w:proofErr w:type="gramStart"/>
      <w:r>
        <w:rPr>
          <w:rFonts w:cs="Cambria"/>
          <w:i/>
          <w:color w:val="000000"/>
          <w:sz w:val="21"/>
          <w:szCs w:val="21"/>
        </w:rPr>
        <w:t>Figure 3</w:t>
      </w:r>
      <w:r w:rsidR="008D2AB8" w:rsidRPr="00AC0F1E">
        <w:rPr>
          <w:rFonts w:cs="Cambria"/>
          <w:i/>
          <w:color w:val="000000"/>
          <w:sz w:val="21"/>
          <w:szCs w:val="21"/>
        </w:rPr>
        <w:t>.</w:t>
      </w:r>
      <w:proofErr w:type="gramEnd"/>
      <w:r w:rsidR="008D2AB8" w:rsidRPr="00AC0F1E">
        <w:rPr>
          <w:rFonts w:cs="Cambria"/>
          <w:i/>
          <w:color w:val="000000"/>
          <w:sz w:val="21"/>
          <w:szCs w:val="21"/>
        </w:rPr>
        <w:t xml:space="preserve"> </w:t>
      </w:r>
      <w:r w:rsidR="008D2AB8">
        <w:rPr>
          <w:rFonts w:cs="Cambria"/>
          <w:color w:val="000000"/>
          <w:sz w:val="21"/>
          <w:szCs w:val="21"/>
        </w:rPr>
        <w:t>D</w:t>
      </w:r>
      <w:r w:rsidR="008D2AB8" w:rsidRPr="00AC0F1E">
        <w:rPr>
          <w:rFonts w:cs="Cambria"/>
          <w:color w:val="000000"/>
          <w:sz w:val="21"/>
          <w:szCs w:val="21"/>
        </w:rPr>
        <w:t xml:space="preserve">istrict-level </w:t>
      </w:r>
      <w:r w:rsidR="008D2AB8">
        <w:rPr>
          <w:rFonts w:cs="Cambria"/>
          <w:color w:val="000000"/>
          <w:sz w:val="21"/>
          <w:szCs w:val="21"/>
        </w:rPr>
        <w:t>percentage</w:t>
      </w:r>
      <w:r w:rsidR="008D2AB8" w:rsidRPr="00AC0F1E">
        <w:rPr>
          <w:rFonts w:cs="Cambria"/>
          <w:color w:val="000000"/>
          <w:sz w:val="21"/>
          <w:szCs w:val="21"/>
        </w:rPr>
        <w:t xml:space="preserve"> of </w:t>
      </w:r>
      <w:r w:rsidR="000879AE">
        <w:rPr>
          <w:b/>
        </w:rPr>
        <w:t>S</w:t>
      </w:r>
      <w:r w:rsidR="000879AE" w:rsidRPr="000879AE">
        <w:rPr>
          <w:b/>
        </w:rPr>
        <w:t xml:space="preserve">tudents with </w:t>
      </w:r>
      <w:r w:rsidR="000879AE">
        <w:rPr>
          <w:b/>
        </w:rPr>
        <w:t>D</w:t>
      </w:r>
      <w:r w:rsidR="000879AE" w:rsidRPr="000879AE">
        <w:rPr>
          <w:b/>
        </w:rPr>
        <w:t>isabilities</w:t>
      </w:r>
      <w:r w:rsidR="000879AE" w:rsidRPr="00AC0F1E" w:rsidDel="000879AE">
        <w:rPr>
          <w:rFonts w:cs="Cambria"/>
          <w:b/>
          <w:color w:val="000000"/>
          <w:sz w:val="21"/>
          <w:szCs w:val="21"/>
        </w:rPr>
        <w:t xml:space="preserve"> </w:t>
      </w:r>
      <w:r w:rsidR="008D2AB8" w:rsidRPr="00AC0F1E">
        <w:rPr>
          <w:rFonts w:cs="Cambria"/>
          <w:color w:val="000000"/>
          <w:sz w:val="21"/>
          <w:szCs w:val="21"/>
        </w:rPr>
        <w:t xml:space="preserve">scoring </w:t>
      </w:r>
      <w:r w:rsidR="008D2AB8" w:rsidRPr="00AC0F1E">
        <w:rPr>
          <w:rFonts w:cs="Cambria"/>
          <w:i/>
          <w:color w:val="000000"/>
          <w:sz w:val="21"/>
          <w:szCs w:val="21"/>
        </w:rPr>
        <w:t>Proficient</w:t>
      </w:r>
      <w:r w:rsidR="008D2AB8" w:rsidRPr="00AC0F1E">
        <w:rPr>
          <w:rFonts w:cs="Cambria"/>
          <w:color w:val="000000"/>
          <w:sz w:val="21"/>
          <w:szCs w:val="21"/>
        </w:rPr>
        <w:t xml:space="preserve"> or </w:t>
      </w:r>
      <w:r w:rsidR="008D2AB8" w:rsidRPr="00AC0F1E">
        <w:rPr>
          <w:rFonts w:cs="Cambria"/>
          <w:i/>
          <w:color w:val="000000"/>
          <w:sz w:val="21"/>
          <w:szCs w:val="21"/>
        </w:rPr>
        <w:t>Advanced</w:t>
      </w:r>
      <w:r w:rsidR="008D2AB8" w:rsidRPr="00AC0F1E">
        <w:rPr>
          <w:rFonts w:cs="Cambria"/>
          <w:color w:val="000000"/>
          <w:sz w:val="21"/>
          <w:szCs w:val="21"/>
        </w:rPr>
        <w:t xml:space="preserve"> on the 8</w:t>
      </w:r>
      <w:r w:rsidR="008D2AB8" w:rsidRPr="00AC0F1E">
        <w:rPr>
          <w:rFonts w:cs="Cambria"/>
          <w:color w:val="000000"/>
          <w:sz w:val="21"/>
          <w:szCs w:val="21"/>
          <w:vertAlign w:val="superscript"/>
        </w:rPr>
        <w:t>th</w:t>
      </w:r>
      <w:r w:rsidR="008D2AB8" w:rsidRPr="00AC0F1E">
        <w:rPr>
          <w:rFonts w:cs="Cambria"/>
          <w:color w:val="000000"/>
          <w:sz w:val="21"/>
          <w:szCs w:val="21"/>
        </w:rPr>
        <w:t xml:space="preserve"> grade MCAS math assessment predicted by district-level percentage of </w:t>
      </w:r>
      <w:r w:rsidR="008D2AB8" w:rsidRPr="009820A2">
        <w:rPr>
          <w:rFonts w:cs="Cambria"/>
          <w:b/>
          <w:color w:val="000000"/>
          <w:sz w:val="21"/>
          <w:szCs w:val="21"/>
        </w:rPr>
        <w:t>General Education</w:t>
      </w:r>
      <w:r w:rsidR="008D2AB8" w:rsidRPr="00AC0F1E">
        <w:rPr>
          <w:rFonts w:cs="Cambria"/>
          <w:color w:val="000000"/>
          <w:sz w:val="21"/>
          <w:szCs w:val="21"/>
        </w:rPr>
        <w:t xml:space="preserve"> students scoring </w:t>
      </w:r>
      <w:r w:rsidR="008D2AB8" w:rsidRPr="00AC0F1E">
        <w:rPr>
          <w:rFonts w:cs="Cambria"/>
          <w:i/>
          <w:color w:val="000000"/>
          <w:sz w:val="21"/>
          <w:szCs w:val="21"/>
        </w:rPr>
        <w:t>Proficient</w:t>
      </w:r>
      <w:r w:rsidR="008D2AB8" w:rsidRPr="00AC0F1E">
        <w:rPr>
          <w:rFonts w:cs="Cambria"/>
          <w:color w:val="000000"/>
          <w:sz w:val="21"/>
          <w:szCs w:val="21"/>
        </w:rPr>
        <w:t xml:space="preserve"> or </w:t>
      </w:r>
      <w:r w:rsidR="008D2AB8" w:rsidRPr="00AC0F1E">
        <w:rPr>
          <w:rFonts w:cs="Cambria"/>
          <w:i/>
          <w:color w:val="000000"/>
          <w:sz w:val="21"/>
          <w:szCs w:val="21"/>
        </w:rPr>
        <w:t>Advanced</w:t>
      </w:r>
      <w:r w:rsidR="008D2AB8" w:rsidRPr="00AC0F1E">
        <w:rPr>
          <w:rFonts w:cs="Cambria"/>
          <w:color w:val="000000"/>
          <w:sz w:val="21"/>
          <w:szCs w:val="21"/>
        </w:rPr>
        <w:t xml:space="preserve"> on the same test, controlling for districts’ percentage of students with a </w:t>
      </w:r>
      <w:r w:rsidR="008D2AB8" w:rsidRPr="009820A2">
        <w:rPr>
          <w:rFonts w:cs="Cambria"/>
          <w:i/>
          <w:color w:val="000000"/>
          <w:sz w:val="21"/>
          <w:szCs w:val="21"/>
        </w:rPr>
        <w:t>‘High Incidence’</w:t>
      </w:r>
      <w:r w:rsidR="008D2AB8" w:rsidRPr="00AC0F1E">
        <w:rPr>
          <w:rFonts w:cs="Cambria"/>
          <w:color w:val="000000"/>
          <w:sz w:val="21"/>
          <w:szCs w:val="21"/>
        </w:rPr>
        <w:t xml:space="preserve"> disability, percentage of White students, </w:t>
      </w:r>
      <w:r w:rsidR="00882FCF">
        <w:rPr>
          <w:rFonts w:cs="Cambria"/>
          <w:color w:val="000000"/>
          <w:sz w:val="21"/>
          <w:szCs w:val="21"/>
        </w:rPr>
        <w:t>district enrollment</w:t>
      </w:r>
      <w:r w:rsidR="000879AE">
        <w:rPr>
          <w:rFonts w:cs="Cambria"/>
          <w:color w:val="000000"/>
          <w:sz w:val="21"/>
          <w:szCs w:val="21"/>
        </w:rPr>
        <w:t xml:space="preserve"> and</w:t>
      </w:r>
      <w:r w:rsidR="00882FCF">
        <w:rPr>
          <w:rFonts w:cs="Cambria"/>
          <w:color w:val="000000"/>
          <w:sz w:val="21"/>
          <w:szCs w:val="21"/>
        </w:rPr>
        <w:t xml:space="preserve"> d</w:t>
      </w:r>
      <w:r w:rsidR="008D2AB8" w:rsidRPr="00AC0F1E">
        <w:rPr>
          <w:rFonts w:cs="Cambria"/>
          <w:color w:val="000000"/>
          <w:sz w:val="21"/>
          <w:szCs w:val="21"/>
        </w:rPr>
        <w:t xml:space="preserve">istrict </w:t>
      </w:r>
      <w:proofErr w:type="spellStart"/>
      <w:r w:rsidR="008D2AB8">
        <w:rPr>
          <w:rFonts w:cs="Cambria"/>
          <w:color w:val="000000"/>
          <w:sz w:val="21"/>
          <w:szCs w:val="21"/>
        </w:rPr>
        <w:t>urbanicity</w:t>
      </w:r>
      <w:proofErr w:type="spellEnd"/>
      <w:r w:rsidR="008D2AB8" w:rsidRPr="00AC0F1E">
        <w:rPr>
          <w:rFonts w:cs="Cambria"/>
          <w:color w:val="000000"/>
          <w:sz w:val="21"/>
          <w:szCs w:val="21"/>
        </w:rPr>
        <w:t xml:space="preserve"> (</w:t>
      </w:r>
      <w:r w:rsidR="008D2AB8" w:rsidRPr="00AC0F1E">
        <w:rPr>
          <w:rFonts w:cs="Cambria"/>
          <w:i/>
          <w:color w:val="000000"/>
          <w:sz w:val="21"/>
          <w:szCs w:val="21"/>
        </w:rPr>
        <w:t>n</w:t>
      </w:r>
      <w:r w:rsidR="008D2AB8" w:rsidRPr="00AC0F1E">
        <w:rPr>
          <w:rFonts w:cs="Cambria"/>
          <w:color w:val="000000"/>
          <w:sz w:val="21"/>
          <w:szCs w:val="21"/>
        </w:rPr>
        <w:t>=</w:t>
      </w:r>
      <w:r w:rsidR="008D2AB8">
        <w:rPr>
          <w:rFonts w:cs="Cambria"/>
          <w:color w:val="000000"/>
          <w:sz w:val="21"/>
          <w:szCs w:val="21"/>
        </w:rPr>
        <w:t>297</w:t>
      </w:r>
      <w:r w:rsidR="008D2AB8" w:rsidRPr="00AC0F1E">
        <w:rPr>
          <w:rFonts w:cs="Cambria"/>
          <w:color w:val="000000"/>
          <w:sz w:val="21"/>
          <w:szCs w:val="21"/>
        </w:rPr>
        <w:t xml:space="preserve"> traditional school districts).  </w:t>
      </w:r>
    </w:p>
    <w:p w:rsidR="008D2AB8" w:rsidRPr="00AC0F1E"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360"/>
        <w:rPr>
          <w:rFonts w:cs="Cambria"/>
          <w:i/>
          <w:color w:val="000000"/>
          <w:sz w:val="21"/>
          <w:szCs w:val="21"/>
        </w:rPr>
      </w:pPr>
    </w:p>
    <w:p w:rsidR="008D2AB8" w:rsidRPr="006E78E0" w:rsidRDefault="004B42C3"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Pr>
          <w:rFonts w:cs="Cambria"/>
          <w:noProof/>
          <w:color w:val="000000"/>
        </w:rPr>
        <w:drawing>
          <wp:inline distT="0" distB="0" distL="0" distR="0">
            <wp:extent cx="5486400" cy="2476500"/>
            <wp:effectExtent l="19050" t="0" r="0" b="0"/>
            <wp:docPr id="4" name="Picture 4" descr="Figure 3. This graph displays a linear relationship between the District-level percentage of Special Education students scoring Proficient or Advanced on the 8th grade MCAS math assessment and the by district-level percentage of General Education students scoring Proficient or Advanced on the same t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3. This graph displays a linear relationship between the District-level percentage of Special Education students scoring Proficient or Advanced on the 8th grade MCAS math assessment and the by district-level percentage of General Education students scoring Proficient or Advanced on the same test. "/>
                    <pic:cNvPicPr>
                      <a:picLocks noChangeAspect="1" noChangeArrowheads="1"/>
                    </pic:cNvPicPr>
                  </pic:nvPicPr>
                  <pic:blipFill>
                    <a:blip r:embed="rId13"/>
                    <a:srcRect t="26933" b="13066"/>
                    <a:stretch>
                      <a:fillRect/>
                    </a:stretch>
                  </pic:blipFill>
                  <pic:spPr bwMode="auto">
                    <a:xfrm>
                      <a:off x="0" y="0"/>
                      <a:ext cx="5486400" cy="2476500"/>
                    </a:xfrm>
                    <a:prstGeom prst="rect">
                      <a:avLst/>
                    </a:prstGeom>
                    <a:noFill/>
                    <a:ln w="9525">
                      <a:noFill/>
                      <a:miter lim="800000"/>
                      <a:headEnd/>
                      <a:tailEnd/>
                    </a:ln>
                  </pic:spPr>
                </pic:pic>
              </a:graphicData>
            </a:graphic>
          </wp:inline>
        </w:drawing>
      </w:r>
    </w:p>
    <w:p w:rsidR="008D2AB8" w:rsidRDefault="008D2AB8" w:rsidP="008D2AB8">
      <w:pPr>
        <w:widowControl w:val="0"/>
        <w:tabs>
          <w:tab w:val="left" w:pos="0"/>
          <w:tab w:val="left" w:pos="56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cs="Cambria"/>
          <w:b/>
          <w:bCs/>
          <w:color w:val="000000"/>
        </w:rPr>
      </w:pPr>
    </w:p>
    <w:p w:rsidR="008D2AB8" w:rsidRPr="00375639" w:rsidRDefault="008D2AB8" w:rsidP="008D2AB8">
      <w:pPr>
        <w:widowControl w:val="0"/>
        <w:tabs>
          <w:tab w:val="left" w:pos="0"/>
          <w:tab w:val="left" w:pos="56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cs="Cambria"/>
          <w:bCs/>
          <w:i/>
          <w:color w:val="000000"/>
        </w:rPr>
      </w:pPr>
      <w:r w:rsidRPr="006E78E0">
        <w:rPr>
          <w:rFonts w:cs="Cambria"/>
          <w:b/>
          <w:bCs/>
          <w:color w:val="000000"/>
        </w:rPr>
        <w:t xml:space="preserve">Finding 3b – Rates of </w:t>
      </w:r>
      <w:r w:rsidRPr="00022B00">
        <w:rPr>
          <w:rFonts w:cs="Cambria"/>
          <w:b/>
          <w:bCs/>
          <w:i/>
          <w:color w:val="000000"/>
        </w:rPr>
        <w:t>‘High Incidence’</w:t>
      </w:r>
      <w:r w:rsidRPr="006E78E0">
        <w:rPr>
          <w:rFonts w:cs="Cambria"/>
          <w:b/>
          <w:bCs/>
          <w:i/>
          <w:color w:val="000000"/>
        </w:rPr>
        <w:t xml:space="preserve"> </w:t>
      </w:r>
      <w:r>
        <w:rPr>
          <w:rFonts w:cs="Cambria"/>
          <w:b/>
          <w:bCs/>
          <w:color w:val="000000"/>
        </w:rPr>
        <w:t xml:space="preserve">Disability </w:t>
      </w:r>
      <w:r w:rsidRPr="006E78E0">
        <w:rPr>
          <w:rFonts w:cs="Cambria"/>
          <w:b/>
          <w:bCs/>
          <w:color w:val="000000"/>
        </w:rPr>
        <w:t>Identification and MCAS Scores</w:t>
      </w:r>
      <w:proofErr w:type="gramStart"/>
      <w:r w:rsidRPr="006E78E0">
        <w:rPr>
          <w:rFonts w:cs="Cambria"/>
          <w:b/>
          <w:bCs/>
          <w:color w:val="000000"/>
        </w:rPr>
        <w:t>:</w:t>
      </w:r>
      <w:proofErr w:type="gramEnd"/>
      <w:r w:rsidRPr="006E78E0">
        <w:rPr>
          <w:rFonts w:cs="Cambria"/>
          <w:b/>
          <w:bCs/>
          <w:color w:val="000000"/>
        </w:rPr>
        <w:br/>
      </w:r>
      <w:r w:rsidRPr="006E78E0">
        <w:rPr>
          <w:rFonts w:cs="Cambria"/>
          <w:bCs/>
          <w:i/>
          <w:color w:val="000000"/>
        </w:rPr>
        <w:t>Students in the ‘</w:t>
      </w:r>
      <w:r>
        <w:rPr>
          <w:rFonts w:cs="Cambria"/>
          <w:bCs/>
          <w:i/>
          <w:color w:val="000000"/>
        </w:rPr>
        <w:t>High Incidence</w:t>
      </w:r>
      <w:r w:rsidRPr="006E78E0">
        <w:rPr>
          <w:rFonts w:cs="Cambria"/>
          <w:bCs/>
          <w:i/>
          <w:color w:val="000000"/>
        </w:rPr>
        <w:t>’ disability categories in districts that identify a higher percentage of children as disabled do not demonstrate meaningfully higher scores on the MCAS.</w:t>
      </w:r>
      <w:r w:rsidRPr="00375639">
        <w:rPr>
          <w:rStyle w:val="FootnoteReference"/>
          <w:rFonts w:cs="Cambria"/>
          <w:bCs/>
          <w:i/>
          <w:color w:val="000000"/>
        </w:rPr>
        <w:footnoteReference w:id="11"/>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p>
    <w:p w:rsidR="008D2AB8" w:rsidRPr="00375639"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6E78E0">
        <w:rPr>
          <w:rFonts w:cs="Cambria"/>
          <w:color w:val="000000"/>
        </w:rPr>
        <w:t xml:space="preserve">We fit a series of multilevel regression models to assess the relationship between the percentage of children in a district identified in the </w:t>
      </w:r>
      <w:r w:rsidRPr="00022B00">
        <w:rPr>
          <w:i/>
        </w:rPr>
        <w:t>‘High Incidence’</w:t>
      </w:r>
      <w:r>
        <w:rPr>
          <w:i/>
        </w:rPr>
        <w:t xml:space="preserve"> </w:t>
      </w:r>
      <w:r w:rsidRPr="006E78E0">
        <w:rPr>
          <w:rFonts w:cs="Cambria"/>
          <w:color w:val="000000"/>
        </w:rPr>
        <w:t>category and those students’ scores on the MCAS. The purpose of these models was to explore whether students</w:t>
      </w:r>
      <w:r>
        <w:rPr>
          <w:rFonts w:cs="Cambria"/>
          <w:color w:val="000000"/>
        </w:rPr>
        <w:t xml:space="preserve"> in </w:t>
      </w:r>
      <w:r w:rsidRPr="00022B00">
        <w:rPr>
          <w:i/>
        </w:rPr>
        <w:t>‘High Incidence’</w:t>
      </w:r>
      <w:r>
        <w:rPr>
          <w:i/>
        </w:rPr>
        <w:t xml:space="preserve"> </w:t>
      </w:r>
      <w:r w:rsidRPr="00882FCF">
        <w:t>catagories</w:t>
      </w:r>
      <w:r>
        <w:rPr>
          <w:i/>
        </w:rPr>
        <w:t xml:space="preserve"> </w:t>
      </w:r>
      <w:r w:rsidRPr="006E78E0">
        <w:rPr>
          <w:rFonts w:cs="Cambria"/>
          <w:color w:val="000000"/>
        </w:rPr>
        <w:t>in high-identifying districts scored notably lower or higher than students</w:t>
      </w:r>
      <w:r>
        <w:rPr>
          <w:rFonts w:cs="Cambria"/>
          <w:color w:val="000000"/>
        </w:rPr>
        <w:t xml:space="preserve"> in </w:t>
      </w:r>
      <w:r w:rsidRPr="00022B00">
        <w:rPr>
          <w:i/>
        </w:rPr>
        <w:t>‘High Incidence’</w:t>
      </w:r>
      <w:r>
        <w:rPr>
          <w:i/>
        </w:rPr>
        <w:t xml:space="preserve"> </w:t>
      </w:r>
      <w:r w:rsidR="008B29AE" w:rsidRPr="00882FCF">
        <w:t>categories</w:t>
      </w:r>
      <w:r>
        <w:rPr>
          <w:i/>
        </w:rPr>
        <w:t xml:space="preserve"> </w:t>
      </w:r>
      <w:r w:rsidRPr="006E78E0">
        <w:rPr>
          <w:rFonts w:cs="Cambria"/>
          <w:color w:val="000000"/>
        </w:rPr>
        <w:t>in low-identifying districts, taking into account other relevant student- and district-level factors</w:t>
      </w:r>
      <w:r>
        <w:rPr>
          <w:rFonts w:cs="Cambria"/>
          <w:color w:val="000000"/>
        </w:rPr>
        <w:t>.</w:t>
      </w:r>
      <w:r w:rsidRPr="00375639">
        <w:rPr>
          <w:rStyle w:val="FootnoteReference"/>
          <w:rFonts w:cs="Cambria"/>
          <w:color w:val="000000"/>
        </w:rPr>
        <w:footnoteReference w:id="12"/>
      </w:r>
    </w:p>
    <w:p w:rsidR="008D2AB8" w:rsidRDefault="008B29AE"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Pr>
          <w:rFonts w:cs="Cambria"/>
          <w:color w:val="000000"/>
        </w:rPr>
        <w:lastRenderedPageBreak/>
        <w:t xml:space="preserve">Examining </w:t>
      </w:r>
      <w:r w:rsidR="008D56E5">
        <w:rPr>
          <w:rFonts w:cs="Cambria"/>
          <w:color w:val="000000"/>
        </w:rPr>
        <w:t xml:space="preserve">student-level </w:t>
      </w:r>
      <w:r>
        <w:rPr>
          <w:rFonts w:cs="Cambria"/>
          <w:color w:val="000000"/>
        </w:rPr>
        <w:t>raw</w:t>
      </w:r>
      <w:r w:rsidR="008D2AB8">
        <w:rPr>
          <w:rFonts w:cs="Cambria"/>
          <w:color w:val="000000"/>
        </w:rPr>
        <w:t xml:space="preserve"> scores on the MCAS, w</w:t>
      </w:r>
      <w:r w:rsidR="008D2AB8" w:rsidRPr="006E78E0">
        <w:rPr>
          <w:rFonts w:cs="Cambria"/>
          <w:color w:val="000000"/>
        </w:rPr>
        <w:t>e found that consistently, although students in the ‘</w:t>
      </w:r>
      <w:r w:rsidR="008D2AB8">
        <w:rPr>
          <w:rFonts w:cs="Cambria"/>
          <w:i/>
          <w:color w:val="000000"/>
        </w:rPr>
        <w:t>High Incidence</w:t>
      </w:r>
      <w:r w:rsidR="008D2AB8" w:rsidRPr="006E78E0">
        <w:rPr>
          <w:rFonts w:cs="Cambria"/>
          <w:color w:val="000000"/>
        </w:rPr>
        <w:t xml:space="preserve">’ disability categories do appear to score somewhat higher on the MCAS in high-identifying districts than in low-identifying districts, the difference in </w:t>
      </w:r>
      <w:r w:rsidR="008D2AB8" w:rsidRPr="00022B00">
        <w:rPr>
          <w:i/>
        </w:rPr>
        <w:t>‘High Incidence’</w:t>
      </w:r>
      <w:r w:rsidR="008D2AB8" w:rsidRPr="006E78E0">
        <w:rPr>
          <w:rFonts w:cs="Cambria"/>
          <w:color w:val="000000"/>
        </w:rPr>
        <w:t xml:space="preserve"> scores between low- and high-identifying districts was not substantial. The difference in average score between </w:t>
      </w:r>
      <w:r w:rsidR="008D2AB8" w:rsidRPr="00022B00">
        <w:rPr>
          <w:i/>
        </w:rPr>
        <w:t>‘High Incidence’</w:t>
      </w:r>
      <w:r w:rsidR="008D2AB8" w:rsidRPr="006E78E0">
        <w:rPr>
          <w:rFonts w:cs="Cambria"/>
          <w:color w:val="000000"/>
        </w:rPr>
        <w:t xml:space="preserve"> students in a district identifying 5% of their students as</w:t>
      </w:r>
      <w:r w:rsidR="008D2AB8">
        <w:rPr>
          <w:rFonts w:cs="Cambria"/>
          <w:color w:val="000000"/>
        </w:rPr>
        <w:t xml:space="preserve"> having a </w:t>
      </w:r>
      <w:r w:rsidR="008D2AB8" w:rsidRPr="00022B00">
        <w:rPr>
          <w:i/>
        </w:rPr>
        <w:t>‘High Incidence’</w:t>
      </w:r>
      <w:r w:rsidR="008D2AB8" w:rsidRPr="006E78E0">
        <w:rPr>
          <w:rFonts w:cs="Cambria"/>
          <w:color w:val="000000"/>
        </w:rPr>
        <w:t xml:space="preserve"> </w:t>
      </w:r>
      <w:r w:rsidR="008D2AB8">
        <w:rPr>
          <w:rFonts w:cs="Cambria"/>
          <w:color w:val="000000"/>
        </w:rPr>
        <w:t xml:space="preserve">disability </w:t>
      </w:r>
      <w:r w:rsidR="008D2AB8" w:rsidRPr="006E78E0">
        <w:rPr>
          <w:rFonts w:cs="Cambria"/>
          <w:color w:val="000000"/>
        </w:rPr>
        <w:t>(placing that district’s rate of identification at the 5</w:t>
      </w:r>
      <w:r w:rsidR="008D2AB8" w:rsidRPr="006E78E0">
        <w:rPr>
          <w:rFonts w:cs="Cambria"/>
          <w:color w:val="000000"/>
          <w:vertAlign w:val="superscript"/>
        </w:rPr>
        <w:t>th</w:t>
      </w:r>
      <w:r w:rsidR="008D2AB8" w:rsidRPr="006E78E0">
        <w:rPr>
          <w:rFonts w:cs="Cambria"/>
          <w:color w:val="000000"/>
        </w:rPr>
        <w:t xml:space="preserve"> percentile for the state) and </w:t>
      </w:r>
      <w:r w:rsidR="008D2AB8" w:rsidRPr="00022B00">
        <w:rPr>
          <w:i/>
        </w:rPr>
        <w:t>‘High Incidence’</w:t>
      </w:r>
      <w:r w:rsidR="008D2AB8" w:rsidRPr="006E78E0">
        <w:rPr>
          <w:rFonts w:cs="Cambria"/>
          <w:color w:val="000000"/>
        </w:rPr>
        <w:t xml:space="preserve"> students in a district identifying 20% of their students as</w:t>
      </w:r>
      <w:r w:rsidR="008D2AB8">
        <w:rPr>
          <w:rFonts w:cs="Cambria"/>
          <w:color w:val="000000"/>
        </w:rPr>
        <w:t xml:space="preserve"> having a</w:t>
      </w:r>
      <w:r w:rsidR="008D2AB8" w:rsidRPr="006E78E0">
        <w:rPr>
          <w:rFonts w:cs="Cambria"/>
          <w:color w:val="000000"/>
        </w:rPr>
        <w:t xml:space="preserve"> </w:t>
      </w:r>
      <w:r w:rsidR="008D2AB8" w:rsidRPr="00022B00">
        <w:rPr>
          <w:i/>
        </w:rPr>
        <w:t>‘High Incidence’</w:t>
      </w:r>
      <w:r w:rsidR="008D2AB8" w:rsidRPr="006E78E0">
        <w:rPr>
          <w:rFonts w:cs="Cambria"/>
          <w:color w:val="000000"/>
        </w:rPr>
        <w:t xml:space="preserve"> </w:t>
      </w:r>
      <w:r w:rsidR="008D2AB8">
        <w:rPr>
          <w:rFonts w:cs="Cambria"/>
          <w:color w:val="000000"/>
        </w:rPr>
        <w:t xml:space="preserve">disability </w:t>
      </w:r>
      <w:r w:rsidR="008D2AB8" w:rsidRPr="006E78E0">
        <w:rPr>
          <w:rFonts w:cs="Cambria"/>
          <w:color w:val="000000"/>
        </w:rPr>
        <w:t>(representing the 95</w:t>
      </w:r>
      <w:r w:rsidR="008D2AB8" w:rsidRPr="006E78E0">
        <w:rPr>
          <w:rFonts w:cs="Cambria"/>
          <w:color w:val="000000"/>
          <w:vertAlign w:val="superscript"/>
        </w:rPr>
        <w:t>th</w:t>
      </w:r>
      <w:r w:rsidR="008D2AB8" w:rsidRPr="006E78E0">
        <w:rPr>
          <w:rFonts w:cs="Cambria"/>
          <w:color w:val="000000"/>
        </w:rPr>
        <w:t xml:space="preserve"> percentile for identification rates in the state) was about 1.8 raw points on the 8</w:t>
      </w:r>
      <w:r w:rsidR="008D2AB8" w:rsidRPr="006E78E0">
        <w:rPr>
          <w:rFonts w:cs="Cambria"/>
          <w:color w:val="000000"/>
          <w:vertAlign w:val="superscript"/>
        </w:rPr>
        <w:t>th</w:t>
      </w:r>
      <w:r w:rsidR="008D2AB8" w:rsidRPr="006E78E0">
        <w:rPr>
          <w:rFonts w:cs="Cambria"/>
          <w:color w:val="000000"/>
        </w:rPr>
        <w:t xml:space="preserve"> grade math and English assessments</w:t>
      </w:r>
      <w:r w:rsidR="008D2AB8">
        <w:rPr>
          <w:rFonts w:cs="Cambria"/>
          <w:color w:val="000000"/>
        </w:rPr>
        <w:t>.</w:t>
      </w:r>
    </w:p>
    <w:p w:rsidR="008D2AB8"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p>
    <w:p w:rsidR="008D2AB8"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Pr>
          <w:rFonts w:cs="Cambria"/>
          <w:color w:val="000000"/>
        </w:rPr>
        <w:t xml:space="preserve">Looking at MCAS performance categories, we </w:t>
      </w:r>
      <w:r w:rsidR="008B29AE">
        <w:rPr>
          <w:rFonts w:cs="Cambria"/>
          <w:color w:val="000000"/>
        </w:rPr>
        <w:t xml:space="preserve">also </w:t>
      </w:r>
      <w:r>
        <w:rPr>
          <w:rFonts w:cs="Cambria"/>
          <w:color w:val="000000"/>
        </w:rPr>
        <w:t xml:space="preserve">examined </w:t>
      </w:r>
      <w:r w:rsidRPr="006E78E0">
        <w:rPr>
          <w:rFonts w:cs="Cambria"/>
          <w:color w:val="000000"/>
        </w:rPr>
        <w:t xml:space="preserve">the combined percentages of students (special and general education) who scored </w:t>
      </w:r>
      <w:r>
        <w:rPr>
          <w:rFonts w:cs="Cambria"/>
          <w:i/>
          <w:color w:val="000000"/>
        </w:rPr>
        <w:t>Proficient</w:t>
      </w:r>
      <w:r w:rsidRPr="006E78E0">
        <w:rPr>
          <w:rFonts w:cs="Cambria"/>
          <w:color w:val="000000"/>
        </w:rPr>
        <w:t xml:space="preserve"> or </w:t>
      </w:r>
      <w:r>
        <w:rPr>
          <w:rFonts w:cs="Cambria"/>
          <w:i/>
          <w:color w:val="000000"/>
        </w:rPr>
        <w:t>Advanced</w:t>
      </w:r>
      <w:r w:rsidRPr="006E78E0">
        <w:rPr>
          <w:rFonts w:cs="Cambria"/>
          <w:color w:val="000000"/>
        </w:rPr>
        <w:t xml:space="preserve"> on </w:t>
      </w:r>
      <w:r>
        <w:rPr>
          <w:rFonts w:cs="Cambria"/>
          <w:color w:val="000000"/>
        </w:rPr>
        <w:t xml:space="preserve">the </w:t>
      </w:r>
      <w:r w:rsidRPr="006E78E0">
        <w:rPr>
          <w:rFonts w:cs="Cambria"/>
          <w:color w:val="000000"/>
        </w:rPr>
        <w:t>MCAS</w:t>
      </w:r>
      <w:r w:rsidR="000879AE">
        <w:rPr>
          <w:rFonts w:cs="Cambria"/>
          <w:color w:val="000000"/>
        </w:rPr>
        <w:t xml:space="preserve"> and</w:t>
      </w:r>
      <w:r>
        <w:rPr>
          <w:rFonts w:cs="Cambria"/>
          <w:color w:val="000000"/>
        </w:rPr>
        <w:t xml:space="preserve"> </w:t>
      </w:r>
      <w:r w:rsidR="008B29AE">
        <w:rPr>
          <w:rFonts w:cs="Cambria"/>
          <w:color w:val="000000"/>
        </w:rPr>
        <w:t xml:space="preserve">once again </w:t>
      </w:r>
      <w:r w:rsidRPr="006E78E0">
        <w:rPr>
          <w:rFonts w:cs="Cambria"/>
          <w:color w:val="000000"/>
        </w:rPr>
        <w:t xml:space="preserve">we </w:t>
      </w:r>
      <w:r w:rsidR="008D56E5">
        <w:rPr>
          <w:rFonts w:cs="Cambria"/>
          <w:color w:val="000000"/>
        </w:rPr>
        <w:t>did</w:t>
      </w:r>
      <w:r w:rsidRPr="006E78E0">
        <w:rPr>
          <w:rFonts w:cs="Cambria"/>
          <w:color w:val="000000"/>
        </w:rPr>
        <w:t xml:space="preserve"> not see a clear trend regarding the relationship between district rates of special education </w:t>
      </w:r>
      <w:r>
        <w:rPr>
          <w:rFonts w:cs="Cambria"/>
          <w:color w:val="000000"/>
        </w:rPr>
        <w:t xml:space="preserve">identification </w:t>
      </w:r>
      <w:r w:rsidRPr="006E78E0">
        <w:rPr>
          <w:rFonts w:cs="Cambria"/>
          <w:color w:val="000000"/>
        </w:rPr>
        <w:t xml:space="preserve">and overall student performance. That said, we </w:t>
      </w:r>
      <w:r w:rsidR="008D56E5">
        <w:rPr>
          <w:rFonts w:cs="Cambria"/>
          <w:color w:val="000000"/>
        </w:rPr>
        <w:t>did</w:t>
      </w:r>
      <w:r w:rsidRPr="006E78E0">
        <w:rPr>
          <w:rFonts w:cs="Cambria"/>
          <w:color w:val="000000"/>
        </w:rPr>
        <w:t xml:space="preserve"> find some evidence </w:t>
      </w:r>
      <w:r w:rsidR="008B29AE">
        <w:rPr>
          <w:rFonts w:cs="Cambria"/>
          <w:color w:val="000000"/>
        </w:rPr>
        <w:t>in uncontrolled analyse</w:t>
      </w:r>
      <w:r>
        <w:rPr>
          <w:rFonts w:cs="Cambria"/>
          <w:color w:val="000000"/>
        </w:rPr>
        <w:t xml:space="preserve">s, </w:t>
      </w:r>
      <w:r w:rsidRPr="006E78E0">
        <w:rPr>
          <w:rFonts w:cs="Cambria"/>
          <w:color w:val="000000"/>
        </w:rPr>
        <w:t xml:space="preserve">that students in highly inclusive districts, on average, earn higher marks than students in districts that include a relatively low percentage of students with disabilities.  </w:t>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6E78E0">
        <w:rPr>
          <w:rFonts w:cs="Cambria"/>
          <w:color w:val="000000"/>
        </w:rPr>
        <w:t>We take the finding</w:t>
      </w:r>
      <w:r w:rsidR="00D612AE">
        <w:rPr>
          <w:rFonts w:cs="Cambria"/>
          <w:color w:val="000000"/>
        </w:rPr>
        <w:t xml:space="preserve"> regarding test scores and rates of identification </w:t>
      </w:r>
      <w:r w:rsidRPr="006E78E0">
        <w:rPr>
          <w:rFonts w:cs="Cambria"/>
          <w:color w:val="000000"/>
        </w:rPr>
        <w:t xml:space="preserve">to be sensible, given the reasonable likelihood that students with </w:t>
      </w:r>
      <w:r w:rsidR="00D612AE">
        <w:rPr>
          <w:rFonts w:cs="Cambria"/>
          <w:color w:val="000000"/>
        </w:rPr>
        <w:t>‘</w:t>
      </w:r>
      <w:r>
        <w:rPr>
          <w:rFonts w:cs="Cambria"/>
          <w:i/>
          <w:color w:val="000000"/>
        </w:rPr>
        <w:t>High Incidence</w:t>
      </w:r>
      <w:r w:rsidRPr="006E78E0">
        <w:rPr>
          <w:rFonts w:cs="Cambria"/>
          <w:color w:val="000000"/>
        </w:rPr>
        <w:t>’ disabilities in high identifying districts are likely to be</w:t>
      </w:r>
      <w:r w:rsidR="008B29AE">
        <w:rPr>
          <w:rFonts w:cs="Cambria"/>
          <w:color w:val="000000"/>
        </w:rPr>
        <w:t>, on average,</w:t>
      </w:r>
      <w:r w:rsidRPr="006E78E0">
        <w:rPr>
          <w:rFonts w:cs="Cambria"/>
          <w:color w:val="000000"/>
        </w:rPr>
        <w:t xml:space="preserve"> less severely disabled than students with ‘</w:t>
      </w:r>
      <w:r>
        <w:rPr>
          <w:rFonts w:cs="Cambria"/>
          <w:i/>
          <w:color w:val="000000"/>
        </w:rPr>
        <w:t>High Incidence</w:t>
      </w:r>
      <w:r w:rsidRPr="006E78E0">
        <w:rPr>
          <w:rFonts w:cs="Cambria"/>
          <w:color w:val="000000"/>
        </w:rPr>
        <w:t>’</w:t>
      </w:r>
      <w:r w:rsidR="002E334F">
        <w:rPr>
          <w:rFonts w:cs="Cambria"/>
          <w:color w:val="000000"/>
        </w:rPr>
        <w:t xml:space="preserve"> </w:t>
      </w:r>
      <w:r w:rsidRPr="006E78E0">
        <w:rPr>
          <w:rFonts w:cs="Cambria"/>
          <w:color w:val="000000"/>
        </w:rPr>
        <w:t xml:space="preserve">disabilities in low identifying districts.  We therefore conclude that the difference in average scores is not only small but also likely driven by the ability levels of more mildly disabled students rather than by district rates of identification per se. </w:t>
      </w:r>
      <w:r w:rsidR="002E334F">
        <w:rPr>
          <w:rFonts w:cs="Cambria"/>
          <w:color w:val="000000"/>
        </w:rPr>
        <w:t>We examine this relation</w:t>
      </w:r>
      <w:r w:rsidR="008B29AE">
        <w:rPr>
          <w:rFonts w:cs="Cambria"/>
          <w:color w:val="000000"/>
        </w:rPr>
        <w:t>ship</w:t>
      </w:r>
      <w:r w:rsidR="002E334F">
        <w:rPr>
          <w:rFonts w:cs="Cambria"/>
          <w:color w:val="000000"/>
        </w:rPr>
        <w:t xml:space="preserve"> in more detail </w:t>
      </w:r>
      <w:r>
        <w:rPr>
          <w:rFonts w:cs="Cambria"/>
          <w:color w:val="000000"/>
        </w:rPr>
        <w:t xml:space="preserve">in Part 6 of this report </w:t>
      </w:r>
      <w:r w:rsidRPr="006E78E0">
        <w:rPr>
          <w:rFonts w:cs="Cambria"/>
          <w:color w:val="000000"/>
        </w:rPr>
        <w:br/>
      </w:r>
    </w:p>
    <w:p w:rsidR="008D2AB8" w:rsidRPr="006E78E0" w:rsidRDefault="008D56E5" w:rsidP="008D2AB8">
      <w:pPr>
        <w:outlineLvl w:val="0"/>
        <w:rPr>
          <w:b/>
        </w:rPr>
      </w:pPr>
      <w:r>
        <w:rPr>
          <w:b/>
        </w:rPr>
        <w:br w:type="page"/>
      </w:r>
      <w:r w:rsidR="008D2AB8" w:rsidRPr="006E78E0">
        <w:rPr>
          <w:b/>
        </w:rPr>
        <w:lastRenderedPageBreak/>
        <w:t>Question 3: Summary</w:t>
      </w:r>
      <w:r w:rsidR="008D2AB8" w:rsidRPr="006E78E0">
        <w:rPr>
          <w:b/>
        </w:rPr>
        <w:br/>
      </w:r>
    </w:p>
    <w:p w:rsidR="008D2AB8" w:rsidRPr="008B29AE" w:rsidRDefault="008D2AB8" w:rsidP="008D2AB8">
      <w:pPr>
        <w:numPr>
          <w:ilvl w:val="0"/>
          <w:numId w:val="15"/>
        </w:numPr>
        <w:outlineLvl w:val="0"/>
      </w:pPr>
      <w:r w:rsidRPr="006E78E0">
        <w:rPr>
          <w:bCs/>
        </w:rPr>
        <w:t xml:space="preserve">The performance of a school district’s general education students is, on average, the strongest predictor of the performance of a district’s special education students.   </w:t>
      </w:r>
    </w:p>
    <w:p w:rsidR="008B29AE" w:rsidRPr="00931101" w:rsidRDefault="008B29AE" w:rsidP="008B29AE">
      <w:pPr>
        <w:ind w:left="720"/>
        <w:outlineLvl w:val="0"/>
      </w:pPr>
    </w:p>
    <w:p w:rsidR="008D2AB8" w:rsidRPr="00931101" w:rsidRDefault="008D2AB8" w:rsidP="008D2AB8">
      <w:pPr>
        <w:numPr>
          <w:ilvl w:val="0"/>
          <w:numId w:val="15"/>
        </w:numPr>
        <w:outlineLvl w:val="0"/>
      </w:pPr>
      <w:r w:rsidRPr="006E78E0">
        <w:t xml:space="preserve">Students in the </w:t>
      </w:r>
      <w:r w:rsidRPr="00931101">
        <w:rPr>
          <w:i/>
        </w:rPr>
        <w:t>‘High Incidence’</w:t>
      </w:r>
      <w:r w:rsidRPr="006E78E0">
        <w:t xml:space="preserve"> disability categories in districts that identify a higher percentage of children as disabled do not demonstrate meaningfully higher scores on the MCAS.</w:t>
      </w:r>
    </w:p>
    <w:p w:rsidR="008D2AB8" w:rsidRPr="006E78E0" w:rsidRDefault="008D2AB8" w:rsidP="008D2AB8">
      <w:pPr>
        <w:rPr>
          <w:i/>
        </w:rPr>
      </w:pPr>
      <w:r>
        <w:rPr>
          <w:i/>
        </w:rPr>
        <w:br w:type="page"/>
      </w:r>
      <w:r w:rsidRPr="00A30D24">
        <w:rPr>
          <w:i/>
          <w:sz w:val="40"/>
          <w:szCs w:val="40"/>
        </w:rPr>
        <w:lastRenderedPageBreak/>
        <w:t>Part 4:</w:t>
      </w:r>
      <w:r w:rsidRPr="006E78E0">
        <w:rPr>
          <w:i/>
        </w:rPr>
        <w:t xml:space="preserve"> Detailed findings describing the relationship between student characteristics and likelihood of being identified as eligible for special education services</w:t>
      </w:r>
    </w:p>
    <w:p w:rsidR="008D2AB8" w:rsidRPr="006E78E0" w:rsidRDefault="008D2AB8" w:rsidP="008D2AB8">
      <w:pPr>
        <w:rPr>
          <w:b/>
        </w:rPr>
      </w:pPr>
    </w:p>
    <w:p w:rsidR="008D2AB8" w:rsidRPr="00A30D24" w:rsidRDefault="008D2AB8" w:rsidP="008D2AB8">
      <w:r w:rsidRPr="006E78E0">
        <w:rPr>
          <w:b/>
        </w:rPr>
        <w:t xml:space="preserve">Question 4:  </w:t>
      </w:r>
      <w:r w:rsidRPr="00A30D24">
        <w:t xml:space="preserve">Are some students more likely than other students to be identified as eligible for special education?  </w:t>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8D2AB8" w:rsidRPr="006E78E0" w:rsidRDefault="008D2AB8" w:rsidP="008D2AB8">
      <w:pPr>
        <w:widowControl w:val="0"/>
        <w:tabs>
          <w:tab w:val="left" w:pos="0"/>
          <w:tab w:val="left" w:pos="180"/>
        </w:tabs>
        <w:autoSpaceDE w:val="0"/>
        <w:autoSpaceDN w:val="0"/>
        <w:adjustRightInd w:val="0"/>
        <w:ind w:left="1350" w:hanging="1440"/>
        <w:rPr>
          <w:b/>
        </w:rPr>
      </w:pPr>
      <w:r w:rsidRPr="006E78E0">
        <w:rPr>
          <w:b/>
        </w:rPr>
        <w:tab/>
        <w:t>Finding 4a – Student</w:t>
      </w:r>
      <w:r w:rsidR="004A1DB0">
        <w:rPr>
          <w:b/>
        </w:rPr>
        <w:t xml:space="preserve"> Race and Special Education:   </w:t>
      </w:r>
      <w:r w:rsidRPr="006E78E0">
        <w:rPr>
          <w:b/>
        </w:rPr>
        <w:br/>
      </w:r>
      <w:r w:rsidRPr="006E78E0">
        <w:rPr>
          <w:i/>
        </w:rPr>
        <w:t xml:space="preserve">Despite the fact that African American and Latino students are identified </w:t>
      </w:r>
      <w:proofErr w:type="gramStart"/>
      <w:r w:rsidRPr="006E78E0">
        <w:rPr>
          <w:i/>
        </w:rPr>
        <w:t>as eligible for special education at slightly higher rates than</w:t>
      </w:r>
      <w:proofErr w:type="gramEnd"/>
      <w:r w:rsidRPr="006E78E0">
        <w:rPr>
          <w:i/>
        </w:rPr>
        <w:t xml:space="preserve"> White students, this disparity virtually disappears when we consider other relevant district and student characteristics including socio-economic status, </w:t>
      </w:r>
      <w:r w:rsidR="004A1DB0">
        <w:rPr>
          <w:i/>
        </w:rPr>
        <w:t xml:space="preserve">which </w:t>
      </w:r>
      <w:r w:rsidR="008D56E5">
        <w:rPr>
          <w:i/>
        </w:rPr>
        <w:t>appears to be</w:t>
      </w:r>
      <w:r w:rsidR="004A1DB0">
        <w:rPr>
          <w:i/>
        </w:rPr>
        <w:t xml:space="preserve"> the main driver of the</w:t>
      </w:r>
      <w:r w:rsidRPr="006E78E0">
        <w:rPr>
          <w:i/>
        </w:rPr>
        <w:t xml:space="preserve"> race differential. </w:t>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8D2AB8" w:rsidRPr="006E78E0" w:rsidRDefault="008D2AB8" w:rsidP="008D2AB8">
      <w:r w:rsidRPr="006E78E0">
        <w:t>Approximately 22% of African American and 21% of Latino students in Massachusetts are students with disabilities. This is higher than the rates of disability identification for White studen</w:t>
      </w:r>
      <w:r w:rsidR="008D56E5">
        <w:t>ts, which are approximately 17%</w:t>
      </w:r>
      <w:r w:rsidRPr="006E78E0">
        <w:t>, as well as for Asian students, which are approximately 9%. While the differential between rates for African American and Latino students and rates for White</w:t>
      </w:r>
      <w:r w:rsidR="004A1DB0">
        <w:t xml:space="preserve"> and Asian</w:t>
      </w:r>
      <w:r w:rsidRPr="006E78E0">
        <w:t xml:space="preserve"> students might appear substantial at first, we see a different picture when we control for other student and </w:t>
      </w:r>
      <w:r w:rsidR="006240D9">
        <w:t xml:space="preserve">district-level </w:t>
      </w:r>
      <w:r w:rsidRPr="006E78E0">
        <w:t xml:space="preserve">characteristics. </w:t>
      </w:r>
    </w:p>
    <w:p w:rsidR="008D2AB8" w:rsidRPr="006E78E0" w:rsidRDefault="008D2AB8" w:rsidP="008D2AB8"/>
    <w:p w:rsidR="008D2AB8" w:rsidRPr="006E78E0" w:rsidRDefault="008D2AB8" w:rsidP="008D2AB8">
      <w:r w:rsidRPr="006E78E0">
        <w:t xml:space="preserve">We fit a series of multilevel logistic regression models to predict the probability that a child would receive a </w:t>
      </w:r>
      <w:r w:rsidRPr="00022B00">
        <w:rPr>
          <w:i/>
        </w:rPr>
        <w:t>‘High Incidence’</w:t>
      </w:r>
      <w:r w:rsidRPr="006E78E0">
        <w:t xml:space="preserve"> designation</w:t>
      </w:r>
      <w:r w:rsidRPr="00375639">
        <w:rPr>
          <w:rStyle w:val="FootnoteReference"/>
        </w:rPr>
        <w:footnoteReference w:id="13"/>
      </w:r>
      <w:r w:rsidRPr="00375639">
        <w:t xml:space="preserve"> while taking into account a variety of other relevant factors. These analyses indicated that the difference in the odds that an African American or Latino student compared to a White or Asian student would be identified as having one of these disabil</w:t>
      </w:r>
      <w:r w:rsidRPr="006E78E0">
        <w:t xml:space="preserve">ities were quite small. For example, the fitted odds ratio that an African American student compared to a White student would be identified as having a </w:t>
      </w:r>
      <w:r w:rsidRPr="00022B00">
        <w:rPr>
          <w:i/>
        </w:rPr>
        <w:t>‘High Incidence’</w:t>
      </w:r>
      <w:r w:rsidRPr="006E78E0">
        <w:t xml:space="preserve"> disability were 1.01. The magnitude of this differential is not only trivial, but also substantially smaller than the magnitude of differentials found in other areas of the country, where we and other researchers have observed large and systematic patterns of race-based overrepresentation (Hehir et al., 2010; Losen</w:t>
      </w:r>
      <w:r>
        <w:t xml:space="preserve"> </w:t>
      </w:r>
      <w:r w:rsidRPr="006E78E0">
        <w:t>&amp;</w:t>
      </w:r>
      <w:r>
        <w:t xml:space="preserve"> </w:t>
      </w:r>
      <w:r w:rsidRPr="006E78E0">
        <w:t xml:space="preserve">Orfield, 2002). </w:t>
      </w:r>
    </w:p>
    <w:p w:rsidR="008D2AB8" w:rsidRPr="006E78E0" w:rsidRDefault="008D2AB8" w:rsidP="008D2AB8"/>
    <w:p w:rsidR="008D2AB8" w:rsidRPr="006E78E0" w:rsidRDefault="00483553" w:rsidP="008D2AB8">
      <w:pPr>
        <w:ind w:left="1350" w:hanging="1350"/>
        <w:rPr>
          <w:i/>
        </w:rPr>
      </w:pPr>
      <w:r>
        <w:rPr>
          <w:b/>
        </w:rPr>
        <w:br w:type="page"/>
      </w:r>
      <w:r w:rsidR="008D2AB8" w:rsidRPr="006E78E0">
        <w:rPr>
          <w:b/>
        </w:rPr>
        <w:lastRenderedPageBreak/>
        <w:t xml:space="preserve">Finding 4b – Student Socioeconomic Status and Special Education: </w:t>
      </w:r>
      <w:r w:rsidR="008D2AB8" w:rsidRPr="006E78E0">
        <w:rPr>
          <w:b/>
        </w:rPr>
        <w:br/>
      </w:r>
      <w:r w:rsidR="008D2AB8" w:rsidRPr="006E78E0">
        <w:rPr>
          <w:i/>
        </w:rPr>
        <w:t xml:space="preserve">Low-income students are nearly twice as likely as students who are not low-income to be identified as having a </w:t>
      </w:r>
      <w:r w:rsidR="008D2AB8" w:rsidRPr="00022B00">
        <w:rPr>
          <w:i/>
        </w:rPr>
        <w:t>‘High Incidence’</w:t>
      </w:r>
      <w:r w:rsidR="008D2AB8" w:rsidRPr="006E78E0">
        <w:rPr>
          <w:i/>
        </w:rPr>
        <w:t xml:space="preserve"> designation. This is particularly true for low-income students in relatively high-income school districts.  </w:t>
      </w:r>
    </w:p>
    <w:p w:rsidR="008D2AB8" w:rsidRPr="006E78E0" w:rsidRDefault="008D2AB8" w:rsidP="008D2AB8">
      <w:pPr>
        <w:rPr>
          <w:i/>
        </w:rPr>
      </w:pPr>
    </w:p>
    <w:p w:rsidR="008D2AB8" w:rsidRPr="006E78E0" w:rsidRDefault="008D2AB8" w:rsidP="008D2AB8">
      <w:pPr>
        <w:rPr>
          <w:rFonts w:cs="Cambria"/>
          <w:color w:val="000000"/>
        </w:rPr>
      </w:pPr>
      <w:r w:rsidRPr="006E78E0">
        <w:rPr>
          <w:rFonts w:cs="Cambria"/>
          <w:color w:val="000000"/>
        </w:rPr>
        <w:t>Approximately 23% of low-income students in Massachusetts are students with disabilities, compared to about 15% of students who are not low-income. This disparity in rates persists after we take into account the potential effect of relevant student and district characteristics</w:t>
      </w:r>
      <w:r w:rsidRPr="00375639">
        <w:rPr>
          <w:rStyle w:val="FootnoteReference"/>
          <w:rFonts w:cs="Cambria"/>
          <w:color w:val="000000"/>
        </w:rPr>
        <w:footnoteReference w:id="14"/>
      </w:r>
      <w:r w:rsidRPr="00375639">
        <w:rPr>
          <w:rFonts w:cs="Cambria"/>
          <w:color w:val="000000"/>
        </w:rPr>
        <w:t xml:space="preserve"> on </w:t>
      </w:r>
      <w:r>
        <w:rPr>
          <w:rFonts w:cs="Cambria"/>
          <w:color w:val="000000"/>
        </w:rPr>
        <w:t xml:space="preserve">the </w:t>
      </w:r>
      <w:r w:rsidRPr="00375639">
        <w:rPr>
          <w:rFonts w:cs="Cambria"/>
          <w:color w:val="000000"/>
        </w:rPr>
        <w:t>likelihood of being identified as eligible for services. We fit a series of multilevel logistic regression models and found strong evidence that low-income students are disproportionately identified</w:t>
      </w:r>
      <w:r w:rsidRPr="006E78E0">
        <w:rPr>
          <w:rFonts w:cs="Cambria"/>
          <w:color w:val="000000"/>
        </w:rPr>
        <w:t xml:space="preserve"> as eligible for special education. In these controlled models, we found that the </w:t>
      </w:r>
      <w:r w:rsidRPr="006E78E0">
        <w:t xml:space="preserve">odds that a low-income student would receive a </w:t>
      </w:r>
      <w:r w:rsidRPr="00022B00">
        <w:rPr>
          <w:i/>
        </w:rPr>
        <w:t>‘High Incidence’</w:t>
      </w:r>
      <w:r w:rsidRPr="006E78E0">
        <w:t xml:space="preserve"> </w:t>
      </w:r>
      <w:r w:rsidR="004A1DB0">
        <w:t xml:space="preserve">disability </w:t>
      </w:r>
      <w:r w:rsidRPr="006E78E0">
        <w:t>designation are 1.95 times the odds for a student who is not low-income.</w:t>
      </w:r>
    </w:p>
    <w:p w:rsidR="008D2AB8" w:rsidRPr="006E78E0" w:rsidRDefault="008D2AB8" w:rsidP="008D2AB8">
      <w:pPr>
        <w:rPr>
          <w:rFonts w:cs="Cambria"/>
          <w:color w:val="000000"/>
        </w:rPr>
      </w:pPr>
    </w:p>
    <w:p w:rsidR="008D2AB8" w:rsidRPr="006E78E0" w:rsidRDefault="008D2AB8" w:rsidP="008D2AB8">
      <w:pPr>
        <w:rPr>
          <w:rFonts w:cs="Cambria"/>
          <w:color w:val="000000"/>
        </w:rPr>
      </w:pPr>
      <w:r w:rsidRPr="006E78E0">
        <w:rPr>
          <w:rFonts w:cs="Cambria"/>
          <w:color w:val="000000"/>
        </w:rPr>
        <w:t xml:space="preserve">We also find that the disproportion in odds between low-income and non-low-income students differs as a function of district-level percentage of low-income students. In Figure </w:t>
      </w:r>
      <w:r w:rsidR="005A2FBF">
        <w:rPr>
          <w:rFonts w:cs="Cambria"/>
          <w:color w:val="000000"/>
        </w:rPr>
        <w:t>4</w:t>
      </w:r>
      <w:r w:rsidRPr="006E78E0">
        <w:rPr>
          <w:rFonts w:cs="Cambria"/>
          <w:color w:val="000000"/>
        </w:rPr>
        <w:t xml:space="preserve"> (below) we display an example of this relationship. Controlling for relevant student and district characteristics we find that the odds that a low-income elementary school student </w:t>
      </w:r>
      <w:r w:rsidRPr="006E78E0">
        <w:rPr>
          <w:rFonts w:cs="Cambria"/>
          <w:i/>
          <w:color w:val="000000"/>
        </w:rPr>
        <w:t>in a district that enrolls a large percentage of low-income students</w:t>
      </w:r>
      <w:r w:rsidRPr="006E78E0">
        <w:rPr>
          <w:rFonts w:cs="Cambria"/>
          <w:color w:val="000000"/>
        </w:rPr>
        <w:t xml:space="preserve"> (ap</w:t>
      </w:r>
      <w:r w:rsidR="004A1DB0">
        <w:rPr>
          <w:rFonts w:cs="Cambria"/>
          <w:color w:val="000000"/>
        </w:rPr>
        <w:t>proximately 45%) will receive a</w:t>
      </w:r>
      <w:r w:rsidRPr="006E78E0">
        <w:rPr>
          <w:rFonts w:cs="Cambria"/>
          <w:color w:val="000000"/>
        </w:rPr>
        <w:t xml:space="preserve"> </w:t>
      </w:r>
      <w:r w:rsidR="004A1DB0">
        <w:rPr>
          <w:rFonts w:cs="Cambria"/>
          <w:color w:val="000000"/>
        </w:rPr>
        <w:t xml:space="preserve">Specific </w:t>
      </w:r>
      <w:r w:rsidRPr="006E78E0">
        <w:rPr>
          <w:rFonts w:cs="Cambria"/>
          <w:color w:val="000000"/>
        </w:rPr>
        <w:t>L</w:t>
      </w:r>
      <w:r w:rsidR="004A1DB0">
        <w:rPr>
          <w:rFonts w:cs="Cambria"/>
          <w:color w:val="000000"/>
        </w:rPr>
        <w:t xml:space="preserve">earning </w:t>
      </w:r>
      <w:r w:rsidRPr="006E78E0">
        <w:rPr>
          <w:rFonts w:cs="Cambria"/>
          <w:color w:val="000000"/>
        </w:rPr>
        <w:t>D</w:t>
      </w:r>
      <w:r w:rsidR="004A1DB0">
        <w:rPr>
          <w:rFonts w:cs="Cambria"/>
          <w:color w:val="000000"/>
        </w:rPr>
        <w:t>isability</w:t>
      </w:r>
      <w:r w:rsidRPr="006E78E0">
        <w:rPr>
          <w:rFonts w:cs="Cambria"/>
          <w:color w:val="000000"/>
        </w:rPr>
        <w:t xml:space="preserve"> designation are 1.86 times the odds for a non-low-income student. When we compare low-income and non-low-income students </w:t>
      </w:r>
      <w:r w:rsidRPr="006E78E0">
        <w:rPr>
          <w:rFonts w:cs="Cambria"/>
          <w:i/>
          <w:color w:val="000000"/>
        </w:rPr>
        <w:t>in districts that enroll a small percentage of low-income students</w:t>
      </w:r>
      <w:r w:rsidR="004A1DB0">
        <w:rPr>
          <w:rFonts w:cs="Cambria"/>
          <w:i/>
          <w:color w:val="000000"/>
        </w:rPr>
        <w:t xml:space="preserve"> </w:t>
      </w:r>
      <w:r w:rsidRPr="006E78E0">
        <w:t>(approximately 4%), we see that the corresponding fitted odds ratio is substantially higher, approximately 2.6.</w:t>
      </w:r>
    </w:p>
    <w:p w:rsidR="008D2AB8" w:rsidRPr="006E78E0" w:rsidRDefault="008D2AB8" w:rsidP="008D2AB8">
      <w:pPr>
        <w:rPr>
          <w:rFonts w:cs="Cambria"/>
          <w:color w:val="000000"/>
        </w:rPr>
      </w:pPr>
    </w:p>
    <w:p w:rsidR="008D2AB8" w:rsidRPr="006E78E0" w:rsidRDefault="008D2AB8" w:rsidP="008D2AB8">
      <w:pPr>
        <w:rPr>
          <w:rFonts w:cs="Cambria"/>
          <w:color w:val="000000"/>
        </w:rPr>
      </w:pPr>
    </w:p>
    <w:p w:rsidR="008D2AB8" w:rsidRPr="006E78E0" w:rsidRDefault="008D2AB8" w:rsidP="008D2AB8">
      <w:pPr>
        <w:rPr>
          <w:rFonts w:cs="Cambria"/>
          <w:color w:val="000000"/>
        </w:rPr>
      </w:pPr>
    </w:p>
    <w:p w:rsidR="008D2AB8" w:rsidRPr="006E78E0" w:rsidRDefault="008D2AB8" w:rsidP="008D2AB8">
      <w:pPr>
        <w:rPr>
          <w:rFonts w:cs="Cambria"/>
          <w:color w:val="000000"/>
        </w:rPr>
      </w:pPr>
    </w:p>
    <w:p w:rsidR="008D2AB8" w:rsidRPr="006E78E0" w:rsidRDefault="008D2AB8" w:rsidP="008D2AB8">
      <w:pPr>
        <w:rPr>
          <w:rFonts w:cs="Cambria"/>
          <w:color w:val="000000"/>
        </w:rPr>
      </w:pPr>
    </w:p>
    <w:p w:rsidR="008D2AB8" w:rsidRPr="006E78E0" w:rsidRDefault="008D2AB8" w:rsidP="008D2AB8">
      <w:pPr>
        <w:rPr>
          <w:rFonts w:cs="Cambria"/>
          <w:color w:val="000000"/>
        </w:rPr>
      </w:pPr>
    </w:p>
    <w:p w:rsidR="008D2AB8" w:rsidRPr="006E78E0" w:rsidRDefault="008D2AB8" w:rsidP="008D2AB8">
      <w:pPr>
        <w:rPr>
          <w:rFonts w:cs="Cambria"/>
          <w:color w:val="000000"/>
        </w:rPr>
      </w:pPr>
    </w:p>
    <w:p w:rsidR="008D2AB8" w:rsidRPr="006E78E0" w:rsidRDefault="008D2AB8" w:rsidP="008D2AB8">
      <w:pPr>
        <w:rPr>
          <w:rFonts w:cs="Cambria"/>
          <w:color w:val="000000"/>
        </w:rPr>
      </w:pPr>
    </w:p>
    <w:p w:rsidR="008D2AB8" w:rsidRPr="006E78E0" w:rsidRDefault="008D2AB8" w:rsidP="008D2AB8">
      <w:pPr>
        <w:rPr>
          <w:rFonts w:cs="Cambria"/>
          <w:color w:val="000000"/>
        </w:rPr>
      </w:pPr>
    </w:p>
    <w:p w:rsidR="008D2AB8" w:rsidRPr="006E78E0" w:rsidRDefault="008D2AB8" w:rsidP="008D2AB8">
      <w:pPr>
        <w:rPr>
          <w:rFonts w:cs="Cambria"/>
          <w:color w:val="000000"/>
        </w:rPr>
      </w:pPr>
    </w:p>
    <w:p w:rsidR="008D2AB8" w:rsidRPr="006E78E0" w:rsidRDefault="008D2AB8" w:rsidP="008D2AB8">
      <w:pPr>
        <w:rPr>
          <w:rFonts w:cs="Cambria"/>
          <w:color w:val="000000"/>
        </w:rPr>
      </w:pPr>
    </w:p>
    <w:p w:rsidR="008D2AB8" w:rsidRPr="006E78E0" w:rsidRDefault="008D2AB8" w:rsidP="008D2AB8">
      <w:pPr>
        <w:rPr>
          <w:rFonts w:cs="Cambria"/>
          <w:color w:val="000000"/>
        </w:rPr>
      </w:pPr>
    </w:p>
    <w:p w:rsidR="008D2AB8" w:rsidRPr="006E78E0" w:rsidRDefault="008D2AB8" w:rsidP="008D2AB8">
      <w:pPr>
        <w:rPr>
          <w:rFonts w:cs="Cambria"/>
          <w:color w:val="000000"/>
        </w:rPr>
      </w:pPr>
    </w:p>
    <w:p w:rsidR="008D2AB8" w:rsidRPr="006E78E0" w:rsidRDefault="008D2AB8" w:rsidP="008D2AB8">
      <w:pPr>
        <w:rPr>
          <w:rFonts w:cs="Cambria"/>
          <w:color w:val="000000"/>
        </w:rPr>
      </w:pPr>
    </w:p>
    <w:p w:rsidR="008D2AB8" w:rsidRPr="006E78E0" w:rsidRDefault="008D2AB8" w:rsidP="008D2AB8">
      <w:pPr>
        <w:rPr>
          <w:rFonts w:cs="Cambria"/>
          <w:color w:val="000000"/>
        </w:rPr>
      </w:pPr>
    </w:p>
    <w:p w:rsidR="008D2AB8" w:rsidRPr="006E78E0" w:rsidRDefault="008D2AB8" w:rsidP="008D2AB8">
      <w:pPr>
        <w:rPr>
          <w:rFonts w:cs="Cambria"/>
          <w:color w:val="000000"/>
        </w:rPr>
      </w:pPr>
    </w:p>
    <w:p w:rsidR="008D2AB8" w:rsidRPr="006E78E0" w:rsidRDefault="008D2AB8" w:rsidP="008D2AB8">
      <w:pPr>
        <w:rPr>
          <w:rFonts w:cs="Cambria"/>
          <w:color w:val="000000"/>
        </w:rPr>
      </w:pPr>
    </w:p>
    <w:p w:rsidR="008D2AB8" w:rsidRPr="006E78E0" w:rsidRDefault="008D2AB8" w:rsidP="008D2AB8">
      <w:pPr>
        <w:rPr>
          <w:rFonts w:cs="Cambria"/>
          <w:color w:val="000000"/>
        </w:rPr>
      </w:pPr>
    </w:p>
    <w:p w:rsidR="008D2AB8" w:rsidRPr="006E78E0" w:rsidRDefault="008D2AB8" w:rsidP="008D2AB8">
      <w:pPr>
        <w:rPr>
          <w:rFonts w:cs="Cambria"/>
          <w:color w:val="000000"/>
        </w:rPr>
      </w:pPr>
    </w:p>
    <w:p w:rsidR="008D2AB8" w:rsidRPr="006E78E0" w:rsidRDefault="008D2AB8" w:rsidP="008D2AB8">
      <w:pPr>
        <w:rPr>
          <w:rFonts w:cs="Cambria"/>
          <w:color w:val="000000"/>
        </w:rPr>
      </w:pPr>
    </w:p>
    <w:p w:rsidR="008D2AB8" w:rsidRPr="00B07377" w:rsidRDefault="008D2AB8" w:rsidP="008D2AB8">
      <w:pPr>
        <w:ind w:left="360" w:right="360"/>
        <w:rPr>
          <w:sz w:val="21"/>
          <w:szCs w:val="21"/>
        </w:rPr>
      </w:pPr>
      <w:proofErr w:type="gramStart"/>
      <w:r w:rsidRPr="00B07377">
        <w:rPr>
          <w:i/>
          <w:sz w:val="21"/>
          <w:szCs w:val="21"/>
        </w:rPr>
        <w:t xml:space="preserve">Figure </w:t>
      </w:r>
      <w:r w:rsidR="00D300D9">
        <w:rPr>
          <w:i/>
          <w:sz w:val="21"/>
          <w:szCs w:val="21"/>
        </w:rPr>
        <w:t>4</w:t>
      </w:r>
      <w:r w:rsidRPr="00B07377">
        <w:rPr>
          <w:i/>
          <w:sz w:val="21"/>
          <w:szCs w:val="21"/>
        </w:rPr>
        <w:t>.</w:t>
      </w:r>
      <w:proofErr w:type="gramEnd"/>
      <w:r w:rsidRPr="00B07377">
        <w:rPr>
          <w:sz w:val="21"/>
          <w:szCs w:val="21"/>
        </w:rPr>
        <w:t xml:space="preserve"> Representation of fitted odds ratios that a low-income student (eligible for Free/Reduced Price Lunch) will be identified as having a</w:t>
      </w:r>
      <w:r w:rsidR="009A4D5A">
        <w:rPr>
          <w:sz w:val="21"/>
          <w:szCs w:val="21"/>
        </w:rPr>
        <w:t xml:space="preserve"> Specific Le</w:t>
      </w:r>
      <w:r w:rsidRPr="00B07377">
        <w:rPr>
          <w:sz w:val="21"/>
          <w:szCs w:val="21"/>
        </w:rPr>
        <w:t xml:space="preserve">arning </w:t>
      </w:r>
      <w:r w:rsidR="009A4D5A">
        <w:rPr>
          <w:sz w:val="21"/>
          <w:szCs w:val="21"/>
        </w:rPr>
        <w:t>D</w:t>
      </w:r>
      <w:r w:rsidRPr="00B07377">
        <w:rPr>
          <w:sz w:val="21"/>
          <w:szCs w:val="21"/>
        </w:rPr>
        <w:t>isability compared to a student who is not low-income in districts with high (45%) and low (4%) proportions of low-income children</w:t>
      </w:r>
      <w:r w:rsidR="004A1DB0">
        <w:rPr>
          <w:sz w:val="21"/>
          <w:szCs w:val="21"/>
        </w:rPr>
        <w:t>,</w:t>
      </w:r>
      <w:r>
        <w:rPr>
          <w:rStyle w:val="FootnoteReference"/>
          <w:sz w:val="21"/>
          <w:szCs w:val="21"/>
        </w:rPr>
        <w:footnoteReference w:id="15"/>
      </w:r>
      <w:r>
        <w:rPr>
          <w:sz w:val="21"/>
          <w:szCs w:val="21"/>
        </w:rPr>
        <w:t xml:space="preserve"> </w:t>
      </w:r>
      <w:r w:rsidRPr="00B07377">
        <w:rPr>
          <w:sz w:val="21"/>
          <w:szCs w:val="21"/>
        </w:rPr>
        <w:t>controll</w:t>
      </w:r>
      <w:r>
        <w:rPr>
          <w:sz w:val="21"/>
          <w:szCs w:val="21"/>
        </w:rPr>
        <w:t>ing for</w:t>
      </w:r>
      <w:r w:rsidRPr="00B07377">
        <w:rPr>
          <w:sz w:val="21"/>
          <w:szCs w:val="21"/>
        </w:rPr>
        <w:t xml:space="preserve"> student-level factors (gender, race</w:t>
      </w:r>
      <w:r w:rsidR="000879AE">
        <w:rPr>
          <w:sz w:val="21"/>
          <w:szCs w:val="21"/>
        </w:rPr>
        <w:t xml:space="preserve"> and</w:t>
      </w:r>
      <w:r w:rsidRPr="00B07377">
        <w:rPr>
          <w:sz w:val="21"/>
          <w:szCs w:val="21"/>
        </w:rPr>
        <w:t xml:space="preserve"> LEP status) </w:t>
      </w:r>
      <w:r>
        <w:rPr>
          <w:sz w:val="21"/>
          <w:szCs w:val="21"/>
        </w:rPr>
        <w:t>and</w:t>
      </w:r>
      <w:r w:rsidRPr="00B07377">
        <w:rPr>
          <w:sz w:val="21"/>
          <w:szCs w:val="21"/>
        </w:rPr>
        <w:t xml:space="preserve"> district-level factors (percentage of </w:t>
      </w:r>
      <w:r>
        <w:rPr>
          <w:sz w:val="21"/>
          <w:szCs w:val="21"/>
        </w:rPr>
        <w:t>W</w:t>
      </w:r>
      <w:r w:rsidRPr="00B07377">
        <w:rPr>
          <w:sz w:val="21"/>
          <w:szCs w:val="21"/>
        </w:rPr>
        <w:t>hite students in a district and whether the district participates in the METCO program).</w:t>
      </w:r>
      <w:r w:rsidRPr="00B07377">
        <w:rPr>
          <w:rStyle w:val="FootnoteReference"/>
          <w:sz w:val="21"/>
          <w:szCs w:val="21"/>
        </w:rPr>
        <w:footnoteReference w:id="16"/>
      </w:r>
      <w:r w:rsidR="00B83201" w:rsidRPr="00B83201">
        <w:rPr>
          <w:sz w:val="21"/>
          <w:szCs w:val="21"/>
          <w:vertAlign w:val="superscript"/>
        </w:rPr>
        <w:t>,</w:t>
      </w:r>
      <w:r w:rsidRPr="00B07377">
        <w:rPr>
          <w:rStyle w:val="FootnoteReference"/>
          <w:sz w:val="21"/>
          <w:szCs w:val="21"/>
        </w:rPr>
        <w:footnoteReference w:id="17"/>
      </w:r>
    </w:p>
    <w:p w:rsidR="008D2AB8" w:rsidRDefault="008D2AB8" w:rsidP="008D2AB8"/>
    <w:p w:rsidR="008D2AB8" w:rsidRPr="00375639" w:rsidRDefault="004B42C3" w:rsidP="008D2AB8">
      <w:pPr>
        <w:jc w:val="center"/>
      </w:pPr>
      <w:r>
        <w:rPr>
          <w:noProof/>
        </w:rPr>
        <w:drawing>
          <wp:inline distT="0" distB="0" distL="0" distR="0">
            <wp:extent cx="4572000" cy="2419350"/>
            <wp:effectExtent l="19050" t="0" r="0" b="0"/>
            <wp:docPr id="5" name="Picture 5" descr=" Figure 4. This figure displays the fitted odds ratio that a low-income elementary school student in a district that enrolls a large percentage of low-income students (approximately 45%) will receive a Specific Learning Disability designation are 1.86 times the odds for a non-low-income student. The fitted odds ratio that a low-income elementary school student in a district that enrolls a small percentage of low-income students (approximately 4%) is approximately 2.6 times the odds for a non-low-income st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Figure 4. This figure displays the fitted odds ratio that a low-income elementary school student in a district that enrolls a large percentage of low-income students (approximately 45%) will receive a Specific Learning Disability designation are 1.86 times the odds for a non-low-income student. The fitted odds ratio that a low-income elementary school student in a district that enrolls a small percentage of low-income students (approximately 4%) is approximately 2.6 times the odds for a non-low-income student."/>
                    <pic:cNvPicPr>
                      <a:picLocks noChangeAspect="1" noChangeArrowheads="1"/>
                    </pic:cNvPicPr>
                  </pic:nvPicPr>
                  <pic:blipFill>
                    <a:blip r:embed="rId14"/>
                    <a:srcRect t="24001" b="5333"/>
                    <a:stretch>
                      <a:fillRect/>
                    </a:stretch>
                  </pic:blipFill>
                  <pic:spPr bwMode="auto">
                    <a:xfrm>
                      <a:off x="0" y="0"/>
                      <a:ext cx="4572000" cy="2419350"/>
                    </a:xfrm>
                    <a:prstGeom prst="rect">
                      <a:avLst/>
                    </a:prstGeom>
                    <a:noFill/>
                    <a:ln w="9525">
                      <a:noFill/>
                      <a:miter lim="800000"/>
                      <a:headEnd/>
                      <a:tailEnd/>
                    </a:ln>
                  </pic:spPr>
                </pic:pic>
              </a:graphicData>
            </a:graphic>
          </wp:inline>
        </w:drawing>
      </w:r>
    </w:p>
    <w:p w:rsidR="008D2AB8" w:rsidRPr="00375639" w:rsidRDefault="008D2AB8" w:rsidP="008D2AB8">
      <w:pPr>
        <w:jc w:val="center"/>
      </w:pPr>
    </w:p>
    <w:p w:rsidR="008D2AB8" w:rsidRPr="006E78E0" w:rsidRDefault="008D2AB8" w:rsidP="008D2AB8">
      <w:pPr>
        <w:rPr>
          <w:b/>
        </w:rPr>
      </w:pPr>
    </w:p>
    <w:p w:rsidR="008D2AB8" w:rsidRPr="006E78E0" w:rsidRDefault="008D2AB8" w:rsidP="008D2AB8">
      <w:pPr>
        <w:rPr>
          <w:b/>
        </w:rPr>
      </w:pPr>
    </w:p>
    <w:p w:rsidR="008D2AB8" w:rsidRPr="006E78E0" w:rsidRDefault="008D2AB8" w:rsidP="008D2AB8">
      <w:pPr>
        <w:tabs>
          <w:tab w:val="left" w:pos="1350"/>
          <w:tab w:val="left" w:pos="1440"/>
        </w:tabs>
        <w:ind w:left="1350" w:hanging="1350"/>
        <w:rPr>
          <w:b/>
        </w:rPr>
      </w:pPr>
      <w:r w:rsidRPr="006E78E0">
        <w:rPr>
          <w:b/>
        </w:rPr>
        <w:t>Finding 4c – Students with Limited English Proficiency and Special Education</w:t>
      </w:r>
      <w:r w:rsidRPr="006E78E0">
        <w:rPr>
          <w:b/>
          <w:i/>
        </w:rPr>
        <w:t xml:space="preserve">:  </w:t>
      </w:r>
      <w:r w:rsidRPr="006E78E0">
        <w:rPr>
          <w:i/>
        </w:rPr>
        <w:t>Students in Massachusetts with limited English proficiency (LEP) as a whole are eligible to receive special education and related services at rates similar to their English proficient peers.</w:t>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p>
    <w:p w:rsidR="008D2AB8" w:rsidRPr="006E78E0" w:rsidRDefault="008D2AB8" w:rsidP="008D2AB8">
      <w:r w:rsidRPr="006E78E0">
        <w:t>L</w:t>
      </w:r>
      <w:r w:rsidR="00D346EE">
        <w:t xml:space="preserve">imited </w:t>
      </w:r>
      <w:r w:rsidRPr="006E78E0">
        <w:t>E</w:t>
      </w:r>
      <w:r w:rsidR="00D346EE">
        <w:t xml:space="preserve">nglish </w:t>
      </w:r>
      <w:r w:rsidR="00FB4643">
        <w:t>p</w:t>
      </w:r>
      <w:r w:rsidR="00D346EE">
        <w:t>roficient</w:t>
      </w:r>
      <w:r w:rsidRPr="006E78E0">
        <w:t xml:space="preserve"> and </w:t>
      </w:r>
      <w:r w:rsidR="00D346EE">
        <w:t xml:space="preserve">English </w:t>
      </w:r>
      <w:r w:rsidR="00FB4643">
        <w:t>p</w:t>
      </w:r>
      <w:r w:rsidR="00D346EE">
        <w:t>roficient</w:t>
      </w:r>
      <w:r w:rsidRPr="006E78E0">
        <w:t xml:space="preserve"> students in Massachusetts, on average, are designated as eligible to receive special education and related services at similar rates. The table below displays rates of eligibility for special education for LEP and non-LEP students. With the exception of the categories of </w:t>
      </w:r>
      <w:r w:rsidR="009A4D5A">
        <w:t>I</w:t>
      </w:r>
      <w:r w:rsidRPr="006E78E0">
        <w:t xml:space="preserve">ntellectual and </w:t>
      </w:r>
      <w:r w:rsidR="009A4D5A">
        <w:t>C</w:t>
      </w:r>
      <w:r w:rsidRPr="006E78E0">
        <w:t>ommunication disabilities, LEP students are relatively equitably represented when compared to English proficient students</w:t>
      </w:r>
      <w:r w:rsidR="00B83201">
        <w:t>.</w:t>
      </w:r>
      <w:r w:rsidRPr="00375639">
        <w:rPr>
          <w:rStyle w:val="FootnoteReference"/>
        </w:rPr>
        <w:footnoteReference w:id="18"/>
      </w:r>
      <w:r w:rsidRPr="00375639">
        <w:t xml:space="preserve"> This contrasts with previous work in other parts of the U.S., where we have found consistent evidence of systematic over-</w:t>
      </w:r>
      <w:r w:rsidRPr="00375639">
        <w:lastRenderedPageBreak/>
        <w:t>representation of LEP students in numerous special education c</w:t>
      </w:r>
      <w:r w:rsidRPr="006E78E0">
        <w:t>ategories (Hehir et al., 2010; Hehir</w:t>
      </w:r>
      <w:r>
        <w:t xml:space="preserve"> </w:t>
      </w:r>
      <w:r w:rsidRPr="006E78E0">
        <w:t>&amp;</w:t>
      </w:r>
      <w:r>
        <w:t xml:space="preserve"> </w:t>
      </w:r>
      <w:r w:rsidRPr="006E78E0">
        <w:t>Mosqueda, 2007).</w:t>
      </w:r>
    </w:p>
    <w:p w:rsidR="008D2AB8" w:rsidRPr="006E78E0" w:rsidRDefault="008D2AB8" w:rsidP="008D2AB8"/>
    <w:p w:rsidR="008D2AB8" w:rsidRPr="008C3B56" w:rsidRDefault="008D2AB8" w:rsidP="008D2AB8">
      <w:pPr>
        <w:ind w:left="360" w:right="360"/>
        <w:rPr>
          <w:sz w:val="21"/>
          <w:szCs w:val="21"/>
        </w:rPr>
      </w:pPr>
      <w:proofErr w:type="gramStart"/>
      <w:r w:rsidRPr="008C3B56">
        <w:rPr>
          <w:i/>
          <w:sz w:val="21"/>
          <w:szCs w:val="21"/>
        </w:rPr>
        <w:t xml:space="preserve">Figure </w:t>
      </w:r>
      <w:r w:rsidR="00D300D9">
        <w:rPr>
          <w:i/>
          <w:sz w:val="21"/>
          <w:szCs w:val="21"/>
        </w:rPr>
        <w:t>5</w:t>
      </w:r>
      <w:r w:rsidRPr="008C3B56">
        <w:rPr>
          <w:i/>
          <w:sz w:val="21"/>
          <w:szCs w:val="21"/>
        </w:rPr>
        <w:t>.</w:t>
      </w:r>
      <w:proofErr w:type="gramEnd"/>
      <w:r w:rsidRPr="008C3B56">
        <w:rPr>
          <w:sz w:val="21"/>
          <w:szCs w:val="21"/>
        </w:rPr>
        <w:t xml:space="preserve"> Percentages of Massachusetts English Proficient students and Limited English proficient students identified in each disability category</w:t>
      </w:r>
      <w:r>
        <w:rPr>
          <w:sz w:val="21"/>
          <w:szCs w:val="21"/>
        </w:rPr>
        <w:t xml:space="preserve"> (does not include </w:t>
      </w:r>
      <w:r>
        <w:rPr>
          <w:i/>
          <w:sz w:val="21"/>
          <w:szCs w:val="21"/>
        </w:rPr>
        <w:t>Deafness</w:t>
      </w:r>
      <w:r>
        <w:rPr>
          <w:sz w:val="21"/>
          <w:szCs w:val="21"/>
        </w:rPr>
        <w:t xml:space="preserve">, </w:t>
      </w:r>
      <w:r>
        <w:rPr>
          <w:i/>
          <w:sz w:val="21"/>
          <w:szCs w:val="21"/>
        </w:rPr>
        <w:t>Vision</w:t>
      </w:r>
      <w:r>
        <w:rPr>
          <w:sz w:val="21"/>
          <w:szCs w:val="21"/>
        </w:rPr>
        <w:t xml:space="preserve">, or </w:t>
      </w:r>
      <w:r>
        <w:rPr>
          <w:i/>
          <w:sz w:val="21"/>
          <w:szCs w:val="21"/>
        </w:rPr>
        <w:t>Deaf/Blind</w:t>
      </w:r>
      <w:r>
        <w:rPr>
          <w:sz w:val="21"/>
          <w:szCs w:val="21"/>
        </w:rPr>
        <w:t xml:space="preserve"> categories)</w:t>
      </w:r>
      <w:r w:rsidRPr="008C3B56">
        <w:rPr>
          <w:sz w:val="21"/>
          <w:szCs w:val="21"/>
        </w:rPr>
        <w:t xml:space="preserve">. </w:t>
      </w:r>
    </w:p>
    <w:p w:rsidR="008D2AB8" w:rsidRPr="006E78E0" w:rsidRDefault="008D2AB8" w:rsidP="008D2AB8">
      <w:pPr>
        <w:ind w:left="720"/>
        <w:rPr>
          <w:sz w:val="20"/>
          <w:szCs w:val="20"/>
        </w:rPr>
      </w:pPr>
    </w:p>
    <w:p w:rsidR="008D2AB8" w:rsidRPr="00375639" w:rsidRDefault="004B42C3"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noProof/>
        </w:rPr>
      </w:pPr>
      <w:r>
        <w:rPr>
          <w:noProof/>
        </w:rPr>
        <w:drawing>
          <wp:inline distT="0" distB="0" distL="0" distR="0">
            <wp:extent cx="5143500" cy="3257550"/>
            <wp:effectExtent l="19050" t="0" r="0" b="0"/>
            <wp:docPr id="6" name="Picture 6" descr="&#10;Figure 5 &#10;The percentage of Limited English Proficient Students in Massachusetts identified with specific disabilities( by disability category) are as follows:&#10;&#10;Special Education (all categories combined) 17.00%&#10;Specific Learning Disability 5.92%&#10;Communication  3.96%&#10;Intellectual Disabilities 2.63%&#10;Developmental Delay 1.87%&#10;Emotional Disturbance 0.85%&#10;Health 0.72%&#10;Autism 0.27%&#10;Neurological 0.27%&#10;Multiple Disabilities 0.23%&#10;Physical 0.14%&#10;Deafness 0.08%&#10;Vision 0.04%&#10;Deaf Blind 0.03%&#10;&#10;The percentage of English Proficient Students in Massachusetts identified with specific disabilities( by disability category) are as follows:&#10;&#10;Special Education (all categories combined ) 17.89%&#10;Specific Learning Disability 6.48%&#10;Communication  3.31%&#10;Intellectual Disabilities 1.02%&#10;Developmental Delay 1.87%&#10;Emotional Disturbance 1.33%&#10;Health 1.41%&#10;Autism 0.98%&#10;Neurological 0.75%&#10;Multiple Disabilities 0.38%&#10;Physical 0.19%&#10;Deafness 0.10%&#10;Vision 0.06%&#10;Deaf Blind 0.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Figure 5 &#10;The percentage of Limited English Proficient Students in Massachusetts identified with specific disabilities( by disability category) are as follows:&#10;&#10;Special Education (all categories combined) 17.00%&#10;Specific Learning Disability 5.92%&#10;Communication  3.96%&#10;Intellectual Disabilities 2.63%&#10;Developmental Delay 1.87%&#10;Emotional Disturbance 0.85%&#10;Health 0.72%&#10;Autism 0.27%&#10;Neurological 0.27%&#10;Multiple Disabilities 0.23%&#10;Physical 0.14%&#10;Deafness 0.08%&#10;Vision 0.04%&#10;Deaf Blind 0.03%&#10;&#10;The percentage of English Proficient Students in Massachusetts identified with specific disabilities( by disability category) are as follows:&#10;&#10;Special Education (all categories combined ) 17.89%&#10;Specific Learning Disability 6.48%&#10;Communication  3.31%&#10;Intellectual Disabilities 1.02%&#10;Developmental Delay 1.87%&#10;Emotional Disturbance 1.33%&#10;Health 1.41%&#10;Autism 0.98%&#10;Neurological 0.75%&#10;Multiple Disabilities 0.38%&#10;Physical 0.19%&#10;Deafness 0.10%&#10;Vision 0.06%&#10;Deaf Blind 0.01%&#10;"/>
                    <pic:cNvPicPr>
                      <a:picLocks noChangeAspect="1" noChangeArrowheads="1"/>
                    </pic:cNvPicPr>
                  </pic:nvPicPr>
                  <pic:blipFill>
                    <a:blip r:embed="rId15"/>
                    <a:srcRect l="12500" t="18800" r="12500" b="18134"/>
                    <a:stretch>
                      <a:fillRect/>
                    </a:stretch>
                  </pic:blipFill>
                  <pic:spPr bwMode="auto">
                    <a:xfrm>
                      <a:off x="0" y="0"/>
                      <a:ext cx="5143500" cy="3257550"/>
                    </a:xfrm>
                    <a:prstGeom prst="rect">
                      <a:avLst/>
                    </a:prstGeom>
                    <a:noFill/>
                    <a:ln w="9525">
                      <a:noFill/>
                      <a:miter lim="800000"/>
                      <a:headEnd/>
                      <a:tailEnd/>
                    </a:ln>
                  </pic:spPr>
                </pic:pic>
              </a:graphicData>
            </a:graphic>
          </wp:inline>
        </w:drawing>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noProof/>
        </w:rPr>
      </w:pPr>
    </w:p>
    <w:p w:rsidR="008D2AB8" w:rsidRPr="006E78E0" w:rsidRDefault="008D2AB8" w:rsidP="008D2AB8">
      <w:pPr>
        <w:ind w:left="1350" w:hanging="1350"/>
        <w:rPr>
          <w:b/>
        </w:rPr>
      </w:pPr>
      <w:r w:rsidRPr="006E78E0">
        <w:rPr>
          <w:b/>
        </w:rPr>
        <w:t>Finding 4d – Home Language of LEP Students (Spanish vs. Other Lan</w:t>
      </w:r>
      <w:r w:rsidR="00D346EE">
        <w:rPr>
          <w:b/>
        </w:rPr>
        <w:t xml:space="preserve">guages) and Special Education: </w:t>
      </w:r>
      <w:r w:rsidRPr="006E78E0">
        <w:rPr>
          <w:b/>
        </w:rPr>
        <w:br/>
      </w:r>
      <w:r w:rsidRPr="006E78E0">
        <w:rPr>
          <w:i/>
        </w:rPr>
        <w:t xml:space="preserve">Within the LEP student subgroup, we find dramatic differences in special education identification between LEP students whose home language is Spanish and LEP students whose home language is not Spanish. </w:t>
      </w:r>
    </w:p>
    <w:p w:rsidR="008D2AB8" w:rsidRPr="006E78E0" w:rsidRDefault="008D2AB8" w:rsidP="008D2AB8"/>
    <w:p w:rsidR="008D2AB8" w:rsidRPr="006E78E0" w:rsidRDefault="008D2AB8" w:rsidP="00DB1AE1">
      <w:pPr>
        <w:rPr>
          <w:b/>
          <w:sz w:val="20"/>
          <w:szCs w:val="20"/>
        </w:rPr>
      </w:pPr>
      <w:r w:rsidRPr="006E78E0">
        <w:t>Though rates of special education identification are similar between LEP and non-LEP students overall, there are meaningful differences in identification rates for LEP students who speak Spanish as a first language and those whose first language is not Spanish. Spanish speakers account for approximately 55% of all Massachusetts LEP students, but they represent approximately 75% of LEP students who are eligible for special education services. When we explored this issue statistically</w:t>
      </w:r>
      <w:r w:rsidR="00FB4643">
        <w:t>(th</w:t>
      </w:r>
      <w:r w:rsidR="0046283F">
        <w:t>r</w:t>
      </w:r>
      <w:r w:rsidR="00FB4643">
        <w:t>ough mult</w:t>
      </w:r>
      <w:r w:rsidR="0046283F">
        <w:t>i</w:t>
      </w:r>
      <w:r w:rsidR="00FB4643">
        <w:t>-level logistic regression analyses)</w:t>
      </w:r>
      <w:r w:rsidRPr="006E78E0">
        <w:t xml:space="preserve">, we found that the fitted odds that an LEP student whose first language is Spanish will be identified as eligible for special education services are quite similar to the odds for an English proficient student. LEP students who speak a first language other than Spanish, on the other hand, exhibit odds that are nearly half those of non-LEP students in the state. As the figures below indicate, this means that while LEP students whose first language is Spanish do not demonstrate systematic over- or under-identification in special </w:t>
      </w:r>
      <w:r w:rsidRPr="006E78E0">
        <w:lastRenderedPageBreak/>
        <w:t xml:space="preserve">education categories, LEP students whose first language is </w:t>
      </w:r>
      <w:r w:rsidRPr="006E78E0">
        <w:rPr>
          <w:i/>
        </w:rPr>
        <w:t>not</w:t>
      </w:r>
      <w:r w:rsidRPr="006E78E0">
        <w:t xml:space="preserve"> Spanish appear to be identified as eligible for special education services at dramatically lower rates. </w:t>
      </w:r>
    </w:p>
    <w:p w:rsidR="008D2AB8" w:rsidRDefault="008D2AB8" w:rsidP="008D2AB8">
      <w:pPr>
        <w:tabs>
          <w:tab w:val="left" w:pos="540"/>
        </w:tabs>
        <w:ind w:left="630" w:right="1170"/>
        <w:rPr>
          <w:b/>
          <w:sz w:val="20"/>
          <w:szCs w:val="20"/>
        </w:rPr>
      </w:pPr>
    </w:p>
    <w:p w:rsidR="008D2AB8" w:rsidRDefault="008D2AB8" w:rsidP="008D2AB8">
      <w:pPr>
        <w:tabs>
          <w:tab w:val="left" w:pos="540"/>
        </w:tabs>
        <w:ind w:left="630" w:right="1170"/>
        <w:rPr>
          <w:b/>
          <w:sz w:val="20"/>
          <w:szCs w:val="20"/>
        </w:rPr>
      </w:pPr>
    </w:p>
    <w:p w:rsidR="008D2AB8" w:rsidRDefault="008D2AB8" w:rsidP="002C4975">
      <w:pPr>
        <w:tabs>
          <w:tab w:val="left" w:pos="540"/>
        </w:tabs>
        <w:ind w:left="630" w:right="1170"/>
        <w:rPr>
          <w:b/>
          <w:sz w:val="20"/>
          <w:szCs w:val="20"/>
        </w:rPr>
      </w:pPr>
      <w:proofErr w:type="gramStart"/>
      <w:r w:rsidRPr="00B07377">
        <w:rPr>
          <w:i/>
          <w:sz w:val="21"/>
          <w:szCs w:val="21"/>
        </w:rPr>
        <w:t xml:space="preserve">Figure </w:t>
      </w:r>
      <w:r w:rsidR="00D300D9">
        <w:rPr>
          <w:i/>
          <w:sz w:val="21"/>
          <w:szCs w:val="21"/>
        </w:rPr>
        <w:t>6</w:t>
      </w:r>
      <w:r w:rsidRPr="00B07377">
        <w:rPr>
          <w:i/>
          <w:sz w:val="21"/>
          <w:szCs w:val="21"/>
        </w:rPr>
        <w:t>.</w:t>
      </w:r>
      <w:proofErr w:type="gramEnd"/>
      <w:r w:rsidRPr="00B07377">
        <w:rPr>
          <w:sz w:val="21"/>
          <w:szCs w:val="21"/>
        </w:rPr>
        <w:t xml:space="preserve"> Representation of fitted odds ratios that a student </w:t>
      </w:r>
      <w:r>
        <w:rPr>
          <w:sz w:val="21"/>
          <w:szCs w:val="21"/>
        </w:rPr>
        <w:t>with Limited English Proficiency (LEP)</w:t>
      </w:r>
      <w:r w:rsidRPr="00B07377">
        <w:rPr>
          <w:sz w:val="21"/>
          <w:szCs w:val="21"/>
        </w:rPr>
        <w:t xml:space="preserve"> will be identified as </w:t>
      </w:r>
      <w:r>
        <w:rPr>
          <w:sz w:val="21"/>
          <w:szCs w:val="21"/>
        </w:rPr>
        <w:t>eligible for special education services</w:t>
      </w:r>
      <w:r w:rsidRPr="00B07377">
        <w:rPr>
          <w:sz w:val="21"/>
          <w:szCs w:val="21"/>
        </w:rPr>
        <w:t xml:space="preserve"> compared to a </w:t>
      </w:r>
      <w:r>
        <w:rPr>
          <w:sz w:val="21"/>
          <w:szCs w:val="21"/>
        </w:rPr>
        <w:t xml:space="preserve">non-LEP </w:t>
      </w:r>
      <w:r w:rsidRPr="00B07377">
        <w:rPr>
          <w:sz w:val="21"/>
          <w:szCs w:val="21"/>
        </w:rPr>
        <w:t xml:space="preserve">student </w:t>
      </w:r>
      <w:r>
        <w:rPr>
          <w:sz w:val="21"/>
          <w:szCs w:val="21"/>
        </w:rPr>
        <w:t>for LEP students whose home language is Spanish and LEP students whose home language is not Spanish</w:t>
      </w:r>
      <w:r>
        <w:rPr>
          <w:rStyle w:val="FootnoteReference"/>
          <w:sz w:val="21"/>
          <w:szCs w:val="21"/>
        </w:rPr>
        <w:footnoteReference w:id="19"/>
      </w:r>
      <w:r>
        <w:rPr>
          <w:sz w:val="21"/>
          <w:szCs w:val="21"/>
        </w:rPr>
        <w:t xml:space="preserve">, </w:t>
      </w:r>
      <w:r w:rsidRPr="00B07377">
        <w:rPr>
          <w:sz w:val="21"/>
          <w:szCs w:val="21"/>
        </w:rPr>
        <w:t>controll</w:t>
      </w:r>
      <w:r>
        <w:rPr>
          <w:sz w:val="21"/>
          <w:szCs w:val="21"/>
        </w:rPr>
        <w:t xml:space="preserve">ing for </w:t>
      </w:r>
      <w:r w:rsidRPr="009E6922">
        <w:rPr>
          <w:sz w:val="20"/>
          <w:szCs w:val="20"/>
        </w:rPr>
        <w:t>student-level factors (gender, race</w:t>
      </w:r>
      <w:r w:rsidR="000879AE">
        <w:rPr>
          <w:sz w:val="20"/>
          <w:szCs w:val="20"/>
        </w:rPr>
        <w:t xml:space="preserve"> and</w:t>
      </w:r>
      <w:r w:rsidRPr="009E6922">
        <w:rPr>
          <w:sz w:val="20"/>
          <w:szCs w:val="20"/>
        </w:rPr>
        <w:t xml:space="preserve"> eligibility for free</w:t>
      </w:r>
      <w:r>
        <w:rPr>
          <w:sz w:val="20"/>
          <w:szCs w:val="20"/>
        </w:rPr>
        <w:t>/</w:t>
      </w:r>
      <w:r w:rsidRPr="009E6922">
        <w:rPr>
          <w:sz w:val="20"/>
          <w:szCs w:val="20"/>
        </w:rPr>
        <w:t xml:space="preserve">reduced price lunch) </w:t>
      </w:r>
      <w:r>
        <w:rPr>
          <w:sz w:val="20"/>
          <w:szCs w:val="20"/>
        </w:rPr>
        <w:t>and</w:t>
      </w:r>
      <w:r w:rsidRPr="009E6922">
        <w:rPr>
          <w:sz w:val="20"/>
          <w:szCs w:val="20"/>
        </w:rPr>
        <w:t xml:space="preserve"> district-level factors (percentage of students eligible for free</w:t>
      </w:r>
      <w:r>
        <w:rPr>
          <w:sz w:val="20"/>
          <w:szCs w:val="20"/>
        </w:rPr>
        <w:t>/</w:t>
      </w:r>
      <w:r w:rsidRPr="009E6922">
        <w:rPr>
          <w:sz w:val="20"/>
          <w:szCs w:val="20"/>
        </w:rPr>
        <w:t>reduced price lunch)</w:t>
      </w:r>
      <w:r w:rsidR="00C31308">
        <w:rPr>
          <w:sz w:val="20"/>
          <w:szCs w:val="20"/>
        </w:rPr>
        <w:t>.</w:t>
      </w:r>
      <w:r w:rsidRPr="009E6922">
        <w:rPr>
          <w:rStyle w:val="FootnoteReference"/>
          <w:sz w:val="20"/>
          <w:szCs w:val="20"/>
        </w:rPr>
        <w:footnoteReference w:id="20"/>
      </w:r>
    </w:p>
    <w:p w:rsidR="008D2AB8" w:rsidRPr="006E78E0" w:rsidRDefault="008D2AB8" w:rsidP="008D2AB8">
      <w:pPr>
        <w:tabs>
          <w:tab w:val="left" w:pos="540"/>
        </w:tabs>
        <w:ind w:left="630" w:right="1170"/>
        <w:rPr>
          <w:b/>
          <w:sz w:val="20"/>
          <w:szCs w:val="20"/>
        </w:rPr>
      </w:pPr>
    </w:p>
    <w:p w:rsidR="008D2AB8" w:rsidRPr="00375639" w:rsidRDefault="004B42C3" w:rsidP="008D2AB8">
      <w:pPr>
        <w:jc w:val="center"/>
      </w:pPr>
      <w:r>
        <w:rPr>
          <w:noProof/>
        </w:rPr>
        <w:drawing>
          <wp:inline distT="0" distB="0" distL="0" distR="0">
            <wp:extent cx="4572000" cy="1638300"/>
            <wp:effectExtent l="19050" t="0" r="0" b="0"/>
            <wp:docPr id="7" name="Picture 7" descr="Figure 6. This figure displays the fitted odds ratio that a student with Limited English Proficiency whose home language is Spanish will be identified as eligible for special education services is approximately .56 times the odds of an English proficient student.    The fitted odds ratio that a student with Limited English Proficiency whose home language is not Spanish will be identified as eligible for special education services is approximately 1.16 times the odds of an English proficient student.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6. This figure displays the fitted odds ratio that a student with Limited English Proficiency whose home language is Spanish will be identified as eligible for special education services is approximately .56 times the odds of an English proficient student.    The fitted odds ratio that a student with Limited English Proficiency whose home language is not Spanish will be identified as eligible for special education services is approximately 1.16 times the odds of an English proficient student.    &#10;&#10;"/>
                    <pic:cNvPicPr>
                      <a:picLocks noChangeAspect="1" noChangeArrowheads="1"/>
                    </pic:cNvPicPr>
                  </pic:nvPicPr>
                  <pic:blipFill>
                    <a:blip r:embed="rId16"/>
                    <a:srcRect t="41200" b="10933"/>
                    <a:stretch>
                      <a:fillRect/>
                    </a:stretch>
                  </pic:blipFill>
                  <pic:spPr bwMode="auto">
                    <a:xfrm>
                      <a:off x="0" y="0"/>
                      <a:ext cx="4572000" cy="1638300"/>
                    </a:xfrm>
                    <a:prstGeom prst="rect">
                      <a:avLst/>
                    </a:prstGeom>
                    <a:noFill/>
                    <a:ln w="9525">
                      <a:noFill/>
                      <a:miter lim="800000"/>
                      <a:headEnd/>
                      <a:tailEnd/>
                    </a:ln>
                  </pic:spPr>
                </pic:pic>
              </a:graphicData>
            </a:graphic>
          </wp:inline>
        </w:drawing>
      </w:r>
    </w:p>
    <w:p w:rsidR="008D2AB8" w:rsidRPr="006E78E0" w:rsidRDefault="008D2AB8" w:rsidP="008D2AB8"/>
    <w:p w:rsidR="008D2AB8" w:rsidRPr="006E78E0" w:rsidRDefault="008D2AB8" w:rsidP="008D2AB8"/>
    <w:p w:rsidR="008D2AB8" w:rsidRPr="006E78E0" w:rsidRDefault="00DB1AE1" w:rsidP="008D2AB8">
      <w:pPr>
        <w:rPr>
          <w:rFonts w:eastAsia="MS Minngs"/>
          <w:lang w:eastAsia="ja-JP"/>
        </w:rPr>
      </w:pPr>
      <w:r>
        <w:rPr>
          <w:rFonts w:eastAsia="MS Minngs"/>
          <w:lang w:eastAsia="ja-JP"/>
        </w:rPr>
        <w:t>T</w:t>
      </w:r>
      <w:r w:rsidR="008D2AB8" w:rsidRPr="006E78E0">
        <w:rPr>
          <w:rFonts w:eastAsia="MS Minngs"/>
          <w:lang w:eastAsia="ja-JP"/>
        </w:rPr>
        <w:t>he category of intellectual disabilities represents an exception to the overall pattern of equitable- or under-representation of LEP students as eligible for special education services. Massachusetts Limited English Proficient students are identified as having an intellectual disability at more than double the rate of English proficient students. Although this differs from the overall pattern for LEP versus non-LEP students, the relationship between LEP students whose first language is Spanish versus those whose first language is not Spanish holds consistently in the intellectual disability category. Rates of eligibility for special education services related to intellectual disability vary sharply between Spanish speaking and non-Spanish speaking LEP students. While approximately 1% of English proficient students are identified as having an intellectual disability, the rate for non-Spanish speaking LEP students is 1.5%</w:t>
      </w:r>
      <w:r w:rsidR="000879AE">
        <w:rPr>
          <w:rFonts w:eastAsia="MS Minngs"/>
          <w:lang w:eastAsia="ja-JP"/>
        </w:rPr>
        <w:t xml:space="preserve"> and</w:t>
      </w:r>
      <w:r w:rsidR="008D2AB8" w:rsidRPr="006E78E0">
        <w:rPr>
          <w:rFonts w:eastAsia="MS Minngs"/>
          <w:lang w:eastAsia="ja-JP"/>
        </w:rPr>
        <w:t xml:space="preserve"> the rate for Spanish speaking LEP students is substantially higher at nearly 6%. Controlling for relevant student and district characteristics</w:t>
      </w:r>
      <w:r w:rsidR="008D2AB8" w:rsidRPr="00375639">
        <w:rPr>
          <w:rStyle w:val="FootnoteReference"/>
          <w:rFonts w:eastAsia="MS Minngs"/>
          <w:lang w:eastAsia="ja-JP"/>
        </w:rPr>
        <w:footnoteReference w:id="21"/>
      </w:r>
      <w:r w:rsidR="008D2AB8" w:rsidRPr="00375639">
        <w:rPr>
          <w:rFonts w:eastAsia="MS Minngs"/>
          <w:lang w:eastAsia="ja-JP"/>
        </w:rPr>
        <w:t xml:space="preserve"> we find that the odds that a Spanish speaking LEP student will </w:t>
      </w:r>
      <w:r w:rsidR="008D2AB8" w:rsidRPr="00375639">
        <w:rPr>
          <w:rFonts w:eastAsia="MS Minngs"/>
          <w:lang w:eastAsia="ja-JP"/>
        </w:rPr>
        <w:lastRenderedPageBreak/>
        <w:t>receive a designation of intellectual disability are nearly double (1.87 times) the odds</w:t>
      </w:r>
      <w:r w:rsidR="008D2AB8" w:rsidRPr="006E78E0">
        <w:rPr>
          <w:rFonts w:eastAsia="MS Minngs"/>
          <w:lang w:eastAsia="ja-JP"/>
        </w:rPr>
        <w:t xml:space="preserve"> that an English Proficient student will receive the same designation. Non-Spanish speaking LEP students by contrast are identified at rates similar to non-LEP students.</w:t>
      </w:r>
    </w:p>
    <w:p w:rsidR="008D2AB8" w:rsidRPr="006E78E0" w:rsidRDefault="008D2AB8" w:rsidP="008D2AB8">
      <w:pPr>
        <w:rPr>
          <w:b/>
        </w:rPr>
      </w:pPr>
    </w:p>
    <w:p w:rsidR="008D2AB8" w:rsidRPr="006E78E0" w:rsidRDefault="008D2AB8" w:rsidP="008D2AB8">
      <w:pPr>
        <w:outlineLvl w:val="0"/>
        <w:rPr>
          <w:b/>
        </w:rPr>
      </w:pPr>
      <w:r w:rsidRPr="006E78E0">
        <w:rPr>
          <w:b/>
        </w:rPr>
        <w:t xml:space="preserve">Question 4: Summary </w:t>
      </w:r>
    </w:p>
    <w:p w:rsidR="008D2AB8" w:rsidRPr="006E78E0" w:rsidRDefault="008D2AB8" w:rsidP="008D2AB8">
      <w:pPr>
        <w:rPr>
          <w:b/>
        </w:rPr>
      </w:pPr>
    </w:p>
    <w:p w:rsidR="008D2AB8" w:rsidRPr="006E78E0" w:rsidRDefault="008D2AB8" w:rsidP="008D2AB8">
      <w:pPr>
        <w:pStyle w:val="ColorfulList-Accent11"/>
        <w:numPr>
          <w:ilvl w:val="0"/>
          <w:numId w:val="5"/>
        </w:numPr>
        <w:rPr>
          <w:b/>
        </w:rPr>
      </w:pPr>
      <w:r w:rsidRPr="006E78E0">
        <w:t xml:space="preserve">While African American and Latino students are identified </w:t>
      </w:r>
      <w:proofErr w:type="gramStart"/>
      <w:r w:rsidRPr="006E78E0">
        <w:t>as eligible for special education services at slightly higher rates than</w:t>
      </w:r>
      <w:proofErr w:type="gramEnd"/>
      <w:r w:rsidRPr="006E78E0">
        <w:t xml:space="preserve"> White students, this differential virtually disappears when we control for SES and other district and student characteristics.  </w:t>
      </w:r>
    </w:p>
    <w:p w:rsidR="008D2AB8" w:rsidRPr="006E78E0" w:rsidRDefault="008D2AB8" w:rsidP="008D2AB8">
      <w:pPr>
        <w:pStyle w:val="ColorfulList-Accent11"/>
        <w:rPr>
          <w:b/>
        </w:rPr>
      </w:pPr>
    </w:p>
    <w:p w:rsidR="008D2AB8" w:rsidRPr="006E78E0" w:rsidRDefault="008D2AB8" w:rsidP="008D2AB8">
      <w:pPr>
        <w:pStyle w:val="ColorfulList-Accent11"/>
        <w:numPr>
          <w:ilvl w:val="0"/>
          <w:numId w:val="4"/>
        </w:numPr>
        <w:rPr>
          <w:b/>
        </w:rPr>
      </w:pPr>
      <w:r w:rsidRPr="006E78E0">
        <w:t xml:space="preserve">Low-income students are nearly twice as likely as students who are not low-income to be identified as having a </w:t>
      </w:r>
      <w:r w:rsidRPr="00022B00">
        <w:rPr>
          <w:i/>
        </w:rPr>
        <w:t>‘High Incidence’</w:t>
      </w:r>
      <w:r w:rsidRPr="006E78E0">
        <w:t xml:space="preserve"> designation. This is particularly true for low-income students in relatively wealthy school districts.  </w:t>
      </w:r>
    </w:p>
    <w:p w:rsidR="008D2AB8" w:rsidRPr="006E78E0" w:rsidRDefault="008D2AB8" w:rsidP="008D2AB8">
      <w:pPr>
        <w:pStyle w:val="ColorfulList-Accent11"/>
        <w:rPr>
          <w:b/>
        </w:rPr>
      </w:pPr>
    </w:p>
    <w:p w:rsidR="008D2AB8" w:rsidRPr="006E78E0" w:rsidRDefault="008D2AB8" w:rsidP="008D2AB8">
      <w:pPr>
        <w:pStyle w:val="ColorfulList-Accent11"/>
        <w:numPr>
          <w:ilvl w:val="0"/>
          <w:numId w:val="4"/>
        </w:numPr>
        <w:rPr>
          <w:b/>
        </w:rPr>
      </w:pPr>
      <w:r w:rsidRPr="006E78E0">
        <w:t>Students in Massachusetts with limited English proficiency (LEP) as a group are eligible to receive special education and related services at rates similar to their English proficient peers.</w:t>
      </w:r>
    </w:p>
    <w:p w:rsidR="008D2AB8" w:rsidRPr="006E78E0" w:rsidRDefault="008D2AB8" w:rsidP="008D2AB8">
      <w:pPr>
        <w:pStyle w:val="ColorfulList-Accent11"/>
        <w:rPr>
          <w:b/>
        </w:rPr>
      </w:pPr>
    </w:p>
    <w:p w:rsidR="008D2AB8" w:rsidRPr="006E78E0" w:rsidRDefault="008D2AB8" w:rsidP="008D2AB8">
      <w:pPr>
        <w:pStyle w:val="ColorfulList-Accent11"/>
        <w:numPr>
          <w:ilvl w:val="0"/>
          <w:numId w:val="4"/>
        </w:numPr>
        <w:rPr>
          <w:b/>
        </w:rPr>
      </w:pPr>
      <w:r w:rsidRPr="006E78E0">
        <w:t>Within the LEP student subgroup, we found dramatic differences in special education identification between LEP students whose first language was Spanish and LEP student whose first language was not Spanish.</w:t>
      </w:r>
    </w:p>
    <w:p w:rsidR="008D2AB8" w:rsidRPr="006E78E0" w:rsidRDefault="008D2AB8" w:rsidP="008D2AB8">
      <w:pPr>
        <w:rPr>
          <w:i/>
        </w:rPr>
      </w:pPr>
    </w:p>
    <w:p w:rsidR="008D2AB8" w:rsidRPr="006E78E0" w:rsidRDefault="008D2AB8" w:rsidP="008D2AB8">
      <w:pPr>
        <w:rPr>
          <w:i/>
        </w:rPr>
      </w:pPr>
      <w:r>
        <w:rPr>
          <w:i/>
        </w:rPr>
        <w:br w:type="page"/>
      </w:r>
      <w:r w:rsidRPr="00A30D24">
        <w:rPr>
          <w:i/>
          <w:sz w:val="40"/>
          <w:szCs w:val="40"/>
        </w:rPr>
        <w:lastRenderedPageBreak/>
        <w:t>Part 5</w:t>
      </w:r>
      <w:r w:rsidRPr="002D46F1">
        <w:rPr>
          <w:i/>
          <w:sz w:val="40"/>
          <w:szCs w:val="40"/>
        </w:rPr>
        <w:t>:</w:t>
      </w:r>
      <w:r w:rsidRPr="006E78E0">
        <w:rPr>
          <w:i/>
        </w:rPr>
        <w:t xml:space="preserve"> </w:t>
      </w:r>
      <w:r w:rsidRPr="00917927">
        <w:rPr>
          <w:i/>
        </w:rPr>
        <w:t>Detailed findings describing the relationship between characteristics of students wit</w:t>
      </w:r>
      <w:r w:rsidR="00F32A1C">
        <w:rPr>
          <w:i/>
        </w:rPr>
        <w:t xml:space="preserve">h ‘High Incidence’ disabilities </w:t>
      </w:r>
      <w:r w:rsidRPr="00917927">
        <w:rPr>
          <w:i/>
        </w:rPr>
        <w:t xml:space="preserve">and </w:t>
      </w:r>
      <w:r w:rsidR="00F32A1C">
        <w:rPr>
          <w:i/>
        </w:rPr>
        <w:t xml:space="preserve">the </w:t>
      </w:r>
      <w:r w:rsidRPr="00917927">
        <w:rPr>
          <w:i/>
        </w:rPr>
        <w:t>proportion of the school day spent in classrooms with their typically developing peers</w:t>
      </w:r>
      <w:r w:rsidRPr="006E78E0">
        <w:rPr>
          <w:i/>
        </w:rPr>
        <w:t xml:space="preserve">  </w:t>
      </w:r>
    </w:p>
    <w:p w:rsidR="008D2AB8" w:rsidRPr="006E78E0" w:rsidRDefault="008D2AB8">
      <w:pPr>
        <w:rPr>
          <w:rFonts w:cs="Cambria"/>
          <w:color w:val="000000"/>
        </w:rPr>
      </w:pPr>
    </w:p>
    <w:p w:rsidR="008D2AB8" w:rsidRDefault="008D2AB8" w:rsidP="008D2AB8">
      <w:r w:rsidRPr="006E78E0">
        <w:rPr>
          <w:b/>
        </w:rPr>
        <w:t xml:space="preserve">Question 5: </w:t>
      </w:r>
      <w:r w:rsidRPr="00A37639">
        <w:t>Among students with disabilities, are some students more likely than other students to be educated in classrooms with their typically developing peers?</w:t>
      </w:r>
    </w:p>
    <w:p w:rsidR="008D2AB8" w:rsidRPr="00A37639" w:rsidRDefault="008D2AB8" w:rsidP="008D2AB8"/>
    <w:p w:rsidR="008D2AB8"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Like students across the country, Massachusetts students with different disability designations are educated in classrooms with their typically developing peers at different rates. For example, students with disabilities in the </w:t>
      </w:r>
      <w:r w:rsidRPr="00022B00">
        <w:rPr>
          <w:i/>
        </w:rPr>
        <w:t>‘High Incidence’</w:t>
      </w:r>
      <w:r>
        <w:t xml:space="preserve"> categories are included with their typically developing peers at higher rates than students with disabilities in other special education categories.  Within the </w:t>
      </w:r>
      <w:r w:rsidRPr="00022B00">
        <w:rPr>
          <w:i/>
        </w:rPr>
        <w:t>‘High Incidence’</w:t>
      </w:r>
      <w:r>
        <w:t xml:space="preserve"> category, students with </w:t>
      </w:r>
      <w:r w:rsidR="009A4D5A">
        <w:t>C</w:t>
      </w:r>
      <w:r>
        <w:t xml:space="preserve">ommunication disabilities are included with </w:t>
      </w:r>
      <w:r w:rsidR="00FB4643">
        <w:t xml:space="preserve">their </w:t>
      </w:r>
      <w:r>
        <w:t xml:space="preserve">typically developing peers at a higher rate than students designated as having a </w:t>
      </w:r>
      <w:r w:rsidR="009A4D5A">
        <w:t xml:space="preserve">Specific Learning Disability </w:t>
      </w:r>
      <w:r>
        <w:t xml:space="preserve">or Other Health Impairment. </w:t>
      </w:r>
    </w:p>
    <w:p w:rsidR="008D2AB8"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D2AB8" w:rsidRPr="00375639"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Although students with disabilities in Massachusetts are, overall, educated in inclusive settings at higher rates than similar students across the United States, </w:t>
      </w:r>
      <w:r w:rsidRPr="006E78E0">
        <w:t>we</w:t>
      </w:r>
      <w:r w:rsidRPr="00F5063E">
        <w:t xml:space="preserve"> found that the degree to which students with disabilities are educated in classrooms with their typically developing peers varies substantially from</w:t>
      </w:r>
      <w:r w:rsidRPr="00375639">
        <w:t xml:space="preserve"> district to district and student to student. </w:t>
      </w:r>
      <w:r w:rsidR="00FB4643">
        <w:t>For example,</w:t>
      </w:r>
      <w:r w:rsidR="0095299F">
        <w:t xml:space="preserve"> </w:t>
      </w:r>
      <w:r w:rsidR="00FB4643">
        <w:t>i</w:t>
      </w:r>
      <w:r w:rsidRPr="00F5063E">
        <w:t xml:space="preserve">n some districts, more than 3 out of 10 </w:t>
      </w:r>
      <w:r w:rsidR="000879AE">
        <w:t>students with disabilities</w:t>
      </w:r>
      <w:r w:rsidR="000879AE" w:rsidRPr="00F5063E" w:rsidDel="000879AE">
        <w:t xml:space="preserve"> </w:t>
      </w:r>
      <w:r w:rsidRPr="00F5063E">
        <w:t xml:space="preserve">are </w:t>
      </w:r>
      <w:r w:rsidR="001A14D1">
        <w:t xml:space="preserve">in </w:t>
      </w:r>
      <w:r w:rsidRPr="00A06835">
        <w:rPr>
          <w:i/>
        </w:rPr>
        <w:t xml:space="preserve">substantially </w:t>
      </w:r>
      <w:r w:rsidR="001A14D1">
        <w:rPr>
          <w:i/>
        </w:rPr>
        <w:t>separate settings</w:t>
      </w:r>
      <w:r w:rsidR="001A14D1" w:rsidRPr="00F5063E">
        <w:t xml:space="preserve"> </w:t>
      </w:r>
      <w:r w:rsidRPr="00F5063E">
        <w:t>(spending between 0-</w:t>
      </w:r>
      <w:proofErr w:type="gramStart"/>
      <w:r w:rsidRPr="00F5063E">
        <w:t>40%</w:t>
      </w:r>
      <w:proofErr w:type="gramEnd"/>
      <w:r w:rsidRPr="00F5063E">
        <w:t xml:space="preserve"> of their days with typically developing peers), while in other districts this figure is </w:t>
      </w:r>
      <w:r w:rsidRPr="00375639">
        <w:t>less than 1 out of 10.</w:t>
      </w:r>
    </w:p>
    <w:p w:rsidR="008D2AB8" w:rsidRPr="00375639"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T</w:t>
      </w:r>
      <w:r w:rsidRPr="00F5063E">
        <w:t xml:space="preserve">here were </w:t>
      </w:r>
      <w:r w:rsidR="00DB1AE1">
        <w:t xml:space="preserve">also </w:t>
      </w:r>
      <w:r w:rsidRPr="00F5063E">
        <w:t xml:space="preserve">student-level characteristics that were associated with the extent to which students </w:t>
      </w:r>
      <w:r>
        <w:t xml:space="preserve">with disabilities </w:t>
      </w:r>
      <w:r w:rsidRPr="00F5063E">
        <w:t>spent their school day in classrooms with their typically developing peers. These characteristics tended to be consistent across grades</w:t>
      </w:r>
      <w:r w:rsidR="000879AE">
        <w:t xml:space="preserve"> and</w:t>
      </w:r>
      <w:r w:rsidRPr="00F5063E">
        <w:t xml:space="preserve"> here we present as an example, the subgroup of students in the state who were in the 10</w:t>
      </w:r>
      <w:r w:rsidRPr="00375639">
        <w:rPr>
          <w:vertAlign w:val="superscript"/>
        </w:rPr>
        <w:t>th</w:t>
      </w:r>
      <w:r w:rsidRPr="00375639">
        <w:t xml:space="preserve"> grade in 2009-2010 who were </w:t>
      </w:r>
      <w:r w:rsidRPr="006E78E0">
        <w:t>identified as eligible for special education</w:t>
      </w:r>
      <w:r w:rsidR="00FB4643">
        <w:t xml:space="preserve"> in on</w:t>
      </w:r>
      <w:r w:rsidR="00FC47D4">
        <w:t>e</w:t>
      </w:r>
      <w:r w:rsidR="00FB4643">
        <w:t xml:space="preserve"> of the </w:t>
      </w:r>
      <w:r w:rsidR="00FB4643" w:rsidRPr="00022B00">
        <w:rPr>
          <w:i/>
        </w:rPr>
        <w:t>‘High Incidence’</w:t>
      </w:r>
      <w:r w:rsidR="00FB4643">
        <w:t xml:space="preserve"> catagories.</w:t>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D2AB8" w:rsidRPr="00F5063E"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6E78E0">
        <w:t xml:space="preserve">There were </w:t>
      </w:r>
      <w:r w:rsidR="001F6374">
        <w:t>7,672</w:t>
      </w:r>
      <w:r>
        <w:t xml:space="preserve"> </w:t>
      </w:r>
      <w:r w:rsidRPr="00F5063E">
        <w:t>10</w:t>
      </w:r>
      <w:r w:rsidRPr="00F5063E">
        <w:rPr>
          <w:vertAlign w:val="superscript"/>
        </w:rPr>
        <w:t>th</w:t>
      </w:r>
      <w:r w:rsidRPr="00F5063E">
        <w:t xml:space="preserve"> grade </w:t>
      </w:r>
      <w:r w:rsidR="000879AE">
        <w:t>students with disabilities</w:t>
      </w:r>
      <w:r w:rsidR="000879AE" w:rsidRPr="00F5063E" w:rsidDel="000879AE">
        <w:t xml:space="preserve"> </w:t>
      </w:r>
      <w:r>
        <w:t xml:space="preserve">in </w:t>
      </w:r>
      <w:r w:rsidRPr="00022B00">
        <w:rPr>
          <w:i/>
        </w:rPr>
        <w:t>‘High Incidence’</w:t>
      </w:r>
      <w:r w:rsidR="00DB1AE1">
        <w:rPr>
          <w:i/>
        </w:rPr>
        <w:t xml:space="preserve"> </w:t>
      </w:r>
      <w:r w:rsidR="00DB1AE1" w:rsidRPr="00DB1AE1">
        <w:t>disability</w:t>
      </w:r>
      <w:r w:rsidR="00DB1AE1">
        <w:rPr>
          <w:i/>
        </w:rPr>
        <w:t xml:space="preserve"> </w:t>
      </w:r>
      <w:r w:rsidR="00DB1AE1" w:rsidRPr="00DB1AE1">
        <w:t>categories</w:t>
      </w:r>
      <w:r w:rsidRPr="00E67988">
        <w:t xml:space="preserve"> </w:t>
      </w:r>
      <w:r w:rsidRPr="00F5063E">
        <w:t xml:space="preserve">in traditional school districts across the commonwealth in the 2009-2010 school </w:t>
      </w:r>
      <w:proofErr w:type="gramStart"/>
      <w:r w:rsidRPr="00F5063E">
        <w:t>year</w:t>
      </w:r>
      <w:proofErr w:type="gramEnd"/>
      <w:r w:rsidRPr="00F5063E">
        <w:t xml:space="preserve">. </w:t>
      </w:r>
      <w:r w:rsidR="001F6374">
        <w:t>6</w:t>
      </w:r>
      <w:r w:rsidR="009531EE">
        <w:t>7</w:t>
      </w:r>
      <w:r w:rsidR="001F6374">
        <w:t>7</w:t>
      </w:r>
      <w:r w:rsidRPr="00F5063E">
        <w:t xml:space="preserve"> (approximately </w:t>
      </w:r>
      <w:r w:rsidR="001F6374">
        <w:t>9</w:t>
      </w:r>
      <w:r w:rsidRPr="00F5063E">
        <w:t>%) of these 10</w:t>
      </w:r>
      <w:r w:rsidRPr="00F5063E">
        <w:rPr>
          <w:vertAlign w:val="superscript"/>
        </w:rPr>
        <w:t>th</w:t>
      </w:r>
      <w:r>
        <w:rPr>
          <w:vertAlign w:val="superscript"/>
        </w:rPr>
        <w:t xml:space="preserve"> </w:t>
      </w:r>
      <w:r w:rsidRPr="00375639">
        <w:t xml:space="preserve">grade </w:t>
      </w:r>
      <w:r w:rsidRPr="00022B00">
        <w:rPr>
          <w:i/>
        </w:rPr>
        <w:t>‘High Incidence’</w:t>
      </w:r>
      <w:r>
        <w:t xml:space="preserve"> </w:t>
      </w:r>
      <w:r w:rsidRPr="00F5063E">
        <w:t xml:space="preserve">students spent less than 40% of their day with their typically developing peers. Of the </w:t>
      </w:r>
      <w:r w:rsidR="001F6374">
        <w:t>2,543</w:t>
      </w:r>
      <w:r w:rsidRPr="00F5063E">
        <w:t xml:space="preserve"> of these </w:t>
      </w:r>
      <w:r w:rsidRPr="00022B00">
        <w:rPr>
          <w:i/>
        </w:rPr>
        <w:t>‘High Incidence’</w:t>
      </w:r>
      <w:r w:rsidRPr="00F5063E">
        <w:t xml:space="preserve"> students who qualified for free or reduced price lunch, </w:t>
      </w:r>
      <w:r>
        <w:t>4</w:t>
      </w:r>
      <w:r w:rsidR="001F6374">
        <w:t xml:space="preserve">09 </w:t>
      </w:r>
      <w:r w:rsidRPr="00F5063E">
        <w:t xml:space="preserve">(or </w:t>
      </w:r>
      <w:r>
        <w:t>1</w:t>
      </w:r>
      <w:r w:rsidR="001F6374">
        <w:t>4</w:t>
      </w:r>
      <w:r w:rsidRPr="00F5063E">
        <w:t xml:space="preserve">%) were separated from the mainstream classroom to this </w:t>
      </w:r>
      <w:r>
        <w:t xml:space="preserve">same </w:t>
      </w:r>
      <w:r w:rsidRPr="00F5063E">
        <w:t xml:space="preserve">degree. Breaking this group down further, of the </w:t>
      </w:r>
      <w:r w:rsidR="001F6374">
        <w:t>628</w:t>
      </w:r>
      <w:r>
        <w:t xml:space="preserve"> </w:t>
      </w:r>
      <w:r w:rsidRPr="00F5063E">
        <w:t>10</w:t>
      </w:r>
      <w:r w:rsidRPr="00F5063E">
        <w:rPr>
          <w:vertAlign w:val="superscript"/>
        </w:rPr>
        <w:t>th</w:t>
      </w:r>
      <w:r>
        <w:t xml:space="preserve"> grade </w:t>
      </w:r>
      <w:r w:rsidRPr="00022B00">
        <w:rPr>
          <w:i/>
        </w:rPr>
        <w:t>‘High Incidence’</w:t>
      </w:r>
      <w:r>
        <w:t xml:space="preserve"> students </w:t>
      </w:r>
      <w:r w:rsidRPr="00F5063E">
        <w:t xml:space="preserve">who were low-income and African American, </w:t>
      </w:r>
      <w:r>
        <w:t>10</w:t>
      </w:r>
      <w:r w:rsidR="001F6374">
        <w:t>3</w:t>
      </w:r>
      <w:r>
        <w:t xml:space="preserve"> </w:t>
      </w:r>
      <w:r w:rsidRPr="00F5063E">
        <w:t xml:space="preserve">(or </w:t>
      </w:r>
      <w:r>
        <w:t>16</w:t>
      </w:r>
      <w:r w:rsidRPr="00F5063E">
        <w:t xml:space="preserve">%) were educated in these substantially separate settings. And finally, within that group, looking only at males, more than </w:t>
      </w:r>
      <w:r w:rsidR="001F6374">
        <w:t>18</w:t>
      </w:r>
      <w:r w:rsidRPr="00F5063E">
        <w:t>% of low-income, 10</w:t>
      </w:r>
      <w:r w:rsidRPr="00F5063E">
        <w:rPr>
          <w:vertAlign w:val="superscript"/>
        </w:rPr>
        <w:t>th</w:t>
      </w:r>
      <w:r w:rsidRPr="00F5063E">
        <w:t xml:space="preserve"> grade African American male </w:t>
      </w:r>
      <w:r w:rsidRPr="00022B00">
        <w:rPr>
          <w:i/>
        </w:rPr>
        <w:t>‘High Incidence’</w:t>
      </w:r>
      <w:r>
        <w:t xml:space="preserve"> </w:t>
      </w:r>
      <w:r w:rsidRPr="00F5063E">
        <w:t xml:space="preserve">students were </w:t>
      </w:r>
      <w:r w:rsidR="00D82DE0">
        <w:t xml:space="preserve">educated </w:t>
      </w:r>
      <w:r w:rsidR="001A14D1">
        <w:t xml:space="preserve">in </w:t>
      </w:r>
      <w:r w:rsidRPr="00F5063E">
        <w:t xml:space="preserve">substantially </w:t>
      </w:r>
      <w:r w:rsidR="001A14D1">
        <w:t>separate</w:t>
      </w:r>
      <w:r w:rsidR="001A14D1" w:rsidRPr="00F5063E">
        <w:t xml:space="preserve"> </w:t>
      </w:r>
      <w:r w:rsidRPr="00F5063E">
        <w:t>classrooms away from their typically developing peers.</w:t>
      </w:r>
    </w:p>
    <w:p w:rsidR="008D2AB8" w:rsidRPr="00375639"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6E78E0">
        <w:lastRenderedPageBreak/>
        <w:t>While we use the 10</w:t>
      </w:r>
      <w:r w:rsidRPr="006E78E0">
        <w:rPr>
          <w:vertAlign w:val="superscript"/>
        </w:rPr>
        <w:t>th</w:t>
      </w:r>
      <w:r w:rsidRPr="006E78E0">
        <w:t xml:space="preserve"> grade sample as an example, these patterns were consistent across grade-levels, with characteristics like race</w:t>
      </w:r>
      <w:r w:rsidR="000879AE">
        <w:t xml:space="preserve"> and</w:t>
      </w:r>
      <w:r w:rsidRPr="006E78E0">
        <w:t xml:space="preserve"> low-income status </w:t>
      </w:r>
      <w:r w:rsidR="00DB1AE1">
        <w:t>associated with</w:t>
      </w:r>
      <w:r w:rsidRPr="006E78E0">
        <w:t xml:space="preserve"> substantially higher proportions of the school day spent outside of mainstream classrooms. We expand on these findings in the remainder of this section.</w:t>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8D2AB8" w:rsidRPr="006E78E0" w:rsidRDefault="008D2AB8" w:rsidP="008D2AB8">
      <w:pPr>
        <w:ind w:left="1350" w:hanging="1350"/>
        <w:rPr>
          <w:b/>
        </w:rPr>
      </w:pPr>
      <w:r w:rsidRPr="006E78E0">
        <w:rPr>
          <w:b/>
        </w:rPr>
        <w:t>Finding 5a – Low-income Students with Disabilities and Educational</w:t>
      </w:r>
      <w:r>
        <w:rPr>
          <w:b/>
        </w:rPr>
        <w:t xml:space="preserve"> Setting</w:t>
      </w:r>
      <w:r w:rsidR="00DB1AE1">
        <w:rPr>
          <w:b/>
        </w:rPr>
        <w:t xml:space="preserve">: </w:t>
      </w:r>
      <w:r w:rsidRPr="00F5063E">
        <w:rPr>
          <w:b/>
        </w:rPr>
        <w:br/>
      </w:r>
      <w:r w:rsidRPr="00375639">
        <w:t xml:space="preserve">Low-income students with disabilities are </w:t>
      </w:r>
      <w:r w:rsidR="001A14D1">
        <w:t xml:space="preserve">educated in </w:t>
      </w:r>
      <w:r w:rsidRPr="00375639">
        <w:t xml:space="preserve">substantially </w:t>
      </w:r>
      <w:r w:rsidR="001A14D1">
        <w:t>separate classrooms</w:t>
      </w:r>
      <w:r w:rsidR="001A14D1" w:rsidRPr="00375639">
        <w:t xml:space="preserve"> </w:t>
      </w:r>
      <w:r w:rsidRPr="00375639">
        <w:t xml:space="preserve">at higher rates </w:t>
      </w:r>
      <w:r w:rsidRPr="006E78E0">
        <w:t>than non-low-income students with disabilities.</w:t>
      </w:r>
    </w:p>
    <w:p w:rsidR="008D2AB8" w:rsidRPr="006E78E0" w:rsidRDefault="008D2AB8" w:rsidP="008D2AB8">
      <w:pPr>
        <w:rPr>
          <w:b/>
        </w:rPr>
      </w:pPr>
    </w:p>
    <w:p w:rsidR="008D2AB8" w:rsidRPr="006E78E0" w:rsidRDefault="008D2AB8" w:rsidP="008D2AB8">
      <w:r w:rsidRPr="006E78E0">
        <w:t xml:space="preserve">Low-income students with disabilities are educated outside of the general education classroom at rates higher than children who are not low-income. Figure </w:t>
      </w:r>
      <w:r w:rsidR="00D300D9">
        <w:t>7</w:t>
      </w:r>
      <w:r w:rsidRPr="006E78E0">
        <w:t xml:space="preserve"> (below) displays the percentages of low-income and non-low-income students with disabilities who are </w:t>
      </w:r>
      <w:r w:rsidRPr="00A06835">
        <w:t>educated</w:t>
      </w:r>
      <w:r w:rsidRPr="006E78E0">
        <w:t xml:space="preserve"> with typically developing peers: 80-100% of the school day</w:t>
      </w:r>
      <w:r>
        <w:t xml:space="preserve"> (</w:t>
      </w:r>
      <w:r>
        <w:rPr>
          <w:i/>
        </w:rPr>
        <w:t>mostly</w:t>
      </w:r>
      <w:r w:rsidRPr="00A06835">
        <w:rPr>
          <w:i/>
        </w:rPr>
        <w:t xml:space="preserve"> </w:t>
      </w:r>
      <w:r>
        <w:rPr>
          <w:i/>
        </w:rPr>
        <w:t>included</w:t>
      </w:r>
      <w:r>
        <w:t>)</w:t>
      </w:r>
      <w:r w:rsidRPr="006E78E0">
        <w:t>; 40-79% of the school day</w:t>
      </w:r>
      <w:r>
        <w:t xml:space="preserve"> (</w:t>
      </w:r>
      <w:r>
        <w:rPr>
          <w:i/>
        </w:rPr>
        <w:t>somewhat included</w:t>
      </w:r>
      <w:r>
        <w:t>)</w:t>
      </w:r>
      <w:r w:rsidRPr="006E78E0">
        <w:t>; and 0-40% of the school day</w:t>
      </w:r>
      <w:r>
        <w:t xml:space="preserve"> (</w:t>
      </w:r>
      <w:r>
        <w:rPr>
          <w:i/>
        </w:rPr>
        <w:t xml:space="preserve">substantially </w:t>
      </w:r>
      <w:r w:rsidR="00CF678F">
        <w:rPr>
          <w:i/>
        </w:rPr>
        <w:t>separate</w:t>
      </w:r>
      <w:r>
        <w:t>)</w:t>
      </w:r>
      <w:r w:rsidRPr="006E78E0">
        <w:t xml:space="preserve">.  </w:t>
      </w:r>
    </w:p>
    <w:p w:rsidR="008D2AB8" w:rsidRPr="006E78E0" w:rsidRDefault="008D2AB8" w:rsidP="008D2AB8"/>
    <w:p w:rsidR="008D2AB8" w:rsidRPr="006E78E0" w:rsidRDefault="008D2AB8" w:rsidP="008D2AB8">
      <w:pPr>
        <w:rPr>
          <w:b/>
          <w:sz w:val="20"/>
          <w:szCs w:val="20"/>
        </w:rPr>
      </w:pPr>
    </w:p>
    <w:p w:rsidR="008D2AB8" w:rsidRPr="008735A2" w:rsidRDefault="008D2AB8" w:rsidP="008D2AB8">
      <w:pPr>
        <w:ind w:left="360" w:right="360"/>
        <w:rPr>
          <w:sz w:val="21"/>
          <w:szCs w:val="21"/>
        </w:rPr>
      </w:pPr>
      <w:proofErr w:type="gramStart"/>
      <w:r w:rsidRPr="008735A2">
        <w:rPr>
          <w:i/>
          <w:sz w:val="21"/>
          <w:szCs w:val="21"/>
        </w:rPr>
        <w:t xml:space="preserve">Figure </w:t>
      </w:r>
      <w:r w:rsidR="00D300D9">
        <w:rPr>
          <w:i/>
          <w:sz w:val="21"/>
          <w:szCs w:val="21"/>
        </w:rPr>
        <w:t>7</w:t>
      </w:r>
      <w:r>
        <w:rPr>
          <w:i/>
          <w:sz w:val="21"/>
          <w:szCs w:val="21"/>
        </w:rPr>
        <w:t>.</w:t>
      </w:r>
      <w:proofErr w:type="gramEnd"/>
      <w:r w:rsidRPr="008735A2">
        <w:rPr>
          <w:sz w:val="21"/>
          <w:szCs w:val="21"/>
        </w:rPr>
        <w:t xml:space="preserve"> </w:t>
      </w:r>
      <w:r>
        <w:rPr>
          <w:sz w:val="21"/>
          <w:szCs w:val="21"/>
        </w:rPr>
        <w:t>P</w:t>
      </w:r>
      <w:r w:rsidRPr="008735A2">
        <w:rPr>
          <w:sz w:val="21"/>
          <w:szCs w:val="21"/>
        </w:rPr>
        <w:t>ercentage of low-income and non-low-income students with disabilities who are educated with their typically developing peers 80-100% of the school day; 40-79% of the school day and 0-40% of the school day (</w:t>
      </w:r>
      <w:r w:rsidRPr="008735A2">
        <w:rPr>
          <w:i/>
          <w:sz w:val="21"/>
          <w:szCs w:val="21"/>
        </w:rPr>
        <w:t>n</w:t>
      </w:r>
      <w:r w:rsidRPr="008735A2">
        <w:rPr>
          <w:sz w:val="21"/>
          <w:szCs w:val="21"/>
        </w:rPr>
        <w:t>=174,730</w:t>
      </w:r>
      <w:r>
        <w:rPr>
          <w:sz w:val="21"/>
          <w:szCs w:val="21"/>
        </w:rPr>
        <w:t xml:space="preserve"> students with disabilities</w:t>
      </w:r>
      <w:r w:rsidRPr="008735A2">
        <w:rPr>
          <w:sz w:val="21"/>
          <w:szCs w:val="21"/>
        </w:rPr>
        <w:t>).</w:t>
      </w:r>
    </w:p>
    <w:p w:rsidR="008D2AB8" w:rsidRPr="006E78E0" w:rsidRDefault="008D2AB8" w:rsidP="008D2AB8">
      <w:pPr>
        <w:rPr>
          <w:b/>
        </w:rPr>
      </w:pPr>
    </w:p>
    <w:p w:rsidR="008D2AB8" w:rsidRPr="00375639" w:rsidRDefault="004B42C3" w:rsidP="008D2AB8">
      <w:pPr>
        <w:jc w:val="center"/>
        <w:rPr>
          <w:b/>
        </w:rPr>
      </w:pPr>
      <w:r>
        <w:rPr>
          <w:noProof/>
        </w:rPr>
        <w:drawing>
          <wp:inline distT="0" distB="0" distL="0" distR="0">
            <wp:extent cx="4591050" cy="2971800"/>
            <wp:effectExtent l="19050" t="0" r="0" b="0"/>
            <wp:docPr id="8" name="Picture 8" descr="Figure 7. 52.9% of low-income students with disabilities are educated with their typically developing peers 80-100% of the day, 22.6% are educated with their typically developing peers 40-79% of the school day, and 20.2% are educated with their typically developing peers 0-40% of the school day. &#10;&#10;69.3% of non low-income students with disabilities are educated with their typically developing peers 80-100% of the day, 14.8% are educated with their typically developing peers 40-79% of the school day, and 8.5% are educated with their typically developing peers 0-40% of the school da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7. 52.9% of low-income students with disabilities are educated with their typically developing peers 80-100% of the day, 22.6% are educated with their typically developing peers 40-79% of the school day, and 20.2% are educated with their typically developing peers 0-40% of the school day. &#10;&#10;69.3% of non low-income students with disabilities are educated with their typically developing peers 80-100% of the day, 14.8% are educated with their typically developing peers 40-79% of the school day, and 8.5% are educated with their typically developing peers 0-40% of the school day&#10;"/>
                    <pic:cNvPicPr>
                      <a:picLocks noChangeAspect="1" noChangeArrowheads="1"/>
                    </pic:cNvPicPr>
                  </pic:nvPicPr>
                  <pic:blipFill>
                    <a:blip r:embed="rId17"/>
                    <a:srcRect l="4201" t="19467" r="18800" b="13867"/>
                    <a:stretch>
                      <a:fillRect/>
                    </a:stretch>
                  </pic:blipFill>
                  <pic:spPr bwMode="auto">
                    <a:xfrm>
                      <a:off x="0" y="0"/>
                      <a:ext cx="4591050" cy="2971800"/>
                    </a:xfrm>
                    <a:prstGeom prst="rect">
                      <a:avLst/>
                    </a:prstGeom>
                    <a:noFill/>
                    <a:ln w="9525">
                      <a:noFill/>
                      <a:miter lim="800000"/>
                      <a:headEnd/>
                      <a:tailEnd/>
                    </a:ln>
                  </pic:spPr>
                </pic:pic>
              </a:graphicData>
            </a:graphic>
          </wp:inline>
        </w:drawing>
      </w:r>
    </w:p>
    <w:p w:rsidR="008D2AB8" w:rsidRPr="006E78E0" w:rsidRDefault="008D2AB8" w:rsidP="008D2AB8">
      <w:pPr>
        <w:rPr>
          <w:b/>
        </w:rPr>
      </w:pPr>
    </w:p>
    <w:p w:rsidR="008D2AB8" w:rsidRPr="006E78E0" w:rsidRDefault="008D2AB8" w:rsidP="008D2AB8">
      <w:r w:rsidRPr="006E78E0">
        <w:t>We explored this finding further by fitting multi-level logistic regression models</w:t>
      </w:r>
      <w:r>
        <w:t xml:space="preserve"> </w:t>
      </w:r>
      <w:r w:rsidRPr="00F5063E">
        <w:t>predicting the likelihood that a student would be in the 0-40% category. We found that controlling for student race, student gender, district median family income</w:t>
      </w:r>
      <w:r w:rsidR="000879AE">
        <w:t xml:space="preserve"> and</w:t>
      </w:r>
      <w:r w:rsidRPr="00F5063E">
        <w:t xml:space="preserve"> the overall inclusivity of the district, the odds that</w:t>
      </w:r>
      <w:r w:rsidRPr="00375639">
        <w:t xml:space="preserve"> a low-income student would be educated in a substantially separate setting (included less </w:t>
      </w:r>
      <w:r w:rsidR="00DB1AE1">
        <w:t xml:space="preserve">than </w:t>
      </w:r>
      <w:r w:rsidRPr="00375639">
        <w:t xml:space="preserve">40% of the day) are between 1.8 and 2 times the odds for a non-low-income student. This relationship is </w:t>
      </w:r>
      <w:r w:rsidRPr="00375639">
        <w:lastRenderedPageBreak/>
        <w:t>consistent across the elementary, middle</w:t>
      </w:r>
      <w:r w:rsidR="000879AE">
        <w:t xml:space="preserve"> and</w:t>
      </w:r>
      <w:r w:rsidRPr="00375639">
        <w:t xml:space="preserve"> high school yea</w:t>
      </w:r>
      <w:r w:rsidRPr="006E78E0">
        <w:t xml:space="preserve">rs. </w:t>
      </w:r>
      <w:r>
        <w:t xml:space="preserve">We also conducted these analyses excluding the large urban districts of Boston, Worcester and Springfield and found that, although the relationship between low-income status and the odds of being </w:t>
      </w:r>
      <w:r w:rsidR="001A14D1">
        <w:t xml:space="preserve">educated in a </w:t>
      </w:r>
      <w:r>
        <w:t xml:space="preserve">substantially </w:t>
      </w:r>
      <w:r w:rsidR="001A14D1">
        <w:t xml:space="preserve">separate classroom </w:t>
      </w:r>
      <w:r>
        <w:t>was slightly attenuated</w:t>
      </w:r>
      <w:r w:rsidR="00945DC9">
        <w:t xml:space="preserve"> when these districts were removed</w:t>
      </w:r>
      <w:r>
        <w:t xml:space="preserve">, the overall pattern remained.  </w:t>
      </w:r>
    </w:p>
    <w:p w:rsidR="008D2AB8" w:rsidRPr="006E78E0" w:rsidRDefault="008D2AB8" w:rsidP="008D2AB8">
      <w:pPr>
        <w:rPr>
          <w:b/>
        </w:rPr>
      </w:pPr>
    </w:p>
    <w:p w:rsidR="008D2AB8" w:rsidRPr="006E78E0" w:rsidRDefault="008D2AB8" w:rsidP="008D2AB8">
      <w:pPr>
        <w:ind w:left="1350" w:hanging="1440"/>
      </w:pPr>
      <w:r w:rsidRPr="006E78E0">
        <w:rPr>
          <w:b/>
        </w:rPr>
        <w:t>Finding 5b – African American and Latino Students wit</w:t>
      </w:r>
      <w:r w:rsidR="003928F5">
        <w:rPr>
          <w:b/>
        </w:rPr>
        <w:t xml:space="preserve">h Disabilities and Inclusion: </w:t>
      </w:r>
      <w:r w:rsidRPr="006E78E0">
        <w:rPr>
          <w:b/>
        </w:rPr>
        <w:br/>
      </w:r>
      <w:r w:rsidRPr="006E78E0">
        <w:rPr>
          <w:i/>
        </w:rPr>
        <w:t xml:space="preserve">African American and Latino middle and high school students with disabilities in Massachusetts are included with their typically developing peers at lower rates than are White and Asian middle and high school students with disabilities.  </w:t>
      </w:r>
    </w:p>
    <w:p w:rsidR="008D2AB8" w:rsidRPr="006E78E0" w:rsidRDefault="008D2AB8" w:rsidP="008D2AB8"/>
    <w:p w:rsidR="008D2AB8" w:rsidRPr="00375639" w:rsidRDefault="008D2AB8" w:rsidP="008D2AB8">
      <w:r w:rsidRPr="006E78E0">
        <w:t xml:space="preserve">African American and Latino students spend less time in integrated settings </w:t>
      </w:r>
      <w:r w:rsidR="003928F5">
        <w:t xml:space="preserve">than White and Asian students. </w:t>
      </w:r>
      <w:r w:rsidRPr="006E78E0">
        <w:t>For example, approximately two-thirds of White students with disabilities are included with their typically developing peers for at least 80% of the day compared to only one-half of African American and Latino students with disabilities. This pattern is consistent across disability categories</w:t>
      </w:r>
      <w:r w:rsidR="000879AE">
        <w:t xml:space="preserve"> and</w:t>
      </w:r>
      <w:r w:rsidRPr="006E78E0">
        <w:t xml:space="preserve"> the discrepancy in inclusion is most dramatic in the category of emotional disturbance. In this category, the percentage of White students who are </w:t>
      </w:r>
      <w:r>
        <w:rPr>
          <w:i/>
        </w:rPr>
        <w:t>mostly included</w:t>
      </w:r>
      <w:r w:rsidRPr="006E78E0">
        <w:t xml:space="preserve"> is nearly double the corresponding percentage of African American students (about 40 out of 100 White students and 21 out of 1</w:t>
      </w:r>
      <w:r w:rsidR="003928F5">
        <w:t xml:space="preserve">00 African American students). </w:t>
      </w:r>
      <w:r w:rsidRPr="006E78E0">
        <w:t xml:space="preserve">The graph below displays the </w:t>
      </w:r>
      <w:r w:rsidR="00282D37">
        <w:t>distribution</w:t>
      </w:r>
      <w:r w:rsidRPr="006E78E0">
        <w:t xml:space="preserve"> of students with disabilities (all disability categories combined) into the </w:t>
      </w:r>
      <w:r>
        <w:t>three</w:t>
      </w:r>
      <w:r w:rsidRPr="006E78E0">
        <w:t xml:space="preserve"> levels of inclusion: 80-100% of the school day; 40-79% of the school day; and 0-40% of the school day</w:t>
      </w:r>
      <w:r w:rsidR="00DB1AE1">
        <w:t>.</w:t>
      </w:r>
      <w:r w:rsidRPr="00375639">
        <w:rPr>
          <w:rStyle w:val="FootnoteReference"/>
        </w:rPr>
        <w:footnoteReference w:id="22"/>
      </w:r>
    </w:p>
    <w:p w:rsidR="008D2AB8" w:rsidRPr="006E78E0" w:rsidRDefault="008D2AB8" w:rsidP="008D2AB8"/>
    <w:p w:rsidR="008D2AB8" w:rsidRPr="00703305" w:rsidRDefault="008D2AB8" w:rsidP="00703305">
      <w:pPr>
        <w:ind w:left="360" w:right="360"/>
        <w:rPr>
          <w:sz w:val="21"/>
          <w:szCs w:val="21"/>
        </w:rPr>
      </w:pPr>
      <w:proofErr w:type="gramStart"/>
      <w:r w:rsidRPr="00A06835">
        <w:rPr>
          <w:i/>
          <w:sz w:val="21"/>
          <w:szCs w:val="21"/>
        </w:rPr>
        <w:t xml:space="preserve">Figure </w:t>
      </w:r>
      <w:r w:rsidR="00D300D9">
        <w:rPr>
          <w:i/>
          <w:sz w:val="21"/>
          <w:szCs w:val="21"/>
        </w:rPr>
        <w:t>8</w:t>
      </w:r>
      <w:r>
        <w:rPr>
          <w:i/>
          <w:sz w:val="21"/>
          <w:szCs w:val="21"/>
        </w:rPr>
        <w:t>.</w:t>
      </w:r>
      <w:proofErr w:type="gramEnd"/>
      <w:r w:rsidRPr="00A06835">
        <w:rPr>
          <w:b/>
          <w:sz w:val="21"/>
          <w:szCs w:val="21"/>
        </w:rPr>
        <w:t xml:space="preserve"> </w:t>
      </w:r>
      <w:r>
        <w:rPr>
          <w:sz w:val="21"/>
          <w:szCs w:val="21"/>
        </w:rPr>
        <w:t>P</w:t>
      </w:r>
      <w:r w:rsidRPr="00A06835">
        <w:rPr>
          <w:sz w:val="21"/>
          <w:szCs w:val="21"/>
        </w:rPr>
        <w:t>ercentage of students with disabilities who are educated with their typically developing peers 80-100% of the school day; 40-79% of the school day; and 0-40% of the school day</w:t>
      </w:r>
      <w:r>
        <w:rPr>
          <w:sz w:val="21"/>
          <w:szCs w:val="21"/>
        </w:rPr>
        <w:t xml:space="preserve"> by race</w:t>
      </w:r>
      <w:r w:rsidRPr="00A06835">
        <w:rPr>
          <w:sz w:val="21"/>
          <w:szCs w:val="21"/>
        </w:rPr>
        <w:t xml:space="preserve"> (</w:t>
      </w:r>
      <w:r w:rsidRPr="00A06835">
        <w:rPr>
          <w:i/>
          <w:sz w:val="21"/>
          <w:szCs w:val="21"/>
        </w:rPr>
        <w:t>n</w:t>
      </w:r>
      <w:r w:rsidRPr="00A06835">
        <w:rPr>
          <w:sz w:val="21"/>
          <w:szCs w:val="21"/>
        </w:rPr>
        <w:t>=9,996 children with disabilitie</w:t>
      </w:r>
      <w:r w:rsidR="00D65032">
        <w:rPr>
          <w:sz w:val="21"/>
          <w:szCs w:val="21"/>
        </w:rPr>
        <w:t>s</w:t>
      </w:r>
      <w:r w:rsidRPr="00A06835">
        <w:rPr>
          <w:sz w:val="21"/>
          <w:szCs w:val="21"/>
        </w:rPr>
        <w:t>)</w:t>
      </w:r>
      <w:r>
        <w:rPr>
          <w:sz w:val="21"/>
          <w:szCs w:val="21"/>
        </w:rPr>
        <w:t xml:space="preserve">.   </w:t>
      </w:r>
    </w:p>
    <w:p w:rsidR="008D2AB8" w:rsidRPr="00375639" w:rsidRDefault="004B42C3" w:rsidP="008D2AB8">
      <w:pPr>
        <w:jc w:val="center"/>
      </w:pPr>
      <w:r>
        <w:rPr>
          <w:noProof/>
        </w:rPr>
        <w:drawing>
          <wp:inline distT="0" distB="0" distL="0" distR="0">
            <wp:extent cx="4191000" cy="2466975"/>
            <wp:effectExtent l="19050" t="0" r="0" b="0"/>
            <wp:docPr id="9" name="Chart 1" descr="Figure 8. &#10;The percentages of students with disabilities who are educated with their typically developing peers 80-100% of the school day; 40-79% of the school day; and 0-40% of the school day for students in the following racial/ethnic categories are as follows:&#10;&#10;African American students &#10;Included 100% to 80%= 50%&#10;Included 79% to 40% =20%&#10;Included less than 40%=  23%&#10;Other setting  =7.2% &#10;&#10;Latino Students &#10;Included 100% to 80%= 51%&#10;Included 79% to 40% =23%&#10;Included less than 40%=  20%&#10;Other setting  =5.4% &#10;&#10;Asian Students &#10;Included 100% to 80%= 66%&#10;Included 79% to 40% =16%&#10;Included less than 40%=  14%&#10;Other setting  =4.2 % &#10;&#10;White Students &#10;Included 100% to 80%= 68%&#10;Included 79% to 40% =16%&#10;Included less than 40%=  10%&#10;Other setting  =6.2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Figure 8. &#10;The percentages of students with disabilities who are educated with their typically developing peers 80-100% of the school day; 40-79% of the school day; and 0-40% of the school day for students in the following racial/ethnic categories are as follows:&#10;&#10;African American students &#10;Included 100% to 80%= 50%&#10;Included 79% to 40% =20%&#10;Included less than 40%=  23%&#10;Other setting  =7.2% &#10;&#10;Latino Students &#10;Included 100% to 80%= 51%&#10;Included 79% to 40% =23%&#10;Included less than 40%=  20%&#10;Other setting  =5.4% &#10;&#10;Asian Students &#10;Included 100% to 80%= 66%&#10;Included 79% to 40% =16%&#10;Included less than 40%=  14%&#10;Other setting  =4.2 % &#10;&#10;White Students &#10;Included 100% to 80%= 68%&#10;Included 79% to 40% =16%&#10;Included less than 40%=  10%&#10;Other setting  =6.2 % &#10;"/>
                    <pic:cNvPicPr>
                      <a:picLocks noChangeAspect="1" noChangeArrowheads="1"/>
                    </pic:cNvPicPr>
                  </pic:nvPicPr>
                  <pic:blipFill>
                    <a:blip r:embed="rId18"/>
                    <a:srcRect b="-340"/>
                    <a:stretch>
                      <a:fillRect/>
                    </a:stretch>
                  </pic:blipFill>
                  <pic:spPr bwMode="auto">
                    <a:xfrm>
                      <a:off x="0" y="0"/>
                      <a:ext cx="4191000" cy="2466975"/>
                    </a:xfrm>
                    <a:prstGeom prst="rect">
                      <a:avLst/>
                    </a:prstGeom>
                    <a:noFill/>
                    <a:ln w="9525">
                      <a:noFill/>
                      <a:miter lim="800000"/>
                      <a:headEnd/>
                      <a:tailEnd/>
                    </a:ln>
                  </pic:spPr>
                </pic:pic>
              </a:graphicData>
            </a:graphic>
          </wp:inline>
        </w:drawing>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6E78E0">
        <w:lastRenderedPageBreak/>
        <w:t>While the previous paragraph described difference</w:t>
      </w:r>
      <w:r w:rsidR="006240D9">
        <w:t>s in rates of students by race</w:t>
      </w:r>
      <w:r w:rsidRPr="006E78E0">
        <w:t xml:space="preserve"> </w:t>
      </w:r>
      <w:r w:rsidR="00282D37" w:rsidRPr="006E78E0">
        <w:t xml:space="preserve">in </w:t>
      </w:r>
      <w:r w:rsidR="00282D37" w:rsidRPr="00A06835">
        <w:rPr>
          <w:i/>
        </w:rPr>
        <w:t>mostly</w:t>
      </w:r>
      <w:r>
        <w:rPr>
          <w:i/>
        </w:rPr>
        <w:t xml:space="preserve"> </w:t>
      </w:r>
      <w:r w:rsidR="00282D37">
        <w:rPr>
          <w:i/>
        </w:rPr>
        <w:t>included</w:t>
      </w:r>
      <w:r w:rsidR="00282D37" w:rsidRPr="00A06835" w:rsidDel="00A06835">
        <w:t xml:space="preserve"> </w:t>
      </w:r>
      <w:r w:rsidR="00282D37" w:rsidRPr="006E78E0">
        <w:rPr>
          <w:i/>
        </w:rPr>
        <w:t>settings</w:t>
      </w:r>
      <w:r w:rsidRPr="006E78E0">
        <w:t xml:space="preserve">, we also found </w:t>
      </w:r>
      <w:r w:rsidR="00282D37">
        <w:t xml:space="preserve">that </w:t>
      </w:r>
      <w:r w:rsidRPr="006E78E0">
        <w:t xml:space="preserve">the difference in rates between the percentage of African-American/Latino students and White/Asian students in </w:t>
      </w:r>
      <w:r>
        <w:rPr>
          <w:i/>
        </w:rPr>
        <w:t>s</w:t>
      </w:r>
      <w:r w:rsidRPr="006E78E0">
        <w:rPr>
          <w:i/>
        </w:rPr>
        <w:t xml:space="preserve">ubstantially </w:t>
      </w:r>
      <w:r w:rsidR="001A14D1">
        <w:rPr>
          <w:i/>
        </w:rPr>
        <w:t>separate</w:t>
      </w:r>
      <w:r w:rsidR="001A14D1" w:rsidRPr="006E78E0">
        <w:rPr>
          <w:i/>
        </w:rPr>
        <w:t xml:space="preserve"> </w:t>
      </w:r>
      <w:r w:rsidRPr="006E78E0">
        <w:t xml:space="preserve">settings (included less than 40%) was notable.  Among all students (special and general education) approximately 5% of African American and Latino students are educated in these </w:t>
      </w:r>
      <w:r w:rsidR="001A14D1">
        <w:rPr>
          <w:i/>
        </w:rPr>
        <w:t>separate</w:t>
      </w:r>
      <w:r w:rsidR="001A14D1" w:rsidRPr="006E78E0">
        <w:rPr>
          <w:i/>
        </w:rPr>
        <w:t xml:space="preserve"> </w:t>
      </w:r>
      <w:r w:rsidRPr="006E78E0">
        <w:t xml:space="preserve">settings compared to 1.6% of all White and Asian students, more than a three-fold difference.  </w:t>
      </w:r>
    </w:p>
    <w:p w:rsidR="008D2AB8" w:rsidRPr="00D82D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1"/>
          <w:szCs w:val="21"/>
        </w:rPr>
      </w:pPr>
    </w:p>
    <w:p w:rsidR="008D2AB8" w:rsidRPr="00375639"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6E78E0">
        <w:t xml:space="preserve">We examined whether the higher rates of </w:t>
      </w:r>
      <w:r w:rsidR="001A14D1">
        <w:t>educational separation</w:t>
      </w:r>
      <w:r w:rsidR="001A14D1" w:rsidRPr="006E78E0">
        <w:t xml:space="preserve"> </w:t>
      </w:r>
      <w:r w:rsidRPr="006E78E0">
        <w:t xml:space="preserve">we observed for African American and Latino students were possibly driven by the fact that these students were more likely to be low-income and/or more likely to be identified into more severe disability categories. As with many of the findings reported above, we </w:t>
      </w:r>
      <w:r>
        <w:t xml:space="preserve">looked within the subcategory of students with </w:t>
      </w:r>
      <w:r w:rsidRPr="00022B00">
        <w:rPr>
          <w:i/>
        </w:rPr>
        <w:t>‘High Incidence’</w:t>
      </w:r>
      <w:r>
        <w:t xml:space="preserve"> disabilities and </w:t>
      </w:r>
      <w:r w:rsidRPr="00F5063E">
        <w:t>examined the relationship in a controlled multilevel logistic regressi</w:t>
      </w:r>
      <w:r w:rsidRPr="00375639">
        <w:t xml:space="preserve">on framework. We found that student race remained a salient characteristic in predicting </w:t>
      </w:r>
      <w:r w:rsidR="001A14D1">
        <w:t>educational separation</w:t>
      </w:r>
      <w:r w:rsidR="001A14D1" w:rsidRPr="006E78E0">
        <w:t xml:space="preserve"> </w:t>
      </w:r>
      <w:r w:rsidRPr="00375639">
        <w:t>even after controlling for low-income status.  For example, controlling for student low-income status, student gender, district median family income</w:t>
      </w:r>
      <w:r w:rsidR="000879AE">
        <w:t xml:space="preserve"> and</w:t>
      </w:r>
      <w:r w:rsidRPr="00375639">
        <w:t xml:space="preserve"> t</w:t>
      </w:r>
      <w:r w:rsidRPr="006E78E0">
        <w:t>he overall inclusivity of the district, we found that the fitted odds that an African American or Latino middle or high school</w:t>
      </w:r>
      <w:r>
        <w:t xml:space="preserve"> </w:t>
      </w:r>
      <w:r w:rsidRPr="006E78E0">
        <w:t>student</w:t>
      </w:r>
      <w:r>
        <w:t xml:space="preserve"> with a</w:t>
      </w:r>
      <w:r w:rsidRPr="006E78E0">
        <w:t xml:space="preserve"> </w:t>
      </w:r>
      <w:r w:rsidRPr="00022B00">
        <w:rPr>
          <w:i/>
        </w:rPr>
        <w:t>‘High Incidence’</w:t>
      </w:r>
      <w:r w:rsidRPr="006E78E0">
        <w:rPr>
          <w:i/>
        </w:rPr>
        <w:t xml:space="preserve"> </w:t>
      </w:r>
      <w:r>
        <w:t xml:space="preserve">disability </w:t>
      </w:r>
      <w:r w:rsidRPr="006E78E0">
        <w:t xml:space="preserve">would be </w:t>
      </w:r>
      <w:r w:rsidR="00D82DE0">
        <w:rPr>
          <w:i/>
        </w:rPr>
        <w:t>educated in a substantially</w:t>
      </w:r>
      <w:r w:rsidR="001A14D1" w:rsidRPr="00A06835">
        <w:rPr>
          <w:i/>
        </w:rPr>
        <w:t xml:space="preserve"> </w:t>
      </w:r>
      <w:r w:rsidR="001A14D1">
        <w:rPr>
          <w:i/>
        </w:rPr>
        <w:t xml:space="preserve">separate setting </w:t>
      </w:r>
      <w:r w:rsidR="001A14D1" w:rsidRPr="006E78E0">
        <w:t xml:space="preserve"> </w:t>
      </w:r>
      <w:r w:rsidRPr="006E78E0">
        <w:t>(included in classrooms with their typically developing peers less than 40% of the day) were approximately 1.6 times the odds that a White or Asian middle or high school student</w:t>
      </w:r>
      <w:r>
        <w:t xml:space="preserve"> with a</w:t>
      </w:r>
      <w:r w:rsidRPr="006E78E0">
        <w:t xml:space="preserve"> </w:t>
      </w:r>
      <w:r w:rsidRPr="00022B00">
        <w:rPr>
          <w:i/>
        </w:rPr>
        <w:t>‘High Incidence’</w:t>
      </w:r>
      <w:r w:rsidRPr="006E78E0">
        <w:rPr>
          <w:i/>
        </w:rPr>
        <w:t xml:space="preserve"> </w:t>
      </w:r>
      <w:r>
        <w:t>disability</w:t>
      </w:r>
      <w:r w:rsidRPr="00022B00" w:rsidDel="00C326D2">
        <w:rPr>
          <w:i/>
        </w:rPr>
        <w:t xml:space="preserve"> </w:t>
      </w:r>
      <w:r w:rsidRPr="00375639">
        <w:t>would be</w:t>
      </w:r>
      <w:r w:rsidR="00D82DE0">
        <w:rPr>
          <w:i/>
        </w:rPr>
        <w:t xml:space="preserve"> </w:t>
      </w:r>
      <w:r w:rsidR="00D82DE0" w:rsidRPr="00D82DE0">
        <w:t>similarly separated</w:t>
      </w:r>
      <w:r w:rsidR="001A14D1" w:rsidRPr="00D82DE0">
        <w:t>.</w:t>
      </w:r>
    </w:p>
    <w:p w:rsidR="008D2AB8" w:rsidRPr="00D82D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1"/>
          <w:szCs w:val="21"/>
        </w:rPr>
      </w:pP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6E78E0">
        <w:t xml:space="preserve">It is notable that student race was not a relevant predictor of whether an elementary school student would be </w:t>
      </w:r>
      <w:r w:rsidR="001A14D1">
        <w:rPr>
          <w:i/>
        </w:rPr>
        <w:t>educated in a substantially separate setting</w:t>
      </w:r>
      <w:r w:rsidRPr="006E78E0">
        <w:t>. This may be because, on average</w:t>
      </w:r>
      <w:r w:rsidR="000879AE">
        <w:t xml:space="preserve"> and</w:t>
      </w:r>
      <w:r w:rsidRPr="00282D37">
        <w:t xml:space="preserve"> regardless of race</w:t>
      </w:r>
      <w:r w:rsidRPr="006E78E0">
        <w:t xml:space="preserve">, elementary school students with disabilities are included with their typically developing peers at higher rates than students with disabilities in middle and high school. Meaning, only at the point when we begin to see substantial </w:t>
      </w:r>
      <w:r w:rsidR="0073073E">
        <w:t>separation</w:t>
      </w:r>
      <w:r w:rsidR="0073073E" w:rsidRPr="006E78E0">
        <w:t xml:space="preserve"> </w:t>
      </w:r>
      <w:r w:rsidRPr="006E78E0">
        <w:t xml:space="preserve">of </w:t>
      </w:r>
      <w:r w:rsidR="000879AE">
        <w:t>students with disabilities</w:t>
      </w:r>
      <w:r w:rsidRPr="006E78E0">
        <w:t xml:space="preserve"> in separate classrooms – which</w:t>
      </w:r>
      <w:r w:rsidR="00282D37">
        <w:t xml:space="preserve"> appears to occur</w:t>
      </w:r>
      <w:r w:rsidRPr="006E78E0">
        <w:t xml:space="preserve"> </w:t>
      </w:r>
      <w:r w:rsidR="00282D37">
        <w:t>around</w:t>
      </w:r>
      <w:r w:rsidRPr="006E78E0">
        <w:t xml:space="preserve"> </w:t>
      </w:r>
      <w:r w:rsidR="00282D37">
        <w:t>the transition to middle school</w:t>
      </w:r>
      <w:r w:rsidRPr="006E78E0">
        <w:t xml:space="preserve"> – do we begin to observe differences in </w:t>
      </w:r>
      <w:r w:rsidR="0073073E">
        <w:t>separation</w:t>
      </w:r>
      <w:r w:rsidR="0073073E" w:rsidRPr="006E78E0">
        <w:t xml:space="preserve"> </w:t>
      </w:r>
      <w:r w:rsidRPr="006E78E0">
        <w:t>by student race.</w:t>
      </w:r>
    </w:p>
    <w:p w:rsidR="008D2AB8" w:rsidRPr="00703305"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b/>
        </w:rPr>
      </w:pPr>
      <w:r w:rsidRPr="006E78E0">
        <w:rPr>
          <w:b/>
        </w:rPr>
        <w:t>Question 5: Summary</w:t>
      </w:r>
    </w:p>
    <w:p w:rsidR="008D2AB8" w:rsidRPr="00D82D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18"/>
          <w:szCs w:val="18"/>
        </w:rPr>
      </w:pPr>
    </w:p>
    <w:p w:rsidR="00D82DE0" w:rsidRDefault="008D2AB8" w:rsidP="00D82DE0">
      <w:pPr>
        <w:pStyle w:val="ColorfulList-Accent11"/>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6E78E0">
        <w:t xml:space="preserve">Low-income students with disabilities are </w:t>
      </w:r>
      <w:r w:rsidR="0073073E">
        <w:t>educated in substantially separate settings</w:t>
      </w:r>
      <w:r w:rsidR="0073073E" w:rsidRPr="006E78E0">
        <w:t xml:space="preserve"> </w:t>
      </w:r>
      <w:r w:rsidRPr="006E78E0">
        <w:t>at higher rates than students with disabilities who are not low-income.  This finding was consistent across grade levels and in controlled statistical models.</w:t>
      </w:r>
    </w:p>
    <w:p w:rsidR="00D82DE0" w:rsidRPr="00D82DE0" w:rsidRDefault="00D82DE0" w:rsidP="00D82DE0">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sz w:val="12"/>
          <w:szCs w:val="12"/>
        </w:rPr>
      </w:pPr>
    </w:p>
    <w:p w:rsidR="008D2AB8" w:rsidRPr="00703305" w:rsidRDefault="008D2AB8" w:rsidP="00D82DE0">
      <w:pPr>
        <w:pStyle w:val="ColorfulList-Accent11"/>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6E78E0">
        <w:t xml:space="preserve">African American and Latino students with disabilities are </w:t>
      </w:r>
      <w:r w:rsidR="0073073E">
        <w:t>educated in substantially separate settings</w:t>
      </w:r>
      <w:r w:rsidR="0073073E" w:rsidRPr="006E78E0">
        <w:t xml:space="preserve"> </w:t>
      </w:r>
      <w:r w:rsidRPr="006E78E0">
        <w:t>at higher rates than White and Asian students with disabilities in middle and high schools.  This finding was consistent in controlled statistical models for middle and high schools, but not</w:t>
      </w:r>
      <w:r w:rsidR="00D82DE0">
        <w:t xml:space="preserve"> in elementary schools, where w</w:t>
      </w:r>
      <w:r w:rsidRPr="006E78E0">
        <w:t xml:space="preserve">e did not find statistically significant differences between the rates of </w:t>
      </w:r>
      <w:r w:rsidR="0073073E">
        <w:t>educational separation</w:t>
      </w:r>
      <w:r w:rsidR="0073073E" w:rsidRPr="006E78E0">
        <w:t xml:space="preserve"> </w:t>
      </w:r>
      <w:r w:rsidRPr="006E78E0">
        <w:t xml:space="preserve">for African American/Latino and White/Asian students with disabilities. </w:t>
      </w:r>
    </w:p>
    <w:p w:rsidR="008D2AB8" w:rsidRPr="006E78E0" w:rsidRDefault="008D2AB8" w:rsidP="008D2AB8">
      <w:pPr>
        <w:rPr>
          <w:i/>
        </w:rPr>
      </w:pPr>
      <w:r>
        <w:rPr>
          <w:i/>
          <w:sz w:val="40"/>
          <w:szCs w:val="40"/>
        </w:rPr>
        <w:br w:type="page"/>
      </w:r>
      <w:r w:rsidRPr="00245F33">
        <w:rPr>
          <w:i/>
          <w:sz w:val="40"/>
          <w:szCs w:val="40"/>
        </w:rPr>
        <w:lastRenderedPageBreak/>
        <w:t>Part 6:</w:t>
      </w:r>
      <w:r w:rsidRPr="006E78E0">
        <w:rPr>
          <w:i/>
        </w:rPr>
        <w:t xml:space="preserve"> Detailed findings describing the relationship between </w:t>
      </w:r>
      <w:r w:rsidR="00683B15">
        <w:rPr>
          <w:i/>
        </w:rPr>
        <w:t xml:space="preserve">the </w:t>
      </w:r>
      <w:r w:rsidRPr="006E78E0">
        <w:rPr>
          <w:i/>
        </w:rPr>
        <w:t xml:space="preserve">proportion of the school day </w:t>
      </w:r>
      <w:r w:rsidR="00683B15">
        <w:rPr>
          <w:i/>
        </w:rPr>
        <w:t xml:space="preserve">a student </w:t>
      </w:r>
      <w:r w:rsidRPr="006E78E0">
        <w:rPr>
          <w:i/>
        </w:rPr>
        <w:t>spent in classrooms with their typically developing peers and</w:t>
      </w:r>
      <w:r>
        <w:rPr>
          <w:i/>
        </w:rPr>
        <w:t xml:space="preserve"> </w:t>
      </w:r>
      <w:r w:rsidRPr="006E78E0">
        <w:rPr>
          <w:i/>
        </w:rPr>
        <w:t>scores on the MCAS</w:t>
      </w:r>
      <w:r>
        <w:rPr>
          <w:i/>
        </w:rPr>
        <w:t xml:space="preserve"> for students with</w:t>
      </w:r>
      <w:r w:rsidRPr="006E78E0">
        <w:rPr>
          <w:i/>
        </w:rPr>
        <w:t xml:space="preserve"> </w:t>
      </w:r>
      <w:r w:rsidRPr="00022B00">
        <w:rPr>
          <w:i/>
        </w:rPr>
        <w:t>‘High Incidence’</w:t>
      </w:r>
      <w:r w:rsidRPr="006E78E0">
        <w:rPr>
          <w:i/>
        </w:rPr>
        <w:t xml:space="preserve"> </w:t>
      </w:r>
      <w:r>
        <w:rPr>
          <w:i/>
        </w:rPr>
        <w:t>disabilities</w:t>
      </w:r>
      <w:r w:rsidRPr="006E78E0">
        <w:rPr>
          <w:i/>
        </w:rPr>
        <w:t xml:space="preserve">  </w:t>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8D2AB8" w:rsidRPr="006E78E0" w:rsidRDefault="008D2AB8" w:rsidP="008D2AB8">
      <w:pPr>
        <w:rPr>
          <w:b/>
        </w:rPr>
      </w:pPr>
      <w:r w:rsidRPr="006E78E0">
        <w:rPr>
          <w:rFonts w:cs="Cambria"/>
          <w:b/>
          <w:color w:val="000000"/>
        </w:rPr>
        <w:t xml:space="preserve">Question 6: </w:t>
      </w:r>
      <w:r w:rsidRPr="006E78E0">
        <w:t xml:space="preserve">What student and district-level characteristics are related to the performance of </w:t>
      </w:r>
      <w:r w:rsidR="000879AE">
        <w:t>students with disabilities</w:t>
      </w:r>
      <w:r w:rsidR="000879AE" w:rsidRPr="006E78E0" w:rsidDel="000879AE">
        <w:t xml:space="preserve"> </w:t>
      </w:r>
      <w:r w:rsidRPr="006E78E0">
        <w:t>on the MCAS?</w:t>
      </w:r>
    </w:p>
    <w:p w:rsidR="008D2AB8" w:rsidRPr="006E78E0" w:rsidRDefault="008D2AB8" w:rsidP="008D2AB8"/>
    <w:p w:rsidR="008D2AB8" w:rsidRPr="006E78E0" w:rsidRDefault="008D2AB8" w:rsidP="008D2AB8">
      <w:r w:rsidRPr="006E78E0">
        <w:t>This section of the report expands on finding</w:t>
      </w:r>
      <w:r>
        <w:t>s</w:t>
      </w:r>
      <w:r w:rsidRPr="00F5063E">
        <w:t xml:space="preserve"> we have discussed in the report thus far. In our presentation of findings related to MCAS</w:t>
      </w:r>
      <w:r w:rsidR="00683B15">
        <w:t xml:space="preserve"> performance,</w:t>
      </w:r>
      <w:r w:rsidRPr="00F5063E">
        <w:t xml:space="preserve"> we looked first at district-level rates of proficiency. We then discussed raw scores (as opposed to designations of proficiency) for the MCAS at the</w:t>
      </w:r>
      <w:r w:rsidRPr="00375639">
        <w:t xml:space="preserve"> student level in our analysis of district-level identification rates and student performance, where we found a small, but trivial, difference in scores </w:t>
      </w:r>
      <w:r w:rsidR="00683B15" w:rsidRPr="00375639">
        <w:t xml:space="preserve">between </w:t>
      </w:r>
      <w:r w:rsidR="00683B15" w:rsidRPr="008B46AD">
        <w:t>students</w:t>
      </w:r>
      <w:r>
        <w:t xml:space="preserve"> with </w:t>
      </w:r>
      <w:r w:rsidRPr="00022B00">
        <w:rPr>
          <w:i/>
        </w:rPr>
        <w:t>‘High Incidence’</w:t>
      </w:r>
      <w:r>
        <w:t xml:space="preserve"> disabilities</w:t>
      </w:r>
      <w:r w:rsidRPr="006E78E0">
        <w:t xml:space="preserve"> in very high-identifying districts </w:t>
      </w:r>
      <w:r w:rsidR="00683B15" w:rsidRPr="006E78E0">
        <w:t xml:space="preserve">and </w:t>
      </w:r>
      <w:r w:rsidR="00683B15" w:rsidRPr="008B46AD">
        <w:t>students</w:t>
      </w:r>
      <w:r>
        <w:t xml:space="preserve"> with </w:t>
      </w:r>
      <w:r w:rsidRPr="00022B00">
        <w:rPr>
          <w:i/>
        </w:rPr>
        <w:t>‘High Incidence’</w:t>
      </w:r>
      <w:r>
        <w:t xml:space="preserve"> disabilities</w:t>
      </w:r>
      <w:r w:rsidRPr="006E78E0">
        <w:t xml:space="preserve"> in very low-identifying districts. We concluded that the slight difference was likely the result of higher-functioning students being incorporated into the </w:t>
      </w:r>
      <w:r w:rsidRPr="00022B00">
        <w:rPr>
          <w:i/>
        </w:rPr>
        <w:t>‘High Incidence’</w:t>
      </w:r>
      <w:r w:rsidRPr="006E78E0">
        <w:t xml:space="preserve"> special education categories in high identifying districts. </w:t>
      </w:r>
    </w:p>
    <w:p w:rsidR="008D2AB8" w:rsidRPr="006E78E0" w:rsidRDefault="008D2AB8" w:rsidP="008D2AB8"/>
    <w:p w:rsidR="008D2AB8" w:rsidRPr="006E78E0" w:rsidRDefault="008D2AB8" w:rsidP="008D2AB8">
      <w:r w:rsidRPr="006E78E0">
        <w:t>We then examined patterns of inclusion for different students eligible for special education services</w:t>
      </w:r>
      <w:r w:rsidR="000879AE">
        <w:t xml:space="preserve"> and</w:t>
      </w:r>
      <w:r w:rsidRPr="006E78E0">
        <w:t xml:space="preserve"> we found that low-income students and African American and Latino students were more likely to be </w:t>
      </w:r>
      <w:r w:rsidR="0073073E">
        <w:t>educated</w:t>
      </w:r>
      <w:r w:rsidR="0073073E" w:rsidRPr="006E78E0">
        <w:t xml:space="preserve"> </w:t>
      </w:r>
      <w:r w:rsidRPr="006E78E0">
        <w:t xml:space="preserve">outside of mainstream classrooms. In this final section of the report, we expand on all of these findings by focusing on the relationship between level of inclusion and MCAS scores for students with disabilities. </w:t>
      </w:r>
    </w:p>
    <w:p w:rsidR="008D2AB8" w:rsidRPr="006E78E0" w:rsidRDefault="008D2AB8" w:rsidP="008D2AB8"/>
    <w:p w:rsidR="008D2AB8" w:rsidRPr="006E78E0" w:rsidRDefault="008D2AB8" w:rsidP="008D2AB8">
      <w:pPr>
        <w:ind w:left="1260" w:hanging="1260"/>
      </w:pPr>
      <w:r w:rsidRPr="006E78E0">
        <w:rPr>
          <w:rFonts w:cs="Cambria"/>
          <w:b/>
          <w:color w:val="000000"/>
        </w:rPr>
        <w:t>Finding 6</w:t>
      </w:r>
      <w:r>
        <w:rPr>
          <w:rFonts w:cs="Cambria"/>
          <w:b/>
          <w:color w:val="000000"/>
        </w:rPr>
        <w:t xml:space="preserve"> – Educational Setting and MCAS Performance</w:t>
      </w:r>
      <w:r w:rsidR="00683B15">
        <w:rPr>
          <w:rFonts w:cs="Cambria"/>
          <w:b/>
          <w:color w:val="000000"/>
        </w:rPr>
        <w:t xml:space="preserve">: </w:t>
      </w:r>
      <w:r>
        <w:rPr>
          <w:rFonts w:cs="Cambria"/>
          <w:b/>
          <w:color w:val="000000"/>
        </w:rPr>
        <w:br/>
      </w:r>
      <w:r>
        <w:rPr>
          <w:i/>
        </w:rPr>
        <w:t>S</w:t>
      </w:r>
      <w:r>
        <w:t xml:space="preserve">tudents with </w:t>
      </w:r>
      <w:r w:rsidRPr="00022B00">
        <w:rPr>
          <w:i/>
        </w:rPr>
        <w:t>‘High Incidence’</w:t>
      </w:r>
      <w:r>
        <w:t xml:space="preserve"> disabilities</w:t>
      </w:r>
      <w:r w:rsidRPr="006E78E0">
        <w:t xml:space="preserve"> who spend a larger proportion of their school day with their typically developing peers, on average, perform better on the MCAS than </w:t>
      </w:r>
      <w:r>
        <w:t xml:space="preserve">students with </w:t>
      </w:r>
      <w:r w:rsidRPr="00022B00">
        <w:rPr>
          <w:i/>
        </w:rPr>
        <w:t>‘High Incidence’</w:t>
      </w:r>
      <w:r>
        <w:t xml:space="preserve"> disabilities</w:t>
      </w:r>
      <w:r w:rsidRPr="006E78E0">
        <w:t xml:space="preserve"> who spend a smaller proportion of their school day with their typically developing peers (this finding is consistent for </w:t>
      </w:r>
      <w:r w:rsidR="00683B15">
        <w:t xml:space="preserve">students in </w:t>
      </w:r>
      <w:r w:rsidRPr="006E78E0">
        <w:t>Grades 4, 8 &amp; 10</w:t>
      </w:r>
      <w:r w:rsidR="000879AE">
        <w:t xml:space="preserve"> and</w:t>
      </w:r>
      <w:r w:rsidRPr="006E78E0">
        <w:t xml:space="preserve"> for </w:t>
      </w:r>
      <w:r w:rsidR="006240D9">
        <w:t xml:space="preserve">English </w:t>
      </w:r>
      <w:r w:rsidR="00D300D9">
        <w:t>Language</w:t>
      </w:r>
      <w:r w:rsidR="006240D9">
        <w:t xml:space="preserve"> Arts(ELA)</w:t>
      </w:r>
      <w:r w:rsidRPr="006E78E0">
        <w:t xml:space="preserve"> and Mathematics portions of the MCAS).</w:t>
      </w:r>
    </w:p>
    <w:p w:rsidR="008D2AB8" w:rsidRPr="006E78E0" w:rsidRDefault="008D2AB8" w:rsidP="008D2AB8"/>
    <w:p w:rsidR="008D2AB8" w:rsidRPr="006E78E0" w:rsidRDefault="008D2AB8" w:rsidP="008D2AB8">
      <w:r w:rsidRPr="006E78E0">
        <w:t>We found a number of student and district-level variables that were associated with student performance on the MCAS. Many of these factors, such as student race, home language</w:t>
      </w:r>
      <w:r w:rsidR="000879AE">
        <w:t xml:space="preserve"> and</w:t>
      </w:r>
      <w:r w:rsidRPr="006E78E0">
        <w:t xml:space="preserve"> </w:t>
      </w:r>
      <w:r w:rsidR="00683B15">
        <w:t>low-income</w:t>
      </w:r>
      <w:r w:rsidRPr="006E78E0">
        <w:t xml:space="preserve"> status, have been discussed by other researchers in depth and do not warrant repeating here.  That said, we found that when controlling for these factors, the degree to </w:t>
      </w:r>
      <w:r w:rsidR="00683B15" w:rsidRPr="006E78E0">
        <w:t xml:space="preserve">which </w:t>
      </w:r>
      <w:r w:rsidR="00683B15" w:rsidRPr="008B46AD">
        <w:t>students</w:t>
      </w:r>
      <w:r>
        <w:t xml:space="preserve"> with </w:t>
      </w:r>
      <w:r w:rsidRPr="00022B00">
        <w:rPr>
          <w:i/>
        </w:rPr>
        <w:t>‘High Incidence’</w:t>
      </w:r>
      <w:r>
        <w:t xml:space="preserve"> disabilities</w:t>
      </w:r>
      <w:r w:rsidRPr="006E78E0">
        <w:t xml:space="preserve"> </w:t>
      </w:r>
      <w:r w:rsidR="002C4975">
        <w:t>were</w:t>
      </w:r>
      <w:r w:rsidRPr="006E78E0">
        <w:t xml:space="preserve"> educated with their typically developing peers </w:t>
      </w:r>
      <w:r w:rsidR="002C4975">
        <w:t>was</w:t>
      </w:r>
      <w:r w:rsidRPr="006E78E0">
        <w:t xml:space="preserve"> positively and significantly associa</w:t>
      </w:r>
      <w:r w:rsidR="00683B15">
        <w:t xml:space="preserve">ted with their MCAS performance, Meaning, </w:t>
      </w:r>
      <w:r w:rsidRPr="006E78E0">
        <w:t xml:space="preserve">students </w:t>
      </w:r>
      <w:r w:rsidR="00683B15">
        <w:t xml:space="preserve">with </w:t>
      </w:r>
      <w:r w:rsidR="00683B15" w:rsidRPr="00022B00">
        <w:rPr>
          <w:i/>
        </w:rPr>
        <w:t>‘High Incidence’</w:t>
      </w:r>
      <w:r w:rsidR="00683B15">
        <w:t xml:space="preserve"> disabilities </w:t>
      </w:r>
      <w:r w:rsidR="002C4975">
        <w:t>who spent</w:t>
      </w:r>
      <w:r w:rsidRPr="006E78E0">
        <w:t xml:space="preserve"> more of their time in mainstream settings tend to score higher on the MCAS</w:t>
      </w:r>
      <w:r w:rsidR="00683B15">
        <w:t xml:space="preserve"> than</w:t>
      </w:r>
      <w:r w:rsidR="00683B15" w:rsidRPr="00683B15">
        <w:t xml:space="preserve"> </w:t>
      </w:r>
      <w:r w:rsidR="00683B15" w:rsidRPr="006E78E0">
        <w:t xml:space="preserve">students </w:t>
      </w:r>
      <w:r w:rsidR="00683B15">
        <w:t xml:space="preserve">with </w:t>
      </w:r>
      <w:r w:rsidR="00683B15" w:rsidRPr="00022B00">
        <w:rPr>
          <w:i/>
        </w:rPr>
        <w:t>‘High Incidence’</w:t>
      </w:r>
      <w:r w:rsidR="00683B15">
        <w:t xml:space="preserve"> disabilities </w:t>
      </w:r>
      <w:r w:rsidR="002C4975">
        <w:t>who spent</w:t>
      </w:r>
      <w:r w:rsidR="00683B15">
        <w:t xml:space="preserve"> less of their time with typically developing peers</w:t>
      </w:r>
      <w:r w:rsidRPr="006E78E0">
        <w:t xml:space="preserve">.  This finding is consistent across grade level and test domains.  </w:t>
      </w:r>
    </w:p>
    <w:p w:rsidR="008D2AB8" w:rsidRDefault="008D2AB8" w:rsidP="00703305">
      <w:r w:rsidRPr="006E78E0">
        <w:lastRenderedPageBreak/>
        <w:t xml:space="preserve">Figure </w:t>
      </w:r>
      <w:r w:rsidR="00D300D9">
        <w:t>9</w:t>
      </w:r>
      <w:r w:rsidRPr="006E78E0">
        <w:t xml:space="preserve"> (</w:t>
      </w:r>
      <w:r w:rsidR="00DE5323">
        <w:t xml:space="preserve">below) </w:t>
      </w:r>
      <w:r w:rsidRPr="006E78E0">
        <w:t xml:space="preserve">displays this relationship between predicted MCAS scores and time spent with typically developing peers for </w:t>
      </w:r>
      <w:r w:rsidR="006240D9" w:rsidRPr="006E78E0">
        <w:t xml:space="preserve">prototypical </w:t>
      </w:r>
      <w:r w:rsidR="006240D9" w:rsidRPr="008B46AD">
        <w:t>students</w:t>
      </w:r>
      <w:r>
        <w:t xml:space="preserve"> with </w:t>
      </w:r>
      <w:r w:rsidRPr="00022B00">
        <w:rPr>
          <w:i/>
        </w:rPr>
        <w:t>‘High Incidence’</w:t>
      </w:r>
      <w:r>
        <w:t xml:space="preserve"> disabilities</w:t>
      </w:r>
      <w:r w:rsidRPr="006E78E0">
        <w:t xml:space="preserve"> in grade 8.  These predicted scores were generated by multi-level regression models in which we controlled for relevant student and district-level characteristics</w:t>
      </w:r>
      <w:r w:rsidR="004D22F1">
        <w:t>.</w:t>
      </w:r>
      <w:r w:rsidRPr="00375639">
        <w:rPr>
          <w:rStyle w:val="FootnoteReference"/>
        </w:rPr>
        <w:footnoteReference w:id="23"/>
      </w:r>
      <w:r w:rsidRPr="00375639">
        <w:t xml:space="preserve">  In the figure, we display predicted MCAS raw scores for </w:t>
      </w:r>
      <w:r w:rsidRPr="006E78E0">
        <w:t>low-income</w:t>
      </w:r>
      <w:r>
        <w:t xml:space="preserve"> students with </w:t>
      </w:r>
      <w:r w:rsidRPr="00022B00">
        <w:rPr>
          <w:i/>
        </w:rPr>
        <w:t>‘High Incidence’</w:t>
      </w:r>
      <w:r>
        <w:t xml:space="preserve"> disabilities</w:t>
      </w:r>
      <w:r w:rsidRPr="006E78E0">
        <w:t xml:space="preserve"> </w:t>
      </w:r>
      <w:r>
        <w:t xml:space="preserve">and students with </w:t>
      </w:r>
      <w:r w:rsidRPr="00022B00">
        <w:rPr>
          <w:i/>
        </w:rPr>
        <w:t>‘High Incidence’</w:t>
      </w:r>
      <w:r>
        <w:t xml:space="preserve"> disabilities who do not qualify as low-income by the extent to which they are</w:t>
      </w:r>
      <w:r w:rsidRPr="006E78E0">
        <w:t xml:space="preserve"> included with their typically developing peers</w:t>
      </w:r>
      <w:r>
        <w:t>:</w:t>
      </w:r>
      <w:r w:rsidRPr="006E78E0">
        <w:t xml:space="preserve"> 80-100% of the day, 40-79% of the da</w:t>
      </w:r>
      <w:r w:rsidR="00AC26A1">
        <w:t>y and less than 40% of the day</w:t>
      </w:r>
    </w:p>
    <w:p w:rsidR="00DE5323" w:rsidRDefault="00DE5323" w:rsidP="00703305"/>
    <w:p w:rsidR="008D2AB8" w:rsidRPr="00375639" w:rsidRDefault="008D2AB8" w:rsidP="008D2AB8">
      <w:pPr>
        <w:ind w:left="360" w:right="360"/>
        <w:rPr>
          <w:sz w:val="20"/>
          <w:szCs w:val="20"/>
        </w:rPr>
      </w:pPr>
      <w:proofErr w:type="gramStart"/>
      <w:r w:rsidRPr="003A4608">
        <w:rPr>
          <w:i/>
          <w:sz w:val="20"/>
          <w:szCs w:val="20"/>
        </w:rPr>
        <w:t xml:space="preserve">Figure </w:t>
      </w:r>
      <w:r w:rsidR="00D300D9">
        <w:rPr>
          <w:i/>
          <w:sz w:val="20"/>
          <w:szCs w:val="20"/>
        </w:rPr>
        <w:t>9</w:t>
      </w:r>
      <w:r>
        <w:rPr>
          <w:i/>
          <w:sz w:val="20"/>
          <w:szCs w:val="20"/>
        </w:rPr>
        <w:t>.</w:t>
      </w:r>
      <w:proofErr w:type="gramEnd"/>
      <w:r w:rsidRPr="006E78E0">
        <w:rPr>
          <w:sz w:val="20"/>
          <w:szCs w:val="20"/>
        </w:rPr>
        <w:t xml:space="preserve"> </w:t>
      </w:r>
      <w:r>
        <w:rPr>
          <w:sz w:val="20"/>
          <w:szCs w:val="20"/>
        </w:rPr>
        <w:t>P</w:t>
      </w:r>
      <w:r w:rsidRPr="006E78E0">
        <w:rPr>
          <w:sz w:val="20"/>
          <w:szCs w:val="20"/>
        </w:rPr>
        <w:t xml:space="preserve">redicted scores derived from controlled multi-level regression models on the ELA portion of the grade 8 MCAS test for </w:t>
      </w:r>
      <w:r>
        <w:rPr>
          <w:sz w:val="20"/>
          <w:szCs w:val="20"/>
        </w:rPr>
        <w:t>students with</w:t>
      </w:r>
      <w:r w:rsidRPr="006E78E0">
        <w:rPr>
          <w:sz w:val="20"/>
          <w:szCs w:val="20"/>
        </w:rPr>
        <w:t xml:space="preserve"> </w:t>
      </w:r>
      <w:r w:rsidRPr="00022B00">
        <w:rPr>
          <w:i/>
          <w:sz w:val="20"/>
          <w:szCs w:val="20"/>
        </w:rPr>
        <w:t>‘High Incidence’</w:t>
      </w:r>
      <w:r w:rsidRPr="006E78E0">
        <w:rPr>
          <w:i/>
        </w:rPr>
        <w:t xml:space="preserve"> </w:t>
      </w:r>
      <w:r>
        <w:rPr>
          <w:sz w:val="20"/>
          <w:szCs w:val="20"/>
        </w:rPr>
        <w:t>disabilities (low-income and non-low-income)</w:t>
      </w:r>
      <w:r w:rsidRPr="00F5063E">
        <w:rPr>
          <w:sz w:val="20"/>
          <w:szCs w:val="20"/>
        </w:rPr>
        <w:t xml:space="preserve"> who are included with their typically developing peers 80-100% of the day, 40-79% of the day and less than 40% of the day (</w:t>
      </w:r>
      <w:r w:rsidRPr="003A4608">
        <w:rPr>
          <w:i/>
          <w:sz w:val="20"/>
          <w:szCs w:val="20"/>
        </w:rPr>
        <w:t>n</w:t>
      </w:r>
      <w:r w:rsidRPr="00F5063E">
        <w:rPr>
          <w:sz w:val="20"/>
          <w:szCs w:val="20"/>
        </w:rPr>
        <w:t>=68,622 stud</w:t>
      </w:r>
      <w:r w:rsidRPr="00375639">
        <w:rPr>
          <w:sz w:val="20"/>
          <w:szCs w:val="20"/>
        </w:rPr>
        <w:t>ents</w:t>
      </w:r>
      <w:r>
        <w:rPr>
          <w:sz w:val="20"/>
          <w:szCs w:val="20"/>
        </w:rPr>
        <w:t xml:space="preserve">, nested in </w:t>
      </w:r>
      <w:r w:rsidRPr="003A4608">
        <w:rPr>
          <w:i/>
          <w:sz w:val="20"/>
          <w:szCs w:val="20"/>
        </w:rPr>
        <w:t>n</w:t>
      </w:r>
      <w:r w:rsidRPr="00F5063E">
        <w:rPr>
          <w:sz w:val="20"/>
          <w:szCs w:val="20"/>
        </w:rPr>
        <w:t xml:space="preserve">=239 </w:t>
      </w:r>
      <w:r>
        <w:rPr>
          <w:sz w:val="20"/>
          <w:szCs w:val="20"/>
        </w:rPr>
        <w:t>s</w:t>
      </w:r>
      <w:r w:rsidRPr="00F5063E">
        <w:rPr>
          <w:sz w:val="20"/>
          <w:szCs w:val="20"/>
        </w:rPr>
        <w:t xml:space="preserve">chool </w:t>
      </w:r>
      <w:r>
        <w:rPr>
          <w:sz w:val="20"/>
          <w:szCs w:val="20"/>
        </w:rPr>
        <w:t>d</w:t>
      </w:r>
      <w:r w:rsidRPr="00F5063E">
        <w:rPr>
          <w:sz w:val="20"/>
          <w:szCs w:val="20"/>
        </w:rPr>
        <w:t>istricts</w:t>
      </w:r>
      <w:r w:rsidR="002E334F" w:rsidRPr="00375639">
        <w:rPr>
          <w:sz w:val="20"/>
          <w:szCs w:val="20"/>
        </w:rPr>
        <w:t>)</w:t>
      </w:r>
      <w:r w:rsidR="002E334F">
        <w:rPr>
          <w:sz w:val="20"/>
          <w:szCs w:val="20"/>
        </w:rPr>
        <w:t>.</w:t>
      </w:r>
      <w:r w:rsidRPr="00375639">
        <w:rPr>
          <w:rStyle w:val="FootnoteReference"/>
          <w:sz w:val="20"/>
          <w:szCs w:val="20"/>
        </w:rPr>
        <w:footnoteReference w:id="24"/>
      </w:r>
    </w:p>
    <w:p w:rsidR="008D2AB8" w:rsidRPr="00375639" w:rsidRDefault="00F00414" w:rsidP="008D2AB8">
      <w:pPr>
        <w:jc w:val="center"/>
      </w:pPr>
      <w:r w:rsidRPr="002B0A44">
        <w:object w:dxaOrig="6578" w:dyaOrig="4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Figure 9: The predicted scores derived from controlled multi-level regression models on the ELA portion of the grade 8 MCAS test for students with ‘High Incidence’ disabilities are as follows:&#10;&#10;The predicted raw score for a student with a high incidence disability who is included 80-100% of the day is 30.&#10;The predicted raw score for a student with a high incidence disability who is included 40-79% of the day is 26.&#10;The predicted raw  score for a student with a high incidence disability who is included 0-40% of the day is 23.&#10;&#10;The predicted raw score for a low income student with a high incidence disability who is included 80-100% of the day is 28.&#10;The predicted raw score for a student with a high incidence disability who is included 40-79% of the day is 24.&#10;The predicted raw score for a student with a high incidence disability who is included 0-40% of the day is 21.&#10;" style="width:379.5pt;height:258.75pt" o:ole="">
            <v:imagedata r:id="rId19" o:title=""/>
            <o:lock v:ext="edit" aspectratio="f"/>
          </v:shape>
          <o:OLEObject Type="Embed" ProgID="PowerPoint.Slide.12" ShapeID="_x0000_i1030" DrawAspect="Content" ObjectID="_1395482417" r:id="rId20"/>
        </w:object>
      </w:r>
    </w:p>
    <w:p w:rsidR="008D2AB8" w:rsidRPr="006E78E0" w:rsidRDefault="008D2AB8" w:rsidP="008D2AB8">
      <w:r w:rsidRPr="006E78E0">
        <w:t xml:space="preserve">As you can see, </w:t>
      </w:r>
      <w:r w:rsidR="001435CE">
        <w:t>although</w:t>
      </w:r>
      <w:r>
        <w:t xml:space="preserve"> students with</w:t>
      </w:r>
      <w:r w:rsidRPr="006E78E0">
        <w:t xml:space="preserve"> </w:t>
      </w:r>
      <w:r w:rsidRPr="00022B00">
        <w:rPr>
          <w:i/>
        </w:rPr>
        <w:t>‘High Incidence’</w:t>
      </w:r>
      <w:r w:rsidRPr="006E78E0">
        <w:rPr>
          <w:i/>
        </w:rPr>
        <w:t xml:space="preserve"> </w:t>
      </w:r>
      <w:r>
        <w:t>special education designations</w:t>
      </w:r>
      <w:r w:rsidRPr="006E78E0">
        <w:t xml:space="preserve">, on average, score in the </w:t>
      </w:r>
      <w:r w:rsidRPr="00384FE7">
        <w:rPr>
          <w:i/>
        </w:rPr>
        <w:t>Needs Improvement</w:t>
      </w:r>
      <w:r w:rsidRPr="006E78E0">
        <w:t xml:space="preserve"> category regardless of </w:t>
      </w:r>
      <w:r w:rsidRPr="006E78E0">
        <w:lastRenderedPageBreak/>
        <w:t xml:space="preserve">instructional setting, students who are </w:t>
      </w:r>
      <w:r>
        <w:rPr>
          <w:i/>
        </w:rPr>
        <w:t>mostly</w:t>
      </w:r>
      <w:r w:rsidRPr="00384FE7">
        <w:rPr>
          <w:i/>
        </w:rPr>
        <w:t xml:space="preserve"> included</w:t>
      </w:r>
      <w:r w:rsidRPr="006E78E0">
        <w:t xml:space="preserve"> (80-100%) score approximately 4 raw points higher than </w:t>
      </w:r>
      <w:r>
        <w:t xml:space="preserve">those who are </w:t>
      </w:r>
      <w:r w:rsidRPr="00384FE7">
        <w:rPr>
          <w:i/>
        </w:rPr>
        <w:t>somewhat included</w:t>
      </w:r>
      <w:r w:rsidRPr="006E78E0">
        <w:t xml:space="preserve"> (40-79%) and 7 raw points higher than students </w:t>
      </w:r>
      <w:r>
        <w:t xml:space="preserve">with </w:t>
      </w:r>
      <w:r w:rsidRPr="00022B00">
        <w:rPr>
          <w:i/>
        </w:rPr>
        <w:t>‘High Incidence’</w:t>
      </w:r>
      <w:r w:rsidRPr="006E78E0">
        <w:t xml:space="preserve"> </w:t>
      </w:r>
      <w:r>
        <w:t xml:space="preserve">designations </w:t>
      </w:r>
      <w:r w:rsidRPr="006E78E0">
        <w:t xml:space="preserve">who are </w:t>
      </w:r>
      <w:r w:rsidRPr="00384FE7">
        <w:rPr>
          <w:i/>
        </w:rPr>
        <w:t xml:space="preserve">substantially </w:t>
      </w:r>
      <w:r w:rsidR="0073073E">
        <w:rPr>
          <w:i/>
        </w:rPr>
        <w:t>separated</w:t>
      </w:r>
      <w:r w:rsidR="0073073E" w:rsidRPr="006E78E0">
        <w:t xml:space="preserve"> </w:t>
      </w:r>
      <w:r w:rsidRPr="006E78E0">
        <w:t>(les</w:t>
      </w:r>
      <w:r w:rsidR="001435CE">
        <w:t xml:space="preserve">s than 40%).  These differences are substantial </w:t>
      </w:r>
      <w:r w:rsidR="004D22F1">
        <w:t xml:space="preserve">and </w:t>
      </w:r>
      <w:r w:rsidRPr="006E78E0">
        <w:t>represent approximately 2/5</w:t>
      </w:r>
      <w:r w:rsidRPr="006E78E0">
        <w:rPr>
          <w:vertAlign w:val="superscript"/>
        </w:rPr>
        <w:t>ths</w:t>
      </w:r>
      <w:r w:rsidRPr="006E78E0">
        <w:t xml:space="preserve"> and 4/5</w:t>
      </w:r>
      <w:r w:rsidRPr="006E78E0">
        <w:rPr>
          <w:vertAlign w:val="superscript"/>
        </w:rPr>
        <w:t>ths</w:t>
      </w:r>
      <w:r w:rsidRPr="006E78E0">
        <w:t xml:space="preserve"> of a standard deviation, respectively. </w:t>
      </w:r>
    </w:p>
    <w:p w:rsidR="008D2AB8" w:rsidRPr="006E78E0" w:rsidRDefault="008D2AB8" w:rsidP="008D2AB8"/>
    <w:p w:rsidR="008D2AB8" w:rsidRPr="006E78E0" w:rsidRDefault="008D2AB8" w:rsidP="008D2AB8">
      <w:r w:rsidRPr="006E78E0">
        <w:t>In the 10</w:t>
      </w:r>
      <w:r w:rsidRPr="006E78E0">
        <w:rPr>
          <w:vertAlign w:val="superscript"/>
        </w:rPr>
        <w:t>th</w:t>
      </w:r>
      <w:r w:rsidRPr="006E78E0">
        <w:t xml:space="preserve"> grade data, approximately 13% of tested students </w:t>
      </w:r>
      <w:r>
        <w:t xml:space="preserve">with </w:t>
      </w:r>
      <w:r w:rsidRPr="00022B00">
        <w:rPr>
          <w:i/>
        </w:rPr>
        <w:t>‘High Incidence’</w:t>
      </w:r>
      <w:r>
        <w:rPr>
          <w:i/>
        </w:rPr>
        <w:t xml:space="preserve"> </w:t>
      </w:r>
      <w:r>
        <w:t xml:space="preserve">disabilities </w:t>
      </w:r>
      <w:r w:rsidRPr="006E78E0">
        <w:t xml:space="preserve">who were </w:t>
      </w:r>
      <w:r w:rsidRPr="00384FE7">
        <w:rPr>
          <w:i/>
        </w:rPr>
        <w:t>mostly included</w:t>
      </w:r>
      <w:r w:rsidRPr="006E78E0">
        <w:t xml:space="preserve"> received a failing score on the language or </w:t>
      </w:r>
      <w:r>
        <w:t>m</w:t>
      </w:r>
      <w:r w:rsidRPr="006E78E0">
        <w:t xml:space="preserve">athematics MCAS exams. The corresponding percentage for students </w:t>
      </w:r>
      <w:r>
        <w:t xml:space="preserve">with </w:t>
      </w:r>
      <w:r w:rsidRPr="00022B00">
        <w:rPr>
          <w:i/>
        </w:rPr>
        <w:t>‘High Incidence’</w:t>
      </w:r>
      <w:r>
        <w:rPr>
          <w:i/>
        </w:rPr>
        <w:t xml:space="preserve"> </w:t>
      </w:r>
      <w:r>
        <w:t>disabilities</w:t>
      </w:r>
      <w:r w:rsidRPr="006E78E0">
        <w:t xml:space="preserve"> who were </w:t>
      </w:r>
      <w:r w:rsidRPr="00384FE7">
        <w:rPr>
          <w:i/>
        </w:rPr>
        <w:t>somewhat included</w:t>
      </w:r>
      <w:r w:rsidRPr="006E78E0">
        <w:t xml:space="preserve"> </w:t>
      </w:r>
      <w:r w:rsidR="001435CE">
        <w:t>was</w:t>
      </w:r>
      <w:r w:rsidRPr="006E78E0">
        <w:t xml:space="preserve"> 28%</w:t>
      </w:r>
      <w:r w:rsidR="000879AE">
        <w:t xml:space="preserve"> and</w:t>
      </w:r>
      <w:r w:rsidRPr="006E78E0">
        <w:t xml:space="preserve"> among </w:t>
      </w:r>
      <w:r w:rsidR="00483553" w:rsidRPr="006E78E0">
        <w:t xml:space="preserve">tested </w:t>
      </w:r>
      <w:r w:rsidR="00483553" w:rsidRPr="00384FE7">
        <w:t>students</w:t>
      </w:r>
      <w:r w:rsidRPr="006E78E0">
        <w:t xml:space="preserve"> </w:t>
      </w:r>
      <w:r>
        <w:t xml:space="preserve">with </w:t>
      </w:r>
      <w:r w:rsidRPr="00022B00">
        <w:rPr>
          <w:i/>
        </w:rPr>
        <w:t>‘High Incidence’</w:t>
      </w:r>
      <w:r>
        <w:rPr>
          <w:i/>
        </w:rPr>
        <w:t xml:space="preserve"> </w:t>
      </w:r>
      <w:r>
        <w:t>disabilities</w:t>
      </w:r>
      <w:r w:rsidRPr="006E78E0">
        <w:t xml:space="preserve"> who were </w:t>
      </w:r>
      <w:r w:rsidRPr="00384FE7">
        <w:rPr>
          <w:i/>
        </w:rPr>
        <w:t xml:space="preserve">substantially </w:t>
      </w:r>
      <w:proofErr w:type="gramStart"/>
      <w:r w:rsidR="0073073E">
        <w:rPr>
          <w:i/>
        </w:rPr>
        <w:t xml:space="preserve">separated </w:t>
      </w:r>
      <w:r w:rsidRPr="006E78E0">
        <w:t>,</w:t>
      </w:r>
      <w:proofErr w:type="gramEnd"/>
      <w:r w:rsidRPr="006E78E0">
        <w:t xml:space="preserve"> approximately 40% received a failing score on one or both of these exams.  Given the implications of these scores for children’s eligibility to graduate from </w:t>
      </w:r>
      <w:r>
        <w:t>h</w:t>
      </w:r>
      <w:r w:rsidRPr="006E78E0">
        <w:t xml:space="preserve">igh </w:t>
      </w:r>
      <w:r>
        <w:t>s</w:t>
      </w:r>
      <w:r w:rsidRPr="006E78E0">
        <w:t xml:space="preserve">chool, we believe the instructional settings of students with </w:t>
      </w:r>
      <w:r w:rsidR="004D22F1">
        <w:t>‘</w:t>
      </w:r>
      <w:r w:rsidR="004D22F1">
        <w:rPr>
          <w:i/>
        </w:rPr>
        <w:t xml:space="preserve">High Incidence’ </w:t>
      </w:r>
      <w:r w:rsidRPr="006E78E0">
        <w:t>disabilities warrant particular attention.</w:t>
      </w:r>
    </w:p>
    <w:p w:rsidR="008D2AB8" w:rsidRPr="006E78E0" w:rsidRDefault="008D2AB8" w:rsidP="008D2AB8"/>
    <w:p w:rsidR="008D2AB8" w:rsidRPr="006E78E0" w:rsidRDefault="001435CE" w:rsidP="008D2AB8">
      <w:r>
        <w:t>Although</w:t>
      </w:r>
      <w:r w:rsidR="008D2AB8" w:rsidRPr="00F5063E">
        <w:t xml:space="preserve"> </w:t>
      </w:r>
      <w:r w:rsidR="004D7338">
        <w:t>we suspect that</w:t>
      </w:r>
      <w:r w:rsidR="008D2AB8" w:rsidRPr="00F5063E">
        <w:t xml:space="preserve"> </w:t>
      </w:r>
      <w:r w:rsidR="0073073E">
        <w:t>educational separation</w:t>
      </w:r>
      <w:r w:rsidR="0073073E" w:rsidRPr="00F5063E">
        <w:t xml:space="preserve"> </w:t>
      </w:r>
      <w:r w:rsidR="008D2AB8" w:rsidRPr="00F5063E">
        <w:t>leads to lower MCAS scores</w:t>
      </w:r>
      <w:r w:rsidR="000879AE">
        <w:t xml:space="preserve"> and</w:t>
      </w:r>
      <w:r w:rsidR="008D2AB8" w:rsidRPr="00F5063E">
        <w:t xml:space="preserve"> by virtue of that, lower graduation rates for students </w:t>
      </w:r>
      <w:r w:rsidR="008D2AB8" w:rsidRPr="00375639">
        <w:t xml:space="preserve">in the </w:t>
      </w:r>
      <w:r w:rsidR="008D2AB8" w:rsidRPr="00022B00">
        <w:rPr>
          <w:i/>
        </w:rPr>
        <w:t>‘High Incidence’</w:t>
      </w:r>
      <w:r w:rsidR="008D2AB8" w:rsidRPr="006E78E0">
        <w:t xml:space="preserve"> category, it </w:t>
      </w:r>
      <w:r w:rsidR="004D7338">
        <w:t>is possible</w:t>
      </w:r>
      <w:r w:rsidR="008D2AB8" w:rsidRPr="006E78E0">
        <w:t xml:space="preserve"> that the students who are </w:t>
      </w:r>
      <w:r w:rsidR="0073073E">
        <w:t xml:space="preserve">educated in substantially separate settings </w:t>
      </w:r>
      <w:r w:rsidR="008D2AB8" w:rsidRPr="006E78E0">
        <w:t>are also the students who face more severe challenges to their learning</w:t>
      </w:r>
      <w:r w:rsidR="000879AE">
        <w:t xml:space="preserve"> and</w:t>
      </w:r>
      <w:r w:rsidR="008D2AB8" w:rsidRPr="006E78E0">
        <w:t xml:space="preserve"> the lower test scores are an artifact of </w:t>
      </w:r>
      <w:r w:rsidR="004D7338">
        <w:t xml:space="preserve">these </w:t>
      </w:r>
      <w:r w:rsidR="0073073E">
        <w:t xml:space="preserve">underlying </w:t>
      </w:r>
      <w:r w:rsidR="004D7338">
        <w:t>ability differences</w:t>
      </w:r>
      <w:r w:rsidR="008D2AB8" w:rsidRPr="006E78E0">
        <w:t xml:space="preserve">. We </w:t>
      </w:r>
      <w:r w:rsidR="004D7338" w:rsidRPr="006E78E0">
        <w:t>cannot</w:t>
      </w:r>
      <w:r w:rsidR="008D2AB8" w:rsidRPr="006E78E0">
        <w:t xml:space="preserve">, with these data, determine </w:t>
      </w:r>
      <w:r w:rsidR="004D7338">
        <w:t>with complete certainty, which</w:t>
      </w:r>
      <w:r w:rsidR="008D2AB8" w:rsidRPr="006E78E0">
        <w:t xml:space="preserve"> – if either – of these mechanisms is at play in Massachusetts. </w:t>
      </w:r>
      <w:r w:rsidR="008D2AB8">
        <w:t xml:space="preserve">However, the significant variability in district inclusion rates would support the hypothesis that more than disability characteristics are involved here. That is, the fact that some districts are able to include almost all of this population while others </w:t>
      </w:r>
      <w:r w:rsidR="0073073E">
        <w:t xml:space="preserve">separate </w:t>
      </w:r>
      <w:r w:rsidR="008D2AB8">
        <w:t xml:space="preserve">large numbers make it less likely that the overall population of students who are </w:t>
      </w:r>
      <w:r w:rsidR="0073073E">
        <w:t xml:space="preserve">educated in substantially separate settings </w:t>
      </w:r>
      <w:r w:rsidR="008D2AB8">
        <w:t>is due solely to severity of student need.</w:t>
      </w:r>
      <w:r w:rsidR="00F25695">
        <w:t xml:space="preserve"> </w:t>
      </w:r>
      <w:r w:rsidR="002E334F">
        <w:t>Further</w:t>
      </w:r>
      <w:r w:rsidR="00F25695">
        <w:t>more,</w:t>
      </w:r>
      <w:r w:rsidR="008D2AB8" w:rsidRPr="006E78E0">
        <w:t xml:space="preserve"> it </w:t>
      </w:r>
      <w:r w:rsidR="008D2AB8">
        <w:t>seems reasonable</w:t>
      </w:r>
      <w:r w:rsidR="008D2AB8" w:rsidRPr="006E78E0">
        <w:t xml:space="preserve"> that the likelihood that a student will be integrated in general education classes m</w:t>
      </w:r>
      <w:r w:rsidR="008D2AB8">
        <w:t>ight</w:t>
      </w:r>
      <w:r w:rsidR="008D2AB8" w:rsidRPr="006E78E0">
        <w:t xml:space="preserve"> be </w:t>
      </w:r>
      <w:r w:rsidR="008D2AB8">
        <w:t xml:space="preserve">malleable and </w:t>
      </w:r>
      <w:r w:rsidR="008D2AB8" w:rsidRPr="006E78E0">
        <w:t>influence</w:t>
      </w:r>
      <w:r w:rsidR="008D2AB8">
        <w:t>d</w:t>
      </w:r>
      <w:r w:rsidR="008D2AB8" w:rsidRPr="006E78E0">
        <w:t xml:space="preserve"> by district p</w:t>
      </w:r>
      <w:r w:rsidR="008D2AB8">
        <w:t>olicies</w:t>
      </w:r>
      <w:r w:rsidR="008D2AB8" w:rsidRPr="006E78E0">
        <w:t xml:space="preserve">. The variability between districts regarding inclusion </w:t>
      </w:r>
      <w:r w:rsidR="008D2AB8">
        <w:t xml:space="preserve">rates </w:t>
      </w:r>
      <w:r w:rsidR="008D2AB8" w:rsidRPr="006E78E0">
        <w:t xml:space="preserve">argues that </w:t>
      </w:r>
      <w:r w:rsidR="008D2AB8">
        <w:t>there is room to influence inclusion rates via district-level policies</w:t>
      </w:r>
      <w:r w:rsidR="008D2AB8" w:rsidRPr="006E78E0">
        <w:t xml:space="preserve">. </w:t>
      </w:r>
      <w:r w:rsidR="008D2AB8">
        <w:t>Therefore</w:t>
      </w:r>
      <w:r w:rsidR="008D2AB8" w:rsidRPr="006E78E0">
        <w:t xml:space="preserve">, we can recommend that the relationship between proportion of the school day spent with typically developing peers and MCAS scores be explored more thoroughly </w:t>
      </w:r>
      <w:r w:rsidR="006240D9">
        <w:t xml:space="preserve">by the DESE </w:t>
      </w:r>
      <w:r w:rsidR="008D2AB8" w:rsidRPr="006E78E0">
        <w:t>through methods including school visits, interviews, focus groups</w:t>
      </w:r>
      <w:r w:rsidR="000879AE">
        <w:t xml:space="preserve"> and</w:t>
      </w:r>
      <w:r w:rsidR="008D2AB8" w:rsidRPr="006E78E0">
        <w:t xml:space="preserve"> classroom observations. Such an investigation might prove fruitful in uncovering the dynamics that may be contributing to the patterns we </w:t>
      </w:r>
      <w:r w:rsidR="004D7338">
        <w:t>observe</w:t>
      </w:r>
      <w:r w:rsidR="008D2AB8" w:rsidRPr="006E78E0">
        <w:t xml:space="preserve"> in the data.</w:t>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b/>
        </w:rPr>
      </w:pP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b/>
        </w:rPr>
      </w:pPr>
      <w:r w:rsidRPr="006E78E0">
        <w:rPr>
          <w:b/>
        </w:rPr>
        <w:t>Question 6: Summary</w:t>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b/>
        </w:rPr>
      </w:pPr>
    </w:p>
    <w:p w:rsidR="008D2AB8" w:rsidRPr="006E78E0" w:rsidRDefault="008D2AB8" w:rsidP="008D2AB8">
      <w:pPr>
        <w:pStyle w:val="ColorfulList-Accent11"/>
        <w:numPr>
          <w:ilvl w:val="0"/>
          <w:numId w:val="11"/>
        </w:numPr>
      </w:pPr>
      <w:r w:rsidRPr="006E78E0">
        <w:t xml:space="preserve">Students with disabilities who spend more time being educated with their typically developing peers, on average, earn higher scores on the Massachusetts Comprehensive Assessment System tests. </w:t>
      </w:r>
    </w:p>
    <w:p w:rsidR="008D2AB8" w:rsidRPr="006E78E0" w:rsidRDefault="008D2AB8" w:rsidP="008D2AB8">
      <w:pPr>
        <w:pStyle w:val="ColorfulList-Accent11"/>
      </w:pPr>
    </w:p>
    <w:p w:rsidR="008D2AB8" w:rsidRPr="006E78E0" w:rsidRDefault="008D2AB8" w:rsidP="008D2AB8">
      <w:pPr>
        <w:rPr>
          <w:rFonts w:cs="Cambria"/>
          <w:color w:val="000000"/>
        </w:rPr>
      </w:pPr>
    </w:p>
    <w:p w:rsidR="008D2AB8" w:rsidRPr="000162E8" w:rsidRDefault="008D2AB8" w:rsidP="00F30A72">
      <w:pPr>
        <w:jc w:val="center"/>
        <w:rPr>
          <w:rFonts w:cs="Cambria"/>
          <w:b/>
          <w:color w:val="000000"/>
          <w:sz w:val="32"/>
          <w:szCs w:val="32"/>
        </w:rPr>
      </w:pPr>
      <w:r w:rsidRPr="000162E8">
        <w:rPr>
          <w:rFonts w:cs="Cambria"/>
          <w:b/>
          <w:color w:val="000000"/>
          <w:sz w:val="32"/>
          <w:szCs w:val="32"/>
        </w:rPr>
        <w:lastRenderedPageBreak/>
        <w:t>Recommendations</w:t>
      </w:r>
    </w:p>
    <w:p w:rsidR="008D2AB8" w:rsidRPr="00F5063E" w:rsidRDefault="008D2AB8" w:rsidP="008D2AB8">
      <w:pPr>
        <w:jc w:val="center"/>
        <w:rPr>
          <w:rFonts w:cs="Cambria"/>
          <w:color w:val="000000"/>
          <w:sz w:val="36"/>
          <w:szCs w:val="36"/>
        </w:rPr>
      </w:pPr>
    </w:p>
    <w:p w:rsidR="008D2AB8" w:rsidRPr="00105F47" w:rsidRDefault="008D2AB8" w:rsidP="008D2AB8">
      <w:pPr>
        <w:rPr>
          <w:rFonts w:cs="Cambria"/>
          <w:color w:val="000000"/>
        </w:rPr>
      </w:pPr>
      <w:r w:rsidRPr="00105F47">
        <w:rPr>
          <w:rFonts w:cs="Cambria"/>
          <w:color w:val="000000"/>
        </w:rPr>
        <w:t>As we considered the implications of this study for the Department of</w:t>
      </w:r>
      <w:r>
        <w:rPr>
          <w:rFonts w:cs="Cambria"/>
          <w:color w:val="000000"/>
        </w:rPr>
        <w:t xml:space="preserve"> </w:t>
      </w:r>
      <w:r w:rsidRPr="00105F47">
        <w:rPr>
          <w:rFonts w:cs="Cambria"/>
          <w:color w:val="000000"/>
        </w:rPr>
        <w:t xml:space="preserve">Elementary and Secondary Education, we felt a balance needed to be struck between maintaining and enhancing the success that many students with disabilities are experiencing in the commonwealth with the need to assertively address the shortcomings identified in the report. Of particular concern are the problems identified in this report concerning low-income students around identification and </w:t>
      </w:r>
      <w:r w:rsidR="0073073E">
        <w:rPr>
          <w:rFonts w:cs="Cambria"/>
          <w:color w:val="000000"/>
        </w:rPr>
        <w:t xml:space="preserve">separation </w:t>
      </w:r>
      <w:r>
        <w:rPr>
          <w:rFonts w:cs="Cambria"/>
          <w:color w:val="000000"/>
        </w:rPr>
        <w:t>outside of the mainstream classroom</w:t>
      </w:r>
      <w:r w:rsidRPr="00105F47">
        <w:rPr>
          <w:rFonts w:cs="Cambria"/>
          <w:color w:val="000000"/>
        </w:rPr>
        <w:t xml:space="preserve">. With this in mind we are not recommending a sweeping policy response to this report. Such a response could ultimately prove counterproductive for districts that are serving students with disabilities well. Further, we believe the department currently has sufficient authority to address the problems identified in the report. </w:t>
      </w:r>
    </w:p>
    <w:p w:rsidR="008D2AB8" w:rsidRPr="00105F47" w:rsidRDefault="008D2AB8" w:rsidP="008D2AB8">
      <w:pPr>
        <w:rPr>
          <w:rFonts w:cs="Cambria"/>
          <w:color w:val="000000"/>
        </w:rPr>
      </w:pPr>
    </w:p>
    <w:p w:rsidR="008D2AB8" w:rsidRDefault="008D2AB8" w:rsidP="008D2AB8">
      <w:pPr>
        <w:rPr>
          <w:rFonts w:cs="Cambria"/>
          <w:color w:val="000000"/>
        </w:rPr>
      </w:pPr>
      <w:r w:rsidRPr="00105F47">
        <w:rPr>
          <w:rFonts w:cs="Cambria"/>
          <w:color w:val="000000"/>
        </w:rPr>
        <w:t xml:space="preserve">These recommendations fall into two broad categories of state activity. One involves intervention in districts that may be engaged in </w:t>
      </w:r>
      <w:r w:rsidR="002318A0">
        <w:rPr>
          <w:rFonts w:cs="Cambria"/>
          <w:color w:val="000000"/>
        </w:rPr>
        <w:t>the overrepresentation of low-income students and/or the inordinate use of substantially separate educational settings</w:t>
      </w:r>
      <w:r w:rsidRPr="00105F47">
        <w:rPr>
          <w:rFonts w:cs="Cambria"/>
          <w:color w:val="000000"/>
        </w:rPr>
        <w:t xml:space="preserve">. Though we do not recommend </w:t>
      </w:r>
      <w:r w:rsidR="0018604B">
        <w:rPr>
          <w:rFonts w:cs="Cambria"/>
          <w:color w:val="000000"/>
        </w:rPr>
        <w:t>substantial</w:t>
      </w:r>
      <w:r w:rsidRPr="00105F47">
        <w:rPr>
          <w:rFonts w:cs="Cambria"/>
          <w:color w:val="000000"/>
        </w:rPr>
        <w:t xml:space="preserve"> policy changes, we do recommend strong assertive action by the state within certain school districts. Given the impact </w:t>
      </w:r>
      <w:r>
        <w:rPr>
          <w:rFonts w:cs="Cambria"/>
          <w:color w:val="000000"/>
        </w:rPr>
        <w:t>that district-level policies and practices</w:t>
      </w:r>
      <w:r w:rsidRPr="00105F47">
        <w:rPr>
          <w:rFonts w:cs="Cambria"/>
          <w:color w:val="000000"/>
        </w:rPr>
        <w:t xml:space="preserve"> </w:t>
      </w:r>
      <w:r>
        <w:rPr>
          <w:rFonts w:cs="Cambria"/>
          <w:color w:val="000000"/>
        </w:rPr>
        <w:t xml:space="preserve">may </w:t>
      </w:r>
      <w:r w:rsidRPr="00105F47">
        <w:rPr>
          <w:rFonts w:cs="Cambria"/>
          <w:color w:val="000000"/>
        </w:rPr>
        <w:t xml:space="preserve">have on students of color and students with disabilities in general, </w:t>
      </w:r>
      <w:r w:rsidR="0046283F">
        <w:rPr>
          <w:rFonts w:cs="Cambria"/>
          <w:color w:val="000000"/>
        </w:rPr>
        <w:t>serious</w:t>
      </w:r>
      <w:r w:rsidRPr="00105F47">
        <w:rPr>
          <w:rFonts w:cs="Cambria"/>
          <w:color w:val="000000"/>
        </w:rPr>
        <w:t xml:space="preserve"> concerns arise</w:t>
      </w:r>
      <w:r>
        <w:rPr>
          <w:rFonts w:cs="Cambria"/>
          <w:color w:val="000000"/>
        </w:rPr>
        <w:t xml:space="preserve"> from the findings of this report</w:t>
      </w:r>
      <w:r w:rsidRPr="00105F47">
        <w:rPr>
          <w:rFonts w:cs="Cambria"/>
          <w:color w:val="000000"/>
        </w:rPr>
        <w:t>.</w:t>
      </w:r>
    </w:p>
    <w:p w:rsidR="008D2AB8" w:rsidRDefault="008D2AB8" w:rsidP="008D2AB8">
      <w:pPr>
        <w:rPr>
          <w:rFonts w:cs="Cambria"/>
          <w:color w:val="000000"/>
        </w:rPr>
      </w:pPr>
    </w:p>
    <w:p w:rsidR="008D2AB8" w:rsidRPr="00105F47" w:rsidRDefault="008D2AB8" w:rsidP="008D2AB8">
      <w:pPr>
        <w:rPr>
          <w:rFonts w:cs="Cambria"/>
          <w:color w:val="000000"/>
        </w:rPr>
      </w:pPr>
      <w:r>
        <w:rPr>
          <w:rFonts w:cs="Cambria"/>
          <w:color w:val="000000"/>
        </w:rPr>
        <w:t xml:space="preserve">It is important to note that the current initiatives being promoted by the Governor, the Secretary of Education and the Commissioner concerning the achievement gap between low-income children and that of their more advantaged peers are consistent with the recommendations in this report. The findings in this report concerning how low-income </w:t>
      </w:r>
      <w:r w:rsidR="002E334F">
        <w:rPr>
          <w:rFonts w:cs="Cambria"/>
          <w:color w:val="000000"/>
        </w:rPr>
        <w:t xml:space="preserve">students </w:t>
      </w:r>
      <w:r>
        <w:rPr>
          <w:rFonts w:cs="Cambria"/>
          <w:color w:val="000000"/>
        </w:rPr>
        <w:t>are served in special education speak to the need for broader changes within the general education system.</w:t>
      </w:r>
    </w:p>
    <w:p w:rsidR="008D2AB8" w:rsidRPr="00105F47" w:rsidRDefault="008D2AB8" w:rsidP="008D2AB8">
      <w:pPr>
        <w:rPr>
          <w:rFonts w:cs="Cambria"/>
          <w:color w:val="000000"/>
        </w:rPr>
      </w:pPr>
    </w:p>
    <w:p w:rsidR="008D2AB8" w:rsidRPr="00105F47" w:rsidRDefault="008D2AB8" w:rsidP="008D2AB8">
      <w:pPr>
        <w:rPr>
          <w:rFonts w:cs="Cambria"/>
          <w:color w:val="000000"/>
        </w:rPr>
      </w:pPr>
      <w:r w:rsidRPr="00105F47">
        <w:rPr>
          <w:rFonts w:cs="Cambria"/>
          <w:color w:val="000000"/>
        </w:rPr>
        <w:t>The second set of recommendations involve</w:t>
      </w:r>
      <w:r>
        <w:rPr>
          <w:rFonts w:cs="Cambria"/>
          <w:color w:val="000000"/>
        </w:rPr>
        <w:t>s</w:t>
      </w:r>
      <w:r w:rsidRPr="00105F47">
        <w:rPr>
          <w:rFonts w:cs="Cambria"/>
          <w:color w:val="000000"/>
        </w:rPr>
        <w:t xml:space="preserve"> the role of the state in promoting </w:t>
      </w:r>
      <w:r>
        <w:rPr>
          <w:rFonts w:cs="Cambria"/>
          <w:color w:val="000000"/>
        </w:rPr>
        <w:t xml:space="preserve">good </w:t>
      </w:r>
      <w:r w:rsidRPr="00105F47">
        <w:rPr>
          <w:rFonts w:cs="Cambria"/>
          <w:color w:val="000000"/>
        </w:rPr>
        <w:t xml:space="preserve">practices that have been shown to benefit students with disabilities.  </w:t>
      </w:r>
      <w:r w:rsidR="0018604B">
        <w:rPr>
          <w:rFonts w:cs="Cambria"/>
          <w:color w:val="000000"/>
        </w:rPr>
        <w:t>Alt</w:t>
      </w:r>
      <w:r w:rsidRPr="00105F47">
        <w:rPr>
          <w:rFonts w:cs="Cambria"/>
          <w:color w:val="000000"/>
        </w:rPr>
        <w:t xml:space="preserve">hough we should be pleased that Massachusetts does relatively well compared to other states, this study documents a persistent large gap </w:t>
      </w:r>
      <w:r>
        <w:rPr>
          <w:rFonts w:cs="Cambria"/>
          <w:color w:val="000000"/>
        </w:rPr>
        <w:t>between</w:t>
      </w:r>
      <w:r w:rsidRPr="00105F47">
        <w:rPr>
          <w:rFonts w:cs="Cambria"/>
          <w:color w:val="000000"/>
        </w:rPr>
        <w:t xml:space="preserve"> the performance of students with disabilities and their non</w:t>
      </w:r>
      <w:r>
        <w:rPr>
          <w:rFonts w:cs="Cambria"/>
          <w:color w:val="000000"/>
        </w:rPr>
        <w:t>-</w:t>
      </w:r>
      <w:r w:rsidRPr="00105F47">
        <w:rPr>
          <w:rFonts w:cs="Cambria"/>
          <w:color w:val="000000"/>
        </w:rPr>
        <w:t xml:space="preserve">disabled peers.  The </w:t>
      </w:r>
      <w:r w:rsidR="0018604B">
        <w:rPr>
          <w:rFonts w:cs="Cambria"/>
          <w:color w:val="000000"/>
        </w:rPr>
        <w:t>Department of Elementary and Secondary Education</w:t>
      </w:r>
      <w:r w:rsidR="0018604B" w:rsidRPr="0019613C">
        <w:rPr>
          <w:rFonts w:cs="Cambria"/>
          <w:color w:val="000000"/>
        </w:rPr>
        <w:t xml:space="preserve"> </w:t>
      </w:r>
      <w:r w:rsidRPr="00105F47">
        <w:rPr>
          <w:rFonts w:cs="Cambria"/>
          <w:color w:val="000000"/>
        </w:rPr>
        <w:t xml:space="preserve">should play a major role in promoting </w:t>
      </w:r>
      <w:r>
        <w:rPr>
          <w:rFonts w:cs="Cambria"/>
          <w:color w:val="000000"/>
        </w:rPr>
        <w:t>positive</w:t>
      </w:r>
      <w:r w:rsidRPr="00105F47">
        <w:rPr>
          <w:rFonts w:cs="Cambria"/>
          <w:color w:val="000000"/>
        </w:rPr>
        <w:t xml:space="preserve"> educational practices. It is not enough to </w:t>
      </w:r>
      <w:r>
        <w:rPr>
          <w:rFonts w:cs="Cambria"/>
          <w:color w:val="000000"/>
        </w:rPr>
        <w:t xml:space="preserve">simply </w:t>
      </w:r>
      <w:r w:rsidRPr="00105F47">
        <w:rPr>
          <w:rFonts w:cs="Cambria"/>
          <w:color w:val="000000"/>
        </w:rPr>
        <w:t>integrate students into general education classrooms</w:t>
      </w:r>
      <w:r>
        <w:rPr>
          <w:rFonts w:cs="Cambria"/>
          <w:color w:val="000000"/>
        </w:rPr>
        <w:t>;</w:t>
      </w:r>
      <w:r w:rsidRPr="00105F47">
        <w:rPr>
          <w:rFonts w:cs="Cambria"/>
          <w:color w:val="000000"/>
        </w:rPr>
        <w:t xml:space="preserve"> we need to make sure that children and teachers have the supports they need to meet challenging standards.</w:t>
      </w:r>
    </w:p>
    <w:p w:rsidR="008D2AB8" w:rsidRPr="00F5063E" w:rsidRDefault="008D2AB8" w:rsidP="008D2AB8">
      <w:pPr>
        <w:rPr>
          <w:rFonts w:cs="Cambria"/>
          <w:b/>
          <w:color w:val="000000"/>
        </w:rPr>
      </w:pPr>
    </w:p>
    <w:p w:rsidR="008D2AB8" w:rsidRPr="006E78E0" w:rsidRDefault="00F30A72" w:rsidP="008D2AB8">
      <w:pPr>
        <w:rPr>
          <w:rFonts w:cs="Cambria"/>
          <w:b/>
          <w:color w:val="000000"/>
        </w:rPr>
      </w:pPr>
      <w:r>
        <w:rPr>
          <w:rFonts w:cs="Cambria"/>
          <w:b/>
          <w:color w:val="000000"/>
        </w:rPr>
        <w:br w:type="page"/>
      </w:r>
      <w:r w:rsidR="008D2AB8" w:rsidRPr="00375639">
        <w:rPr>
          <w:rFonts w:cs="Cambria"/>
          <w:b/>
          <w:color w:val="000000"/>
        </w:rPr>
        <w:lastRenderedPageBreak/>
        <w:t>Targeted State Intervention</w:t>
      </w:r>
    </w:p>
    <w:p w:rsidR="008D2AB8" w:rsidRPr="006E78E0" w:rsidRDefault="008D2AB8" w:rsidP="008D2AB8">
      <w:pPr>
        <w:rPr>
          <w:rFonts w:cs="Cambria"/>
          <w:b/>
          <w:color w:val="000000"/>
        </w:rPr>
      </w:pPr>
    </w:p>
    <w:p w:rsidR="008D2AB8" w:rsidRPr="0018604B" w:rsidRDefault="0018604B" w:rsidP="009A4D5A">
      <w:pPr>
        <w:numPr>
          <w:ilvl w:val="0"/>
          <w:numId w:val="23"/>
        </w:numPr>
        <w:tabs>
          <w:tab w:val="left" w:pos="360"/>
        </w:tabs>
        <w:ind w:left="0" w:firstLine="0"/>
        <w:rPr>
          <w:rFonts w:cs="Cambria"/>
          <w:b/>
          <w:color w:val="000000"/>
        </w:rPr>
      </w:pPr>
      <w:r w:rsidRPr="0018604B">
        <w:rPr>
          <w:rFonts w:cs="Cambria"/>
          <w:b/>
          <w:color w:val="000000"/>
        </w:rPr>
        <w:t xml:space="preserve">The Department of Elementary and Secondary Education </w:t>
      </w:r>
      <w:r w:rsidR="008D2AB8" w:rsidRPr="0018604B">
        <w:rPr>
          <w:rFonts w:cs="Cambria"/>
          <w:b/>
          <w:color w:val="000000"/>
        </w:rPr>
        <w:t>should intervene in districts that evidence highly disproportionate levels of enrollment of low-income students in special education.</w:t>
      </w:r>
    </w:p>
    <w:p w:rsidR="008D2AB8" w:rsidRPr="006E78E0" w:rsidRDefault="008D2AB8" w:rsidP="008D2AB8">
      <w:pPr>
        <w:rPr>
          <w:rFonts w:cs="Cambria"/>
          <w:b/>
          <w:color w:val="000000"/>
        </w:rPr>
      </w:pPr>
    </w:p>
    <w:p w:rsidR="008D2AB8" w:rsidRPr="00105F47" w:rsidRDefault="008D2AB8" w:rsidP="008D2AB8">
      <w:pPr>
        <w:rPr>
          <w:rFonts w:cs="Cambria"/>
          <w:color w:val="000000"/>
        </w:rPr>
      </w:pPr>
      <w:r w:rsidRPr="00105F47">
        <w:rPr>
          <w:rFonts w:cs="Cambria"/>
          <w:color w:val="000000"/>
        </w:rPr>
        <w:t>Though some level of over-placement of low-income students in special education may be appropriate (Hehir</w:t>
      </w:r>
      <w:r>
        <w:rPr>
          <w:rFonts w:cs="Cambria"/>
          <w:color w:val="000000"/>
        </w:rPr>
        <w:t xml:space="preserve"> </w:t>
      </w:r>
      <w:r w:rsidRPr="00105F47">
        <w:rPr>
          <w:rFonts w:cs="Cambria"/>
          <w:color w:val="000000"/>
        </w:rPr>
        <w:t>&amp;</w:t>
      </w:r>
      <w:r>
        <w:rPr>
          <w:rFonts w:cs="Cambria"/>
          <w:color w:val="000000"/>
        </w:rPr>
        <w:t xml:space="preserve"> </w:t>
      </w:r>
      <w:r w:rsidRPr="00105F47">
        <w:rPr>
          <w:rFonts w:cs="Cambria"/>
          <w:color w:val="000000"/>
        </w:rPr>
        <w:t>Gamm,</w:t>
      </w:r>
      <w:r>
        <w:rPr>
          <w:rFonts w:cs="Cambria"/>
          <w:color w:val="000000"/>
        </w:rPr>
        <w:t xml:space="preserve"> </w:t>
      </w:r>
      <w:r w:rsidR="00A37EE8">
        <w:rPr>
          <w:rFonts w:cs="Cambria"/>
          <w:color w:val="000000"/>
        </w:rPr>
        <w:t>1999</w:t>
      </w:r>
      <w:r w:rsidR="002E334F">
        <w:rPr>
          <w:rFonts w:cs="Cambria"/>
          <w:color w:val="000000"/>
        </w:rPr>
        <w:t xml:space="preserve">; </w:t>
      </w:r>
      <w:r>
        <w:rPr>
          <w:rFonts w:cs="Cambria"/>
          <w:color w:val="000000"/>
        </w:rPr>
        <w:t>Donovan &amp; Cross, 2002</w:t>
      </w:r>
      <w:r w:rsidRPr="00105F47">
        <w:rPr>
          <w:rFonts w:cs="Cambria"/>
          <w:color w:val="000000"/>
        </w:rPr>
        <w:t xml:space="preserve">), the numbers of low-income students being served in </w:t>
      </w:r>
      <w:r w:rsidRPr="00022B00">
        <w:rPr>
          <w:rFonts w:cs="Cambria"/>
          <w:i/>
          <w:color w:val="000000"/>
        </w:rPr>
        <w:t>‘High Incidence’</w:t>
      </w:r>
      <w:r w:rsidRPr="006E78E0">
        <w:rPr>
          <w:i/>
        </w:rPr>
        <w:t xml:space="preserve"> </w:t>
      </w:r>
      <w:r w:rsidRPr="00105F47">
        <w:rPr>
          <w:rFonts w:cs="Cambria"/>
          <w:color w:val="000000"/>
        </w:rPr>
        <w:t>categories</w:t>
      </w:r>
      <w:r>
        <w:rPr>
          <w:rFonts w:cs="Cambria"/>
          <w:color w:val="000000"/>
        </w:rPr>
        <w:t xml:space="preserve"> exceed what most experts would consider appropriate. Further the generally higher level of </w:t>
      </w:r>
      <w:r w:rsidRPr="00105F47">
        <w:rPr>
          <w:rFonts w:cs="Cambria"/>
          <w:color w:val="000000"/>
        </w:rPr>
        <w:t xml:space="preserve">segregation among </w:t>
      </w:r>
      <w:r>
        <w:rPr>
          <w:rFonts w:cs="Cambria"/>
          <w:color w:val="000000"/>
        </w:rPr>
        <w:t xml:space="preserve">low-income students and </w:t>
      </w:r>
      <w:r w:rsidR="0018604B">
        <w:rPr>
          <w:rFonts w:cs="Cambria"/>
          <w:color w:val="000000"/>
        </w:rPr>
        <w:t>students of color</w:t>
      </w:r>
      <w:r w:rsidR="0018604B" w:rsidRPr="00105F47">
        <w:rPr>
          <w:rFonts w:cs="Cambria"/>
          <w:color w:val="000000"/>
        </w:rPr>
        <w:t xml:space="preserve"> </w:t>
      </w:r>
      <w:r w:rsidR="0018604B">
        <w:rPr>
          <w:rFonts w:cs="Cambria"/>
          <w:color w:val="000000"/>
        </w:rPr>
        <w:t>suggest</w:t>
      </w:r>
      <w:r>
        <w:rPr>
          <w:rFonts w:cs="Cambria"/>
          <w:color w:val="000000"/>
        </w:rPr>
        <w:t xml:space="preserve"> that some of these placements may be inappropriate.  In addition, the generally weaker MCAS performance for </w:t>
      </w:r>
      <w:r w:rsidR="000879AE">
        <w:t>students with disabilities</w:t>
      </w:r>
      <w:r w:rsidR="000879AE" w:rsidDel="000879AE">
        <w:rPr>
          <w:rFonts w:cs="Cambria"/>
          <w:color w:val="000000"/>
        </w:rPr>
        <w:t xml:space="preserve"> </w:t>
      </w:r>
      <w:r w:rsidR="0073073E">
        <w:rPr>
          <w:rFonts w:cs="Cambria"/>
          <w:color w:val="000000"/>
        </w:rPr>
        <w:t xml:space="preserve">who are educated in substantially separate settings </w:t>
      </w:r>
      <w:r>
        <w:rPr>
          <w:rFonts w:cs="Cambria"/>
          <w:color w:val="000000"/>
        </w:rPr>
        <w:t>raises serious concerns regarding whether, for these students, being identified as eligible for special education services is</w:t>
      </w:r>
      <w:r w:rsidRPr="00105F47">
        <w:rPr>
          <w:rFonts w:cs="Cambria"/>
          <w:color w:val="000000"/>
        </w:rPr>
        <w:t xml:space="preserve"> beneficial. The </w:t>
      </w:r>
      <w:r w:rsidR="0018604B">
        <w:rPr>
          <w:rFonts w:cs="Cambria"/>
          <w:color w:val="000000"/>
        </w:rPr>
        <w:t xml:space="preserve">student-level </w:t>
      </w:r>
      <w:r w:rsidRPr="00105F47">
        <w:rPr>
          <w:rFonts w:cs="Cambria"/>
          <w:color w:val="000000"/>
        </w:rPr>
        <w:t>data used in this study w</w:t>
      </w:r>
      <w:r>
        <w:rPr>
          <w:rFonts w:cs="Cambria"/>
          <w:color w:val="000000"/>
        </w:rPr>
        <w:t>ere</w:t>
      </w:r>
      <w:r w:rsidRPr="00105F47">
        <w:rPr>
          <w:rFonts w:cs="Cambria"/>
          <w:color w:val="000000"/>
        </w:rPr>
        <w:t xml:space="preserve"> all supplied by the state and thus can be used to target school districts </w:t>
      </w:r>
      <w:r>
        <w:rPr>
          <w:rFonts w:cs="Cambria"/>
          <w:color w:val="000000"/>
        </w:rPr>
        <w:t xml:space="preserve">that are </w:t>
      </w:r>
      <w:r w:rsidRPr="00105F47">
        <w:rPr>
          <w:rFonts w:cs="Cambria"/>
          <w:color w:val="000000"/>
        </w:rPr>
        <w:t>most in need of intervention.</w:t>
      </w:r>
      <w:r>
        <w:rPr>
          <w:rFonts w:cs="Cambria"/>
          <w:color w:val="000000"/>
        </w:rPr>
        <w:t xml:space="preserve"> </w:t>
      </w:r>
      <w:r>
        <w:rPr>
          <w:rFonts w:cs="Cambria"/>
          <w:color w:val="000000"/>
        </w:rPr>
        <w:br/>
      </w:r>
    </w:p>
    <w:p w:rsidR="008D2AB8" w:rsidRDefault="0018604B" w:rsidP="009A4D5A">
      <w:pPr>
        <w:numPr>
          <w:ilvl w:val="0"/>
          <w:numId w:val="23"/>
        </w:numPr>
        <w:tabs>
          <w:tab w:val="left" w:pos="360"/>
        </w:tabs>
        <w:ind w:left="0" w:firstLine="0"/>
        <w:rPr>
          <w:rFonts w:cs="Cambria"/>
          <w:b/>
          <w:color w:val="000000"/>
        </w:rPr>
      </w:pPr>
      <w:r w:rsidRPr="0018604B">
        <w:rPr>
          <w:rFonts w:cs="Cambria"/>
          <w:b/>
          <w:color w:val="000000"/>
        </w:rPr>
        <w:t xml:space="preserve">The Department of Elementary and Secondary Education </w:t>
      </w:r>
      <w:r w:rsidR="008D2AB8" w:rsidRPr="00375639">
        <w:rPr>
          <w:rFonts w:cs="Cambria"/>
          <w:b/>
          <w:color w:val="000000"/>
        </w:rPr>
        <w:t xml:space="preserve">should monitor and intervene in </w:t>
      </w:r>
      <w:r w:rsidR="008D2AB8" w:rsidRPr="006E78E0">
        <w:rPr>
          <w:rFonts w:cs="Cambria"/>
          <w:b/>
          <w:color w:val="000000"/>
        </w:rPr>
        <w:t xml:space="preserve">districts in which there is inordinate </w:t>
      </w:r>
      <w:r w:rsidR="00CF678F">
        <w:rPr>
          <w:rFonts w:cs="Cambria"/>
          <w:b/>
          <w:color w:val="000000"/>
        </w:rPr>
        <w:t xml:space="preserve">use of substantially separate </w:t>
      </w:r>
      <w:r w:rsidR="000E45EC">
        <w:rPr>
          <w:rFonts w:cs="Cambria"/>
          <w:b/>
          <w:color w:val="000000"/>
        </w:rPr>
        <w:t xml:space="preserve">settings </w:t>
      </w:r>
      <w:r w:rsidR="000E45EC" w:rsidRPr="006E78E0">
        <w:rPr>
          <w:rFonts w:cs="Cambria"/>
          <w:b/>
          <w:color w:val="000000"/>
        </w:rPr>
        <w:t>for</w:t>
      </w:r>
      <w:r w:rsidR="00CF678F" w:rsidRPr="006E78E0">
        <w:rPr>
          <w:rFonts w:cs="Cambria"/>
          <w:b/>
          <w:color w:val="000000"/>
        </w:rPr>
        <w:t xml:space="preserve"> </w:t>
      </w:r>
      <w:r w:rsidR="000E45EC">
        <w:rPr>
          <w:rFonts w:cs="Cambria"/>
          <w:b/>
          <w:color w:val="000000"/>
        </w:rPr>
        <w:t xml:space="preserve">students </w:t>
      </w:r>
      <w:r w:rsidR="008D2AB8" w:rsidRPr="006E78E0">
        <w:rPr>
          <w:rFonts w:cs="Cambria"/>
          <w:b/>
          <w:color w:val="000000"/>
        </w:rPr>
        <w:t>with disabilities.</w:t>
      </w:r>
    </w:p>
    <w:p w:rsidR="008D2AB8" w:rsidRPr="006E78E0" w:rsidRDefault="008D2AB8" w:rsidP="008D2AB8">
      <w:pPr>
        <w:rPr>
          <w:rFonts w:cs="Cambria"/>
          <w:b/>
          <w:color w:val="000000"/>
        </w:rPr>
      </w:pPr>
    </w:p>
    <w:p w:rsidR="008D2AB8" w:rsidRPr="00105F47" w:rsidRDefault="008D2AB8" w:rsidP="009A4D5A">
      <w:pPr>
        <w:rPr>
          <w:rFonts w:cs="Cambria"/>
          <w:color w:val="000000"/>
        </w:rPr>
      </w:pPr>
      <w:r w:rsidRPr="00105F47">
        <w:rPr>
          <w:rFonts w:cs="Cambria"/>
          <w:color w:val="000000"/>
        </w:rPr>
        <w:t>Though th</w:t>
      </w:r>
      <w:r>
        <w:rPr>
          <w:rFonts w:cs="Cambria"/>
          <w:color w:val="000000"/>
        </w:rPr>
        <w:t>is</w:t>
      </w:r>
      <w:r w:rsidRPr="00105F47">
        <w:rPr>
          <w:rFonts w:cs="Cambria"/>
          <w:color w:val="000000"/>
        </w:rPr>
        <w:t xml:space="preserve"> report identified problems concerning </w:t>
      </w:r>
      <w:r>
        <w:rPr>
          <w:rFonts w:cs="Cambria"/>
          <w:color w:val="000000"/>
        </w:rPr>
        <w:t xml:space="preserve">the </w:t>
      </w:r>
      <w:r w:rsidR="00CF678F" w:rsidRPr="00CF678F">
        <w:rPr>
          <w:rFonts w:cs="Cambria"/>
          <w:color w:val="000000"/>
        </w:rPr>
        <w:t>use of substantially separate settings</w:t>
      </w:r>
      <w:r w:rsidR="00CF678F" w:rsidRPr="00CF678F">
        <w:rPr>
          <w:rFonts w:cs="Cambria"/>
          <w:b/>
          <w:color w:val="000000"/>
        </w:rPr>
        <w:t xml:space="preserve"> </w:t>
      </w:r>
      <w:r w:rsidR="00CF678F">
        <w:rPr>
          <w:rFonts w:cs="Cambria"/>
          <w:color w:val="000000"/>
        </w:rPr>
        <w:t xml:space="preserve">to educate </w:t>
      </w:r>
      <w:r w:rsidRPr="00105F47">
        <w:rPr>
          <w:rFonts w:cs="Cambria"/>
          <w:color w:val="000000"/>
        </w:rPr>
        <w:t>low-income students</w:t>
      </w:r>
      <w:r>
        <w:rPr>
          <w:rFonts w:cs="Cambria"/>
          <w:color w:val="000000"/>
        </w:rPr>
        <w:t>, African American students and Latino students,</w:t>
      </w:r>
      <w:r w:rsidRPr="00105F47">
        <w:rPr>
          <w:rFonts w:cs="Cambria"/>
          <w:color w:val="000000"/>
        </w:rPr>
        <w:t xml:space="preserve"> many school districts </w:t>
      </w:r>
      <w:r>
        <w:rPr>
          <w:rFonts w:cs="Cambria"/>
          <w:color w:val="000000"/>
        </w:rPr>
        <w:t xml:space="preserve">also </w:t>
      </w:r>
      <w:r w:rsidRPr="00105F47">
        <w:rPr>
          <w:rFonts w:cs="Cambria"/>
          <w:color w:val="000000"/>
        </w:rPr>
        <w:t xml:space="preserve">continue to </w:t>
      </w:r>
      <w:r w:rsidR="00CF678F">
        <w:rPr>
          <w:rFonts w:cs="Cambria"/>
          <w:color w:val="000000"/>
        </w:rPr>
        <w:t>separate</w:t>
      </w:r>
      <w:r w:rsidR="00CF678F" w:rsidRPr="00105F47">
        <w:rPr>
          <w:rFonts w:cs="Cambria"/>
          <w:color w:val="000000"/>
        </w:rPr>
        <w:t xml:space="preserve"> </w:t>
      </w:r>
      <w:r w:rsidRPr="00105F47">
        <w:rPr>
          <w:rFonts w:cs="Cambria"/>
          <w:color w:val="000000"/>
        </w:rPr>
        <w:t>large numbers of students across</w:t>
      </w:r>
      <w:r>
        <w:rPr>
          <w:rFonts w:cs="Cambria"/>
          <w:color w:val="000000"/>
        </w:rPr>
        <w:t xml:space="preserve"> </w:t>
      </w:r>
      <w:r w:rsidRPr="00105F47">
        <w:rPr>
          <w:rFonts w:cs="Cambria"/>
          <w:color w:val="000000"/>
        </w:rPr>
        <w:t>income</w:t>
      </w:r>
      <w:r w:rsidR="0018604B">
        <w:rPr>
          <w:rFonts w:cs="Cambria"/>
          <w:color w:val="000000"/>
        </w:rPr>
        <w:t xml:space="preserve"> and racial</w:t>
      </w:r>
      <w:r w:rsidRPr="00105F47">
        <w:rPr>
          <w:rFonts w:cs="Cambria"/>
          <w:color w:val="000000"/>
        </w:rPr>
        <w:t xml:space="preserve"> groups. </w:t>
      </w:r>
      <w:r>
        <w:rPr>
          <w:rFonts w:cs="Cambria"/>
          <w:color w:val="000000"/>
        </w:rPr>
        <w:t>This is particularly true at the middle and high school level. Although ensuring access to the curriculum should be the over-riding concern when making placement decisions about an individual student with a disabilit</w:t>
      </w:r>
      <w:r w:rsidR="00F25695">
        <w:rPr>
          <w:rFonts w:cs="Cambria"/>
          <w:color w:val="000000"/>
        </w:rPr>
        <w:t>y</w:t>
      </w:r>
      <w:r>
        <w:rPr>
          <w:rFonts w:cs="Cambria"/>
          <w:color w:val="000000"/>
        </w:rPr>
        <w:t xml:space="preserve">, </w:t>
      </w:r>
      <w:r w:rsidRPr="00105F47">
        <w:rPr>
          <w:rFonts w:cs="Cambria"/>
          <w:color w:val="000000"/>
        </w:rPr>
        <w:t xml:space="preserve">integration </w:t>
      </w:r>
      <w:r>
        <w:rPr>
          <w:rFonts w:cs="Cambria"/>
          <w:color w:val="000000"/>
        </w:rPr>
        <w:t>consistently</w:t>
      </w:r>
      <w:r w:rsidRPr="00105F47">
        <w:rPr>
          <w:rFonts w:cs="Cambria"/>
          <w:color w:val="000000"/>
        </w:rPr>
        <w:t xml:space="preserve"> </w:t>
      </w:r>
      <w:r>
        <w:rPr>
          <w:rFonts w:cs="Cambria"/>
          <w:color w:val="000000"/>
        </w:rPr>
        <w:t xml:space="preserve">predicts higher performance on the </w:t>
      </w:r>
      <w:r w:rsidRPr="00105F47">
        <w:rPr>
          <w:rFonts w:cs="Cambria"/>
          <w:color w:val="000000"/>
        </w:rPr>
        <w:t>MCAS</w:t>
      </w:r>
      <w:r>
        <w:rPr>
          <w:rFonts w:cs="Cambria"/>
          <w:color w:val="000000"/>
        </w:rPr>
        <w:t xml:space="preserve">.  Given </w:t>
      </w:r>
      <w:r w:rsidRPr="00105F47">
        <w:rPr>
          <w:rFonts w:cs="Cambria"/>
          <w:color w:val="000000"/>
        </w:rPr>
        <w:t>that there is such variability between districts in the state</w:t>
      </w:r>
      <w:r>
        <w:rPr>
          <w:rFonts w:cs="Cambria"/>
          <w:color w:val="000000"/>
        </w:rPr>
        <w:t xml:space="preserve"> </w:t>
      </w:r>
      <w:r w:rsidRPr="00105F47">
        <w:rPr>
          <w:rFonts w:cs="Cambria"/>
          <w:color w:val="000000"/>
        </w:rPr>
        <w:t xml:space="preserve">concerning </w:t>
      </w:r>
      <w:r w:rsidR="00CF678F" w:rsidRPr="00105F47">
        <w:rPr>
          <w:rFonts w:cs="Cambria"/>
          <w:color w:val="000000"/>
        </w:rPr>
        <w:t>integration,</w:t>
      </w:r>
      <w:r w:rsidR="00CF678F">
        <w:rPr>
          <w:rFonts w:cs="Cambria"/>
          <w:color w:val="000000"/>
        </w:rPr>
        <w:t xml:space="preserve"> </w:t>
      </w:r>
      <w:r w:rsidR="00CF678F" w:rsidRPr="0018604B">
        <w:rPr>
          <w:rFonts w:cs="Cambria"/>
          <w:color w:val="000000"/>
        </w:rPr>
        <w:t>the</w:t>
      </w:r>
      <w:r w:rsidR="004D22F1" w:rsidRPr="0018604B">
        <w:rPr>
          <w:rFonts w:cs="Cambria"/>
          <w:color w:val="000000"/>
        </w:rPr>
        <w:t xml:space="preserve"> </w:t>
      </w:r>
      <w:r w:rsidR="0018604B" w:rsidRPr="0018604B">
        <w:rPr>
          <w:rFonts w:cs="Cambria"/>
          <w:color w:val="000000"/>
        </w:rPr>
        <w:t xml:space="preserve">Department of Elementary and Secondary Education </w:t>
      </w:r>
      <w:r w:rsidRPr="00105F47">
        <w:rPr>
          <w:rFonts w:cs="Cambria"/>
          <w:color w:val="000000"/>
        </w:rPr>
        <w:t>should intervene in district</w:t>
      </w:r>
      <w:r>
        <w:rPr>
          <w:rFonts w:cs="Cambria"/>
          <w:color w:val="000000"/>
        </w:rPr>
        <w:t>s</w:t>
      </w:r>
      <w:r w:rsidRPr="00105F47">
        <w:rPr>
          <w:rFonts w:cs="Cambria"/>
          <w:color w:val="000000"/>
        </w:rPr>
        <w:t xml:space="preserve"> that continue to </w:t>
      </w:r>
      <w:r w:rsidR="00CF678F">
        <w:rPr>
          <w:rFonts w:cs="Cambria"/>
          <w:color w:val="000000"/>
        </w:rPr>
        <w:t>educate</w:t>
      </w:r>
      <w:r w:rsidR="00CF678F" w:rsidRPr="00105F47">
        <w:rPr>
          <w:rFonts w:cs="Cambria"/>
          <w:color w:val="000000"/>
        </w:rPr>
        <w:t xml:space="preserve"> </w:t>
      </w:r>
      <w:r>
        <w:rPr>
          <w:rFonts w:cs="Cambria"/>
          <w:color w:val="000000"/>
        </w:rPr>
        <w:t>higher than average</w:t>
      </w:r>
      <w:r w:rsidRPr="00105F47">
        <w:rPr>
          <w:rFonts w:cs="Cambria"/>
          <w:color w:val="000000"/>
        </w:rPr>
        <w:t xml:space="preserve"> numbers of students</w:t>
      </w:r>
      <w:r w:rsidR="00CF678F">
        <w:rPr>
          <w:rFonts w:cs="Cambria"/>
          <w:color w:val="000000"/>
        </w:rPr>
        <w:t xml:space="preserve"> in substantially</w:t>
      </w:r>
      <w:r w:rsidR="00CF678F" w:rsidRPr="00CF678F">
        <w:rPr>
          <w:rFonts w:cs="Cambria"/>
          <w:color w:val="000000"/>
        </w:rPr>
        <w:t xml:space="preserve"> separate settings</w:t>
      </w:r>
      <w:r w:rsidRPr="00105F47">
        <w:rPr>
          <w:rFonts w:cs="Cambria"/>
          <w:color w:val="000000"/>
        </w:rPr>
        <w:t>.</w:t>
      </w:r>
      <w:r>
        <w:rPr>
          <w:rFonts w:cs="Cambria"/>
          <w:color w:val="000000"/>
        </w:rPr>
        <w:br/>
      </w:r>
    </w:p>
    <w:p w:rsidR="008D2AB8" w:rsidRDefault="008D2AB8" w:rsidP="009A4D5A">
      <w:pPr>
        <w:numPr>
          <w:ilvl w:val="0"/>
          <w:numId w:val="23"/>
        </w:numPr>
        <w:tabs>
          <w:tab w:val="left" w:pos="360"/>
        </w:tabs>
        <w:ind w:left="0" w:firstLine="0"/>
        <w:rPr>
          <w:rFonts w:cs="Cambria"/>
          <w:b/>
          <w:color w:val="000000"/>
        </w:rPr>
      </w:pPr>
      <w:r w:rsidRPr="00375639">
        <w:rPr>
          <w:rFonts w:cs="Cambria"/>
          <w:b/>
          <w:color w:val="000000"/>
        </w:rPr>
        <w:t>Interventions in districts should focus on requirin</w:t>
      </w:r>
      <w:r w:rsidRPr="006E78E0">
        <w:rPr>
          <w:rFonts w:cs="Cambria"/>
          <w:b/>
          <w:color w:val="000000"/>
        </w:rPr>
        <w:t>g better practices in general education.</w:t>
      </w:r>
    </w:p>
    <w:p w:rsidR="008D2AB8" w:rsidRPr="006E78E0" w:rsidRDefault="008D2AB8" w:rsidP="008D2AB8">
      <w:pPr>
        <w:rPr>
          <w:rFonts w:cs="Cambria"/>
          <w:b/>
          <w:color w:val="000000"/>
        </w:rPr>
      </w:pPr>
    </w:p>
    <w:p w:rsidR="008D2AB8" w:rsidRPr="00105F47" w:rsidRDefault="0018604B" w:rsidP="009A4D5A">
      <w:pPr>
        <w:rPr>
          <w:rFonts w:cs="Cambria"/>
          <w:color w:val="000000"/>
        </w:rPr>
      </w:pPr>
      <w:r>
        <w:rPr>
          <w:rFonts w:cs="Cambria"/>
          <w:color w:val="000000"/>
        </w:rPr>
        <w:t>R</w:t>
      </w:r>
      <w:r w:rsidR="008D2AB8" w:rsidRPr="00105F47">
        <w:rPr>
          <w:rFonts w:cs="Cambria"/>
          <w:color w:val="000000"/>
        </w:rPr>
        <w:t>esearch on over-</w:t>
      </w:r>
      <w:r w:rsidR="008D2AB8">
        <w:rPr>
          <w:rFonts w:cs="Cambria"/>
          <w:color w:val="000000"/>
        </w:rPr>
        <w:t xml:space="preserve">identification </w:t>
      </w:r>
      <w:r w:rsidR="008D2AB8" w:rsidRPr="00105F47">
        <w:rPr>
          <w:rFonts w:cs="Cambria"/>
          <w:color w:val="000000"/>
        </w:rPr>
        <w:t>of low</w:t>
      </w:r>
      <w:r w:rsidR="008D2AB8">
        <w:rPr>
          <w:rFonts w:cs="Cambria"/>
          <w:color w:val="000000"/>
        </w:rPr>
        <w:t>-</w:t>
      </w:r>
      <w:r w:rsidR="008D2AB8" w:rsidRPr="00105F47">
        <w:rPr>
          <w:rFonts w:cs="Cambria"/>
          <w:color w:val="000000"/>
        </w:rPr>
        <w:t xml:space="preserve">income </w:t>
      </w:r>
      <w:r w:rsidR="008D2AB8">
        <w:rPr>
          <w:rFonts w:cs="Cambria"/>
          <w:color w:val="000000"/>
        </w:rPr>
        <w:t xml:space="preserve">students </w:t>
      </w:r>
      <w:r w:rsidR="008D2AB8" w:rsidRPr="00105F47">
        <w:rPr>
          <w:rFonts w:cs="Cambria"/>
          <w:color w:val="000000"/>
        </w:rPr>
        <w:t xml:space="preserve">and students of color </w:t>
      </w:r>
      <w:r w:rsidR="008D2AB8">
        <w:rPr>
          <w:rFonts w:cs="Cambria"/>
          <w:color w:val="000000"/>
        </w:rPr>
        <w:t xml:space="preserve">as eligible for special education services </w:t>
      </w:r>
      <w:r w:rsidR="008D2AB8" w:rsidRPr="00105F47">
        <w:rPr>
          <w:rFonts w:cs="Cambria"/>
          <w:color w:val="000000"/>
        </w:rPr>
        <w:t>situate</w:t>
      </w:r>
      <w:r w:rsidR="008D2AB8">
        <w:rPr>
          <w:rFonts w:cs="Cambria"/>
          <w:color w:val="000000"/>
        </w:rPr>
        <w:t>s</w:t>
      </w:r>
      <w:r w:rsidR="008D2AB8" w:rsidRPr="00105F47">
        <w:rPr>
          <w:rFonts w:cs="Cambria"/>
          <w:color w:val="000000"/>
        </w:rPr>
        <w:t xml:space="preserve"> this problem primarily in general education practices. </w:t>
      </w:r>
      <w:r w:rsidR="008D2AB8">
        <w:rPr>
          <w:rFonts w:cs="Cambria"/>
          <w:color w:val="000000"/>
        </w:rPr>
        <w:t xml:space="preserve">Most </w:t>
      </w:r>
      <w:r w:rsidR="008D2AB8" w:rsidRPr="00105F47">
        <w:rPr>
          <w:rFonts w:cs="Cambria"/>
          <w:color w:val="000000"/>
        </w:rPr>
        <w:t xml:space="preserve">of students </w:t>
      </w:r>
      <w:r w:rsidR="008D2AB8">
        <w:rPr>
          <w:rFonts w:cs="Cambria"/>
          <w:color w:val="000000"/>
        </w:rPr>
        <w:t>are designated as eligible for</w:t>
      </w:r>
      <w:r w:rsidR="008D2AB8" w:rsidRPr="00105F47">
        <w:rPr>
          <w:rFonts w:cs="Cambria"/>
          <w:color w:val="000000"/>
        </w:rPr>
        <w:t xml:space="preserve"> special education due to problems in academics, particularly reading</w:t>
      </w:r>
      <w:r w:rsidR="000879AE">
        <w:rPr>
          <w:rFonts w:cs="Cambria"/>
          <w:color w:val="000000"/>
        </w:rPr>
        <w:t xml:space="preserve"> and</w:t>
      </w:r>
      <w:r w:rsidR="008D2AB8">
        <w:rPr>
          <w:rFonts w:cs="Cambria"/>
          <w:color w:val="000000"/>
        </w:rPr>
        <w:t>/</w:t>
      </w:r>
      <w:r w:rsidR="008D2AB8" w:rsidRPr="00105F47">
        <w:rPr>
          <w:rFonts w:cs="Cambria"/>
          <w:color w:val="000000"/>
        </w:rPr>
        <w:t xml:space="preserve">or due to problems concerning behavior.  Powerful practices have been developed by researchers and implemented in many schools </w:t>
      </w:r>
      <w:r w:rsidR="008D2AB8">
        <w:rPr>
          <w:rFonts w:cs="Cambria"/>
          <w:color w:val="000000"/>
        </w:rPr>
        <w:t xml:space="preserve">across the </w:t>
      </w:r>
      <w:r w:rsidR="00D65032">
        <w:rPr>
          <w:rFonts w:cs="Cambria"/>
          <w:color w:val="000000"/>
        </w:rPr>
        <w:t>Un</w:t>
      </w:r>
      <w:r>
        <w:rPr>
          <w:rFonts w:cs="Cambria"/>
          <w:color w:val="000000"/>
        </w:rPr>
        <w:t>it</w:t>
      </w:r>
      <w:r w:rsidR="00D65032">
        <w:rPr>
          <w:rFonts w:cs="Cambria"/>
          <w:color w:val="000000"/>
        </w:rPr>
        <w:t xml:space="preserve">ed States </w:t>
      </w:r>
      <w:r w:rsidR="008D2AB8" w:rsidRPr="00105F47">
        <w:rPr>
          <w:rFonts w:cs="Cambria"/>
          <w:color w:val="000000"/>
        </w:rPr>
        <w:t xml:space="preserve">that have proven effective in dealing with these issues </w:t>
      </w:r>
      <w:r w:rsidR="008D2AB8">
        <w:rPr>
          <w:rFonts w:cs="Cambria"/>
          <w:color w:val="000000"/>
        </w:rPr>
        <w:t>(these are discussed below).</w:t>
      </w:r>
      <w:r w:rsidR="008D2AB8" w:rsidRPr="00105F47">
        <w:rPr>
          <w:rFonts w:cs="Cambria"/>
          <w:color w:val="000000"/>
        </w:rPr>
        <w:t xml:space="preserve"> The </w:t>
      </w:r>
      <w:r w:rsidR="008D2AB8">
        <w:rPr>
          <w:rFonts w:cs="Cambria"/>
          <w:color w:val="000000"/>
        </w:rPr>
        <w:t xml:space="preserve">Massachusetts </w:t>
      </w:r>
      <w:r w:rsidR="008D2AB8" w:rsidRPr="00105F47">
        <w:rPr>
          <w:rFonts w:cs="Cambria"/>
          <w:color w:val="000000"/>
        </w:rPr>
        <w:t xml:space="preserve">students </w:t>
      </w:r>
      <w:r w:rsidR="008D2AB8">
        <w:rPr>
          <w:rFonts w:cs="Cambria"/>
          <w:color w:val="000000"/>
        </w:rPr>
        <w:t xml:space="preserve">who are </w:t>
      </w:r>
      <w:r w:rsidR="008D2AB8" w:rsidRPr="00105F47">
        <w:rPr>
          <w:rFonts w:cs="Cambria"/>
          <w:color w:val="000000"/>
        </w:rPr>
        <w:t xml:space="preserve">of most concern </w:t>
      </w:r>
      <w:r w:rsidR="008D2AB8">
        <w:rPr>
          <w:rFonts w:cs="Cambria"/>
          <w:color w:val="000000"/>
        </w:rPr>
        <w:t xml:space="preserve">in this regard </w:t>
      </w:r>
      <w:r w:rsidR="008D2AB8" w:rsidRPr="00105F47">
        <w:rPr>
          <w:rFonts w:cs="Cambria"/>
          <w:color w:val="000000"/>
        </w:rPr>
        <w:t xml:space="preserve">are all students who are eligible for services under Title 1 of the Elementary and Secondary </w:t>
      </w:r>
      <w:r w:rsidR="008D2AB8">
        <w:rPr>
          <w:rFonts w:cs="Cambria"/>
          <w:color w:val="000000"/>
        </w:rPr>
        <w:t xml:space="preserve">Education Act </w:t>
      </w:r>
      <w:r w:rsidR="008D2AB8" w:rsidRPr="00105F47">
        <w:rPr>
          <w:rFonts w:cs="Cambria"/>
          <w:color w:val="000000"/>
        </w:rPr>
        <w:t xml:space="preserve">and IDEA. The </w:t>
      </w:r>
      <w:r w:rsidR="008D2AB8" w:rsidRPr="00105F47">
        <w:rPr>
          <w:rFonts w:cs="Cambria"/>
          <w:color w:val="000000"/>
        </w:rPr>
        <w:lastRenderedPageBreak/>
        <w:t>Commissioner should consider directing the use of these funds toward this purpose as current authority allows.</w:t>
      </w:r>
      <w:r w:rsidR="008D2AB8">
        <w:rPr>
          <w:rFonts w:cs="Cambria"/>
          <w:color w:val="000000"/>
        </w:rPr>
        <w:t xml:space="preserve"> </w:t>
      </w:r>
    </w:p>
    <w:p w:rsidR="008D2AB8" w:rsidRPr="00F5063E" w:rsidRDefault="008D2AB8" w:rsidP="008D2AB8">
      <w:pPr>
        <w:rPr>
          <w:rFonts w:cs="Cambria"/>
          <w:b/>
          <w:color w:val="000000"/>
        </w:rPr>
      </w:pPr>
    </w:p>
    <w:p w:rsidR="008D2AB8" w:rsidRDefault="008D2AB8" w:rsidP="008D2AB8">
      <w:pPr>
        <w:rPr>
          <w:rFonts w:cs="Cambria"/>
          <w:b/>
          <w:color w:val="000000"/>
        </w:rPr>
      </w:pPr>
      <w:r w:rsidRPr="00375639">
        <w:rPr>
          <w:rFonts w:cs="Cambria"/>
          <w:b/>
          <w:color w:val="000000"/>
        </w:rPr>
        <w:t>Promotion of More Effective Practice</w:t>
      </w:r>
    </w:p>
    <w:p w:rsidR="008D2AB8" w:rsidRDefault="008D2AB8" w:rsidP="008D2AB8">
      <w:pPr>
        <w:rPr>
          <w:rFonts w:cs="Cambria"/>
          <w:b/>
          <w:color w:val="000000"/>
        </w:rPr>
      </w:pPr>
    </w:p>
    <w:p w:rsidR="008D2AB8" w:rsidRPr="0019613C" w:rsidRDefault="008D2AB8" w:rsidP="008D2AB8">
      <w:pPr>
        <w:rPr>
          <w:rFonts w:cs="Cambria"/>
          <w:color w:val="000000"/>
        </w:rPr>
      </w:pPr>
      <w:r w:rsidRPr="0019613C">
        <w:rPr>
          <w:rFonts w:cs="Cambria"/>
          <w:color w:val="000000"/>
        </w:rPr>
        <w:t>Though we recommend that the state intervene in districts whose patterns of identification, placement</w:t>
      </w:r>
      <w:r w:rsidR="000879AE">
        <w:rPr>
          <w:rFonts w:cs="Cambria"/>
          <w:color w:val="000000"/>
        </w:rPr>
        <w:t xml:space="preserve"> and</w:t>
      </w:r>
      <w:r w:rsidRPr="0019613C">
        <w:rPr>
          <w:rFonts w:cs="Cambria"/>
          <w:color w:val="000000"/>
        </w:rPr>
        <w:t xml:space="preserve"> performance are most problematic, the interventions needed in these districts may also be broadly beneficial to all districts. </w:t>
      </w:r>
      <w:r w:rsidR="00CF5DC6">
        <w:rPr>
          <w:rFonts w:cs="Cambria"/>
          <w:color w:val="000000"/>
        </w:rPr>
        <w:t xml:space="preserve"> </w:t>
      </w:r>
      <w:r w:rsidRPr="0019613C">
        <w:rPr>
          <w:rFonts w:cs="Cambria"/>
          <w:color w:val="000000"/>
        </w:rPr>
        <w:t xml:space="preserve">Therefore we recommend that the </w:t>
      </w:r>
      <w:r>
        <w:rPr>
          <w:rFonts w:cs="Cambria"/>
          <w:color w:val="000000"/>
        </w:rPr>
        <w:t>Department of Elementary and Secondary Education</w:t>
      </w:r>
      <w:r w:rsidRPr="0019613C">
        <w:rPr>
          <w:rFonts w:cs="Cambria"/>
          <w:color w:val="000000"/>
        </w:rPr>
        <w:t xml:space="preserve"> promote the adoption of three powerful research-based practices:</w:t>
      </w:r>
      <w:r w:rsidR="00B65C3A">
        <w:rPr>
          <w:rFonts w:cs="Cambria"/>
          <w:color w:val="000000"/>
        </w:rPr>
        <w:t xml:space="preserve"> </w:t>
      </w:r>
      <w:r w:rsidR="003C6362">
        <w:rPr>
          <w:rStyle w:val="FootnoteReference"/>
          <w:color w:val="000000"/>
        </w:rPr>
        <w:footnoteReference w:id="25"/>
      </w:r>
      <w:r w:rsidRPr="0019613C">
        <w:rPr>
          <w:rFonts w:cs="Cambria"/>
          <w:color w:val="000000"/>
        </w:rPr>
        <w:br/>
      </w:r>
    </w:p>
    <w:p w:rsidR="008D2AB8" w:rsidRPr="004A4C3B" w:rsidRDefault="008D2AB8" w:rsidP="009A4D5A">
      <w:pPr>
        <w:numPr>
          <w:ilvl w:val="0"/>
          <w:numId w:val="24"/>
        </w:numPr>
        <w:tabs>
          <w:tab w:val="left" w:pos="360"/>
        </w:tabs>
        <w:ind w:left="0" w:firstLine="0"/>
        <w:rPr>
          <w:rFonts w:cs="Cambria"/>
          <w:b/>
          <w:color w:val="000000"/>
        </w:rPr>
      </w:pPr>
      <w:r w:rsidRPr="004A4C3B">
        <w:rPr>
          <w:rFonts w:cs="Cambria"/>
          <w:b/>
          <w:color w:val="000000"/>
        </w:rPr>
        <w:t>The Department of Elementary and Secondary Education should pro</w:t>
      </w:r>
      <w:r w:rsidR="000E45EC">
        <w:rPr>
          <w:rFonts w:cs="Cambria"/>
          <w:b/>
          <w:color w:val="000000"/>
        </w:rPr>
        <w:t xml:space="preserve">mote the adoption of principles </w:t>
      </w:r>
      <w:r w:rsidRPr="004A4C3B">
        <w:rPr>
          <w:rFonts w:cs="Cambria"/>
          <w:b/>
          <w:color w:val="000000"/>
        </w:rPr>
        <w:t>of Universal Design for Learning.</w:t>
      </w:r>
    </w:p>
    <w:p w:rsidR="008D2AB8" w:rsidRPr="004A4C3B" w:rsidRDefault="008D2AB8" w:rsidP="008D2AB8">
      <w:pPr>
        <w:ind w:left="360"/>
        <w:rPr>
          <w:rFonts w:cs="Cambria"/>
          <w:b/>
          <w:color w:val="000000"/>
        </w:rPr>
      </w:pPr>
    </w:p>
    <w:p w:rsidR="008D2AB8" w:rsidRPr="00105F47" w:rsidRDefault="008D2AB8" w:rsidP="009A4D5A">
      <w:pPr>
        <w:rPr>
          <w:rFonts w:cs="Cambria"/>
          <w:color w:val="000000"/>
        </w:rPr>
      </w:pPr>
      <w:r w:rsidRPr="00105F47">
        <w:rPr>
          <w:rFonts w:cs="Cambria"/>
          <w:color w:val="000000"/>
        </w:rPr>
        <w:t>Powerful instructional practices have developed that allow students with disabilities as well as other students with diverse instructional needs to prosper in general education environments. For instance, students who have print disabilities (Dyslexia, low-vision, tracking difficulties due to Cerebral Palsy</w:t>
      </w:r>
      <w:r>
        <w:rPr>
          <w:rFonts w:cs="Cambria"/>
          <w:color w:val="000000"/>
        </w:rPr>
        <w:t>, etc.</w:t>
      </w:r>
      <w:r w:rsidRPr="00105F47">
        <w:rPr>
          <w:rFonts w:cs="Cambria"/>
          <w:color w:val="000000"/>
        </w:rPr>
        <w:t>) can access high-level text through text</w:t>
      </w:r>
      <w:r>
        <w:rPr>
          <w:rFonts w:cs="Cambria"/>
          <w:color w:val="000000"/>
        </w:rPr>
        <w:t>-</w:t>
      </w:r>
      <w:r w:rsidRPr="00105F47">
        <w:rPr>
          <w:rFonts w:cs="Cambria"/>
          <w:color w:val="000000"/>
        </w:rPr>
        <w:t>to</w:t>
      </w:r>
      <w:r>
        <w:rPr>
          <w:rFonts w:cs="Cambria"/>
          <w:color w:val="000000"/>
        </w:rPr>
        <w:t>-</w:t>
      </w:r>
      <w:r w:rsidRPr="00105F47">
        <w:rPr>
          <w:rFonts w:cs="Cambria"/>
          <w:color w:val="000000"/>
        </w:rPr>
        <w:t xml:space="preserve">voice technology. Students with physical disabilities can move a computer mouse with eye movement through a tablet computer and a free application. </w:t>
      </w:r>
      <w:r>
        <w:rPr>
          <w:rFonts w:cs="Cambria"/>
          <w:color w:val="000000"/>
        </w:rPr>
        <w:t>With these tools t</w:t>
      </w:r>
      <w:r w:rsidRPr="00105F47">
        <w:rPr>
          <w:rFonts w:cs="Cambria"/>
          <w:color w:val="000000"/>
        </w:rPr>
        <w:t xml:space="preserve">eachers </w:t>
      </w:r>
      <w:r>
        <w:rPr>
          <w:rFonts w:cs="Cambria"/>
          <w:color w:val="000000"/>
        </w:rPr>
        <w:t xml:space="preserve">can </w:t>
      </w:r>
      <w:r w:rsidRPr="00105F47">
        <w:rPr>
          <w:rFonts w:cs="Cambria"/>
          <w:color w:val="000000"/>
        </w:rPr>
        <w:t>customize digital text to include comprehension prompts or to pre-teach vocabulary through another free download</w:t>
      </w:r>
      <w:r>
        <w:rPr>
          <w:rFonts w:cs="Cambria"/>
          <w:color w:val="000000"/>
        </w:rPr>
        <w:t>.</w:t>
      </w:r>
      <w:r w:rsidRPr="00105F47">
        <w:rPr>
          <w:rFonts w:cs="Cambria"/>
          <w:color w:val="000000"/>
        </w:rPr>
        <w:t xml:space="preserve"> These are but a few of the tools available that enable students to access more challenging curriculum while giving teachers more options to broaden their reach. Many of these approaches have </w:t>
      </w:r>
      <w:r>
        <w:rPr>
          <w:rFonts w:cs="Cambria"/>
          <w:color w:val="000000"/>
        </w:rPr>
        <w:t xml:space="preserve">been </w:t>
      </w:r>
      <w:r w:rsidRPr="00105F47">
        <w:rPr>
          <w:rFonts w:cs="Cambria"/>
          <w:color w:val="000000"/>
        </w:rPr>
        <w:t xml:space="preserve">developed here in Massachusetts through such groups as </w:t>
      </w:r>
      <w:r w:rsidR="008F70E6">
        <w:rPr>
          <w:rFonts w:cs="Cambria"/>
          <w:color w:val="000000"/>
        </w:rPr>
        <w:t xml:space="preserve">the </w:t>
      </w:r>
      <w:r w:rsidRPr="00105F47">
        <w:rPr>
          <w:rFonts w:cs="Cambria"/>
          <w:color w:val="000000"/>
        </w:rPr>
        <w:t>C</w:t>
      </w:r>
      <w:r w:rsidR="008F70E6">
        <w:rPr>
          <w:rFonts w:cs="Cambria"/>
          <w:color w:val="000000"/>
        </w:rPr>
        <w:t xml:space="preserve">enter for </w:t>
      </w:r>
      <w:r w:rsidRPr="00105F47">
        <w:rPr>
          <w:rFonts w:cs="Cambria"/>
          <w:color w:val="000000"/>
        </w:rPr>
        <w:t>A</w:t>
      </w:r>
      <w:r w:rsidR="008F70E6">
        <w:rPr>
          <w:rFonts w:cs="Cambria"/>
          <w:color w:val="000000"/>
        </w:rPr>
        <w:t xml:space="preserve">pplied </w:t>
      </w:r>
      <w:r w:rsidRPr="00105F47">
        <w:rPr>
          <w:rFonts w:cs="Cambria"/>
          <w:color w:val="000000"/>
        </w:rPr>
        <w:t>S</w:t>
      </w:r>
      <w:r w:rsidR="008F70E6">
        <w:rPr>
          <w:rFonts w:cs="Cambria"/>
          <w:color w:val="000000"/>
        </w:rPr>
        <w:t xml:space="preserve">pecial </w:t>
      </w:r>
      <w:r w:rsidRPr="00105F47">
        <w:rPr>
          <w:rFonts w:cs="Cambria"/>
          <w:color w:val="000000"/>
        </w:rPr>
        <w:t>T</w:t>
      </w:r>
      <w:r w:rsidR="008F70E6">
        <w:rPr>
          <w:rFonts w:cs="Cambria"/>
          <w:color w:val="000000"/>
        </w:rPr>
        <w:t>echnology</w:t>
      </w:r>
      <w:r w:rsidRPr="00105F47">
        <w:rPr>
          <w:rFonts w:cs="Cambria"/>
          <w:color w:val="000000"/>
        </w:rPr>
        <w:t xml:space="preserve"> in Wakefield, Boston Children</w:t>
      </w:r>
      <w:r w:rsidRPr="00606255">
        <w:rPr>
          <w:rFonts w:cs="Cambria"/>
          <w:color w:val="000000"/>
        </w:rPr>
        <w:t>’</w:t>
      </w:r>
      <w:r w:rsidRPr="00105F47">
        <w:rPr>
          <w:rFonts w:cs="Cambria"/>
          <w:color w:val="000000"/>
        </w:rPr>
        <w:t>s Hospital, Boston College</w:t>
      </w:r>
      <w:r w:rsidR="000879AE">
        <w:rPr>
          <w:rFonts w:cs="Cambria"/>
          <w:color w:val="000000"/>
        </w:rPr>
        <w:t xml:space="preserve"> and</w:t>
      </w:r>
      <w:r w:rsidRPr="00105F47">
        <w:rPr>
          <w:rFonts w:cs="Cambria"/>
          <w:color w:val="000000"/>
        </w:rPr>
        <w:t xml:space="preserve"> Harvard</w:t>
      </w:r>
      <w:r>
        <w:rPr>
          <w:rFonts w:cs="Cambria"/>
          <w:color w:val="000000"/>
        </w:rPr>
        <w:t xml:space="preserve"> University</w:t>
      </w:r>
      <w:r w:rsidRPr="00105F47">
        <w:rPr>
          <w:rFonts w:cs="Cambria"/>
          <w:color w:val="000000"/>
        </w:rPr>
        <w:t xml:space="preserve"> and are based on insights derived from neuroscience. These approaches have been adopted by a number of schools in the state including the Henderson in Dorchester</w:t>
      </w:r>
      <w:r w:rsidR="000879AE">
        <w:rPr>
          <w:rFonts w:cs="Cambria"/>
          <w:color w:val="000000"/>
        </w:rPr>
        <w:t xml:space="preserve"> and</w:t>
      </w:r>
      <w:r w:rsidRPr="00105F47">
        <w:rPr>
          <w:rFonts w:cs="Cambria"/>
          <w:color w:val="000000"/>
        </w:rPr>
        <w:t xml:space="preserve"> Boston Arts Academy.  </w:t>
      </w:r>
    </w:p>
    <w:p w:rsidR="008D2AB8" w:rsidRPr="00F5063E" w:rsidRDefault="008D2AB8" w:rsidP="008D2AB8">
      <w:pPr>
        <w:rPr>
          <w:rFonts w:cs="Cambria"/>
          <w:b/>
          <w:color w:val="000000"/>
        </w:rPr>
      </w:pPr>
    </w:p>
    <w:p w:rsidR="008D2AB8" w:rsidRPr="004A4C3B" w:rsidRDefault="008D2AB8" w:rsidP="009A4D5A">
      <w:pPr>
        <w:numPr>
          <w:ilvl w:val="0"/>
          <w:numId w:val="24"/>
        </w:numPr>
        <w:tabs>
          <w:tab w:val="left" w:pos="360"/>
        </w:tabs>
        <w:ind w:left="0" w:firstLine="0"/>
        <w:rPr>
          <w:rFonts w:cs="Cambria"/>
          <w:b/>
          <w:color w:val="000000"/>
        </w:rPr>
      </w:pPr>
      <w:r w:rsidRPr="004A4C3B">
        <w:rPr>
          <w:rFonts w:cs="Cambria"/>
          <w:b/>
          <w:color w:val="000000"/>
        </w:rPr>
        <w:t xml:space="preserve">The Department of Elementary and Secondary Education should promote adoption of </w:t>
      </w:r>
      <w:r w:rsidR="00DA6117">
        <w:rPr>
          <w:rFonts w:cs="Cambria"/>
          <w:b/>
          <w:color w:val="000000"/>
        </w:rPr>
        <w:t xml:space="preserve">a </w:t>
      </w:r>
      <w:r w:rsidRPr="004A4C3B">
        <w:rPr>
          <w:rFonts w:cs="Cambria"/>
          <w:b/>
          <w:color w:val="000000"/>
        </w:rPr>
        <w:t>Response to Intervention</w:t>
      </w:r>
      <w:r w:rsidR="008F70E6">
        <w:rPr>
          <w:rFonts w:cs="Cambria"/>
          <w:b/>
          <w:color w:val="000000"/>
        </w:rPr>
        <w:t xml:space="preserve"> (RTI)</w:t>
      </w:r>
      <w:r w:rsidR="00DA6117">
        <w:rPr>
          <w:rFonts w:cs="Cambria"/>
          <w:b/>
          <w:color w:val="000000"/>
        </w:rPr>
        <w:t xml:space="preserve"> model in kindergarten </w:t>
      </w:r>
      <w:r w:rsidR="00CF5DC6">
        <w:rPr>
          <w:rFonts w:cs="Cambria"/>
          <w:b/>
          <w:color w:val="000000"/>
        </w:rPr>
        <w:t>through</w:t>
      </w:r>
      <w:r w:rsidR="00DA6117">
        <w:rPr>
          <w:rFonts w:cs="Cambria"/>
          <w:b/>
          <w:color w:val="000000"/>
        </w:rPr>
        <w:t xml:space="preserve"> grade three to promote early literacy development </w:t>
      </w:r>
      <w:r w:rsidRPr="004A4C3B">
        <w:rPr>
          <w:rFonts w:cs="Cambria"/>
          <w:b/>
          <w:color w:val="000000"/>
        </w:rPr>
        <w:br/>
      </w:r>
    </w:p>
    <w:p w:rsidR="008D2AB8" w:rsidRDefault="003C6362" w:rsidP="003C6362">
      <w:pPr>
        <w:rPr>
          <w:rFonts w:cs="Cambria"/>
          <w:color w:val="000000"/>
        </w:rPr>
      </w:pPr>
      <w:r>
        <w:rPr>
          <w:rFonts w:cs="Cambria"/>
          <w:color w:val="000000"/>
        </w:rPr>
        <w:t>Response to intervention, when implemented with fidelity,</w:t>
      </w:r>
      <w:r w:rsidRPr="00105F47">
        <w:rPr>
          <w:rFonts w:cs="Cambria"/>
          <w:color w:val="000000"/>
        </w:rPr>
        <w:t xml:space="preserve"> </w:t>
      </w:r>
      <w:r>
        <w:rPr>
          <w:rFonts w:cs="Cambria"/>
          <w:color w:val="000000"/>
        </w:rPr>
        <w:t xml:space="preserve">has </w:t>
      </w:r>
      <w:r w:rsidR="008D2AB8" w:rsidRPr="00105F47">
        <w:rPr>
          <w:rFonts w:cs="Cambria"/>
          <w:color w:val="000000"/>
        </w:rPr>
        <w:t xml:space="preserve">strong research support as a vehicle to improve early reading development for struggling readers and as improved means to </w:t>
      </w:r>
      <w:r w:rsidR="008D2AB8">
        <w:rPr>
          <w:rFonts w:cs="Cambria"/>
          <w:color w:val="000000"/>
        </w:rPr>
        <w:t>identify</w:t>
      </w:r>
      <w:r w:rsidR="008D2AB8" w:rsidRPr="00105F47">
        <w:rPr>
          <w:rFonts w:cs="Cambria"/>
          <w:color w:val="000000"/>
        </w:rPr>
        <w:t xml:space="preserve"> students who may have a more intractable</w:t>
      </w:r>
      <w:r w:rsidR="008D2AB8">
        <w:rPr>
          <w:rFonts w:cs="Cambria"/>
          <w:color w:val="000000"/>
        </w:rPr>
        <w:t xml:space="preserve"> </w:t>
      </w:r>
      <w:r w:rsidR="008D2AB8" w:rsidRPr="00105F47">
        <w:rPr>
          <w:rFonts w:cs="Cambria"/>
          <w:color w:val="000000"/>
        </w:rPr>
        <w:t xml:space="preserve">reading disability such as dyslexia. </w:t>
      </w:r>
      <w:r w:rsidR="00FC47D4">
        <w:rPr>
          <w:rFonts w:cs="Cambria"/>
          <w:color w:val="000000"/>
        </w:rPr>
        <w:t>W</w:t>
      </w:r>
      <w:r w:rsidR="00FC47D4" w:rsidRPr="00105F47">
        <w:rPr>
          <w:rFonts w:cs="Cambria"/>
          <w:color w:val="000000"/>
        </w:rPr>
        <w:t xml:space="preserve">e </w:t>
      </w:r>
      <w:r w:rsidR="008D2AB8" w:rsidRPr="00105F47">
        <w:rPr>
          <w:rFonts w:cs="Cambria"/>
          <w:color w:val="000000"/>
        </w:rPr>
        <w:t xml:space="preserve">believe </w:t>
      </w:r>
      <w:r w:rsidR="00FC47D4">
        <w:rPr>
          <w:rFonts w:cs="Cambria"/>
          <w:color w:val="000000"/>
        </w:rPr>
        <w:t>that a</w:t>
      </w:r>
      <w:r w:rsidR="008D2AB8" w:rsidRPr="00105F47">
        <w:rPr>
          <w:rFonts w:cs="Cambria"/>
          <w:color w:val="000000"/>
        </w:rPr>
        <w:t xml:space="preserve"> more focused effort on early reading such as RTI might be helpful in promoting better literacy overall and reducing inappropriate referrals to special education. The Tucker School in Milton has implemented such a program</w:t>
      </w:r>
      <w:r w:rsidR="000879AE">
        <w:rPr>
          <w:rFonts w:cs="Cambria"/>
          <w:color w:val="000000"/>
        </w:rPr>
        <w:t xml:space="preserve"> and</w:t>
      </w:r>
      <w:r w:rsidR="008D2AB8">
        <w:rPr>
          <w:rFonts w:cs="Cambria"/>
          <w:color w:val="000000"/>
        </w:rPr>
        <w:t xml:space="preserve"> it </w:t>
      </w:r>
      <w:r w:rsidR="008D2AB8" w:rsidRPr="00105F47">
        <w:rPr>
          <w:rFonts w:cs="Cambria"/>
          <w:color w:val="000000"/>
        </w:rPr>
        <w:t xml:space="preserve">served to reduce over-placement of </w:t>
      </w:r>
      <w:r w:rsidR="008D2AB8" w:rsidRPr="00105F47">
        <w:rPr>
          <w:rFonts w:cs="Cambria"/>
          <w:color w:val="000000"/>
        </w:rPr>
        <w:lastRenderedPageBreak/>
        <w:t>students of color in special education while improving literacy scores throughout the school</w:t>
      </w:r>
      <w:r w:rsidR="00483E3E">
        <w:rPr>
          <w:rFonts w:cs="Cambria"/>
          <w:color w:val="000000"/>
        </w:rPr>
        <w:t>.</w:t>
      </w:r>
    </w:p>
    <w:p w:rsidR="00483E3E" w:rsidRDefault="00483E3E" w:rsidP="003C6362">
      <w:pPr>
        <w:rPr>
          <w:rFonts w:cs="Cambria"/>
          <w:color w:val="000000"/>
        </w:rPr>
      </w:pPr>
    </w:p>
    <w:p w:rsidR="008D2AB8" w:rsidRPr="004A4C3B" w:rsidRDefault="008D2AB8" w:rsidP="003C6362">
      <w:pPr>
        <w:pStyle w:val="ColorfulList-Accent12"/>
        <w:numPr>
          <w:ilvl w:val="0"/>
          <w:numId w:val="24"/>
        </w:numPr>
        <w:tabs>
          <w:tab w:val="left" w:pos="360"/>
        </w:tabs>
        <w:ind w:left="0" w:firstLine="0"/>
        <w:rPr>
          <w:rFonts w:cs="Cambria"/>
          <w:b/>
          <w:color w:val="000000"/>
        </w:rPr>
      </w:pPr>
      <w:r w:rsidRPr="004A4C3B">
        <w:rPr>
          <w:rFonts w:cs="Cambria"/>
          <w:b/>
          <w:color w:val="000000"/>
        </w:rPr>
        <w:t>The Department of Elementary and Secondary Education should promote universally designed behavior supports.</w:t>
      </w:r>
    </w:p>
    <w:p w:rsidR="008D2AB8" w:rsidRPr="00105F47" w:rsidRDefault="008D2AB8" w:rsidP="009A4D5A">
      <w:pPr>
        <w:rPr>
          <w:rFonts w:cs="Cambria"/>
          <w:color w:val="000000"/>
        </w:rPr>
      </w:pPr>
      <w:r w:rsidRPr="00105F47">
        <w:rPr>
          <w:rFonts w:cs="Cambria"/>
          <w:color w:val="000000"/>
        </w:rPr>
        <w:t>As we recommend above</w:t>
      </w:r>
      <w:r>
        <w:rPr>
          <w:rFonts w:cs="Cambria"/>
          <w:color w:val="000000"/>
        </w:rPr>
        <w:t>,</w:t>
      </w:r>
      <w:r w:rsidRPr="00105F47">
        <w:rPr>
          <w:rFonts w:cs="Cambria"/>
          <w:color w:val="000000"/>
        </w:rPr>
        <w:t xml:space="preserve"> programs such as </w:t>
      </w:r>
      <w:r w:rsidR="00DB5622" w:rsidRPr="00105F47">
        <w:rPr>
          <w:rFonts w:cs="Cambria"/>
          <w:color w:val="000000"/>
        </w:rPr>
        <w:t>P</w:t>
      </w:r>
      <w:r w:rsidR="00DB5622">
        <w:rPr>
          <w:rFonts w:cs="Cambria"/>
          <w:color w:val="000000"/>
        </w:rPr>
        <w:t xml:space="preserve">ositive </w:t>
      </w:r>
      <w:r w:rsidR="00DB5622" w:rsidRPr="00105F47">
        <w:rPr>
          <w:rFonts w:cs="Cambria"/>
          <w:color w:val="000000"/>
        </w:rPr>
        <w:t>B</w:t>
      </w:r>
      <w:r w:rsidR="00DB5622">
        <w:rPr>
          <w:rFonts w:cs="Cambria"/>
          <w:color w:val="000000"/>
        </w:rPr>
        <w:t xml:space="preserve">ehavior </w:t>
      </w:r>
      <w:r w:rsidRPr="00105F47">
        <w:rPr>
          <w:rFonts w:cs="Cambria"/>
          <w:color w:val="000000"/>
        </w:rPr>
        <w:t>I</w:t>
      </w:r>
      <w:r w:rsidR="00DB5622">
        <w:rPr>
          <w:rFonts w:cs="Cambria"/>
          <w:color w:val="000000"/>
        </w:rPr>
        <w:t xml:space="preserve">ntervention </w:t>
      </w:r>
      <w:r w:rsidRPr="00105F47">
        <w:rPr>
          <w:rFonts w:cs="Cambria"/>
          <w:color w:val="000000"/>
        </w:rPr>
        <w:t>S</w:t>
      </w:r>
      <w:r w:rsidR="00DB5622">
        <w:rPr>
          <w:rFonts w:cs="Cambria"/>
          <w:color w:val="000000"/>
        </w:rPr>
        <w:t>upports</w:t>
      </w:r>
      <w:r>
        <w:rPr>
          <w:rFonts w:cs="Cambria"/>
          <w:color w:val="000000"/>
        </w:rPr>
        <w:t xml:space="preserve"> (Sugai et al., 2000)</w:t>
      </w:r>
      <w:r w:rsidRPr="00105F47">
        <w:rPr>
          <w:rFonts w:cs="Cambria"/>
          <w:color w:val="000000"/>
        </w:rPr>
        <w:t xml:space="preserve"> have been shown to improve student behavior in schools</w:t>
      </w:r>
      <w:r>
        <w:rPr>
          <w:rFonts w:cs="Cambria"/>
          <w:color w:val="000000"/>
        </w:rPr>
        <w:t xml:space="preserve"> and</w:t>
      </w:r>
      <w:r w:rsidRPr="00105F47">
        <w:rPr>
          <w:rFonts w:cs="Cambria"/>
          <w:color w:val="000000"/>
        </w:rPr>
        <w:t xml:space="preserve"> reduce suspensions, while allowing schools to focus support on those students most in need. Allowing students to stay engaged in school is central to improving performance for many students who struggle. </w:t>
      </w:r>
      <w:r w:rsidR="00DB5622">
        <w:rPr>
          <w:rFonts w:cs="Cambria"/>
          <w:color w:val="000000"/>
        </w:rPr>
        <w:t xml:space="preserve">For example, </w:t>
      </w:r>
      <w:r w:rsidRPr="00105F47">
        <w:rPr>
          <w:rFonts w:cs="Cambria"/>
          <w:color w:val="000000"/>
        </w:rPr>
        <w:t>Worcester East Middle School has successfully implemented this approach.</w:t>
      </w:r>
    </w:p>
    <w:p w:rsidR="008D2AB8" w:rsidRPr="00105F47" w:rsidRDefault="008D2AB8" w:rsidP="008D2AB8">
      <w:pPr>
        <w:ind w:left="720"/>
        <w:rPr>
          <w:rFonts w:cs="Cambria"/>
          <w:color w:val="000000"/>
        </w:rPr>
      </w:pPr>
    </w:p>
    <w:p w:rsidR="008D2AB8" w:rsidRPr="004A4C3B" w:rsidRDefault="008D2AB8" w:rsidP="009A4D5A">
      <w:pPr>
        <w:numPr>
          <w:ilvl w:val="0"/>
          <w:numId w:val="24"/>
        </w:numPr>
        <w:tabs>
          <w:tab w:val="left" w:pos="360"/>
        </w:tabs>
        <w:ind w:left="0" w:firstLine="0"/>
        <w:rPr>
          <w:rFonts w:cs="Cambria"/>
          <w:b/>
          <w:color w:val="000000"/>
        </w:rPr>
      </w:pPr>
      <w:r w:rsidRPr="004A4C3B">
        <w:rPr>
          <w:rFonts w:cs="Cambria"/>
          <w:b/>
          <w:color w:val="000000"/>
        </w:rPr>
        <w:t>The Department of Elementary and Secondary Education should encourage school districts that identify large numbers of students with disabilities to examine their practices of special education determination.</w:t>
      </w:r>
    </w:p>
    <w:p w:rsidR="008D2AB8" w:rsidRDefault="008D2AB8" w:rsidP="008D2AB8">
      <w:pPr>
        <w:ind w:left="360"/>
        <w:rPr>
          <w:rFonts w:cs="Cambria"/>
          <w:b/>
          <w:color w:val="000000"/>
        </w:rPr>
      </w:pPr>
    </w:p>
    <w:p w:rsidR="008D2AB8" w:rsidRDefault="008D2AB8" w:rsidP="008D2AB8">
      <w:pPr>
        <w:rPr>
          <w:rFonts w:cs="Cambria"/>
          <w:color w:val="000000"/>
        </w:rPr>
      </w:pPr>
      <w:r w:rsidRPr="00105F47">
        <w:rPr>
          <w:rFonts w:cs="Cambria"/>
          <w:color w:val="000000"/>
        </w:rPr>
        <w:t>Though this study found that in general</w:t>
      </w:r>
      <w:r>
        <w:rPr>
          <w:rFonts w:cs="Cambria"/>
          <w:color w:val="000000"/>
        </w:rPr>
        <w:t>,</w:t>
      </w:r>
      <w:r w:rsidRPr="00105F47">
        <w:rPr>
          <w:rFonts w:cs="Cambria"/>
          <w:color w:val="000000"/>
        </w:rPr>
        <w:t xml:space="preserve"> the numbers of students a district identifies </w:t>
      </w:r>
      <w:r w:rsidR="00DB5622">
        <w:rPr>
          <w:rFonts w:cs="Cambria"/>
          <w:color w:val="000000"/>
        </w:rPr>
        <w:t xml:space="preserve">for special education </w:t>
      </w:r>
      <w:r w:rsidRPr="00105F47">
        <w:rPr>
          <w:rFonts w:cs="Cambria"/>
          <w:color w:val="000000"/>
        </w:rPr>
        <w:t xml:space="preserve">does not appear to be related to the overall MCAS performance of a district, the placement of large numbers of students in </w:t>
      </w:r>
      <w:r w:rsidRPr="00022B00">
        <w:rPr>
          <w:rFonts w:cs="Cambria"/>
          <w:i/>
          <w:color w:val="000000"/>
        </w:rPr>
        <w:t>‘High Incidence’</w:t>
      </w:r>
      <w:r>
        <w:rPr>
          <w:rFonts w:cs="Cambria"/>
          <w:color w:val="000000"/>
        </w:rPr>
        <w:t xml:space="preserve"> </w:t>
      </w:r>
      <w:r w:rsidRPr="00105F47">
        <w:rPr>
          <w:rFonts w:cs="Cambria"/>
          <w:color w:val="000000"/>
        </w:rPr>
        <w:t>categories raises at minimum fiscal concerns. Special education is expensive and budgets are tight in most districts. Further, as the number of children with more significant disabilities such as those with low birth weight is increasing</w:t>
      </w:r>
      <w:r w:rsidR="00DB5622" w:rsidRPr="00105F47">
        <w:rPr>
          <w:rFonts w:cs="Cambria"/>
          <w:color w:val="000000"/>
        </w:rPr>
        <w:t xml:space="preserve">, </w:t>
      </w:r>
      <w:r w:rsidR="00DB5622">
        <w:rPr>
          <w:rFonts w:cs="Cambria"/>
          <w:color w:val="000000"/>
        </w:rPr>
        <w:t>school</w:t>
      </w:r>
      <w:r w:rsidRPr="00105F47">
        <w:rPr>
          <w:rFonts w:cs="Cambria"/>
          <w:color w:val="000000"/>
        </w:rPr>
        <w:t xml:space="preserve"> districts are faced with meeting </w:t>
      </w:r>
      <w:r>
        <w:rPr>
          <w:rFonts w:cs="Cambria"/>
          <w:color w:val="000000"/>
        </w:rPr>
        <w:t xml:space="preserve">the </w:t>
      </w:r>
      <w:r w:rsidRPr="00105F47">
        <w:rPr>
          <w:rFonts w:cs="Cambria"/>
          <w:color w:val="000000"/>
        </w:rPr>
        <w:t xml:space="preserve">needs </w:t>
      </w:r>
      <w:r>
        <w:rPr>
          <w:rFonts w:cs="Cambria"/>
          <w:color w:val="000000"/>
        </w:rPr>
        <w:t xml:space="preserve">of students </w:t>
      </w:r>
      <w:r w:rsidRPr="00105F47">
        <w:rPr>
          <w:rFonts w:cs="Cambria"/>
          <w:color w:val="000000"/>
        </w:rPr>
        <w:t xml:space="preserve">whose </w:t>
      </w:r>
      <w:r>
        <w:rPr>
          <w:rFonts w:cs="Cambria"/>
          <w:color w:val="000000"/>
        </w:rPr>
        <w:t xml:space="preserve">service </w:t>
      </w:r>
      <w:r w:rsidRPr="00105F47">
        <w:rPr>
          <w:rFonts w:cs="Cambria"/>
          <w:color w:val="000000"/>
        </w:rPr>
        <w:t>programs are apt to be relatively expensive</w:t>
      </w:r>
      <w:r>
        <w:rPr>
          <w:rFonts w:cs="Cambria"/>
          <w:color w:val="000000"/>
        </w:rPr>
        <w:t xml:space="preserve"> (Marcus, 2011)</w:t>
      </w:r>
      <w:r w:rsidRPr="00105F47">
        <w:rPr>
          <w:rFonts w:cs="Cambria"/>
          <w:color w:val="000000"/>
        </w:rPr>
        <w:t>. These children are clearly entitled to receive</w:t>
      </w:r>
      <w:r>
        <w:rPr>
          <w:rFonts w:cs="Cambria"/>
          <w:color w:val="000000"/>
        </w:rPr>
        <w:t xml:space="preserve"> </w:t>
      </w:r>
      <w:r w:rsidRPr="00105F47">
        <w:rPr>
          <w:rFonts w:cs="Cambria"/>
          <w:color w:val="000000"/>
        </w:rPr>
        <w:t xml:space="preserve">what they need under IDEA. </w:t>
      </w:r>
      <w:r>
        <w:rPr>
          <w:rFonts w:cs="Cambria"/>
          <w:color w:val="000000"/>
        </w:rPr>
        <w:t>The practice of s</w:t>
      </w:r>
      <w:r w:rsidRPr="00105F47">
        <w:rPr>
          <w:rFonts w:cs="Cambria"/>
          <w:color w:val="000000"/>
        </w:rPr>
        <w:t>tretching special education budgets to serve students who are questionably eligible needs to be seriously examined in districts serving large numbers of students in special education. Further, as our study indicates</w:t>
      </w:r>
      <w:r>
        <w:rPr>
          <w:rFonts w:cs="Cambria"/>
          <w:color w:val="000000"/>
        </w:rPr>
        <w:t>, the</w:t>
      </w:r>
      <w:r w:rsidRPr="00105F47">
        <w:rPr>
          <w:rFonts w:cs="Cambria"/>
          <w:color w:val="000000"/>
        </w:rPr>
        <w:t xml:space="preserve"> integration of students with disabilities in the general education classroom is associated with signi</w:t>
      </w:r>
      <w:r>
        <w:rPr>
          <w:rFonts w:cs="Cambria"/>
          <w:color w:val="000000"/>
        </w:rPr>
        <w:t>f</w:t>
      </w:r>
      <w:r w:rsidRPr="00105F47">
        <w:rPr>
          <w:rFonts w:cs="Cambria"/>
          <w:color w:val="000000"/>
        </w:rPr>
        <w:t>icantly higher performance</w:t>
      </w:r>
      <w:r>
        <w:rPr>
          <w:rFonts w:cs="Cambria"/>
          <w:color w:val="000000"/>
        </w:rPr>
        <w:t xml:space="preserve"> </w:t>
      </w:r>
      <w:r w:rsidRPr="00105F47">
        <w:rPr>
          <w:rFonts w:cs="Cambria"/>
          <w:color w:val="000000"/>
        </w:rPr>
        <w:t>on the MCAS</w:t>
      </w:r>
      <w:r>
        <w:rPr>
          <w:rFonts w:cs="Cambria"/>
          <w:color w:val="000000"/>
        </w:rPr>
        <w:t>.</w:t>
      </w:r>
    </w:p>
    <w:p w:rsidR="008D2AB8" w:rsidRPr="00F5063E" w:rsidRDefault="008D2AB8" w:rsidP="008D2AB8">
      <w:pPr>
        <w:rPr>
          <w:rFonts w:cs="Cambria"/>
          <w:b/>
          <w:color w:val="000000"/>
        </w:rPr>
      </w:pPr>
    </w:p>
    <w:p w:rsidR="008D2AB8" w:rsidRPr="00375639" w:rsidRDefault="008D2AB8" w:rsidP="008D2AB8">
      <w:pPr>
        <w:rPr>
          <w:rFonts w:cs="Cambria"/>
          <w:b/>
          <w:color w:val="000000"/>
        </w:rPr>
      </w:pPr>
      <w:r w:rsidRPr="00375639">
        <w:rPr>
          <w:rFonts w:cs="Cambria"/>
          <w:b/>
          <w:color w:val="000000"/>
        </w:rPr>
        <w:t>Conclusion</w:t>
      </w:r>
    </w:p>
    <w:p w:rsidR="008D2AB8" w:rsidRPr="006E78E0" w:rsidRDefault="008D2AB8" w:rsidP="008D2AB8">
      <w:pPr>
        <w:rPr>
          <w:rFonts w:cs="Cambria"/>
          <w:b/>
          <w:color w:val="000000"/>
        </w:rPr>
      </w:pPr>
    </w:p>
    <w:p w:rsidR="008D2AB8" w:rsidRPr="00105F47" w:rsidRDefault="008D2AB8" w:rsidP="008D2AB8">
      <w:pPr>
        <w:rPr>
          <w:rFonts w:cs="Cambria"/>
          <w:color w:val="000000"/>
        </w:rPr>
      </w:pPr>
      <w:r w:rsidRPr="00105F47">
        <w:rPr>
          <w:rFonts w:cs="Cambria"/>
          <w:color w:val="000000"/>
        </w:rPr>
        <w:t xml:space="preserve">Massachusetts has a long and proud history </w:t>
      </w:r>
      <w:r w:rsidR="00DB5622">
        <w:rPr>
          <w:rFonts w:cs="Cambria"/>
          <w:color w:val="000000"/>
        </w:rPr>
        <w:t xml:space="preserve">as a leader in the </w:t>
      </w:r>
      <w:r w:rsidRPr="00105F47">
        <w:rPr>
          <w:rFonts w:cs="Cambria"/>
          <w:color w:val="000000"/>
        </w:rPr>
        <w:t xml:space="preserve">education </w:t>
      </w:r>
      <w:r w:rsidR="00D40578">
        <w:rPr>
          <w:rFonts w:cs="Cambria"/>
          <w:color w:val="000000"/>
        </w:rPr>
        <w:t xml:space="preserve">of </w:t>
      </w:r>
      <w:r w:rsidRPr="00105F47">
        <w:rPr>
          <w:rFonts w:cs="Cambria"/>
          <w:color w:val="000000"/>
        </w:rPr>
        <w:t xml:space="preserve">students with disabilities. These efforts have borne </w:t>
      </w:r>
      <w:r w:rsidR="00D40578">
        <w:rPr>
          <w:rFonts w:cs="Cambria"/>
          <w:color w:val="000000"/>
        </w:rPr>
        <w:t xml:space="preserve">clear </w:t>
      </w:r>
      <w:r w:rsidRPr="00105F47">
        <w:rPr>
          <w:rFonts w:cs="Cambria"/>
          <w:color w:val="000000"/>
        </w:rPr>
        <w:t>results</w:t>
      </w:r>
      <w:r>
        <w:rPr>
          <w:rFonts w:cs="Cambria"/>
          <w:color w:val="000000"/>
        </w:rPr>
        <w:t>,</w:t>
      </w:r>
      <w:r w:rsidRPr="00105F47">
        <w:rPr>
          <w:rFonts w:cs="Cambria"/>
          <w:color w:val="000000"/>
        </w:rPr>
        <w:t xml:space="preserve"> as more and more children are experiencing unprecedented</w:t>
      </w:r>
      <w:r>
        <w:rPr>
          <w:rFonts w:cs="Cambria"/>
          <w:color w:val="000000"/>
        </w:rPr>
        <w:t xml:space="preserve"> </w:t>
      </w:r>
      <w:r w:rsidRPr="00105F47">
        <w:rPr>
          <w:rFonts w:cs="Cambria"/>
          <w:color w:val="000000"/>
        </w:rPr>
        <w:t xml:space="preserve">success in school. Though we have made great progress, more needs to be done to make the promise of effective education a reality for all students. We hope this report will help </w:t>
      </w:r>
      <w:r>
        <w:rPr>
          <w:rFonts w:cs="Cambria"/>
          <w:color w:val="000000"/>
        </w:rPr>
        <w:t xml:space="preserve">policy makers, </w:t>
      </w:r>
      <w:r w:rsidRPr="00105F47">
        <w:rPr>
          <w:rFonts w:cs="Cambria"/>
          <w:color w:val="000000"/>
        </w:rPr>
        <w:t>educators and parents focus their efforts toward a brighter future for all children.</w:t>
      </w:r>
    </w:p>
    <w:p w:rsidR="008D2AB8" w:rsidRPr="00F5063E" w:rsidRDefault="008D2AB8" w:rsidP="008D2AB8">
      <w:pPr>
        <w:rPr>
          <w:rFonts w:cs="Cambria"/>
          <w:b/>
          <w:color w:val="000000"/>
        </w:rPr>
      </w:pPr>
    </w:p>
    <w:p w:rsidR="008D2AB8" w:rsidRPr="00375639" w:rsidRDefault="008D2AB8" w:rsidP="008D2AB8">
      <w:pPr>
        <w:rPr>
          <w:rFonts w:cs="Cambria"/>
          <w:b/>
          <w:color w:val="000000"/>
        </w:rPr>
      </w:pPr>
    </w:p>
    <w:p w:rsidR="008D2AB8" w:rsidRPr="000162E8" w:rsidRDefault="008D2AB8" w:rsidP="000162E8">
      <w:pPr>
        <w:jc w:val="center"/>
        <w:rPr>
          <w:rFonts w:cs="Cambria"/>
          <w:b/>
          <w:color w:val="000000"/>
          <w:sz w:val="32"/>
          <w:szCs w:val="32"/>
          <w:highlight w:val="yellow"/>
        </w:rPr>
      </w:pPr>
      <w:r w:rsidRPr="006E78E0">
        <w:rPr>
          <w:rFonts w:cs="Cambria"/>
          <w:b/>
          <w:color w:val="000000"/>
          <w:highlight w:val="yellow"/>
        </w:rPr>
        <w:br w:type="page"/>
      </w:r>
      <w:r w:rsidRPr="000162E8">
        <w:rPr>
          <w:rFonts w:cs="Cambria"/>
          <w:b/>
          <w:color w:val="000000"/>
          <w:sz w:val="32"/>
          <w:szCs w:val="32"/>
        </w:rPr>
        <w:lastRenderedPageBreak/>
        <w:t>References</w:t>
      </w:r>
    </w:p>
    <w:p w:rsidR="008D2AB8" w:rsidRPr="00D63B63" w:rsidRDefault="008D2AB8" w:rsidP="008D2AB8">
      <w:pPr>
        <w:rPr>
          <w:rFonts w:cs="Cambria"/>
          <w:b/>
          <w:color w:val="000000"/>
        </w:rPr>
      </w:pPr>
    </w:p>
    <w:p w:rsidR="008D2AB8" w:rsidRPr="002E334F" w:rsidRDefault="008D2AB8" w:rsidP="008D2AB8">
      <w:proofErr w:type="spellStart"/>
      <w:proofErr w:type="gramStart"/>
      <w:r w:rsidRPr="006E78E0">
        <w:t>B</w:t>
      </w:r>
      <w:r w:rsidR="00BA3B6C">
        <w:rPr>
          <w:color w:val="000000"/>
        </w:rPr>
        <w:t>hasin</w:t>
      </w:r>
      <w:proofErr w:type="spellEnd"/>
      <w:r w:rsidRPr="00105F47">
        <w:rPr>
          <w:color w:val="000000"/>
        </w:rPr>
        <w:t>, T., Brocksen, S., Avchen, R., &amp; Braun, K. (2006)</w:t>
      </w:r>
      <w:r w:rsidR="004D22F1">
        <w:rPr>
          <w:color w:val="000000"/>
        </w:rPr>
        <w:t>.</w:t>
      </w:r>
      <w:proofErr w:type="gramEnd"/>
      <w:r w:rsidRPr="00105F47">
        <w:rPr>
          <w:color w:val="000000"/>
        </w:rPr>
        <w:t xml:space="preserve"> Prevalence of </w:t>
      </w:r>
      <w:r w:rsidR="004D22F1">
        <w:rPr>
          <w:color w:val="000000"/>
        </w:rPr>
        <w:t>f</w:t>
      </w:r>
      <w:r w:rsidR="004D22F1" w:rsidRPr="00105F47">
        <w:rPr>
          <w:color w:val="000000"/>
        </w:rPr>
        <w:t xml:space="preserve">our </w:t>
      </w:r>
      <w:r w:rsidR="004D22F1">
        <w:rPr>
          <w:color w:val="000000"/>
        </w:rPr>
        <w:t>d</w:t>
      </w:r>
      <w:r w:rsidR="004D22F1" w:rsidRPr="00105F47">
        <w:rPr>
          <w:color w:val="000000"/>
        </w:rPr>
        <w:t xml:space="preserve">evelopmental </w:t>
      </w:r>
      <w:r w:rsidR="004D22F1">
        <w:rPr>
          <w:color w:val="000000"/>
        </w:rPr>
        <w:t>d</w:t>
      </w:r>
      <w:r w:rsidR="004D22F1" w:rsidRPr="00105F47">
        <w:rPr>
          <w:color w:val="000000"/>
        </w:rPr>
        <w:t xml:space="preserve">isabilities </w:t>
      </w:r>
      <w:r w:rsidR="004D22F1">
        <w:rPr>
          <w:color w:val="000000"/>
        </w:rPr>
        <w:t>a</w:t>
      </w:r>
      <w:r w:rsidR="004D22F1" w:rsidRPr="00105F47">
        <w:rPr>
          <w:color w:val="000000"/>
        </w:rPr>
        <w:t xml:space="preserve">mong </w:t>
      </w:r>
      <w:r w:rsidR="004D22F1">
        <w:rPr>
          <w:color w:val="000000"/>
        </w:rPr>
        <w:t>c</w:t>
      </w:r>
      <w:r w:rsidR="004D22F1" w:rsidRPr="00105F47">
        <w:rPr>
          <w:color w:val="000000"/>
        </w:rPr>
        <w:t xml:space="preserve">hildren </w:t>
      </w:r>
      <w:r w:rsidR="004D22F1">
        <w:rPr>
          <w:color w:val="000000"/>
        </w:rPr>
        <w:t>a</w:t>
      </w:r>
      <w:r w:rsidR="004D22F1" w:rsidRPr="00105F47">
        <w:rPr>
          <w:color w:val="000000"/>
        </w:rPr>
        <w:t xml:space="preserve">ged </w:t>
      </w:r>
      <w:r w:rsidRPr="00105F47">
        <w:rPr>
          <w:color w:val="000000"/>
        </w:rPr>
        <w:t xml:space="preserve">8 </w:t>
      </w:r>
      <w:r w:rsidR="004D22F1">
        <w:rPr>
          <w:color w:val="000000"/>
        </w:rPr>
        <w:t>y</w:t>
      </w:r>
      <w:r w:rsidR="004D22F1" w:rsidRPr="00105F47">
        <w:rPr>
          <w:color w:val="000000"/>
        </w:rPr>
        <w:t xml:space="preserve">ears </w:t>
      </w:r>
      <w:r w:rsidRPr="00606255">
        <w:rPr>
          <w:color w:val="000000"/>
        </w:rPr>
        <w:t>—</w:t>
      </w:r>
      <w:r w:rsidRPr="00105F47">
        <w:rPr>
          <w:color w:val="000000"/>
        </w:rPr>
        <w:t xml:space="preserve"> Metropolitan Atlanta Developmental Disabilities Surveillance Program, 1996 and 2000. </w:t>
      </w:r>
      <w:r w:rsidRPr="00105F47">
        <w:rPr>
          <w:i/>
          <w:color w:val="000000"/>
        </w:rPr>
        <w:t>Morbidity and Mortality Weekly Report Surveillance Summaries</w:t>
      </w:r>
      <w:r w:rsidR="004D22F1">
        <w:rPr>
          <w:i/>
          <w:color w:val="000000"/>
        </w:rPr>
        <w:t>,</w:t>
      </w:r>
      <w:r w:rsidR="004D22F1" w:rsidRPr="00105F47">
        <w:rPr>
          <w:i/>
          <w:color w:val="000000"/>
        </w:rPr>
        <w:t xml:space="preserve"> </w:t>
      </w:r>
      <w:r w:rsidRPr="00105F47">
        <w:rPr>
          <w:i/>
          <w:color w:val="000000"/>
        </w:rPr>
        <w:t>55</w:t>
      </w:r>
      <w:r w:rsidRPr="00105F47">
        <w:rPr>
          <w:color w:val="000000"/>
        </w:rPr>
        <w:t>(SS-1) p. 1-9</w:t>
      </w:r>
      <w:r w:rsidRPr="00D63B63">
        <w:rPr>
          <w:color w:val="000000"/>
        </w:rPr>
        <w:t>.</w:t>
      </w:r>
      <w:r w:rsidR="004D22F1">
        <w:rPr>
          <w:color w:val="000000"/>
        </w:rPr>
        <w:t xml:space="preserve"> </w:t>
      </w:r>
      <w:r w:rsidRPr="00D63B63">
        <w:rPr>
          <w:color w:val="000000"/>
        </w:rPr>
        <w:t xml:space="preserve">Retrieved from </w:t>
      </w:r>
      <w:hyperlink r:id="rId21" w:history="1">
        <w:r w:rsidR="00B028CD" w:rsidRPr="002E334F">
          <w:rPr>
            <w:rStyle w:val="Hyperlink"/>
            <w:rFonts w:cs="Cambria"/>
            <w:color w:val="000000"/>
            <w:u w:val="none"/>
          </w:rPr>
          <w:t>http://www.cdc.gov/mmwr/PDF/ss/ss5501.pdf</w:t>
        </w:r>
      </w:hyperlink>
      <w:r w:rsidR="006A1A60">
        <w:t xml:space="preserve"> </w:t>
      </w:r>
      <w:r w:rsidR="00B028CD">
        <w:t xml:space="preserve">  </w:t>
      </w:r>
      <w:r w:rsidR="00B028CD" w:rsidRPr="002E334F">
        <w:t xml:space="preserve"> </w:t>
      </w:r>
      <w:r w:rsidR="00B028CD">
        <w:rPr>
          <w:color w:val="000000"/>
        </w:rPr>
        <w:t xml:space="preserve">  </w:t>
      </w:r>
    </w:p>
    <w:p w:rsidR="008D2AB8" w:rsidRDefault="008D2AB8" w:rsidP="008D2AB8"/>
    <w:p w:rsidR="008D2AB8" w:rsidRPr="0019613C" w:rsidRDefault="008D2AB8" w:rsidP="008D2AB8">
      <w:r>
        <w:t xml:space="preserve">Donovan, M., &amp; Cross, C. (Eds.). </w:t>
      </w:r>
      <w:proofErr w:type="gramStart"/>
      <w:r>
        <w:t xml:space="preserve">(2002). </w:t>
      </w:r>
      <w:r w:rsidRPr="00AB4019">
        <w:rPr>
          <w:i/>
        </w:rPr>
        <w:t>M</w:t>
      </w:r>
      <w:r>
        <w:rPr>
          <w:i/>
        </w:rPr>
        <w:t>inority students in special and gifted e</w:t>
      </w:r>
      <w:r w:rsidRPr="00AB4019">
        <w:rPr>
          <w:i/>
        </w:rPr>
        <w:t>ducation</w:t>
      </w:r>
      <w:r>
        <w:rPr>
          <w:i/>
        </w:rPr>
        <w:t>.</w:t>
      </w:r>
      <w:proofErr w:type="gramEnd"/>
      <w:r>
        <w:rPr>
          <w:i/>
        </w:rPr>
        <w:t xml:space="preserve"> </w:t>
      </w:r>
      <w:r>
        <w:t>Washington DC: National Academies Press.</w:t>
      </w:r>
    </w:p>
    <w:p w:rsidR="008D2AB8" w:rsidRPr="006E78E0" w:rsidRDefault="008D2AB8" w:rsidP="008D2AB8"/>
    <w:p w:rsidR="008D2AB8" w:rsidRPr="005B6C69" w:rsidRDefault="008D2AB8" w:rsidP="008D2AB8">
      <w:r w:rsidRPr="005B6C69">
        <w:t>Hehir, T</w:t>
      </w:r>
      <w:r>
        <w:t xml:space="preserve">, </w:t>
      </w:r>
      <w:proofErr w:type="gramStart"/>
      <w:r>
        <w:t xml:space="preserve">&amp; </w:t>
      </w:r>
      <w:r w:rsidRPr="005B6C69">
        <w:t xml:space="preserve"> Mosqueda</w:t>
      </w:r>
      <w:proofErr w:type="gramEnd"/>
      <w:r w:rsidRPr="005B6C69">
        <w:t xml:space="preserve">, E.(2007). San Diego Unified School District </w:t>
      </w:r>
      <w:r w:rsidR="00A2434C">
        <w:t>i</w:t>
      </w:r>
      <w:r w:rsidR="00A2434C" w:rsidRPr="005B6C69">
        <w:t xml:space="preserve">ssues </w:t>
      </w:r>
      <w:r w:rsidR="00A2434C">
        <w:t>d</w:t>
      </w:r>
      <w:r w:rsidR="00A2434C" w:rsidRPr="005B6C69">
        <w:t>ocument</w:t>
      </w:r>
      <w:r w:rsidR="004D22F1">
        <w:t>,</w:t>
      </w:r>
      <w:r w:rsidRPr="005B6C69">
        <w:t xml:space="preserve"> </w:t>
      </w:r>
      <w:r w:rsidR="004D22F1">
        <w:t>R</w:t>
      </w:r>
      <w:r w:rsidR="004D22F1" w:rsidRPr="005B6C69">
        <w:t xml:space="preserve">etrieved </w:t>
      </w:r>
      <w:r w:rsidRPr="005B6C69">
        <w:t xml:space="preserve">from </w:t>
      </w:r>
      <w:hyperlink r:id="rId22" w:history="1">
        <w:r w:rsidRPr="005B6C69">
          <w:rPr>
            <w:rStyle w:val="Hyperlink"/>
          </w:rPr>
          <w:t>http://old.sandi.net/depts/specialed/hehir_issues.pdf</w:t>
        </w:r>
      </w:hyperlink>
    </w:p>
    <w:p w:rsidR="008D2AB8" w:rsidRPr="005B6C69" w:rsidRDefault="008D2AB8" w:rsidP="008D2AB8">
      <w:pPr>
        <w:rPr>
          <w:rFonts w:cs="Cambria"/>
          <w:b/>
          <w:color w:val="000000"/>
        </w:rPr>
      </w:pPr>
    </w:p>
    <w:p w:rsidR="008D2AB8" w:rsidRPr="00F5063E" w:rsidRDefault="008D2AB8" w:rsidP="008D2AB8">
      <w:pPr>
        <w:autoSpaceDE w:val="0"/>
        <w:autoSpaceDN w:val="0"/>
        <w:adjustRightInd w:val="0"/>
        <w:rPr>
          <w:rFonts w:cs="TimesNewRomanPSMT"/>
        </w:rPr>
      </w:pPr>
      <w:proofErr w:type="gramStart"/>
      <w:r w:rsidRPr="006E78E0">
        <w:rPr>
          <w:rFonts w:cs="TimesNewRomanPSMT"/>
        </w:rPr>
        <w:t>Hehir, T., &amp;</w:t>
      </w:r>
      <w:r>
        <w:rPr>
          <w:rFonts w:cs="TimesNewRomanPSMT"/>
        </w:rPr>
        <w:t xml:space="preserve"> </w:t>
      </w:r>
      <w:r w:rsidRPr="006E78E0">
        <w:rPr>
          <w:rFonts w:cs="TimesNewRomanPSMT"/>
        </w:rPr>
        <w:t>Gamm, S. (1999).</w:t>
      </w:r>
      <w:proofErr w:type="gramEnd"/>
      <w:r w:rsidRPr="006E78E0">
        <w:rPr>
          <w:rFonts w:cs="TimesNewRomanPSMT"/>
        </w:rPr>
        <w:t xml:space="preserve"> Special education: From legalism to collaboration. In J. P. Heubert (Ed.), </w:t>
      </w:r>
      <w:r w:rsidRPr="006E78E0">
        <w:rPr>
          <w:rFonts w:cs="TimesNewRomanPS-ItalicMT"/>
          <w:i/>
          <w:iCs/>
        </w:rPr>
        <w:t>Law and school reform: Six strategies for promoting educational</w:t>
      </w:r>
    </w:p>
    <w:p w:rsidR="008D2AB8" w:rsidRPr="00375639" w:rsidRDefault="008D2AB8" w:rsidP="008D2AB8">
      <w:pPr>
        <w:rPr>
          <w:rFonts w:cs="TimesNewRomanPSMT"/>
        </w:rPr>
      </w:pPr>
      <w:proofErr w:type="gramStart"/>
      <w:r w:rsidRPr="00375639">
        <w:rPr>
          <w:rFonts w:cs="TimesNewRomanPS-ItalicMT"/>
          <w:i/>
          <w:iCs/>
        </w:rPr>
        <w:t>equity</w:t>
      </w:r>
      <w:proofErr w:type="gramEnd"/>
      <w:r w:rsidRPr="00375639">
        <w:rPr>
          <w:rFonts w:cs="TimesNewRomanPSMT"/>
        </w:rPr>
        <w:t xml:space="preserve">. New Haven: Yale University Press. pp 205-243. </w:t>
      </w:r>
    </w:p>
    <w:p w:rsidR="008D2AB8" w:rsidRPr="006E78E0" w:rsidRDefault="008D2AB8" w:rsidP="008D2AB8">
      <w:pPr>
        <w:rPr>
          <w:rFonts w:cs="TimesNewRomanPSMT"/>
        </w:rPr>
      </w:pPr>
    </w:p>
    <w:p w:rsidR="009A4D5A" w:rsidRDefault="008D2AB8" w:rsidP="008D2AB8">
      <w:proofErr w:type="gramStart"/>
      <w:r w:rsidRPr="006E78E0">
        <w:rPr>
          <w:rFonts w:cs="Cambria"/>
          <w:color w:val="000000"/>
        </w:rPr>
        <w:t>Hehir, T. (2005).</w:t>
      </w:r>
      <w:proofErr w:type="gramEnd"/>
      <w:r w:rsidRPr="006E78E0">
        <w:rPr>
          <w:rFonts w:cs="Cambria"/>
          <w:color w:val="000000"/>
        </w:rPr>
        <w:t xml:space="preserve"> New directions in special education: Eliminating ableism in policy and practice.  Cambridge, MA: Harvard Education Press</w:t>
      </w:r>
      <w:r>
        <w:t>.</w:t>
      </w:r>
      <w:r w:rsidR="009A4D5A">
        <w:t xml:space="preserve"> </w:t>
      </w:r>
    </w:p>
    <w:p w:rsidR="009A4D5A" w:rsidRDefault="009A4D5A" w:rsidP="008D2AB8"/>
    <w:p w:rsidR="008D2AB8" w:rsidRPr="00F5063E" w:rsidRDefault="008D2AB8" w:rsidP="008D2AB8">
      <w:proofErr w:type="gramStart"/>
      <w:r w:rsidRPr="006E78E0">
        <w:t>Hehir, T</w:t>
      </w:r>
      <w:r>
        <w:t xml:space="preserve">., </w:t>
      </w:r>
      <w:r w:rsidRPr="006E78E0">
        <w:t>Eidelman, H</w:t>
      </w:r>
      <w:r>
        <w:t xml:space="preserve">., </w:t>
      </w:r>
      <w:r w:rsidRPr="006E78E0">
        <w:t>Grindal, T</w:t>
      </w:r>
      <w:r>
        <w:t xml:space="preserve">., </w:t>
      </w:r>
      <w:r w:rsidRPr="006E78E0">
        <w:t>&amp;</w:t>
      </w:r>
      <w:r>
        <w:t xml:space="preserve"> </w:t>
      </w:r>
      <w:r w:rsidRPr="006E78E0">
        <w:t>Marcell, E. (2010)</w:t>
      </w:r>
      <w:r w:rsidR="004D22F1">
        <w:t>.</w:t>
      </w:r>
      <w:proofErr w:type="gramEnd"/>
      <w:r w:rsidR="009A4D5A">
        <w:t xml:space="preserve"> </w:t>
      </w:r>
      <w:r w:rsidRPr="006E78E0">
        <w:t xml:space="preserve">Review of </w:t>
      </w:r>
      <w:r w:rsidR="004D22F1">
        <w:t>s</w:t>
      </w:r>
      <w:r w:rsidR="004D22F1" w:rsidRPr="006E78E0">
        <w:t xml:space="preserve">pecial </w:t>
      </w:r>
      <w:r w:rsidR="00A2434C">
        <w:t>e</w:t>
      </w:r>
      <w:r w:rsidR="00A2434C" w:rsidRPr="006E78E0">
        <w:t xml:space="preserve">ducation </w:t>
      </w:r>
      <w:r w:rsidRPr="006E78E0">
        <w:t xml:space="preserve">in the Houston Independent School District. Retrieved from </w:t>
      </w:r>
      <w:hyperlink r:id="rId23" w:history="1">
        <w:r w:rsidR="00B028CD" w:rsidRPr="00A515C9">
          <w:rPr>
            <w:rStyle w:val="Hyperlink"/>
          </w:rPr>
          <w:t>http://www.houstonisd.org/HISDConnectEnglish/Images/PDF/HISD__Special_Education_Report_2011_Final.pdf</w:t>
        </w:r>
      </w:hyperlink>
      <w:r w:rsidR="00B028CD">
        <w:t xml:space="preserve"> </w:t>
      </w:r>
    </w:p>
    <w:p w:rsidR="008D2AB8" w:rsidRPr="00375639" w:rsidRDefault="008D2AB8" w:rsidP="008D2AB8">
      <w:pPr>
        <w:rPr>
          <w:rFonts w:cs="Cambria"/>
          <w:b/>
          <w:color w:val="000000"/>
        </w:rPr>
      </w:pPr>
    </w:p>
    <w:p w:rsidR="008D2AB8" w:rsidRPr="00F31AC4" w:rsidRDefault="008D2AB8" w:rsidP="008D2AB8">
      <w:r w:rsidRPr="00F31AC4">
        <w:rPr>
          <w:rFonts w:cs="Cambria"/>
          <w:color w:val="000000"/>
        </w:rPr>
        <w:t xml:space="preserve">Marcus, J. (2005, October 9). </w:t>
      </w:r>
      <w:proofErr w:type="gramStart"/>
      <w:r w:rsidRPr="00F31AC4">
        <w:rPr>
          <w:rFonts w:cs="Cambria"/>
          <w:color w:val="000000"/>
        </w:rPr>
        <w:t>The test ahead.</w:t>
      </w:r>
      <w:proofErr w:type="gramEnd"/>
      <w:r w:rsidRPr="00F31AC4">
        <w:rPr>
          <w:rFonts w:cs="Cambria"/>
          <w:color w:val="000000"/>
        </w:rPr>
        <w:t xml:space="preserve"> </w:t>
      </w:r>
      <w:proofErr w:type="gramStart"/>
      <w:r w:rsidRPr="00F31AC4">
        <w:rPr>
          <w:rFonts w:cs="Cambria"/>
          <w:i/>
          <w:color w:val="000000"/>
        </w:rPr>
        <w:t>Boston Globe Magazine</w:t>
      </w:r>
      <w:r w:rsidRPr="00F31AC4">
        <w:rPr>
          <w:rFonts w:cs="Cambria"/>
          <w:color w:val="000000"/>
        </w:rPr>
        <w:t>.</w:t>
      </w:r>
      <w:proofErr w:type="gramEnd"/>
      <w:r w:rsidRPr="00F31AC4">
        <w:rPr>
          <w:rFonts w:cs="Cambria"/>
          <w:color w:val="000000"/>
        </w:rPr>
        <w:t xml:space="preserve"> Retrieved online </w:t>
      </w:r>
      <w:hyperlink r:id="rId24" w:history="1">
        <w:r w:rsidRPr="00F31AC4">
          <w:rPr>
            <w:rStyle w:val="Hyperlink"/>
          </w:rPr>
          <w:t>http://www.bostonglobe.com/magazine/2011/10/08/the-test-ahead/89zgadwU7F5ckhFxu7JOdN/story.html</w:t>
        </w:r>
      </w:hyperlink>
      <w:r w:rsidRPr="00F31AC4">
        <w:t xml:space="preserve"> </w:t>
      </w:r>
    </w:p>
    <w:p w:rsidR="008D2AB8" w:rsidRPr="006E78E0" w:rsidRDefault="008D2AB8" w:rsidP="008D2AB8">
      <w:pPr>
        <w:rPr>
          <w:rFonts w:cs="Cambria"/>
          <w:b/>
          <w:color w:val="000000"/>
        </w:rPr>
      </w:pPr>
    </w:p>
    <w:p w:rsidR="008D2AB8" w:rsidRPr="006E78E0" w:rsidRDefault="008D2AB8" w:rsidP="008D2AB8">
      <w:proofErr w:type="gramStart"/>
      <w:r w:rsidRPr="006E78E0">
        <w:t>Pizur-Barnekow, K., Erickson, S., Johnston, M., Bass, T., Lucinski, L., &amp;</w:t>
      </w:r>
      <w:r>
        <w:t xml:space="preserve"> </w:t>
      </w:r>
      <w:r w:rsidRPr="006E78E0">
        <w:t>Bleuel, D.</w:t>
      </w:r>
      <w:r w:rsidR="00A2434C">
        <w:t xml:space="preserve"> </w:t>
      </w:r>
      <w:r w:rsidRPr="006E78E0">
        <w:t xml:space="preserve">(2010) Early </w:t>
      </w:r>
      <w:r w:rsidR="00B028CD">
        <w:t>i</w:t>
      </w:r>
      <w:r w:rsidRPr="006E78E0">
        <w:t xml:space="preserve">dentification of </w:t>
      </w:r>
      <w:r w:rsidR="00B028CD">
        <w:t>d</w:t>
      </w:r>
      <w:r w:rsidRPr="006E78E0">
        <w:t xml:space="preserve">evelopmental </w:t>
      </w:r>
      <w:r w:rsidR="00B028CD">
        <w:t>d</w:t>
      </w:r>
      <w:r w:rsidRPr="006E78E0">
        <w:t xml:space="preserve">elays </w:t>
      </w:r>
      <w:r w:rsidR="00B028CD" w:rsidRPr="006E78E0">
        <w:t>through</w:t>
      </w:r>
      <w:r w:rsidRPr="006E78E0">
        <w:t xml:space="preserve"> </w:t>
      </w:r>
      <w:r w:rsidR="00B028CD">
        <w:t>s</w:t>
      </w:r>
      <w:r w:rsidRPr="006E78E0">
        <w:t xml:space="preserve">urveillance, </w:t>
      </w:r>
      <w:r w:rsidR="00A2434C">
        <w:t>s</w:t>
      </w:r>
      <w:r w:rsidR="00A2434C" w:rsidRPr="006E78E0">
        <w:t>creening</w:t>
      </w:r>
      <w:r w:rsidR="000879AE">
        <w:t xml:space="preserve"> and</w:t>
      </w:r>
      <w:r w:rsidRPr="006E78E0">
        <w:t xml:space="preserve"> </w:t>
      </w:r>
      <w:r w:rsidR="00A2434C">
        <w:t>d</w:t>
      </w:r>
      <w:r w:rsidR="00A2434C" w:rsidRPr="006E78E0">
        <w:t xml:space="preserve">iagnostic </w:t>
      </w:r>
      <w:r w:rsidR="00A2434C">
        <w:t>e</w:t>
      </w:r>
      <w:r w:rsidR="00A2434C" w:rsidRPr="006E78E0">
        <w:t>valuation</w:t>
      </w:r>
      <w:r w:rsidRPr="006E78E0">
        <w:t>.</w:t>
      </w:r>
      <w:proofErr w:type="gramEnd"/>
      <w:r w:rsidRPr="006E78E0">
        <w:t xml:space="preserve">  </w:t>
      </w:r>
      <w:r w:rsidRPr="006E78E0">
        <w:rPr>
          <w:i/>
        </w:rPr>
        <w:t xml:space="preserve">Infants &amp; Young </w:t>
      </w:r>
      <w:r w:rsidRPr="00063BB9">
        <w:rPr>
          <w:i/>
        </w:rPr>
        <w:t>Children</w:t>
      </w:r>
      <w:r w:rsidR="00A2434C">
        <w:rPr>
          <w:i/>
        </w:rPr>
        <w:t>,</w:t>
      </w:r>
      <w:r w:rsidRPr="00063BB9">
        <w:rPr>
          <w:i/>
        </w:rPr>
        <w:t xml:space="preserve"> 23</w:t>
      </w:r>
      <w:r w:rsidRPr="006E78E0">
        <w:t>(4)</w:t>
      </w:r>
      <w:r w:rsidR="00A2434C">
        <w:t xml:space="preserve">, </w:t>
      </w:r>
      <w:r w:rsidRPr="006E78E0">
        <w:t>323-330.</w:t>
      </w:r>
    </w:p>
    <w:p w:rsidR="008D2AB8" w:rsidRPr="006E78E0" w:rsidRDefault="008D2AB8" w:rsidP="008D2AB8"/>
    <w:p w:rsidR="008D2AB8" w:rsidRPr="00063BB9" w:rsidRDefault="008D2AB8" w:rsidP="008D2AB8">
      <w:pPr>
        <w:rPr>
          <w:rFonts w:cs="Cambria"/>
          <w:color w:val="000000"/>
        </w:rPr>
      </w:pPr>
      <w:r w:rsidRPr="00063BB9">
        <w:rPr>
          <w:rFonts w:cs="Cambria"/>
          <w:color w:val="000000"/>
        </w:rPr>
        <w:t xml:space="preserve">Rice, C. (2009) Prevalence of </w:t>
      </w:r>
      <w:r w:rsidR="00A2434C">
        <w:rPr>
          <w:rFonts w:cs="Cambria"/>
          <w:color w:val="000000"/>
        </w:rPr>
        <w:t>a</w:t>
      </w:r>
      <w:r w:rsidR="00A2434C" w:rsidRPr="00063BB9">
        <w:rPr>
          <w:rFonts w:cs="Cambria"/>
          <w:color w:val="000000"/>
        </w:rPr>
        <w:t xml:space="preserve">utism </w:t>
      </w:r>
      <w:r w:rsidR="00A2434C">
        <w:rPr>
          <w:rFonts w:cs="Cambria"/>
          <w:color w:val="000000"/>
        </w:rPr>
        <w:t>s</w:t>
      </w:r>
      <w:r w:rsidR="00A2434C" w:rsidRPr="00063BB9">
        <w:rPr>
          <w:rFonts w:cs="Cambria"/>
          <w:color w:val="000000"/>
        </w:rPr>
        <w:t xml:space="preserve">pectrum </w:t>
      </w:r>
      <w:r w:rsidR="00A2434C">
        <w:rPr>
          <w:rFonts w:cs="Cambria"/>
          <w:color w:val="000000"/>
        </w:rPr>
        <w:t>d</w:t>
      </w:r>
      <w:r w:rsidR="00A2434C" w:rsidRPr="00063BB9">
        <w:rPr>
          <w:rFonts w:cs="Cambria"/>
          <w:color w:val="000000"/>
        </w:rPr>
        <w:t xml:space="preserve">isorders </w:t>
      </w:r>
      <w:r w:rsidRPr="00063BB9">
        <w:rPr>
          <w:rFonts w:cs="Cambria"/>
          <w:color w:val="000000"/>
        </w:rPr>
        <w:t xml:space="preserve">--- Autism and </w:t>
      </w:r>
      <w:r w:rsidR="00A2434C">
        <w:rPr>
          <w:rFonts w:cs="Cambria"/>
          <w:color w:val="000000"/>
        </w:rPr>
        <w:t>d</w:t>
      </w:r>
      <w:r w:rsidR="00A2434C" w:rsidRPr="00063BB9">
        <w:rPr>
          <w:rFonts w:cs="Cambria"/>
          <w:color w:val="000000"/>
        </w:rPr>
        <w:t xml:space="preserve">evelopmental </w:t>
      </w:r>
      <w:r w:rsidR="00A2434C">
        <w:rPr>
          <w:rFonts w:cs="Cambria"/>
          <w:color w:val="000000"/>
        </w:rPr>
        <w:t>d</w:t>
      </w:r>
      <w:r w:rsidR="00A2434C" w:rsidRPr="00063BB9">
        <w:rPr>
          <w:rFonts w:cs="Cambria"/>
          <w:color w:val="000000"/>
        </w:rPr>
        <w:t xml:space="preserve">isabilities </w:t>
      </w:r>
      <w:r w:rsidR="00A2434C">
        <w:rPr>
          <w:rFonts w:cs="Cambria"/>
          <w:color w:val="000000"/>
        </w:rPr>
        <w:t>m</w:t>
      </w:r>
      <w:r w:rsidR="00A2434C" w:rsidRPr="00063BB9">
        <w:rPr>
          <w:rFonts w:cs="Cambria"/>
          <w:color w:val="000000"/>
        </w:rPr>
        <w:t xml:space="preserve">onitoring </w:t>
      </w:r>
      <w:r w:rsidR="00A2434C">
        <w:rPr>
          <w:rFonts w:cs="Cambria"/>
          <w:color w:val="000000"/>
        </w:rPr>
        <w:t>n</w:t>
      </w:r>
      <w:r w:rsidR="00A2434C" w:rsidRPr="00063BB9">
        <w:rPr>
          <w:rFonts w:cs="Cambria"/>
          <w:color w:val="000000"/>
        </w:rPr>
        <w:t>etwork</w:t>
      </w:r>
      <w:r w:rsidRPr="00063BB9">
        <w:rPr>
          <w:rFonts w:cs="Cambria"/>
          <w:color w:val="000000"/>
        </w:rPr>
        <w:t>, United States</w:t>
      </w:r>
      <w:r>
        <w:rPr>
          <w:rFonts w:cs="Cambria"/>
          <w:color w:val="000000"/>
        </w:rPr>
        <w:t xml:space="preserve">. </w:t>
      </w:r>
      <w:r w:rsidRPr="00063BB9">
        <w:rPr>
          <w:i/>
        </w:rPr>
        <w:t>Morbidity and Mortality Weekly Report Surveillance Summaries</w:t>
      </w:r>
      <w:r w:rsidR="00A2434C">
        <w:rPr>
          <w:i/>
        </w:rPr>
        <w:t>,</w:t>
      </w:r>
      <w:r w:rsidR="00A2434C" w:rsidRPr="00063BB9">
        <w:rPr>
          <w:i/>
        </w:rPr>
        <w:t xml:space="preserve"> </w:t>
      </w:r>
      <w:r w:rsidRPr="00063BB9">
        <w:rPr>
          <w:i/>
        </w:rPr>
        <w:t>58</w:t>
      </w:r>
      <w:r w:rsidRPr="00063BB9">
        <w:t>(SS-10)</w:t>
      </w:r>
      <w:r w:rsidR="00A2434C">
        <w:t>,</w:t>
      </w:r>
      <w:r w:rsidRPr="00063BB9">
        <w:t xml:space="preserve"> 1-20. Retrieved from </w:t>
      </w:r>
      <w:hyperlink r:id="rId25" w:history="1">
        <w:r w:rsidRPr="00063BB9">
          <w:rPr>
            <w:rStyle w:val="Hyperlink"/>
            <w:rFonts w:cs="Cambria"/>
          </w:rPr>
          <w:t>http://www.cdc.gov/mmwr/preview/mmwrhtml/ss5810a1.htm</w:t>
        </w:r>
      </w:hyperlink>
    </w:p>
    <w:p w:rsidR="008D2AB8" w:rsidRPr="006E78E0" w:rsidRDefault="008D2AB8" w:rsidP="008D2AB8"/>
    <w:p w:rsidR="008D2AB8" w:rsidRPr="006E78E0" w:rsidRDefault="008D2AB8" w:rsidP="008D2AB8">
      <w:r w:rsidRPr="006E78E0">
        <w:t>Sheldrick, C., Merchant, S., &amp; Perrin, E</w:t>
      </w:r>
      <w:r w:rsidR="00A2434C">
        <w:t xml:space="preserve">. </w:t>
      </w:r>
      <w:r w:rsidRPr="006E78E0">
        <w:t>(</w:t>
      </w:r>
      <w:r w:rsidRPr="00F5063E">
        <w:t>2011)</w:t>
      </w:r>
      <w:r w:rsidR="00A2434C">
        <w:t xml:space="preserve">. </w:t>
      </w:r>
      <w:r w:rsidRPr="00375639">
        <w:t xml:space="preserve">Identification of </w:t>
      </w:r>
      <w:r w:rsidR="00A2434C">
        <w:t>d</w:t>
      </w:r>
      <w:r w:rsidR="00A2434C" w:rsidRPr="00375639">
        <w:t>evelopmental</w:t>
      </w:r>
      <w:r w:rsidRPr="00375639">
        <w:t>-</w:t>
      </w:r>
      <w:r w:rsidR="00A2434C">
        <w:t>b</w:t>
      </w:r>
      <w:r w:rsidR="00A2434C" w:rsidRPr="00375639">
        <w:t xml:space="preserve">ehavioral </w:t>
      </w:r>
      <w:r w:rsidR="00A2434C">
        <w:t>p</w:t>
      </w:r>
      <w:r w:rsidR="00A2434C" w:rsidRPr="00375639">
        <w:t xml:space="preserve">roblems </w:t>
      </w:r>
      <w:r w:rsidRPr="00375639">
        <w:t xml:space="preserve">in </w:t>
      </w:r>
      <w:r w:rsidR="00A2434C">
        <w:t>p</w:t>
      </w:r>
      <w:r w:rsidR="00A2434C" w:rsidRPr="00375639">
        <w:t xml:space="preserve">rimary </w:t>
      </w:r>
      <w:r w:rsidR="00A2434C">
        <w:t>c</w:t>
      </w:r>
      <w:r w:rsidR="00A2434C" w:rsidRPr="00375639">
        <w:t>ar</w:t>
      </w:r>
      <w:r w:rsidR="00A2434C" w:rsidRPr="006E78E0">
        <w:t>e</w:t>
      </w:r>
      <w:r w:rsidRPr="006E78E0">
        <w:t xml:space="preserve">: A </w:t>
      </w:r>
      <w:r w:rsidR="00A2434C">
        <w:t>s</w:t>
      </w:r>
      <w:r w:rsidR="00A2434C" w:rsidRPr="006E78E0">
        <w:t xml:space="preserve">ystematic </w:t>
      </w:r>
      <w:r w:rsidR="00A2434C">
        <w:t>r</w:t>
      </w:r>
      <w:r w:rsidR="00A2434C" w:rsidRPr="006E78E0">
        <w:t>eview</w:t>
      </w:r>
      <w:r w:rsidRPr="006E78E0">
        <w:t xml:space="preserve">.  </w:t>
      </w:r>
      <w:proofErr w:type="gramStart"/>
      <w:r w:rsidRPr="00A2434C">
        <w:rPr>
          <w:i/>
        </w:rPr>
        <w:t>Pediatrics</w:t>
      </w:r>
      <w:r w:rsidR="00A2434C">
        <w:rPr>
          <w:rStyle w:val="apple-converted-space"/>
          <w:rFonts w:cs="Lucida Sans Unicode"/>
          <w:color w:val="333300"/>
        </w:rPr>
        <w:t>,</w:t>
      </w:r>
      <w:r w:rsidR="00B028CD" w:rsidRPr="006A1A60">
        <w:rPr>
          <w:rStyle w:val="apple-converted-space"/>
          <w:rFonts w:cs="Lucida Sans Unicode"/>
          <w:i/>
          <w:color w:val="333300"/>
        </w:rPr>
        <w:t xml:space="preserve"> </w:t>
      </w:r>
      <w:r w:rsidRPr="006A1A60">
        <w:rPr>
          <w:rStyle w:val="slug-vol"/>
          <w:rFonts w:cs="Lucida Sans Unicode"/>
          <w:i/>
          <w:color w:val="333300"/>
          <w:bdr w:val="none" w:sz="0" w:space="0" w:color="auto" w:frame="1"/>
        </w:rPr>
        <w:t>128</w:t>
      </w:r>
      <w:r w:rsidRPr="006E78E0">
        <w:rPr>
          <w:rStyle w:val="slug-issue"/>
          <w:rFonts w:cs="Lucida Sans Unicode"/>
          <w:color w:val="333300"/>
          <w:bdr w:val="none" w:sz="0" w:space="0" w:color="auto" w:frame="1"/>
        </w:rPr>
        <w:t>(2)</w:t>
      </w:r>
      <w:r w:rsidR="00A2434C">
        <w:rPr>
          <w:rStyle w:val="slug-issue"/>
          <w:rFonts w:cs="Lucida Sans Unicode"/>
          <w:color w:val="333300"/>
          <w:bdr w:val="none" w:sz="0" w:space="0" w:color="auto" w:frame="1"/>
        </w:rPr>
        <w:t>,</w:t>
      </w:r>
      <w:r w:rsidRPr="006E78E0">
        <w:rPr>
          <w:rStyle w:val="apple-converted-space"/>
          <w:rFonts w:cs="Lucida Sans Unicode"/>
          <w:color w:val="333300"/>
          <w:bdr w:val="none" w:sz="0" w:space="0" w:color="auto" w:frame="1"/>
        </w:rPr>
        <w:t> </w:t>
      </w:r>
      <w:r w:rsidRPr="006E78E0">
        <w:rPr>
          <w:rStyle w:val="slug-pages"/>
          <w:rFonts w:cs="Lucida Sans Unicode"/>
          <w:color w:val="333300"/>
          <w:bdr w:val="none" w:sz="0" w:space="0" w:color="auto" w:frame="1"/>
        </w:rPr>
        <w:t>356 -363.</w:t>
      </w:r>
      <w:proofErr w:type="gramEnd"/>
    </w:p>
    <w:p w:rsidR="008D2AB8" w:rsidRPr="006E78E0" w:rsidRDefault="008D2AB8" w:rsidP="008D2AB8"/>
    <w:p w:rsidR="008D2AB8" w:rsidRDefault="008D2AB8" w:rsidP="008D2AB8">
      <w:pPr>
        <w:rPr>
          <w:rFonts w:cs="Arial"/>
          <w:bCs/>
          <w:color w:val="333300"/>
        </w:rPr>
      </w:pPr>
      <w:r w:rsidRPr="00702DCE">
        <w:t>Sugai, G</w:t>
      </w:r>
      <w:r>
        <w:t xml:space="preserve">., Horner, R., Dunlap, G., Hieneman, </w:t>
      </w:r>
      <w:r w:rsidR="004C0222">
        <w:t>M</w:t>
      </w:r>
      <w:r>
        <w:t>., Lewis, T., Nelson, C., Scott, T., Liaupsin, C., Salir, W., Turnbull, A., Wickham, D., Wilcox,</w:t>
      </w:r>
      <w:r w:rsidR="002318A0">
        <w:t xml:space="preserve"> </w:t>
      </w:r>
      <w:r>
        <w:t>.</w:t>
      </w:r>
      <w:proofErr w:type="gramStart"/>
      <w:r>
        <w:t>B.,</w:t>
      </w:r>
      <w:proofErr w:type="gramEnd"/>
      <w:r>
        <w:t xml:space="preserve"> &amp; Ruef, M.</w:t>
      </w:r>
      <w:r w:rsidRPr="00702DCE">
        <w:t xml:space="preserve"> (20</w:t>
      </w:r>
      <w:r>
        <w:t>0</w:t>
      </w:r>
      <w:r w:rsidRPr="00702DCE">
        <w:t xml:space="preserve">0). </w:t>
      </w:r>
      <w:proofErr w:type="gramStart"/>
      <w:r w:rsidRPr="00702DCE">
        <w:lastRenderedPageBreak/>
        <w:t xml:space="preserve">Applying </w:t>
      </w:r>
      <w:r w:rsidR="00A2434C">
        <w:t>p</w:t>
      </w:r>
      <w:r w:rsidR="00A2434C" w:rsidRPr="00702DCE">
        <w:t xml:space="preserve">ositive </w:t>
      </w:r>
      <w:r w:rsidR="00A2434C">
        <w:t>b</w:t>
      </w:r>
      <w:r w:rsidR="00A2434C" w:rsidRPr="00702DCE">
        <w:t xml:space="preserve">ehavior </w:t>
      </w:r>
      <w:r w:rsidR="00A2434C">
        <w:t>s</w:t>
      </w:r>
      <w:r w:rsidR="00A2434C" w:rsidRPr="00702DCE">
        <w:t xml:space="preserve">upport </w:t>
      </w:r>
      <w:r w:rsidRPr="00702DCE">
        <w:t xml:space="preserve">and </w:t>
      </w:r>
      <w:r w:rsidR="00A2434C">
        <w:t>f</w:t>
      </w:r>
      <w:r w:rsidR="00A2434C" w:rsidRPr="00702DCE">
        <w:t xml:space="preserve">unctional </w:t>
      </w:r>
      <w:r w:rsidR="00A2434C">
        <w:t>b</w:t>
      </w:r>
      <w:r w:rsidR="00A2434C" w:rsidRPr="00702DCE">
        <w:t xml:space="preserve">ehavioral </w:t>
      </w:r>
      <w:r w:rsidR="00A2434C">
        <w:t>a</w:t>
      </w:r>
      <w:r w:rsidR="00A2434C" w:rsidRPr="00702DCE">
        <w:t xml:space="preserve">ssessment </w:t>
      </w:r>
      <w:r w:rsidRPr="00702DCE">
        <w:t xml:space="preserve">in </w:t>
      </w:r>
      <w:r w:rsidR="00A2434C">
        <w:t>s</w:t>
      </w:r>
      <w:r w:rsidR="00A2434C" w:rsidRPr="00702DCE">
        <w:t>chools</w:t>
      </w:r>
      <w:r w:rsidRPr="00702DCE">
        <w:t>.</w:t>
      </w:r>
      <w:proofErr w:type="gramEnd"/>
      <w:r w:rsidRPr="00702DCE">
        <w:t xml:space="preserve"> </w:t>
      </w:r>
      <w:r w:rsidRPr="00702DCE">
        <w:rPr>
          <w:i/>
        </w:rPr>
        <w:t>Journal of Positive Behavior Interventions</w:t>
      </w:r>
      <w:r w:rsidR="00A2434C">
        <w:rPr>
          <w:i/>
        </w:rPr>
        <w:t>,</w:t>
      </w:r>
      <w:r w:rsidRPr="00702DCE">
        <w:rPr>
          <w:rFonts w:cs="Arial"/>
          <w:b/>
          <w:bCs/>
          <w:i/>
          <w:color w:val="333300"/>
        </w:rPr>
        <w:t xml:space="preserve"> </w:t>
      </w:r>
      <w:r w:rsidRPr="00B028CD">
        <w:rPr>
          <w:rFonts w:cs="Arial"/>
          <w:bCs/>
          <w:i/>
          <w:color w:val="333300"/>
        </w:rPr>
        <w:t>2</w:t>
      </w:r>
      <w:r w:rsidRPr="00702DCE">
        <w:rPr>
          <w:rFonts w:cs="Arial"/>
          <w:i/>
          <w:color w:val="333300"/>
        </w:rPr>
        <w:t>(</w:t>
      </w:r>
      <w:r w:rsidRPr="00702DCE">
        <w:rPr>
          <w:rFonts w:cs="Arial"/>
          <w:color w:val="333300"/>
        </w:rPr>
        <w:t>3)</w:t>
      </w:r>
      <w:r w:rsidR="00A2434C">
        <w:rPr>
          <w:rFonts w:cs="Arial"/>
          <w:color w:val="333300"/>
        </w:rPr>
        <w:t>,</w:t>
      </w:r>
      <w:r w:rsidRPr="00702DCE">
        <w:rPr>
          <w:rFonts w:cs="Arial"/>
          <w:color w:val="333300"/>
        </w:rPr>
        <w:t xml:space="preserve"> </w:t>
      </w:r>
      <w:r w:rsidRPr="00702DCE">
        <w:rPr>
          <w:rFonts w:cs="Arial"/>
          <w:bCs/>
          <w:color w:val="333300"/>
        </w:rPr>
        <w:t>131-143</w:t>
      </w:r>
      <w:r w:rsidR="00A2434C">
        <w:rPr>
          <w:rFonts w:cs="Arial"/>
          <w:bCs/>
          <w:color w:val="333300"/>
        </w:rPr>
        <w:t>.</w:t>
      </w:r>
    </w:p>
    <w:p w:rsidR="008D2AB8" w:rsidRPr="00702DCE" w:rsidRDefault="008D2AB8" w:rsidP="008D2AB8"/>
    <w:p w:rsidR="008D2AB8" w:rsidRPr="006E78E0" w:rsidRDefault="008D2AB8" w:rsidP="008D2AB8">
      <w:proofErr w:type="gramStart"/>
      <w:r w:rsidRPr="006E78E0">
        <w:t>Wagner</w:t>
      </w:r>
      <w:r w:rsidR="004C0222">
        <w:t xml:space="preserve"> </w:t>
      </w:r>
      <w:r w:rsidRPr="006E78E0">
        <w:t>,</w:t>
      </w:r>
      <w:proofErr w:type="gramEnd"/>
      <w:r w:rsidR="002318A0">
        <w:t xml:space="preserve"> </w:t>
      </w:r>
      <w:r w:rsidR="004C0222">
        <w:t>M., Newman, L., Cameto, R., Levine, P., &amp; Marder, C.</w:t>
      </w:r>
      <w:r w:rsidRPr="006E78E0">
        <w:t xml:space="preserve"> (2003).</w:t>
      </w:r>
      <w:r w:rsidR="00A2434C">
        <w:t xml:space="preserve"> </w:t>
      </w:r>
      <w:proofErr w:type="gramStart"/>
      <w:r w:rsidR="009A4D5A" w:rsidRPr="006E78E0">
        <w:t>Going</w:t>
      </w:r>
      <w:r w:rsidRPr="006E78E0">
        <w:t xml:space="preserve"> to school: Instruction contexts, programs and participation of secondary school </w:t>
      </w:r>
      <w:r w:rsidR="009A4D5A" w:rsidRPr="006E78E0">
        <w:t>students</w:t>
      </w:r>
      <w:r w:rsidRPr="006E78E0">
        <w:t xml:space="preserve"> with disabilities.</w:t>
      </w:r>
      <w:proofErr w:type="gramEnd"/>
      <w:r w:rsidRPr="006E78E0">
        <w:t xml:space="preserve"> Retrieved from </w:t>
      </w:r>
      <w:hyperlink r:id="rId26" w:history="1">
        <w:r w:rsidRPr="006E78E0">
          <w:rPr>
            <w:rStyle w:val="Hyperlink"/>
          </w:rPr>
          <w:t>www.sri.com/nlts2/</w:t>
        </w:r>
      </w:hyperlink>
    </w:p>
    <w:p w:rsidR="008D2AB8" w:rsidRPr="000162E8" w:rsidRDefault="008D2AB8" w:rsidP="008D2AB8">
      <w:pPr>
        <w:jc w:val="center"/>
        <w:rPr>
          <w:rFonts w:cs="Cambria"/>
          <w:b/>
          <w:color w:val="000000"/>
          <w:sz w:val="32"/>
          <w:szCs w:val="32"/>
        </w:rPr>
      </w:pPr>
      <w:r>
        <w:rPr>
          <w:rFonts w:cs="Cambria"/>
          <w:b/>
          <w:color w:val="000000"/>
        </w:rPr>
        <w:br w:type="page"/>
      </w:r>
      <w:r w:rsidRPr="000162E8">
        <w:rPr>
          <w:rFonts w:cs="Cambria"/>
          <w:b/>
          <w:color w:val="000000"/>
          <w:sz w:val="32"/>
          <w:szCs w:val="32"/>
        </w:rPr>
        <w:lastRenderedPageBreak/>
        <w:t xml:space="preserve">Appendix A:  </w:t>
      </w:r>
    </w:p>
    <w:p w:rsidR="008D2AB8" w:rsidRPr="00483553" w:rsidRDefault="008D2AB8" w:rsidP="008D2AB8">
      <w:pPr>
        <w:jc w:val="center"/>
        <w:rPr>
          <w:rFonts w:cs="Cambria"/>
          <w:b/>
          <w:color w:val="000000"/>
          <w:sz w:val="28"/>
          <w:szCs w:val="28"/>
        </w:rPr>
      </w:pPr>
      <w:r w:rsidRPr="00483553">
        <w:rPr>
          <w:rFonts w:cs="Cambria"/>
          <w:b/>
          <w:color w:val="000000"/>
          <w:sz w:val="28"/>
          <w:szCs w:val="28"/>
        </w:rPr>
        <w:t>Additional Methodological Information</w:t>
      </w:r>
    </w:p>
    <w:p w:rsidR="008D2AB8" w:rsidRPr="006E78E0" w:rsidRDefault="008D2AB8" w:rsidP="008D2AB8">
      <w:pPr>
        <w:rPr>
          <w:rFonts w:cs="Cambria"/>
          <w:b/>
          <w:color w:val="000000"/>
        </w:rPr>
      </w:pPr>
    </w:p>
    <w:p w:rsidR="008D2AB8" w:rsidRPr="006E78E0" w:rsidRDefault="008D2AB8" w:rsidP="008D2AB8">
      <w:pPr>
        <w:rPr>
          <w:rFonts w:cs="Cambria"/>
          <w:color w:val="000000"/>
        </w:rPr>
      </w:pPr>
      <w:r w:rsidRPr="006E78E0">
        <w:rPr>
          <w:rFonts w:cs="Cambria"/>
          <w:color w:val="000000"/>
        </w:rPr>
        <w:t xml:space="preserve">Throughout this report we refer to findings from a variety of statistical techniques. In this appendix, we first </w:t>
      </w:r>
      <w:r w:rsidR="006240D9">
        <w:rPr>
          <w:rFonts w:cs="Cambria"/>
          <w:color w:val="000000"/>
        </w:rPr>
        <w:t>detail</w:t>
      </w:r>
      <w:r w:rsidRPr="006E78E0">
        <w:rPr>
          <w:rFonts w:cs="Cambria"/>
          <w:color w:val="000000"/>
        </w:rPr>
        <w:t xml:space="preserve"> the types of analysis we used to answer each research question</w:t>
      </w:r>
      <w:r w:rsidR="000879AE">
        <w:rPr>
          <w:rFonts w:cs="Cambria"/>
          <w:color w:val="000000"/>
        </w:rPr>
        <w:t xml:space="preserve"> and</w:t>
      </w:r>
      <w:r w:rsidRPr="006E78E0">
        <w:rPr>
          <w:rFonts w:cs="Cambria"/>
          <w:color w:val="000000"/>
        </w:rPr>
        <w:t xml:space="preserve"> then provide examples of the actual models we fitted that were used to form the findings reported in the body of this report.</w:t>
      </w:r>
    </w:p>
    <w:p w:rsidR="008D2AB8" w:rsidRPr="006E78E0" w:rsidRDefault="008D2AB8" w:rsidP="008D2AB8">
      <w:pPr>
        <w:rPr>
          <w:rFonts w:cs="Cambria"/>
          <w:color w:val="000000"/>
        </w:rPr>
      </w:pPr>
    </w:p>
    <w:p w:rsidR="008D2AB8" w:rsidRPr="00F5063E" w:rsidRDefault="008D2AB8" w:rsidP="008D2AB8">
      <w:pPr>
        <w:rPr>
          <w:rFonts w:cs="Cambria"/>
          <w:color w:val="000000"/>
        </w:rPr>
      </w:pPr>
      <w:r w:rsidRPr="006E78E0">
        <w:rPr>
          <w:rFonts w:cs="Cambria"/>
          <w:color w:val="000000"/>
        </w:rPr>
        <w:t>Further inquiries about the methods and models can be directed to Todd Grindal</w:t>
      </w:r>
      <w:r w:rsidR="00A2434C">
        <w:rPr>
          <w:rFonts w:cs="Cambria"/>
          <w:color w:val="000000"/>
        </w:rPr>
        <w:t xml:space="preserve"> </w:t>
      </w:r>
      <w:hyperlink r:id="rId27" w:history="1">
        <w:r w:rsidRPr="00F5063E">
          <w:rPr>
            <w:rStyle w:val="Hyperlink"/>
            <w:rFonts w:cs="Cambria"/>
          </w:rPr>
          <w:t>TAG844@mail.harvard.edu</w:t>
        </w:r>
      </w:hyperlink>
    </w:p>
    <w:p w:rsidR="008D2AB8" w:rsidRPr="00375639" w:rsidRDefault="008D2AB8" w:rsidP="008D2AB8">
      <w:pPr>
        <w:rPr>
          <w:rFonts w:cs="Cambria"/>
          <w:color w:val="000000"/>
        </w:rPr>
      </w:pPr>
    </w:p>
    <w:p w:rsidR="008D2AB8" w:rsidRPr="006E78E0" w:rsidRDefault="008D2AB8" w:rsidP="008D2AB8">
      <w:pPr>
        <w:rPr>
          <w:rFonts w:cs="Cambria"/>
          <w:b/>
          <w:color w:val="000000"/>
        </w:rPr>
      </w:pPr>
      <w:r w:rsidRPr="006E78E0">
        <w:rPr>
          <w:rFonts w:cs="Cambria"/>
          <w:b/>
          <w:color w:val="000000"/>
        </w:rPr>
        <w:t xml:space="preserve">Question 1 </w:t>
      </w:r>
    </w:p>
    <w:p w:rsidR="008D2AB8" w:rsidRPr="00F5063E" w:rsidRDefault="008D2AB8" w:rsidP="008D2AB8">
      <w:pPr>
        <w:rPr>
          <w:rFonts w:cs="Cambria"/>
          <w:color w:val="000000"/>
        </w:rPr>
      </w:pPr>
      <w:r w:rsidRPr="006E78E0">
        <w:rPr>
          <w:rFonts w:cs="Cambria"/>
          <w:color w:val="000000"/>
        </w:rPr>
        <w:t>To compare rates of</w:t>
      </w:r>
      <w:r>
        <w:rPr>
          <w:rFonts w:cs="Cambria"/>
          <w:color w:val="000000"/>
        </w:rPr>
        <w:t xml:space="preserve"> </w:t>
      </w:r>
      <w:r w:rsidRPr="00F5063E">
        <w:rPr>
          <w:rFonts w:cs="Cambria"/>
          <w:color w:val="000000"/>
        </w:rPr>
        <w:t>identification, placement and performance of students with disabilities in Massachusetts to those of students across the country, we reported simple descriptive statistics from a variety of data sources.  We examined the distributio</w:t>
      </w:r>
      <w:r w:rsidRPr="00375639">
        <w:rPr>
          <w:rFonts w:cs="Cambria"/>
          <w:color w:val="000000"/>
        </w:rPr>
        <w:t>ns of variables of interest, paying attention to measures of central tendency and variability (</w:t>
      </w:r>
      <w:r w:rsidRPr="006E78E0">
        <w:rPr>
          <w:rFonts w:cs="Arial"/>
          <w:color w:val="222222"/>
        </w:rPr>
        <w:t>mean, median, mode, standard deviation, etc.).</w:t>
      </w:r>
      <w:r w:rsidR="00A2434C">
        <w:rPr>
          <w:rFonts w:cs="Arial"/>
          <w:color w:val="222222"/>
        </w:rPr>
        <w:t xml:space="preserve"> </w:t>
      </w:r>
      <w:r w:rsidRPr="006E78E0">
        <w:rPr>
          <w:rFonts w:cs="Arial"/>
          <w:color w:val="222222"/>
        </w:rPr>
        <w:t>We used the 2010 Massachusetts SIMS and MCAS data files and compared rates to those from publicly available information from the National Center for Education Statistics (</w:t>
      </w:r>
      <w:hyperlink r:id="rId28" w:history="1">
        <w:r w:rsidRPr="00F5063E">
          <w:rPr>
            <w:rStyle w:val="Hyperlink"/>
            <w:rFonts w:cs="Arial"/>
          </w:rPr>
          <w:t>http://nces.ed.gov/</w:t>
        </w:r>
      </w:hyperlink>
      <w:r w:rsidRPr="00F5063E">
        <w:rPr>
          <w:rFonts w:cs="Arial"/>
          <w:color w:val="222222"/>
        </w:rPr>
        <w:t>), the Data Accountability Center (</w:t>
      </w:r>
      <w:hyperlink r:id="rId29" w:history="1">
        <w:r w:rsidRPr="00F5063E">
          <w:rPr>
            <w:rStyle w:val="Hyperlink"/>
          </w:rPr>
          <w:t>https://www.ideadata.org/IDEAData.asp</w:t>
        </w:r>
      </w:hyperlink>
      <w:r w:rsidRPr="00F5063E">
        <w:rPr>
          <w:color w:val="000000"/>
        </w:rPr>
        <w:t>)</w:t>
      </w:r>
      <w:r w:rsidR="000879AE">
        <w:rPr>
          <w:color w:val="000000"/>
        </w:rPr>
        <w:t xml:space="preserve"> and</w:t>
      </w:r>
      <w:r w:rsidRPr="00F5063E">
        <w:rPr>
          <w:color w:val="000000"/>
        </w:rPr>
        <w:t xml:space="preserve"> Centers for Disease Control and prevention (</w:t>
      </w:r>
      <w:hyperlink r:id="rId30" w:history="1">
        <w:r w:rsidRPr="00F5063E">
          <w:rPr>
            <w:rStyle w:val="Hyperlink"/>
          </w:rPr>
          <w:t>http://www.cdc.gov/</w:t>
        </w:r>
      </w:hyperlink>
      <w:r w:rsidRPr="00F5063E">
        <w:rPr>
          <w:color w:val="000000"/>
        </w:rPr>
        <w:t xml:space="preserve">).  </w:t>
      </w:r>
    </w:p>
    <w:p w:rsidR="008D2AB8" w:rsidRPr="00375639" w:rsidRDefault="008D2AB8" w:rsidP="008D2AB8">
      <w:pPr>
        <w:rPr>
          <w:rFonts w:cs="Cambria"/>
          <w:color w:val="000000"/>
        </w:rPr>
      </w:pPr>
    </w:p>
    <w:p w:rsidR="008D2AB8" w:rsidRPr="006E78E0" w:rsidRDefault="008D2AB8" w:rsidP="008D2AB8">
      <w:pPr>
        <w:rPr>
          <w:sz w:val="20"/>
          <w:szCs w:val="20"/>
        </w:rPr>
      </w:pPr>
    </w:p>
    <w:p w:rsidR="008D2AB8" w:rsidRPr="006E78E0" w:rsidRDefault="008D2AB8" w:rsidP="008D2AB8">
      <w:pPr>
        <w:rPr>
          <w:rFonts w:cs="Cambria"/>
          <w:b/>
          <w:color w:val="000000"/>
        </w:rPr>
      </w:pPr>
      <w:r w:rsidRPr="006E78E0">
        <w:rPr>
          <w:rFonts w:cs="Cambria"/>
          <w:b/>
          <w:color w:val="000000"/>
        </w:rPr>
        <w:t>Questions 2</w:t>
      </w:r>
      <w:r w:rsidR="009C129C">
        <w:rPr>
          <w:rFonts w:cs="Cambria"/>
          <w:b/>
          <w:color w:val="000000"/>
        </w:rPr>
        <w:t xml:space="preserve"> </w:t>
      </w:r>
      <w:r w:rsidRPr="006E78E0">
        <w:rPr>
          <w:rFonts w:cs="Cambria"/>
          <w:b/>
          <w:color w:val="000000"/>
        </w:rPr>
        <w:t xml:space="preserve">&amp; 3 </w:t>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We used Ordinary Least Squares (OLS)</w:t>
      </w:r>
      <w:r w:rsidR="001F5A2B">
        <w:rPr>
          <w:color w:val="000000"/>
        </w:rPr>
        <w:t xml:space="preserve"> </w:t>
      </w:r>
      <w:r w:rsidRPr="006E78E0">
        <w:rPr>
          <w:color w:val="000000"/>
        </w:rPr>
        <w:t xml:space="preserve">regression models to address our questions about how district characteristics are associated with district rates of special education identification and MCAS pass rates.  </w:t>
      </w:r>
      <w:r>
        <w:rPr>
          <w:color w:val="000000"/>
        </w:rPr>
        <w:t>OLS regression methods permit us to estimate the relationship between variable</w:t>
      </w:r>
      <w:r w:rsidR="001F5A2B">
        <w:rPr>
          <w:color w:val="000000"/>
        </w:rPr>
        <w:t>s</w:t>
      </w:r>
      <w:r>
        <w:rPr>
          <w:color w:val="000000"/>
        </w:rPr>
        <w:t xml:space="preserve"> </w:t>
      </w:r>
      <w:r w:rsidR="001F5A2B">
        <w:rPr>
          <w:color w:val="000000"/>
        </w:rPr>
        <w:t xml:space="preserve">of interest </w:t>
      </w:r>
      <w:r>
        <w:rPr>
          <w:color w:val="000000"/>
        </w:rPr>
        <w:t>(</w:t>
      </w:r>
      <w:r w:rsidR="00647D7E">
        <w:rPr>
          <w:color w:val="000000"/>
        </w:rPr>
        <w:t>e.g.,</w:t>
      </w:r>
      <w:r>
        <w:rPr>
          <w:color w:val="000000"/>
        </w:rPr>
        <w:t xml:space="preserve"> </w:t>
      </w:r>
      <w:r w:rsidR="001F5A2B">
        <w:rPr>
          <w:color w:val="000000"/>
        </w:rPr>
        <w:t xml:space="preserve">predicting the performance of a district’s </w:t>
      </w:r>
      <w:r w:rsidR="000879AE">
        <w:t>students with disabilities</w:t>
      </w:r>
      <w:r w:rsidR="000879AE" w:rsidDel="000879AE">
        <w:rPr>
          <w:color w:val="000000"/>
        </w:rPr>
        <w:t xml:space="preserve"> </w:t>
      </w:r>
      <w:r w:rsidR="001F5A2B">
        <w:rPr>
          <w:color w:val="000000"/>
        </w:rPr>
        <w:t xml:space="preserve">on the MCAS as a function of </w:t>
      </w:r>
      <w:r>
        <w:rPr>
          <w:color w:val="000000"/>
        </w:rPr>
        <w:t xml:space="preserve">the performance of a district’s general education students </w:t>
      </w:r>
      <w:r w:rsidR="001F5A2B">
        <w:rPr>
          <w:color w:val="000000"/>
        </w:rPr>
        <w:t xml:space="preserve">on the </w:t>
      </w:r>
      <w:r>
        <w:rPr>
          <w:color w:val="000000"/>
        </w:rPr>
        <w:t xml:space="preserve">MCAS) while </w:t>
      </w:r>
      <w:r w:rsidR="001F5A2B">
        <w:rPr>
          <w:color w:val="000000"/>
        </w:rPr>
        <w:t>taking into account the role of</w:t>
      </w:r>
      <w:r>
        <w:rPr>
          <w:color w:val="000000"/>
        </w:rPr>
        <w:t xml:space="preserve"> other variables (</w:t>
      </w:r>
      <w:r w:rsidR="00647D7E">
        <w:rPr>
          <w:color w:val="000000"/>
        </w:rPr>
        <w:t>e.g.,</w:t>
      </w:r>
      <w:r>
        <w:rPr>
          <w:color w:val="000000"/>
        </w:rPr>
        <w:t xml:space="preserve"> district wealth, urbanicity</w:t>
      </w:r>
      <w:r w:rsidR="001F5A2B">
        <w:rPr>
          <w:color w:val="000000"/>
        </w:rPr>
        <w:t>,</w:t>
      </w:r>
      <w:r>
        <w:rPr>
          <w:color w:val="000000"/>
        </w:rPr>
        <w:t xml:space="preserve"> or percentage of students w</w:t>
      </w:r>
      <w:r w:rsidR="001F5A2B">
        <w:rPr>
          <w:color w:val="000000"/>
        </w:rPr>
        <w:t>ith</w:t>
      </w:r>
      <w:r>
        <w:rPr>
          <w:color w:val="000000"/>
        </w:rPr>
        <w:t xml:space="preserve"> limited English </w:t>
      </w:r>
      <w:r w:rsidR="001F5A2B">
        <w:rPr>
          <w:color w:val="000000"/>
        </w:rPr>
        <w:t>proficiency</w:t>
      </w:r>
      <w:r>
        <w:rPr>
          <w:color w:val="000000"/>
        </w:rPr>
        <w:t>)</w:t>
      </w:r>
      <w:r w:rsidR="001F5A2B">
        <w:rPr>
          <w:color w:val="000000"/>
        </w:rPr>
        <w:t xml:space="preserve"> in explaining the variability that we observe in our outcome (</w:t>
      </w:r>
      <w:r w:rsidR="00647D7E">
        <w:rPr>
          <w:color w:val="000000"/>
        </w:rPr>
        <w:t>e.g.,</w:t>
      </w:r>
      <w:r w:rsidR="001F5A2B">
        <w:rPr>
          <w:color w:val="000000"/>
        </w:rPr>
        <w:t xml:space="preserve"> special education students’ MCAS scores). </w:t>
      </w:r>
      <w:r w:rsidRPr="006E78E0">
        <w:rPr>
          <w:color w:val="000000"/>
        </w:rPr>
        <w:t xml:space="preserve">In Appendix </w:t>
      </w:r>
      <w:r>
        <w:rPr>
          <w:color w:val="000000"/>
        </w:rPr>
        <w:t>B</w:t>
      </w:r>
      <w:r w:rsidRPr="006E78E0">
        <w:rPr>
          <w:color w:val="000000"/>
        </w:rPr>
        <w:t xml:space="preserve">, </w:t>
      </w:r>
      <w:r w:rsidR="00A2434C">
        <w:rPr>
          <w:color w:val="000000"/>
        </w:rPr>
        <w:t>T</w:t>
      </w:r>
      <w:r w:rsidR="00A2434C" w:rsidRPr="006E78E0">
        <w:rPr>
          <w:color w:val="000000"/>
        </w:rPr>
        <w:t xml:space="preserve">ables </w:t>
      </w:r>
      <w:r w:rsidRPr="006E78E0">
        <w:rPr>
          <w:color w:val="000000"/>
        </w:rPr>
        <w:t xml:space="preserve">1 and 2, we provide examples of </w:t>
      </w:r>
      <w:r w:rsidR="001F5A2B">
        <w:rPr>
          <w:color w:val="000000"/>
        </w:rPr>
        <w:t xml:space="preserve">selected </w:t>
      </w:r>
      <w:r w:rsidRPr="006E78E0">
        <w:rPr>
          <w:color w:val="000000"/>
        </w:rPr>
        <w:t xml:space="preserve">Ordinary Least Squares regression models </w:t>
      </w:r>
      <w:r w:rsidR="001F5A2B">
        <w:rPr>
          <w:color w:val="000000"/>
        </w:rPr>
        <w:t xml:space="preserve">that </w:t>
      </w:r>
      <w:r w:rsidRPr="006E78E0">
        <w:rPr>
          <w:color w:val="000000"/>
        </w:rPr>
        <w:t xml:space="preserve">we fit as part of this analysis.  </w:t>
      </w:r>
    </w:p>
    <w:p w:rsidR="008D2AB8" w:rsidRPr="006E78E0" w:rsidRDefault="008D2AB8" w:rsidP="008D2AB8">
      <w:pPr>
        <w:rPr>
          <w:rFonts w:cs="Cambria"/>
          <w:b/>
          <w:color w:val="000000"/>
        </w:rPr>
      </w:pPr>
    </w:p>
    <w:p w:rsidR="008D2AB8" w:rsidRPr="006E78E0" w:rsidRDefault="008D2AB8" w:rsidP="008D2AB8">
      <w:pPr>
        <w:rPr>
          <w:rFonts w:cs="Cambria"/>
          <w:b/>
          <w:color w:val="000000"/>
        </w:rPr>
      </w:pP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6E78E0">
        <w:rPr>
          <w:b/>
          <w:bCs/>
          <w:color w:val="000000"/>
        </w:rPr>
        <w:t xml:space="preserve">Questions 4 &amp; 5 </w:t>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6E78E0">
        <w:rPr>
          <w:iCs/>
          <w:color w:val="000000"/>
        </w:rPr>
        <w:t>W</w:t>
      </w:r>
      <w:r w:rsidRPr="006E78E0">
        <w:rPr>
          <w:color w:val="000000"/>
        </w:rPr>
        <w:t>e used multi-level logistic regression models to estimate the probabilities that different students in Massachusetts would be (a) identified into Special Education categories or</w:t>
      </w:r>
      <w:r w:rsidR="002E334F">
        <w:rPr>
          <w:color w:val="000000"/>
        </w:rPr>
        <w:t xml:space="preserve"> </w:t>
      </w:r>
      <w:r w:rsidRPr="006E78E0">
        <w:rPr>
          <w:color w:val="000000"/>
        </w:rPr>
        <w:t xml:space="preserve">(b) placed in inclusive or substantially separate settings. </w:t>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6E78E0">
        <w:rPr>
          <w:color w:val="000000"/>
        </w:rPr>
        <w:t>Logistic regressions estimate</w:t>
      </w:r>
      <w:r>
        <w:rPr>
          <w:color w:val="000000"/>
        </w:rPr>
        <w:t xml:space="preserve"> </w:t>
      </w:r>
      <w:r w:rsidRPr="006E78E0">
        <w:rPr>
          <w:color w:val="000000"/>
        </w:rPr>
        <w:t>the probability that an event will occur (for example, a Latino student is identified as eligible for</w:t>
      </w:r>
      <w:r>
        <w:rPr>
          <w:color w:val="000000"/>
        </w:rPr>
        <w:t xml:space="preserve"> </w:t>
      </w:r>
      <w:r w:rsidRPr="006E78E0">
        <w:rPr>
          <w:color w:val="000000"/>
        </w:rPr>
        <w:t xml:space="preserve">special education services), while taking </w:t>
      </w:r>
      <w:r w:rsidRPr="006E78E0">
        <w:rPr>
          <w:color w:val="000000"/>
        </w:rPr>
        <w:lastRenderedPageBreak/>
        <w:t>into account a variety of factors that might play into whether or not the event occurs (for example, the student’s socioeconomic status or the financial resources of the student’s school district, both of which are known to be related to rates of identification of</w:t>
      </w:r>
      <w:r>
        <w:rPr>
          <w:color w:val="000000"/>
        </w:rPr>
        <w:t xml:space="preserve"> </w:t>
      </w:r>
      <w:r w:rsidRPr="006E78E0">
        <w:rPr>
          <w:color w:val="000000"/>
        </w:rPr>
        <w:t xml:space="preserve">special education eligibility). </w:t>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6E78E0">
        <w:rPr>
          <w:color w:val="000000"/>
        </w:rPr>
        <w:t>By using multi-level logistic regression models, we were able to estimate the likelihood of students’ identification as eligible for services (the logistic regression does this), while also estimating and taking into account the role played by student- and district-level characteristics (the multi-level structure of the models does this) in the likelihood of identification.</w:t>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6E78E0">
        <w:rPr>
          <w:color w:val="000000"/>
        </w:rPr>
        <w:t xml:space="preserve">This process allowed us to understand, on average, the likelihood of identification that was uniquely associated to specific student- or district-level characteristics (for example, the estimated likelihood, on average, that a </w:t>
      </w:r>
      <w:r w:rsidRPr="006E78E0">
        <w:rPr>
          <w:i/>
          <w:iCs/>
          <w:color w:val="000000"/>
        </w:rPr>
        <w:t xml:space="preserve">low-income </w:t>
      </w:r>
      <w:r w:rsidRPr="006E78E0">
        <w:rPr>
          <w:color w:val="000000"/>
        </w:rPr>
        <w:t>student in Massachusetts would be identified as eligible for</w:t>
      </w:r>
      <w:r>
        <w:rPr>
          <w:color w:val="000000"/>
        </w:rPr>
        <w:t xml:space="preserve"> </w:t>
      </w:r>
      <w:r w:rsidRPr="00F5063E">
        <w:rPr>
          <w:color w:val="000000"/>
        </w:rPr>
        <w:t>special education services), taking into account the role that factors such as socioeconomic status, gender, or district</w:t>
      </w:r>
      <w:r>
        <w:rPr>
          <w:color w:val="000000"/>
        </w:rPr>
        <w:t xml:space="preserve"> </w:t>
      </w:r>
      <w:r w:rsidRPr="006E78E0">
        <w:rPr>
          <w:color w:val="000000"/>
        </w:rPr>
        <w:t>proportion of students eligible for free/reduced price lunch, play in a student’s likelihood of receiving a given special education designation.</w:t>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6E78E0">
        <w:rPr>
          <w:color w:val="000000"/>
        </w:rPr>
        <w:t xml:space="preserve">These logistic regression models yielded estimates called odds ratios, which we used to describe differential probability patterns of (a) over- and under-identification into Special Education and (b) disproportions of different types of students in Massachusetts who are educated in each of these settings. Essentially, odds ratios compare the odds of an event occurring to the odds that the event will not occur. Put more plainly, odds ratios compare the likelihood of occurrence between two different events (for example, the likelihood that a </w:t>
      </w:r>
      <w:r w:rsidRPr="006E78E0">
        <w:rPr>
          <w:i/>
          <w:iCs/>
          <w:color w:val="000000"/>
        </w:rPr>
        <w:t xml:space="preserve">low-income student in Massachusetts </w:t>
      </w:r>
      <w:r w:rsidRPr="006E78E0">
        <w:rPr>
          <w:color w:val="000000"/>
        </w:rPr>
        <w:t>will be identified as eligible for</w:t>
      </w:r>
      <w:r>
        <w:rPr>
          <w:color w:val="000000"/>
        </w:rPr>
        <w:t xml:space="preserve"> </w:t>
      </w:r>
      <w:r w:rsidRPr="006E78E0">
        <w:rPr>
          <w:color w:val="000000"/>
        </w:rPr>
        <w:t xml:space="preserve">special education services compared to the likelihood that a </w:t>
      </w:r>
      <w:r w:rsidRPr="006E78E0">
        <w:rPr>
          <w:i/>
          <w:iCs/>
          <w:color w:val="000000"/>
        </w:rPr>
        <w:t xml:space="preserve">non- low-income student in Massachusetts </w:t>
      </w:r>
      <w:r w:rsidRPr="006240D9">
        <w:rPr>
          <w:bCs/>
          <w:iCs/>
          <w:color w:val="000000"/>
        </w:rPr>
        <w:t>with similar characteristics such as socioeconomic status, gender, district proportion of students eligible for free/reduced price lunch, etc.</w:t>
      </w:r>
      <w:r w:rsidRPr="006240D9">
        <w:rPr>
          <w:color w:val="000000"/>
        </w:rPr>
        <w:t xml:space="preserve">, </w:t>
      </w:r>
      <w:r w:rsidRPr="006E78E0">
        <w:rPr>
          <w:color w:val="000000"/>
        </w:rPr>
        <w:t>will be identified as eligible for</w:t>
      </w:r>
      <w:r>
        <w:rPr>
          <w:color w:val="000000"/>
        </w:rPr>
        <w:t xml:space="preserve"> </w:t>
      </w:r>
      <w:r w:rsidRPr="006E78E0">
        <w:rPr>
          <w:color w:val="000000"/>
        </w:rPr>
        <w:t>special education services.</w:t>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6E78E0">
        <w:rPr>
          <w:color w:val="000000"/>
        </w:rPr>
        <w:t xml:space="preserve">A practical guide to interpreting odds ratios is as follows: </w:t>
      </w:r>
      <w:r w:rsidRPr="006E78E0">
        <w:rPr>
          <w:i/>
          <w:iCs/>
          <w:color w:val="000000"/>
        </w:rPr>
        <w:t xml:space="preserve">a) </w:t>
      </w:r>
      <w:r w:rsidRPr="006E78E0">
        <w:rPr>
          <w:color w:val="000000"/>
        </w:rPr>
        <w:t xml:space="preserve">if the value of an odds ratio is less than 1, then the event (for example, a </w:t>
      </w:r>
      <w:r w:rsidRPr="006E78E0">
        <w:rPr>
          <w:i/>
          <w:iCs/>
          <w:color w:val="000000"/>
        </w:rPr>
        <w:t xml:space="preserve">low-income </w:t>
      </w:r>
      <w:r w:rsidRPr="006E78E0">
        <w:rPr>
          <w:color w:val="000000"/>
        </w:rPr>
        <w:t>student being identified as eligible for</w:t>
      </w:r>
      <w:r>
        <w:rPr>
          <w:color w:val="000000"/>
        </w:rPr>
        <w:t xml:space="preserve"> </w:t>
      </w:r>
      <w:r w:rsidRPr="006E78E0">
        <w:rPr>
          <w:color w:val="000000"/>
        </w:rPr>
        <w:t xml:space="preserve">special education) is less likely than its comparison event (for example, a </w:t>
      </w:r>
      <w:r w:rsidRPr="006E78E0">
        <w:rPr>
          <w:i/>
          <w:color w:val="000000"/>
        </w:rPr>
        <w:t>non-</w:t>
      </w:r>
      <w:r w:rsidRPr="006E78E0">
        <w:rPr>
          <w:i/>
          <w:iCs/>
          <w:color w:val="000000"/>
        </w:rPr>
        <w:t xml:space="preserve">low-income </w:t>
      </w:r>
      <w:r w:rsidRPr="006E78E0">
        <w:rPr>
          <w:color w:val="000000"/>
        </w:rPr>
        <w:t xml:space="preserve">student being identified as eligible for special education); </w:t>
      </w:r>
      <w:r w:rsidRPr="006E78E0">
        <w:rPr>
          <w:i/>
          <w:iCs/>
          <w:color w:val="000000"/>
        </w:rPr>
        <w:t xml:space="preserve">b) </w:t>
      </w:r>
      <w:r w:rsidRPr="006E78E0">
        <w:rPr>
          <w:color w:val="000000"/>
        </w:rPr>
        <w:t xml:space="preserve">if the value of an odds ratio is equal to 1, then the event of interest is just as likely to occur as its comparison event; </w:t>
      </w:r>
      <w:r w:rsidRPr="006E78E0">
        <w:rPr>
          <w:i/>
          <w:iCs/>
          <w:color w:val="000000"/>
        </w:rPr>
        <w:t xml:space="preserve">c) </w:t>
      </w:r>
      <w:r w:rsidRPr="006E78E0">
        <w:rPr>
          <w:color w:val="000000"/>
        </w:rPr>
        <w:t xml:space="preserve">if the value of an odds ratio is greater than 1, then the event is more likely than its comparison event. </w:t>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6E78E0">
        <w:rPr>
          <w:color w:val="000000"/>
        </w:rPr>
        <w:t>In comparing between members in a group of odds ratios, lower values represent lower likelihoods and higher values represent higher likelihoods; so an odds ratio of 5.4 represents a higher probability of identification than an odds ratio of 2.2</w:t>
      </w:r>
      <w:r w:rsidR="000879AE">
        <w:rPr>
          <w:color w:val="000000"/>
        </w:rPr>
        <w:t xml:space="preserve"> and</w:t>
      </w:r>
      <w:r w:rsidRPr="006E78E0">
        <w:rPr>
          <w:color w:val="000000"/>
        </w:rPr>
        <w:t xml:space="preserve"> an odds ratio of 0.3 represents a lower probability of identification than an odds ratio of 0.7.</w:t>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8D2AB8" w:rsidRPr="00F5063E"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6E78E0">
        <w:rPr>
          <w:color w:val="000000"/>
        </w:rPr>
        <w:lastRenderedPageBreak/>
        <w:t xml:space="preserve">In Appendix </w:t>
      </w:r>
      <w:r w:rsidR="00A9675C">
        <w:rPr>
          <w:color w:val="000000"/>
        </w:rPr>
        <w:t>B</w:t>
      </w:r>
      <w:r w:rsidRPr="006E78E0">
        <w:rPr>
          <w:color w:val="000000"/>
        </w:rPr>
        <w:t xml:space="preserve">, </w:t>
      </w:r>
      <w:r w:rsidR="00A2434C">
        <w:rPr>
          <w:color w:val="000000"/>
        </w:rPr>
        <w:t>T</w:t>
      </w:r>
      <w:r w:rsidR="00A2434C" w:rsidRPr="006E78E0">
        <w:rPr>
          <w:color w:val="000000"/>
        </w:rPr>
        <w:t xml:space="preserve">able </w:t>
      </w:r>
      <w:r w:rsidRPr="006E78E0">
        <w:rPr>
          <w:color w:val="000000"/>
        </w:rPr>
        <w:t>3, we provide an example of one set of the multi-level logistic regression models we examined as part of this analysis.</w:t>
      </w:r>
    </w:p>
    <w:p w:rsidR="008D2AB8" w:rsidRPr="006E78E0" w:rsidRDefault="008D2AB8" w:rsidP="008D2AB8">
      <w:pPr>
        <w:rPr>
          <w:rFonts w:cs="Cambria"/>
          <w:b/>
          <w:color w:val="000000"/>
        </w:rPr>
      </w:pPr>
    </w:p>
    <w:p w:rsidR="008D2AB8" w:rsidRPr="006E78E0" w:rsidRDefault="008D2AB8" w:rsidP="008D2AB8">
      <w:pPr>
        <w:rPr>
          <w:rFonts w:cs="Cambria"/>
          <w:b/>
          <w:color w:val="000000"/>
        </w:rPr>
      </w:pPr>
      <w:r w:rsidRPr="006E78E0">
        <w:rPr>
          <w:rFonts w:cs="Cambria"/>
          <w:b/>
          <w:color w:val="000000"/>
        </w:rPr>
        <w:t xml:space="preserve">Question 6 </w:t>
      </w:r>
    </w:p>
    <w:p w:rsidR="008D2AB8" w:rsidRPr="006E78E0" w:rsidRDefault="008D2AB8" w:rsidP="008D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6E78E0">
        <w:rPr>
          <w:color w:val="000000"/>
        </w:rPr>
        <w:t>We used multi-level Ordinary Least Squares regression models to model the relationships between student and district characteristics on</w:t>
      </w:r>
      <w:r>
        <w:rPr>
          <w:color w:val="000000"/>
        </w:rPr>
        <w:t xml:space="preserve"> </w:t>
      </w:r>
      <w:r w:rsidRPr="006E78E0">
        <w:rPr>
          <w:color w:val="000000"/>
        </w:rPr>
        <w:t xml:space="preserve">student scores on the English and Mathematics MCAS tests.  The use of multi-level models allowed us to account for similarities in the performance of </w:t>
      </w:r>
      <w:r w:rsidR="000879AE">
        <w:t>students with disabilities</w:t>
      </w:r>
      <w:r w:rsidR="000879AE" w:rsidRPr="006E78E0" w:rsidDel="000879AE">
        <w:rPr>
          <w:color w:val="000000"/>
        </w:rPr>
        <w:t xml:space="preserve"> </w:t>
      </w:r>
      <w:r w:rsidRPr="006E78E0">
        <w:rPr>
          <w:color w:val="000000"/>
        </w:rPr>
        <w:t>that might be related to their enrollment in schools within the same district, thereby providing a clearer picture of the variability in achievement that was uniquely related to a student’s proportion of time in mainstream settings.</w:t>
      </w:r>
    </w:p>
    <w:p w:rsidR="008D2AB8" w:rsidRPr="006E78E0" w:rsidRDefault="008D2AB8" w:rsidP="008D2AB8">
      <w:pPr>
        <w:rPr>
          <w:color w:val="000000"/>
          <w:sz w:val="20"/>
          <w:szCs w:val="20"/>
        </w:rPr>
      </w:pPr>
    </w:p>
    <w:p w:rsidR="00BF1A3B" w:rsidRDefault="008D2AB8" w:rsidP="008D2AB8">
      <w:pPr>
        <w:rPr>
          <w:color w:val="000000"/>
        </w:rPr>
        <w:sectPr w:rsidR="00BF1A3B" w:rsidSect="008D2AB8">
          <w:pgSz w:w="12240" w:h="15840"/>
          <w:pgMar w:top="1440" w:right="1800" w:bottom="1440" w:left="1800" w:header="720" w:footer="720" w:gutter="0"/>
          <w:cols w:space="720"/>
          <w:docGrid w:linePitch="360"/>
        </w:sectPr>
      </w:pPr>
      <w:r w:rsidRPr="006E78E0">
        <w:rPr>
          <w:color w:val="000000"/>
        </w:rPr>
        <w:t>In these models, we used dichotomous variables to represent 40-79% of a student’s day in school in mainstream settings and 0-39% of a student’s day in school in mainstream settings, with 80-100% mainstream as the reference category. This allowed us to estimate the difference in special education student performance on the MCAS associated with each setting category in comparison with the mostly mainstreamed (80-100%) setting category.</w:t>
      </w:r>
    </w:p>
    <w:p w:rsidR="002E334F" w:rsidRDefault="002E334F">
      <w:pPr>
        <w:rPr>
          <w:color w:val="000000"/>
        </w:rPr>
      </w:pPr>
    </w:p>
    <w:p w:rsidR="00BF1A3B" w:rsidRDefault="00BF1A3B">
      <w:pPr>
        <w:rPr>
          <w:color w:val="000000"/>
        </w:rPr>
        <w:sectPr w:rsidR="00BF1A3B" w:rsidSect="008D2AB8">
          <w:headerReference w:type="default" r:id="rId31"/>
          <w:pgSz w:w="12240" w:h="15840"/>
          <w:pgMar w:top="1440" w:right="1800" w:bottom="1440" w:left="1800" w:header="720" w:footer="720" w:gutter="0"/>
          <w:cols w:space="720"/>
          <w:docGrid w:linePitch="360"/>
        </w:sectPr>
      </w:pPr>
    </w:p>
    <w:p w:rsidR="00BF1A3B" w:rsidRPr="00E94335" w:rsidRDefault="00BF1A3B" w:rsidP="00BF1A3B">
      <w:pPr>
        <w:jc w:val="center"/>
        <w:rPr>
          <w:rFonts w:cs="Cambria"/>
          <w:b/>
          <w:color w:val="000000"/>
          <w:sz w:val="32"/>
          <w:szCs w:val="32"/>
        </w:rPr>
      </w:pPr>
      <w:r w:rsidRPr="00E94335">
        <w:rPr>
          <w:rFonts w:cs="Cambria"/>
          <w:b/>
          <w:color w:val="000000"/>
          <w:sz w:val="32"/>
          <w:szCs w:val="32"/>
        </w:rPr>
        <w:lastRenderedPageBreak/>
        <w:t xml:space="preserve">Appendix B: </w:t>
      </w:r>
    </w:p>
    <w:p w:rsidR="00BF1A3B" w:rsidRDefault="00BF1A3B" w:rsidP="00BF1A3B">
      <w:pPr>
        <w:jc w:val="center"/>
        <w:rPr>
          <w:rFonts w:cs="Cambria"/>
          <w:b/>
          <w:color w:val="000000"/>
          <w:sz w:val="28"/>
          <w:szCs w:val="28"/>
        </w:rPr>
      </w:pPr>
      <w:r w:rsidRPr="00E94335">
        <w:rPr>
          <w:rFonts w:cs="Cambria"/>
          <w:b/>
          <w:color w:val="000000"/>
          <w:sz w:val="28"/>
          <w:szCs w:val="28"/>
        </w:rPr>
        <w:t>Selected Regression Models</w:t>
      </w:r>
    </w:p>
    <w:p w:rsidR="00BF1A3B" w:rsidRPr="00E94335" w:rsidRDefault="00BF1A3B" w:rsidP="00BF1A3B">
      <w:pPr>
        <w:jc w:val="center"/>
        <w:rPr>
          <w:rFonts w:cs="Cambria"/>
          <w:b/>
          <w:color w:val="000000"/>
          <w:sz w:val="28"/>
          <w:szCs w:val="28"/>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144" w:type="dxa"/>
          <w:right w:w="144" w:type="dxa"/>
        </w:tblCellMar>
        <w:tblLook w:val="0000"/>
      </w:tblPr>
      <w:tblGrid>
        <w:gridCol w:w="2664"/>
        <w:gridCol w:w="1260"/>
        <w:gridCol w:w="1260"/>
        <w:gridCol w:w="1170"/>
        <w:gridCol w:w="1260"/>
        <w:gridCol w:w="1314"/>
      </w:tblGrid>
      <w:tr w:rsidR="00BF1A3B" w:rsidRPr="006E78E0" w:rsidTr="00BF1A3B">
        <w:trPr>
          <w:jc w:val="center"/>
        </w:trPr>
        <w:tc>
          <w:tcPr>
            <w:tcW w:w="8928" w:type="dxa"/>
            <w:gridSpan w:val="6"/>
            <w:tcBorders>
              <w:top w:val="nil"/>
              <w:left w:val="nil"/>
              <w:bottom w:val="single" w:sz="6" w:space="0" w:color="auto"/>
              <w:right w:val="nil"/>
            </w:tcBorders>
            <w:vAlign w:val="center"/>
          </w:tcPr>
          <w:p w:rsidR="00BF1A3B" w:rsidRPr="00375639" w:rsidRDefault="00BF1A3B" w:rsidP="00BF1A3B">
            <w:pPr>
              <w:widowControl w:val="0"/>
              <w:autoSpaceDE w:val="0"/>
              <w:autoSpaceDN w:val="0"/>
              <w:adjustRightInd w:val="0"/>
              <w:spacing w:before="79" w:after="79"/>
              <w:rPr>
                <w:sz w:val="20"/>
                <w:szCs w:val="20"/>
              </w:rPr>
            </w:pPr>
            <w:bookmarkStart w:id="5" w:name="OLE_LINK3"/>
            <w:bookmarkStart w:id="6" w:name="OLE_LINK4"/>
            <w:r>
              <w:rPr>
                <w:i/>
                <w:sz w:val="20"/>
                <w:szCs w:val="20"/>
              </w:rPr>
              <w:t xml:space="preserve">Table </w:t>
            </w:r>
            <w:r w:rsidRPr="00375639">
              <w:rPr>
                <w:i/>
                <w:sz w:val="20"/>
                <w:szCs w:val="20"/>
              </w:rPr>
              <w:t>1</w:t>
            </w:r>
            <w:r>
              <w:rPr>
                <w:sz w:val="20"/>
                <w:szCs w:val="20"/>
              </w:rPr>
              <w:t>.</w:t>
            </w:r>
            <w:r w:rsidRPr="00F5063E">
              <w:rPr>
                <w:sz w:val="20"/>
                <w:szCs w:val="20"/>
              </w:rPr>
              <w:t xml:space="preserve"> </w:t>
            </w:r>
            <w:r>
              <w:rPr>
                <w:sz w:val="20"/>
                <w:szCs w:val="20"/>
              </w:rPr>
              <w:t>T</w:t>
            </w:r>
            <w:r w:rsidRPr="00F5063E">
              <w:rPr>
                <w:sz w:val="20"/>
                <w:szCs w:val="20"/>
              </w:rPr>
              <w:t>axonomy of</w:t>
            </w:r>
            <w:r>
              <w:rPr>
                <w:sz w:val="20"/>
                <w:szCs w:val="20"/>
              </w:rPr>
              <w:t xml:space="preserve"> selected</w:t>
            </w:r>
            <w:r w:rsidRPr="00F5063E">
              <w:rPr>
                <w:sz w:val="20"/>
                <w:szCs w:val="20"/>
              </w:rPr>
              <w:t xml:space="preserve"> fitted </w:t>
            </w:r>
            <w:r>
              <w:rPr>
                <w:sz w:val="20"/>
                <w:szCs w:val="20"/>
              </w:rPr>
              <w:t xml:space="preserve">school-level Ordinary Least Squares regression </w:t>
            </w:r>
            <w:r w:rsidRPr="00F5063E">
              <w:rPr>
                <w:sz w:val="20"/>
                <w:szCs w:val="20"/>
              </w:rPr>
              <w:t xml:space="preserve">models predicting district </w:t>
            </w:r>
            <w:r w:rsidRPr="00375639">
              <w:rPr>
                <w:sz w:val="20"/>
                <w:szCs w:val="20"/>
              </w:rPr>
              <w:t>identification</w:t>
            </w:r>
            <w:r w:rsidRPr="00F5063E">
              <w:rPr>
                <w:sz w:val="20"/>
                <w:szCs w:val="20"/>
              </w:rPr>
              <w:t xml:space="preserve"> rates of</w:t>
            </w:r>
            <w:r>
              <w:rPr>
                <w:sz w:val="20"/>
                <w:szCs w:val="20"/>
              </w:rPr>
              <w:t xml:space="preserve"> students with</w:t>
            </w:r>
            <w:r w:rsidRPr="00F5063E">
              <w:rPr>
                <w:sz w:val="20"/>
                <w:szCs w:val="20"/>
              </w:rPr>
              <w:t xml:space="preserve"> </w:t>
            </w:r>
            <w:r>
              <w:rPr>
                <w:sz w:val="20"/>
                <w:szCs w:val="20"/>
              </w:rPr>
              <w:t>‘</w:t>
            </w:r>
            <w:r>
              <w:rPr>
                <w:i/>
                <w:iCs/>
                <w:sz w:val="20"/>
                <w:szCs w:val="20"/>
              </w:rPr>
              <w:t>High Incidence</w:t>
            </w:r>
            <w:r>
              <w:rPr>
                <w:sz w:val="20"/>
                <w:szCs w:val="20"/>
              </w:rPr>
              <w:t xml:space="preserve">’ disabilities in Massachusetts public school districts, </w:t>
            </w:r>
            <w:r w:rsidRPr="007A7C86">
              <w:rPr>
                <w:i/>
                <w:iCs/>
                <w:sz w:val="20"/>
                <w:szCs w:val="20"/>
              </w:rPr>
              <w:t>n</w:t>
            </w:r>
            <w:r w:rsidRPr="00375639">
              <w:rPr>
                <w:sz w:val="20"/>
                <w:szCs w:val="20"/>
              </w:rPr>
              <w:t>=29</w:t>
            </w:r>
            <w:r>
              <w:rPr>
                <w:sz w:val="20"/>
                <w:szCs w:val="20"/>
              </w:rPr>
              <w:t xml:space="preserve">8 </w:t>
            </w:r>
            <w:r w:rsidRPr="00375639">
              <w:rPr>
                <w:sz w:val="20"/>
                <w:szCs w:val="20"/>
              </w:rPr>
              <w:t xml:space="preserve"> </w:t>
            </w:r>
            <w:r>
              <w:rPr>
                <w:sz w:val="20"/>
                <w:szCs w:val="20"/>
              </w:rPr>
              <w:t xml:space="preserve">traditional </w:t>
            </w:r>
            <w:r w:rsidRPr="00375639">
              <w:rPr>
                <w:sz w:val="20"/>
                <w:szCs w:val="20"/>
              </w:rPr>
              <w:t>school districts</w:t>
            </w:r>
            <w:r>
              <w:rPr>
                <w:sz w:val="20"/>
                <w:szCs w:val="20"/>
              </w:rPr>
              <w:t xml:space="preserve"> (model excludes ch</w:t>
            </w:r>
            <w:r w:rsidRPr="00375639">
              <w:rPr>
                <w:sz w:val="20"/>
                <w:szCs w:val="20"/>
              </w:rPr>
              <w:t>arter</w:t>
            </w:r>
            <w:r>
              <w:rPr>
                <w:sz w:val="20"/>
                <w:szCs w:val="20"/>
              </w:rPr>
              <w:t xml:space="preserve"> schools</w:t>
            </w:r>
            <w:r w:rsidRPr="00375639">
              <w:rPr>
                <w:sz w:val="20"/>
                <w:szCs w:val="20"/>
              </w:rPr>
              <w:t>, vocational</w:t>
            </w:r>
            <w:r>
              <w:rPr>
                <w:sz w:val="20"/>
                <w:szCs w:val="20"/>
              </w:rPr>
              <w:t>/tech schools,</w:t>
            </w:r>
            <w:r w:rsidRPr="00375639">
              <w:rPr>
                <w:sz w:val="20"/>
                <w:szCs w:val="20"/>
              </w:rPr>
              <w:t xml:space="preserve"> </w:t>
            </w:r>
            <w:r>
              <w:rPr>
                <w:sz w:val="20"/>
                <w:szCs w:val="20"/>
              </w:rPr>
              <w:t>or</w:t>
            </w:r>
            <w:r w:rsidRPr="00375639">
              <w:rPr>
                <w:sz w:val="20"/>
                <w:szCs w:val="20"/>
              </w:rPr>
              <w:t xml:space="preserve"> </w:t>
            </w:r>
            <w:r>
              <w:rPr>
                <w:sz w:val="20"/>
                <w:szCs w:val="20"/>
              </w:rPr>
              <w:t xml:space="preserve">schools serving </w:t>
            </w:r>
            <w:r w:rsidRPr="00375639">
              <w:rPr>
                <w:sz w:val="20"/>
                <w:szCs w:val="20"/>
              </w:rPr>
              <w:t xml:space="preserve">special education </w:t>
            </w:r>
            <w:r>
              <w:rPr>
                <w:sz w:val="20"/>
                <w:szCs w:val="20"/>
              </w:rPr>
              <w:t>students exclusively</w:t>
            </w:r>
            <w:r w:rsidRPr="00375639">
              <w:rPr>
                <w:sz w:val="20"/>
                <w:szCs w:val="20"/>
              </w:rPr>
              <w:t>)</w:t>
            </w:r>
            <w:r>
              <w:rPr>
                <w:sz w:val="20"/>
                <w:szCs w:val="20"/>
              </w:rPr>
              <w:t>.</w:t>
            </w:r>
          </w:p>
        </w:tc>
      </w:tr>
      <w:tr w:rsidR="00BF1A3B" w:rsidRPr="006E78E0" w:rsidTr="00BF1A3B">
        <w:trPr>
          <w:jc w:val="center"/>
        </w:trPr>
        <w:tc>
          <w:tcPr>
            <w:tcW w:w="2664" w:type="dxa"/>
            <w:tcBorders>
              <w:top w:val="single" w:sz="6" w:space="0" w:color="auto"/>
              <w:left w:val="nil"/>
              <w:bottom w:val="nil"/>
              <w:right w:val="nil"/>
            </w:tcBorders>
            <w:vAlign w:val="center"/>
          </w:tcPr>
          <w:p w:rsidR="00BF1A3B" w:rsidRPr="006E78E0" w:rsidRDefault="00BF1A3B" w:rsidP="00BF1A3B">
            <w:pPr>
              <w:widowControl w:val="0"/>
              <w:autoSpaceDE w:val="0"/>
              <w:autoSpaceDN w:val="0"/>
              <w:adjustRightInd w:val="0"/>
              <w:spacing w:before="79" w:after="79"/>
              <w:rPr>
                <w:sz w:val="20"/>
                <w:szCs w:val="20"/>
              </w:rPr>
            </w:pPr>
          </w:p>
        </w:tc>
        <w:tc>
          <w:tcPr>
            <w:tcW w:w="1260" w:type="dxa"/>
            <w:tcBorders>
              <w:top w:val="single" w:sz="6" w:space="0" w:color="auto"/>
              <w:left w:val="nil"/>
              <w:bottom w:val="nil"/>
              <w:right w:val="nil"/>
            </w:tcBorders>
            <w:vAlign w:val="center"/>
          </w:tcPr>
          <w:p w:rsidR="00BF1A3B" w:rsidRPr="00587D66" w:rsidRDefault="00BF1A3B" w:rsidP="00BF1A3B">
            <w:pPr>
              <w:widowControl w:val="0"/>
              <w:autoSpaceDE w:val="0"/>
              <w:autoSpaceDN w:val="0"/>
              <w:adjustRightInd w:val="0"/>
              <w:spacing w:before="79" w:after="79"/>
              <w:jc w:val="center"/>
              <w:rPr>
                <w:b/>
                <w:sz w:val="18"/>
                <w:szCs w:val="18"/>
              </w:rPr>
            </w:pPr>
            <w:r w:rsidRPr="00587D66">
              <w:rPr>
                <w:b/>
                <w:sz w:val="18"/>
                <w:szCs w:val="18"/>
              </w:rPr>
              <w:t>Model 1.1</w:t>
            </w:r>
          </w:p>
        </w:tc>
        <w:tc>
          <w:tcPr>
            <w:tcW w:w="1260" w:type="dxa"/>
            <w:tcBorders>
              <w:top w:val="single" w:sz="6" w:space="0" w:color="auto"/>
              <w:left w:val="nil"/>
              <w:bottom w:val="nil"/>
              <w:right w:val="nil"/>
            </w:tcBorders>
            <w:vAlign w:val="center"/>
          </w:tcPr>
          <w:p w:rsidR="00BF1A3B" w:rsidRPr="00587D66" w:rsidRDefault="00BF1A3B" w:rsidP="00BF1A3B">
            <w:pPr>
              <w:widowControl w:val="0"/>
              <w:autoSpaceDE w:val="0"/>
              <w:autoSpaceDN w:val="0"/>
              <w:adjustRightInd w:val="0"/>
              <w:spacing w:before="79" w:after="79"/>
              <w:jc w:val="center"/>
              <w:rPr>
                <w:b/>
                <w:sz w:val="18"/>
                <w:szCs w:val="18"/>
              </w:rPr>
            </w:pPr>
            <w:r w:rsidRPr="00587D66">
              <w:rPr>
                <w:b/>
                <w:sz w:val="18"/>
                <w:szCs w:val="18"/>
              </w:rPr>
              <w:t>Model 1.2</w:t>
            </w:r>
          </w:p>
        </w:tc>
        <w:tc>
          <w:tcPr>
            <w:tcW w:w="1170" w:type="dxa"/>
            <w:tcBorders>
              <w:top w:val="single" w:sz="6" w:space="0" w:color="auto"/>
              <w:left w:val="nil"/>
              <w:bottom w:val="nil"/>
              <w:right w:val="nil"/>
            </w:tcBorders>
            <w:vAlign w:val="center"/>
          </w:tcPr>
          <w:p w:rsidR="00BF1A3B" w:rsidRPr="00587D66" w:rsidRDefault="00BF1A3B" w:rsidP="00BF1A3B">
            <w:pPr>
              <w:widowControl w:val="0"/>
              <w:autoSpaceDE w:val="0"/>
              <w:autoSpaceDN w:val="0"/>
              <w:adjustRightInd w:val="0"/>
              <w:spacing w:before="79" w:after="79"/>
              <w:jc w:val="center"/>
              <w:rPr>
                <w:b/>
                <w:sz w:val="18"/>
                <w:szCs w:val="18"/>
              </w:rPr>
            </w:pPr>
            <w:r w:rsidRPr="00587D66">
              <w:rPr>
                <w:b/>
                <w:sz w:val="18"/>
                <w:szCs w:val="18"/>
              </w:rPr>
              <w:t>Model 1.3</w:t>
            </w:r>
          </w:p>
        </w:tc>
        <w:tc>
          <w:tcPr>
            <w:tcW w:w="1260" w:type="dxa"/>
            <w:tcBorders>
              <w:top w:val="single" w:sz="6" w:space="0" w:color="auto"/>
              <w:left w:val="nil"/>
              <w:bottom w:val="nil"/>
              <w:right w:val="nil"/>
            </w:tcBorders>
            <w:vAlign w:val="center"/>
          </w:tcPr>
          <w:p w:rsidR="00BF1A3B" w:rsidRPr="00587D66" w:rsidRDefault="00BF1A3B" w:rsidP="00BF1A3B">
            <w:pPr>
              <w:widowControl w:val="0"/>
              <w:autoSpaceDE w:val="0"/>
              <w:autoSpaceDN w:val="0"/>
              <w:adjustRightInd w:val="0"/>
              <w:spacing w:before="79" w:after="79"/>
              <w:jc w:val="center"/>
              <w:rPr>
                <w:b/>
                <w:sz w:val="18"/>
                <w:szCs w:val="18"/>
              </w:rPr>
            </w:pPr>
            <w:r w:rsidRPr="00587D66">
              <w:rPr>
                <w:b/>
                <w:sz w:val="18"/>
                <w:szCs w:val="18"/>
              </w:rPr>
              <w:t>Model 1.4</w:t>
            </w:r>
          </w:p>
        </w:tc>
        <w:tc>
          <w:tcPr>
            <w:tcW w:w="1314" w:type="dxa"/>
            <w:tcBorders>
              <w:top w:val="single" w:sz="6" w:space="0" w:color="auto"/>
              <w:left w:val="nil"/>
              <w:bottom w:val="nil"/>
              <w:right w:val="nil"/>
            </w:tcBorders>
            <w:vAlign w:val="center"/>
          </w:tcPr>
          <w:p w:rsidR="00BF1A3B" w:rsidRPr="00587D66" w:rsidRDefault="00BF1A3B" w:rsidP="00BF1A3B">
            <w:pPr>
              <w:widowControl w:val="0"/>
              <w:autoSpaceDE w:val="0"/>
              <w:autoSpaceDN w:val="0"/>
              <w:adjustRightInd w:val="0"/>
              <w:spacing w:before="79" w:after="79"/>
              <w:jc w:val="center"/>
              <w:rPr>
                <w:b/>
                <w:sz w:val="18"/>
                <w:szCs w:val="18"/>
              </w:rPr>
            </w:pPr>
            <w:r w:rsidRPr="00587D66">
              <w:rPr>
                <w:b/>
                <w:sz w:val="18"/>
                <w:szCs w:val="18"/>
              </w:rPr>
              <w:t>Model 1.5</w:t>
            </w:r>
          </w:p>
        </w:tc>
      </w:tr>
      <w:tr w:rsidR="00BF1A3B" w:rsidRPr="006E78E0" w:rsidTr="00BF1A3B">
        <w:trPr>
          <w:trHeight w:val="720"/>
          <w:jc w:val="center"/>
        </w:trPr>
        <w:tc>
          <w:tcPr>
            <w:tcW w:w="2664" w:type="dxa"/>
            <w:tcBorders>
              <w:top w:val="nil"/>
              <w:left w:val="nil"/>
              <w:bottom w:val="nil"/>
              <w:right w:val="nil"/>
            </w:tcBorders>
            <w:vAlign w:val="center"/>
          </w:tcPr>
          <w:p w:rsidR="00BF1A3B" w:rsidRPr="00DD6C1B" w:rsidRDefault="00BF1A3B" w:rsidP="00BF1A3B">
            <w:pPr>
              <w:widowControl w:val="0"/>
              <w:autoSpaceDE w:val="0"/>
              <w:autoSpaceDN w:val="0"/>
              <w:adjustRightInd w:val="0"/>
              <w:ind w:left="180" w:hanging="180"/>
              <w:rPr>
                <w:i/>
                <w:iCs/>
                <w:sz w:val="20"/>
                <w:szCs w:val="20"/>
              </w:rPr>
            </w:pPr>
            <w:r w:rsidRPr="00DD6C1B">
              <w:rPr>
                <w:i/>
                <w:iCs/>
                <w:sz w:val="20"/>
                <w:szCs w:val="20"/>
              </w:rPr>
              <w:t>Intercept</w:t>
            </w:r>
          </w:p>
        </w:tc>
        <w:tc>
          <w:tcPr>
            <w:tcW w:w="1260" w:type="dxa"/>
            <w:tcBorders>
              <w:top w:val="nil"/>
              <w:left w:val="nil"/>
              <w:bottom w:val="nil"/>
            </w:tcBorders>
            <w:vAlign w:val="center"/>
          </w:tcPr>
          <w:p w:rsidR="00BF1A3B" w:rsidRDefault="00BF1A3B" w:rsidP="00BF1A3B">
            <w:pPr>
              <w:widowControl w:val="0"/>
              <w:tabs>
                <w:tab w:val="decimal" w:pos="396"/>
              </w:tabs>
              <w:autoSpaceDE w:val="0"/>
              <w:autoSpaceDN w:val="0"/>
              <w:adjustRightInd w:val="0"/>
              <w:rPr>
                <w:sz w:val="20"/>
                <w:szCs w:val="20"/>
              </w:rPr>
            </w:pPr>
            <w:r w:rsidRPr="006E78E0">
              <w:rPr>
                <w:sz w:val="20"/>
                <w:szCs w:val="20"/>
              </w:rPr>
              <w:t>11.194**</w:t>
            </w:r>
          </w:p>
          <w:p w:rsidR="00BF1A3B" w:rsidRPr="006E78E0" w:rsidRDefault="00BF1A3B" w:rsidP="00BF1A3B">
            <w:pPr>
              <w:widowControl w:val="0"/>
              <w:tabs>
                <w:tab w:val="decimal" w:pos="396"/>
              </w:tabs>
              <w:autoSpaceDE w:val="0"/>
              <w:autoSpaceDN w:val="0"/>
              <w:adjustRightInd w:val="0"/>
              <w:rPr>
                <w:sz w:val="20"/>
                <w:szCs w:val="20"/>
              </w:rPr>
            </w:pPr>
            <w:r w:rsidRPr="006E78E0">
              <w:rPr>
                <w:sz w:val="20"/>
                <w:szCs w:val="20"/>
              </w:rPr>
              <w:t>(0.156)</w:t>
            </w:r>
          </w:p>
        </w:tc>
        <w:tc>
          <w:tcPr>
            <w:tcW w:w="1260" w:type="dxa"/>
            <w:tcBorders>
              <w:top w:val="nil"/>
              <w:bottom w:val="nil"/>
            </w:tcBorders>
            <w:vAlign w:val="center"/>
          </w:tcPr>
          <w:p w:rsidR="00BF1A3B" w:rsidRDefault="00BF1A3B" w:rsidP="00BF1A3B">
            <w:pPr>
              <w:widowControl w:val="0"/>
              <w:tabs>
                <w:tab w:val="decimal" w:pos="396"/>
              </w:tabs>
              <w:autoSpaceDE w:val="0"/>
              <w:autoSpaceDN w:val="0"/>
              <w:adjustRightInd w:val="0"/>
              <w:rPr>
                <w:sz w:val="20"/>
                <w:szCs w:val="20"/>
              </w:rPr>
            </w:pPr>
            <w:r w:rsidRPr="006E78E0">
              <w:rPr>
                <w:sz w:val="20"/>
                <w:szCs w:val="20"/>
              </w:rPr>
              <w:t>8.456**</w:t>
            </w:r>
          </w:p>
          <w:p w:rsidR="00BF1A3B" w:rsidRPr="006E78E0" w:rsidRDefault="00BF1A3B" w:rsidP="00BF1A3B">
            <w:pPr>
              <w:widowControl w:val="0"/>
              <w:tabs>
                <w:tab w:val="decimal" w:pos="396"/>
              </w:tabs>
              <w:autoSpaceDE w:val="0"/>
              <w:autoSpaceDN w:val="0"/>
              <w:adjustRightInd w:val="0"/>
              <w:rPr>
                <w:sz w:val="20"/>
                <w:szCs w:val="20"/>
              </w:rPr>
            </w:pPr>
            <w:r w:rsidRPr="006E78E0">
              <w:rPr>
                <w:sz w:val="20"/>
                <w:szCs w:val="20"/>
              </w:rPr>
              <w:t>(1.234)</w:t>
            </w:r>
          </w:p>
        </w:tc>
        <w:tc>
          <w:tcPr>
            <w:tcW w:w="1170" w:type="dxa"/>
            <w:tcBorders>
              <w:top w:val="nil"/>
              <w:bottom w:val="nil"/>
            </w:tcBorders>
            <w:vAlign w:val="center"/>
          </w:tcPr>
          <w:p w:rsidR="00BF1A3B" w:rsidRDefault="00BF1A3B" w:rsidP="00BF1A3B">
            <w:pPr>
              <w:widowControl w:val="0"/>
              <w:tabs>
                <w:tab w:val="decimal" w:pos="306"/>
              </w:tabs>
              <w:autoSpaceDE w:val="0"/>
              <w:autoSpaceDN w:val="0"/>
              <w:adjustRightInd w:val="0"/>
              <w:rPr>
                <w:sz w:val="20"/>
                <w:szCs w:val="20"/>
              </w:rPr>
            </w:pPr>
            <w:r w:rsidRPr="006E78E0">
              <w:rPr>
                <w:sz w:val="20"/>
                <w:szCs w:val="20"/>
              </w:rPr>
              <w:t>7.309**</w:t>
            </w:r>
          </w:p>
          <w:p w:rsidR="00BF1A3B" w:rsidRPr="006E78E0" w:rsidRDefault="00BF1A3B" w:rsidP="00BF1A3B">
            <w:pPr>
              <w:widowControl w:val="0"/>
              <w:tabs>
                <w:tab w:val="decimal" w:pos="306"/>
              </w:tabs>
              <w:autoSpaceDE w:val="0"/>
              <w:autoSpaceDN w:val="0"/>
              <w:adjustRightInd w:val="0"/>
              <w:rPr>
                <w:sz w:val="20"/>
                <w:szCs w:val="20"/>
              </w:rPr>
            </w:pPr>
            <w:r w:rsidRPr="006E78E0">
              <w:rPr>
                <w:sz w:val="20"/>
                <w:szCs w:val="20"/>
              </w:rPr>
              <w:t>(1.948)</w:t>
            </w:r>
          </w:p>
        </w:tc>
        <w:tc>
          <w:tcPr>
            <w:tcW w:w="1260" w:type="dxa"/>
            <w:tcBorders>
              <w:top w:val="nil"/>
              <w:bottom w:val="nil"/>
              <w:right w:val="single" w:sz="6" w:space="0" w:color="BFBFBF" w:themeColor="background1" w:themeShade="BF"/>
            </w:tcBorders>
            <w:vAlign w:val="center"/>
          </w:tcPr>
          <w:p w:rsidR="00BF1A3B" w:rsidRDefault="00BF1A3B" w:rsidP="00BF1A3B">
            <w:pPr>
              <w:widowControl w:val="0"/>
              <w:tabs>
                <w:tab w:val="decimal" w:pos="306"/>
              </w:tabs>
              <w:autoSpaceDE w:val="0"/>
              <w:autoSpaceDN w:val="0"/>
              <w:adjustRightInd w:val="0"/>
              <w:rPr>
                <w:sz w:val="20"/>
                <w:szCs w:val="20"/>
              </w:rPr>
            </w:pPr>
            <w:r w:rsidRPr="006E78E0">
              <w:rPr>
                <w:sz w:val="20"/>
                <w:szCs w:val="20"/>
              </w:rPr>
              <w:t>8.554**</w:t>
            </w:r>
          </w:p>
          <w:p w:rsidR="00BF1A3B" w:rsidRPr="006E78E0" w:rsidRDefault="00BF1A3B" w:rsidP="00BF1A3B">
            <w:pPr>
              <w:widowControl w:val="0"/>
              <w:tabs>
                <w:tab w:val="decimal" w:pos="306"/>
              </w:tabs>
              <w:autoSpaceDE w:val="0"/>
              <w:autoSpaceDN w:val="0"/>
              <w:adjustRightInd w:val="0"/>
              <w:rPr>
                <w:sz w:val="20"/>
                <w:szCs w:val="20"/>
              </w:rPr>
            </w:pPr>
            <w:r w:rsidRPr="006E78E0">
              <w:rPr>
                <w:sz w:val="20"/>
                <w:szCs w:val="20"/>
              </w:rPr>
              <w:t>(2.924)</w:t>
            </w:r>
          </w:p>
        </w:tc>
        <w:tc>
          <w:tcPr>
            <w:tcW w:w="1314" w:type="dxa"/>
            <w:tcBorders>
              <w:top w:val="nil"/>
              <w:left w:val="single" w:sz="6" w:space="0" w:color="BFBFBF" w:themeColor="background1" w:themeShade="BF"/>
              <w:bottom w:val="nil"/>
              <w:right w:val="nil"/>
            </w:tcBorders>
            <w:vAlign w:val="center"/>
          </w:tcPr>
          <w:p w:rsidR="00BF1A3B" w:rsidRDefault="00BF1A3B" w:rsidP="00BF1A3B">
            <w:pPr>
              <w:widowControl w:val="0"/>
              <w:tabs>
                <w:tab w:val="decimal" w:pos="396"/>
              </w:tabs>
              <w:autoSpaceDE w:val="0"/>
              <w:autoSpaceDN w:val="0"/>
              <w:adjustRightInd w:val="0"/>
              <w:rPr>
                <w:sz w:val="20"/>
                <w:szCs w:val="20"/>
              </w:rPr>
            </w:pPr>
            <w:r w:rsidRPr="006E78E0">
              <w:rPr>
                <w:sz w:val="20"/>
                <w:szCs w:val="20"/>
              </w:rPr>
              <w:t>9.275**</w:t>
            </w:r>
          </w:p>
          <w:p w:rsidR="00BF1A3B" w:rsidRPr="006E78E0" w:rsidRDefault="00BF1A3B" w:rsidP="00BF1A3B">
            <w:pPr>
              <w:widowControl w:val="0"/>
              <w:tabs>
                <w:tab w:val="decimal" w:pos="396"/>
              </w:tabs>
              <w:autoSpaceDE w:val="0"/>
              <w:autoSpaceDN w:val="0"/>
              <w:adjustRightInd w:val="0"/>
              <w:rPr>
                <w:sz w:val="20"/>
                <w:szCs w:val="20"/>
              </w:rPr>
            </w:pPr>
            <w:r w:rsidRPr="006E78E0">
              <w:rPr>
                <w:sz w:val="20"/>
                <w:szCs w:val="20"/>
              </w:rPr>
              <w:t>(0.454)</w:t>
            </w:r>
          </w:p>
        </w:tc>
      </w:tr>
      <w:tr w:rsidR="00BF1A3B" w:rsidRPr="006E78E0" w:rsidTr="00BF1A3B">
        <w:trPr>
          <w:trHeight w:val="720"/>
          <w:jc w:val="center"/>
        </w:trPr>
        <w:tc>
          <w:tcPr>
            <w:tcW w:w="2664" w:type="dxa"/>
            <w:tcBorders>
              <w:top w:val="nil"/>
              <w:left w:val="nil"/>
              <w:bottom w:val="nil"/>
              <w:right w:val="nil"/>
            </w:tcBorders>
            <w:vAlign w:val="center"/>
          </w:tcPr>
          <w:p w:rsidR="00BF1A3B" w:rsidRPr="00DD6C1B" w:rsidRDefault="00BF1A3B" w:rsidP="00BF1A3B">
            <w:pPr>
              <w:widowControl w:val="0"/>
              <w:tabs>
                <w:tab w:val="decimal" w:pos="538"/>
              </w:tabs>
              <w:autoSpaceDE w:val="0"/>
              <w:autoSpaceDN w:val="0"/>
              <w:adjustRightInd w:val="0"/>
              <w:ind w:left="180" w:hanging="180"/>
              <w:rPr>
                <w:i/>
                <w:iCs/>
                <w:sz w:val="20"/>
                <w:szCs w:val="20"/>
              </w:rPr>
            </w:pPr>
            <w:r w:rsidRPr="00DD6C1B">
              <w:rPr>
                <w:i/>
                <w:iCs/>
                <w:sz w:val="20"/>
                <w:szCs w:val="20"/>
              </w:rPr>
              <w:t>District Percent White Students</w:t>
            </w:r>
          </w:p>
        </w:tc>
        <w:tc>
          <w:tcPr>
            <w:tcW w:w="1260" w:type="dxa"/>
            <w:tcBorders>
              <w:top w:val="nil"/>
              <w:left w:val="nil"/>
              <w:bottom w:val="nil"/>
            </w:tcBorders>
            <w:vAlign w:val="center"/>
          </w:tcPr>
          <w:p w:rsidR="00BF1A3B" w:rsidRPr="007A7C86" w:rsidRDefault="00BF1A3B" w:rsidP="00BF1A3B">
            <w:pPr>
              <w:widowControl w:val="0"/>
              <w:tabs>
                <w:tab w:val="decimal" w:pos="538"/>
              </w:tabs>
              <w:autoSpaceDE w:val="0"/>
              <w:autoSpaceDN w:val="0"/>
              <w:adjustRightInd w:val="0"/>
              <w:rPr>
                <w:sz w:val="20"/>
                <w:szCs w:val="20"/>
              </w:rPr>
            </w:pPr>
          </w:p>
        </w:tc>
        <w:tc>
          <w:tcPr>
            <w:tcW w:w="1260" w:type="dxa"/>
            <w:tcBorders>
              <w:top w:val="nil"/>
              <w:bottom w:val="nil"/>
            </w:tcBorders>
            <w:vAlign w:val="center"/>
          </w:tcPr>
          <w:p w:rsidR="00BF1A3B" w:rsidRPr="007A7C86" w:rsidRDefault="00BF1A3B" w:rsidP="00BF1A3B">
            <w:pPr>
              <w:widowControl w:val="0"/>
              <w:tabs>
                <w:tab w:val="decimal" w:pos="396"/>
              </w:tabs>
              <w:autoSpaceDE w:val="0"/>
              <w:autoSpaceDN w:val="0"/>
              <w:adjustRightInd w:val="0"/>
              <w:rPr>
                <w:sz w:val="20"/>
                <w:szCs w:val="20"/>
              </w:rPr>
            </w:pPr>
            <w:r w:rsidRPr="007A7C86">
              <w:rPr>
                <w:sz w:val="20"/>
                <w:szCs w:val="20"/>
              </w:rPr>
              <w:t>0.010</w:t>
            </w:r>
            <w:r>
              <w:rPr>
                <w:sz w:val="20"/>
                <w:szCs w:val="20"/>
              </w:rPr>
              <w:br/>
            </w:r>
            <w:r w:rsidRPr="006E78E0">
              <w:rPr>
                <w:sz w:val="20"/>
                <w:szCs w:val="20"/>
              </w:rPr>
              <w:t>(0.011)</w:t>
            </w:r>
          </w:p>
        </w:tc>
        <w:tc>
          <w:tcPr>
            <w:tcW w:w="1170" w:type="dxa"/>
            <w:tcBorders>
              <w:top w:val="nil"/>
              <w:bottom w:val="nil"/>
            </w:tcBorders>
            <w:vAlign w:val="center"/>
          </w:tcPr>
          <w:p w:rsidR="00BF1A3B" w:rsidRPr="006E78E0" w:rsidRDefault="00BF1A3B" w:rsidP="00BF1A3B">
            <w:pPr>
              <w:widowControl w:val="0"/>
              <w:tabs>
                <w:tab w:val="decimal" w:pos="306"/>
              </w:tabs>
              <w:autoSpaceDE w:val="0"/>
              <w:autoSpaceDN w:val="0"/>
              <w:adjustRightInd w:val="0"/>
              <w:rPr>
                <w:sz w:val="20"/>
                <w:szCs w:val="20"/>
              </w:rPr>
            </w:pPr>
            <w:r w:rsidRPr="006E78E0">
              <w:rPr>
                <w:sz w:val="20"/>
                <w:szCs w:val="20"/>
              </w:rPr>
              <w:t>0.022</w:t>
            </w:r>
            <w:r>
              <w:rPr>
                <w:sz w:val="20"/>
                <w:szCs w:val="20"/>
              </w:rPr>
              <w:br/>
            </w:r>
            <w:r w:rsidRPr="006E78E0">
              <w:rPr>
                <w:sz w:val="20"/>
                <w:szCs w:val="20"/>
              </w:rPr>
              <w:t>(0.018)</w:t>
            </w:r>
          </w:p>
        </w:tc>
        <w:tc>
          <w:tcPr>
            <w:tcW w:w="1260" w:type="dxa"/>
            <w:tcBorders>
              <w:top w:val="nil"/>
              <w:bottom w:val="nil"/>
              <w:right w:val="single" w:sz="6" w:space="0" w:color="BFBFBF" w:themeColor="background1" w:themeShade="BF"/>
            </w:tcBorders>
            <w:vAlign w:val="center"/>
          </w:tcPr>
          <w:p w:rsidR="00BF1A3B" w:rsidRPr="006E78E0" w:rsidRDefault="00BF1A3B" w:rsidP="00BF1A3B">
            <w:pPr>
              <w:widowControl w:val="0"/>
              <w:tabs>
                <w:tab w:val="decimal" w:pos="306"/>
              </w:tabs>
              <w:autoSpaceDE w:val="0"/>
              <w:autoSpaceDN w:val="0"/>
              <w:adjustRightInd w:val="0"/>
              <w:rPr>
                <w:sz w:val="20"/>
                <w:szCs w:val="20"/>
              </w:rPr>
            </w:pPr>
            <w:r w:rsidRPr="006E78E0">
              <w:rPr>
                <w:sz w:val="20"/>
                <w:szCs w:val="20"/>
              </w:rPr>
              <w:t>0.021</w:t>
            </w:r>
            <w:r>
              <w:rPr>
                <w:sz w:val="20"/>
                <w:szCs w:val="20"/>
              </w:rPr>
              <w:br/>
            </w:r>
            <w:r w:rsidRPr="006E78E0">
              <w:rPr>
                <w:sz w:val="20"/>
                <w:szCs w:val="20"/>
              </w:rPr>
              <w:t>(0.019)</w:t>
            </w:r>
          </w:p>
        </w:tc>
        <w:tc>
          <w:tcPr>
            <w:tcW w:w="1314" w:type="dxa"/>
            <w:tcBorders>
              <w:top w:val="nil"/>
              <w:left w:val="single" w:sz="6" w:space="0" w:color="BFBFBF" w:themeColor="background1" w:themeShade="BF"/>
              <w:bottom w:val="nil"/>
              <w:right w:val="nil"/>
            </w:tcBorders>
            <w:vAlign w:val="center"/>
          </w:tcPr>
          <w:p w:rsidR="00BF1A3B" w:rsidRPr="006E78E0" w:rsidRDefault="00BF1A3B" w:rsidP="00BF1A3B">
            <w:pPr>
              <w:widowControl w:val="0"/>
              <w:tabs>
                <w:tab w:val="decimal" w:pos="396"/>
              </w:tabs>
              <w:autoSpaceDE w:val="0"/>
              <w:autoSpaceDN w:val="0"/>
              <w:adjustRightInd w:val="0"/>
              <w:rPr>
                <w:sz w:val="20"/>
                <w:szCs w:val="20"/>
              </w:rPr>
            </w:pPr>
          </w:p>
        </w:tc>
      </w:tr>
      <w:tr w:rsidR="00BF1A3B" w:rsidRPr="006E78E0" w:rsidTr="00BF1A3B">
        <w:trPr>
          <w:trHeight w:val="720"/>
          <w:jc w:val="center"/>
        </w:trPr>
        <w:tc>
          <w:tcPr>
            <w:tcW w:w="2664" w:type="dxa"/>
            <w:tcBorders>
              <w:top w:val="nil"/>
              <w:left w:val="nil"/>
              <w:bottom w:val="nil"/>
              <w:right w:val="nil"/>
            </w:tcBorders>
            <w:vAlign w:val="center"/>
          </w:tcPr>
          <w:p w:rsidR="00BF1A3B" w:rsidRPr="00DD6C1B" w:rsidRDefault="00BF1A3B" w:rsidP="00BF1A3B">
            <w:pPr>
              <w:widowControl w:val="0"/>
              <w:tabs>
                <w:tab w:val="decimal" w:pos="538"/>
              </w:tabs>
              <w:autoSpaceDE w:val="0"/>
              <w:autoSpaceDN w:val="0"/>
              <w:adjustRightInd w:val="0"/>
              <w:ind w:left="180" w:hanging="180"/>
              <w:rPr>
                <w:i/>
                <w:iCs/>
                <w:sz w:val="20"/>
                <w:szCs w:val="20"/>
              </w:rPr>
            </w:pPr>
            <w:r>
              <w:rPr>
                <w:i/>
                <w:iCs/>
                <w:sz w:val="20"/>
                <w:szCs w:val="20"/>
              </w:rPr>
              <w:t xml:space="preserve">District Percent </w:t>
            </w:r>
            <w:r w:rsidRPr="00DD6C1B">
              <w:rPr>
                <w:i/>
                <w:iCs/>
                <w:sz w:val="20"/>
                <w:szCs w:val="20"/>
              </w:rPr>
              <w:t>Students eligible for Free/Reduced Price Lunch (log</w:t>
            </w:r>
            <w:r w:rsidRPr="00DD6C1B">
              <w:rPr>
                <w:i/>
                <w:iCs/>
                <w:sz w:val="20"/>
                <w:szCs w:val="20"/>
                <w:vertAlign w:val="subscript"/>
              </w:rPr>
              <w:t>2</w:t>
            </w:r>
            <w:r w:rsidRPr="00DD6C1B">
              <w:rPr>
                <w:i/>
                <w:iCs/>
                <w:sz w:val="20"/>
                <w:szCs w:val="20"/>
              </w:rPr>
              <w:t xml:space="preserve">) </w:t>
            </w:r>
          </w:p>
        </w:tc>
        <w:tc>
          <w:tcPr>
            <w:tcW w:w="1260" w:type="dxa"/>
            <w:tcBorders>
              <w:top w:val="nil"/>
              <w:left w:val="nil"/>
              <w:bottom w:val="nil"/>
            </w:tcBorders>
            <w:vAlign w:val="center"/>
          </w:tcPr>
          <w:p w:rsidR="00BF1A3B" w:rsidRPr="007A7C86" w:rsidRDefault="00BF1A3B" w:rsidP="00BF1A3B">
            <w:pPr>
              <w:widowControl w:val="0"/>
              <w:tabs>
                <w:tab w:val="decimal" w:pos="538"/>
              </w:tabs>
              <w:autoSpaceDE w:val="0"/>
              <w:autoSpaceDN w:val="0"/>
              <w:adjustRightInd w:val="0"/>
              <w:rPr>
                <w:sz w:val="20"/>
                <w:szCs w:val="20"/>
              </w:rPr>
            </w:pPr>
          </w:p>
        </w:tc>
        <w:tc>
          <w:tcPr>
            <w:tcW w:w="1260" w:type="dxa"/>
            <w:tcBorders>
              <w:top w:val="nil"/>
            </w:tcBorders>
            <w:vAlign w:val="center"/>
          </w:tcPr>
          <w:p w:rsidR="00BF1A3B" w:rsidRPr="007A7C86" w:rsidRDefault="00BF1A3B" w:rsidP="00BF1A3B">
            <w:pPr>
              <w:widowControl w:val="0"/>
              <w:tabs>
                <w:tab w:val="decimal" w:pos="396"/>
              </w:tabs>
              <w:autoSpaceDE w:val="0"/>
              <w:autoSpaceDN w:val="0"/>
              <w:adjustRightInd w:val="0"/>
              <w:rPr>
                <w:sz w:val="20"/>
                <w:szCs w:val="20"/>
              </w:rPr>
            </w:pPr>
            <w:r w:rsidRPr="007A7C86">
              <w:rPr>
                <w:sz w:val="20"/>
                <w:szCs w:val="20"/>
              </w:rPr>
              <w:t>1.155</w:t>
            </w:r>
            <w:r w:rsidRPr="006E78E0">
              <w:rPr>
                <w:sz w:val="20"/>
                <w:szCs w:val="20"/>
              </w:rPr>
              <w:t>**</w:t>
            </w:r>
            <w:r>
              <w:rPr>
                <w:sz w:val="20"/>
                <w:szCs w:val="20"/>
              </w:rPr>
              <w:br/>
            </w:r>
            <w:r w:rsidRPr="006E78E0">
              <w:rPr>
                <w:sz w:val="20"/>
                <w:szCs w:val="20"/>
              </w:rPr>
              <w:t>(0.297)</w:t>
            </w:r>
          </w:p>
        </w:tc>
        <w:tc>
          <w:tcPr>
            <w:tcW w:w="1170" w:type="dxa"/>
            <w:tcBorders>
              <w:top w:val="nil"/>
            </w:tcBorders>
            <w:vAlign w:val="center"/>
          </w:tcPr>
          <w:p w:rsidR="00BF1A3B" w:rsidRPr="006E78E0" w:rsidRDefault="00BF1A3B" w:rsidP="00BF1A3B">
            <w:pPr>
              <w:widowControl w:val="0"/>
              <w:tabs>
                <w:tab w:val="decimal" w:pos="306"/>
              </w:tabs>
              <w:autoSpaceDE w:val="0"/>
              <w:autoSpaceDN w:val="0"/>
              <w:adjustRightInd w:val="0"/>
              <w:rPr>
                <w:sz w:val="20"/>
                <w:szCs w:val="20"/>
              </w:rPr>
            </w:pPr>
            <w:r w:rsidRPr="006E78E0">
              <w:rPr>
                <w:sz w:val="20"/>
                <w:szCs w:val="20"/>
              </w:rPr>
              <w:t>1.123**</w:t>
            </w:r>
            <w:r>
              <w:rPr>
                <w:sz w:val="20"/>
                <w:szCs w:val="20"/>
              </w:rPr>
              <w:br/>
            </w:r>
            <w:r w:rsidRPr="006E78E0">
              <w:rPr>
                <w:sz w:val="20"/>
                <w:szCs w:val="20"/>
              </w:rPr>
              <w:t>(0.282)</w:t>
            </w:r>
          </w:p>
        </w:tc>
        <w:tc>
          <w:tcPr>
            <w:tcW w:w="1260" w:type="dxa"/>
            <w:tcBorders>
              <w:top w:val="nil"/>
              <w:bottom w:val="nil"/>
              <w:right w:val="single" w:sz="6" w:space="0" w:color="BFBFBF" w:themeColor="background1" w:themeShade="BF"/>
            </w:tcBorders>
            <w:vAlign w:val="center"/>
          </w:tcPr>
          <w:p w:rsidR="00BF1A3B" w:rsidRPr="006E78E0" w:rsidRDefault="00BF1A3B" w:rsidP="00BF1A3B">
            <w:pPr>
              <w:widowControl w:val="0"/>
              <w:tabs>
                <w:tab w:val="decimal" w:pos="306"/>
              </w:tabs>
              <w:autoSpaceDE w:val="0"/>
              <w:autoSpaceDN w:val="0"/>
              <w:adjustRightInd w:val="0"/>
              <w:rPr>
                <w:sz w:val="20"/>
                <w:szCs w:val="20"/>
              </w:rPr>
            </w:pPr>
            <w:r w:rsidRPr="006E78E0">
              <w:rPr>
                <w:sz w:val="20"/>
                <w:szCs w:val="20"/>
              </w:rPr>
              <w:t>1.096**</w:t>
            </w:r>
            <w:r>
              <w:rPr>
                <w:sz w:val="20"/>
                <w:szCs w:val="20"/>
              </w:rPr>
              <w:br/>
            </w:r>
            <w:r w:rsidRPr="006E78E0">
              <w:rPr>
                <w:sz w:val="20"/>
                <w:szCs w:val="20"/>
              </w:rPr>
              <w:t>(0.292)</w:t>
            </w:r>
          </w:p>
        </w:tc>
        <w:tc>
          <w:tcPr>
            <w:tcW w:w="1314" w:type="dxa"/>
            <w:tcBorders>
              <w:top w:val="nil"/>
              <w:left w:val="single" w:sz="6" w:space="0" w:color="BFBFBF" w:themeColor="background1" w:themeShade="BF"/>
              <w:bottom w:val="nil"/>
              <w:right w:val="nil"/>
            </w:tcBorders>
            <w:vAlign w:val="center"/>
          </w:tcPr>
          <w:p w:rsidR="00BF1A3B" w:rsidRPr="006E78E0" w:rsidRDefault="00BF1A3B" w:rsidP="00BF1A3B">
            <w:pPr>
              <w:widowControl w:val="0"/>
              <w:tabs>
                <w:tab w:val="decimal" w:pos="396"/>
              </w:tabs>
              <w:autoSpaceDE w:val="0"/>
              <w:autoSpaceDN w:val="0"/>
              <w:adjustRightInd w:val="0"/>
              <w:rPr>
                <w:sz w:val="20"/>
                <w:szCs w:val="20"/>
              </w:rPr>
            </w:pPr>
            <w:r w:rsidRPr="006E78E0">
              <w:rPr>
                <w:sz w:val="20"/>
                <w:szCs w:val="20"/>
              </w:rPr>
              <w:t>1.095**</w:t>
            </w:r>
            <w:r>
              <w:rPr>
                <w:sz w:val="20"/>
                <w:szCs w:val="20"/>
              </w:rPr>
              <w:br/>
            </w:r>
            <w:r w:rsidRPr="006E78E0">
              <w:rPr>
                <w:sz w:val="20"/>
                <w:szCs w:val="20"/>
              </w:rPr>
              <w:t>(0.261)</w:t>
            </w:r>
          </w:p>
        </w:tc>
      </w:tr>
      <w:tr w:rsidR="00BF1A3B" w:rsidRPr="006E78E0" w:rsidTr="00BF1A3B">
        <w:trPr>
          <w:trHeight w:val="720"/>
          <w:jc w:val="center"/>
        </w:trPr>
        <w:tc>
          <w:tcPr>
            <w:tcW w:w="2664" w:type="dxa"/>
            <w:tcBorders>
              <w:top w:val="nil"/>
              <w:left w:val="nil"/>
              <w:bottom w:val="nil"/>
            </w:tcBorders>
            <w:vAlign w:val="center"/>
          </w:tcPr>
          <w:p w:rsidR="00BF1A3B" w:rsidRPr="00DD6C1B" w:rsidRDefault="00BF1A3B" w:rsidP="00BF1A3B">
            <w:pPr>
              <w:widowControl w:val="0"/>
              <w:autoSpaceDE w:val="0"/>
              <w:autoSpaceDN w:val="0"/>
              <w:adjustRightInd w:val="0"/>
              <w:ind w:left="180" w:hanging="180"/>
              <w:rPr>
                <w:i/>
                <w:iCs/>
                <w:sz w:val="20"/>
                <w:szCs w:val="20"/>
              </w:rPr>
            </w:pPr>
            <w:r w:rsidRPr="00DD6C1B">
              <w:rPr>
                <w:i/>
                <w:iCs/>
                <w:sz w:val="20"/>
                <w:szCs w:val="20"/>
              </w:rPr>
              <w:t>District Participates in METCO Program</w:t>
            </w:r>
          </w:p>
        </w:tc>
        <w:tc>
          <w:tcPr>
            <w:tcW w:w="1260" w:type="dxa"/>
            <w:tcBorders>
              <w:top w:val="nil"/>
              <w:bottom w:val="nil"/>
            </w:tcBorders>
            <w:vAlign w:val="center"/>
          </w:tcPr>
          <w:p w:rsidR="00BF1A3B" w:rsidRPr="006E78E0" w:rsidRDefault="00BF1A3B" w:rsidP="00BF1A3B">
            <w:pPr>
              <w:widowControl w:val="0"/>
              <w:tabs>
                <w:tab w:val="decimal" w:pos="538"/>
              </w:tabs>
              <w:autoSpaceDE w:val="0"/>
              <w:autoSpaceDN w:val="0"/>
              <w:adjustRightInd w:val="0"/>
              <w:rPr>
                <w:sz w:val="20"/>
                <w:szCs w:val="20"/>
              </w:rPr>
            </w:pPr>
          </w:p>
        </w:tc>
        <w:tc>
          <w:tcPr>
            <w:tcW w:w="1260" w:type="dxa"/>
            <w:vAlign w:val="center"/>
          </w:tcPr>
          <w:p w:rsidR="00BF1A3B" w:rsidRDefault="00BF1A3B" w:rsidP="00BF1A3B">
            <w:pPr>
              <w:widowControl w:val="0"/>
              <w:tabs>
                <w:tab w:val="decimal" w:pos="396"/>
              </w:tabs>
              <w:autoSpaceDE w:val="0"/>
              <w:autoSpaceDN w:val="0"/>
              <w:adjustRightInd w:val="0"/>
              <w:rPr>
                <w:sz w:val="20"/>
                <w:szCs w:val="20"/>
              </w:rPr>
            </w:pPr>
            <w:r w:rsidRPr="006E78E0">
              <w:rPr>
                <w:sz w:val="20"/>
                <w:szCs w:val="20"/>
              </w:rPr>
              <w:t>0.055</w:t>
            </w:r>
          </w:p>
          <w:p w:rsidR="00BF1A3B" w:rsidRPr="006E78E0" w:rsidRDefault="00BF1A3B" w:rsidP="00BF1A3B">
            <w:pPr>
              <w:widowControl w:val="0"/>
              <w:tabs>
                <w:tab w:val="decimal" w:pos="396"/>
              </w:tabs>
              <w:autoSpaceDE w:val="0"/>
              <w:autoSpaceDN w:val="0"/>
              <w:adjustRightInd w:val="0"/>
              <w:rPr>
                <w:sz w:val="20"/>
                <w:szCs w:val="20"/>
              </w:rPr>
            </w:pPr>
            <w:r w:rsidRPr="006E78E0">
              <w:rPr>
                <w:sz w:val="20"/>
                <w:szCs w:val="20"/>
              </w:rPr>
              <w:t>(0.542)</w:t>
            </w:r>
          </w:p>
        </w:tc>
        <w:tc>
          <w:tcPr>
            <w:tcW w:w="1170" w:type="dxa"/>
            <w:vAlign w:val="center"/>
          </w:tcPr>
          <w:p w:rsidR="00BF1A3B" w:rsidRPr="006E78E0" w:rsidRDefault="00BF1A3B" w:rsidP="00BF1A3B">
            <w:pPr>
              <w:widowControl w:val="0"/>
              <w:tabs>
                <w:tab w:val="decimal" w:pos="306"/>
              </w:tabs>
              <w:autoSpaceDE w:val="0"/>
              <w:autoSpaceDN w:val="0"/>
              <w:adjustRightInd w:val="0"/>
              <w:rPr>
                <w:sz w:val="20"/>
                <w:szCs w:val="20"/>
              </w:rPr>
            </w:pPr>
          </w:p>
        </w:tc>
        <w:tc>
          <w:tcPr>
            <w:tcW w:w="1260" w:type="dxa"/>
            <w:tcBorders>
              <w:top w:val="nil"/>
              <w:bottom w:val="nil"/>
              <w:right w:val="single" w:sz="6" w:space="0" w:color="BFBFBF" w:themeColor="background1" w:themeShade="BF"/>
            </w:tcBorders>
            <w:vAlign w:val="center"/>
          </w:tcPr>
          <w:p w:rsidR="00BF1A3B" w:rsidRPr="006E78E0" w:rsidRDefault="00BF1A3B" w:rsidP="00BF1A3B">
            <w:pPr>
              <w:widowControl w:val="0"/>
              <w:tabs>
                <w:tab w:val="decimal" w:pos="306"/>
              </w:tabs>
              <w:autoSpaceDE w:val="0"/>
              <w:autoSpaceDN w:val="0"/>
              <w:adjustRightInd w:val="0"/>
              <w:rPr>
                <w:sz w:val="20"/>
                <w:szCs w:val="20"/>
              </w:rPr>
            </w:pPr>
          </w:p>
        </w:tc>
        <w:tc>
          <w:tcPr>
            <w:tcW w:w="1314" w:type="dxa"/>
            <w:tcBorders>
              <w:top w:val="nil"/>
              <w:left w:val="single" w:sz="6" w:space="0" w:color="BFBFBF" w:themeColor="background1" w:themeShade="BF"/>
              <w:bottom w:val="nil"/>
              <w:right w:val="nil"/>
            </w:tcBorders>
            <w:vAlign w:val="center"/>
          </w:tcPr>
          <w:p w:rsidR="00BF1A3B" w:rsidRPr="006E78E0" w:rsidRDefault="00BF1A3B" w:rsidP="00BF1A3B">
            <w:pPr>
              <w:widowControl w:val="0"/>
              <w:tabs>
                <w:tab w:val="decimal" w:pos="396"/>
              </w:tabs>
              <w:autoSpaceDE w:val="0"/>
              <w:autoSpaceDN w:val="0"/>
              <w:adjustRightInd w:val="0"/>
              <w:rPr>
                <w:sz w:val="20"/>
                <w:szCs w:val="20"/>
              </w:rPr>
            </w:pPr>
          </w:p>
        </w:tc>
      </w:tr>
      <w:tr w:rsidR="00BF1A3B" w:rsidRPr="006E78E0" w:rsidTr="00BF1A3B">
        <w:trPr>
          <w:trHeight w:val="720"/>
          <w:jc w:val="center"/>
        </w:trPr>
        <w:tc>
          <w:tcPr>
            <w:tcW w:w="2664" w:type="dxa"/>
            <w:tcBorders>
              <w:top w:val="nil"/>
              <w:left w:val="nil"/>
              <w:bottom w:val="nil"/>
              <w:right w:val="nil"/>
            </w:tcBorders>
            <w:vAlign w:val="center"/>
          </w:tcPr>
          <w:p w:rsidR="00BF1A3B" w:rsidRPr="00DD6C1B" w:rsidRDefault="00BF1A3B" w:rsidP="00BF1A3B">
            <w:pPr>
              <w:widowControl w:val="0"/>
              <w:tabs>
                <w:tab w:val="decimal" w:pos="538"/>
              </w:tabs>
              <w:autoSpaceDE w:val="0"/>
              <w:autoSpaceDN w:val="0"/>
              <w:adjustRightInd w:val="0"/>
              <w:ind w:left="180" w:hanging="180"/>
              <w:rPr>
                <w:i/>
                <w:iCs/>
                <w:sz w:val="20"/>
                <w:szCs w:val="20"/>
              </w:rPr>
            </w:pPr>
            <w:r w:rsidRPr="00DD6C1B">
              <w:rPr>
                <w:i/>
                <w:iCs/>
                <w:sz w:val="20"/>
                <w:szCs w:val="20"/>
              </w:rPr>
              <w:t>District Percent Students with Limited English Proficiency (square root)</w:t>
            </w:r>
          </w:p>
        </w:tc>
        <w:tc>
          <w:tcPr>
            <w:tcW w:w="1260" w:type="dxa"/>
            <w:tcBorders>
              <w:top w:val="nil"/>
              <w:left w:val="nil"/>
              <w:bottom w:val="nil"/>
            </w:tcBorders>
            <w:vAlign w:val="center"/>
          </w:tcPr>
          <w:p w:rsidR="00BF1A3B" w:rsidRPr="006E78E0" w:rsidRDefault="00BF1A3B" w:rsidP="00BF1A3B">
            <w:pPr>
              <w:widowControl w:val="0"/>
              <w:tabs>
                <w:tab w:val="decimal" w:pos="538"/>
              </w:tabs>
              <w:autoSpaceDE w:val="0"/>
              <w:autoSpaceDN w:val="0"/>
              <w:adjustRightInd w:val="0"/>
              <w:rPr>
                <w:sz w:val="20"/>
                <w:szCs w:val="20"/>
              </w:rPr>
            </w:pPr>
          </w:p>
        </w:tc>
        <w:tc>
          <w:tcPr>
            <w:tcW w:w="1260" w:type="dxa"/>
            <w:vAlign w:val="center"/>
          </w:tcPr>
          <w:p w:rsidR="00BF1A3B" w:rsidRPr="006E78E0" w:rsidRDefault="00BF1A3B" w:rsidP="00BF1A3B">
            <w:pPr>
              <w:widowControl w:val="0"/>
              <w:tabs>
                <w:tab w:val="decimal" w:pos="538"/>
              </w:tabs>
              <w:autoSpaceDE w:val="0"/>
              <w:autoSpaceDN w:val="0"/>
              <w:adjustRightInd w:val="0"/>
              <w:rPr>
                <w:sz w:val="20"/>
                <w:szCs w:val="20"/>
              </w:rPr>
            </w:pPr>
          </w:p>
        </w:tc>
        <w:tc>
          <w:tcPr>
            <w:tcW w:w="1170" w:type="dxa"/>
            <w:vAlign w:val="center"/>
          </w:tcPr>
          <w:p w:rsidR="00BF1A3B" w:rsidRDefault="00BF1A3B" w:rsidP="00BF1A3B">
            <w:pPr>
              <w:widowControl w:val="0"/>
              <w:tabs>
                <w:tab w:val="decimal" w:pos="306"/>
              </w:tabs>
              <w:autoSpaceDE w:val="0"/>
              <w:autoSpaceDN w:val="0"/>
              <w:adjustRightInd w:val="0"/>
              <w:rPr>
                <w:sz w:val="20"/>
                <w:szCs w:val="20"/>
              </w:rPr>
            </w:pPr>
            <w:r w:rsidRPr="006E78E0">
              <w:rPr>
                <w:sz w:val="20"/>
                <w:szCs w:val="20"/>
              </w:rPr>
              <w:t>0.210</w:t>
            </w:r>
          </w:p>
          <w:p w:rsidR="00BF1A3B" w:rsidRPr="006E78E0" w:rsidRDefault="00BF1A3B" w:rsidP="00BF1A3B">
            <w:pPr>
              <w:widowControl w:val="0"/>
              <w:tabs>
                <w:tab w:val="decimal" w:pos="306"/>
              </w:tabs>
              <w:autoSpaceDE w:val="0"/>
              <w:autoSpaceDN w:val="0"/>
              <w:adjustRightInd w:val="0"/>
              <w:rPr>
                <w:sz w:val="20"/>
                <w:szCs w:val="20"/>
              </w:rPr>
            </w:pPr>
            <w:r w:rsidRPr="006E78E0">
              <w:rPr>
                <w:sz w:val="20"/>
                <w:szCs w:val="20"/>
              </w:rPr>
              <w:t>(0.275)</w:t>
            </w:r>
          </w:p>
        </w:tc>
        <w:tc>
          <w:tcPr>
            <w:tcW w:w="1260" w:type="dxa"/>
            <w:tcBorders>
              <w:top w:val="nil"/>
              <w:bottom w:val="nil"/>
              <w:right w:val="single" w:sz="6" w:space="0" w:color="BFBFBF" w:themeColor="background1" w:themeShade="BF"/>
            </w:tcBorders>
            <w:vAlign w:val="center"/>
          </w:tcPr>
          <w:p w:rsidR="00BF1A3B" w:rsidRDefault="00BF1A3B" w:rsidP="00BF1A3B">
            <w:pPr>
              <w:widowControl w:val="0"/>
              <w:tabs>
                <w:tab w:val="decimal" w:pos="306"/>
              </w:tabs>
              <w:autoSpaceDE w:val="0"/>
              <w:autoSpaceDN w:val="0"/>
              <w:adjustRightInd w:val="0"/>
              <w:rPr>
                <w:sz w:val="20"/>
                <w:szCs w:val="20"/>
              </w:rPr>
            </w:pPr>
            <w:r w:rsidRPr="006E78E0">
              <w:rPr>
                <w:sz w:val="20"/>
                <w:szCs w:val="20"/>
              </w:rPr>
              <w:t>0.384</w:t>
            </w:r>
          </w:p>
          <w:p w:rsidR="00BF1A3B" w:rsidRPr="006E78E0" w:rsidRDefault="00BF1A3B" w:rsidP="00BF1A3B">
            <w:pPr>
              <w:widowControl w:val="0"/>
              <w:tabs>
                <w:tab w:val="decimal" w:pos="306"/>
              </w:tabs>
              <w:autoSpaceDE w:val="0"/>
              <w:autoSpaceDN w:val="0"/>
              <w:adjustRightInd w:val="0"/>
              <w:rPr>
                <w:sz w:val="20"/>
                <w:szCs w:val="20"/>
              </w:rPr>
            </w:pPr>
            <w:r w:rsidRPr="006E78E0">
              <w:rPr>
                <w:sz w:val="20"/>
                <w:szCs w:val="20"/>
              </w:rPr>
              <w:t>(0.301)</w:t>
            </w:r>
          </w:p>
        </w:tc>
        <w:tc>
          <w:tcPr>
            <w:tcW w:w="1314" w:type="dxa"/>
            <w:tcBorders>
              <w:top w:val="nil"/>
              <w:left w:val="single" w:sz="6" w:space="0" w:color="BFBFBF" w:themeColor="background1" w:themeShade="BF"/>
              <w:bottom w:val="nil"/>
              <w:right w:val="nil"/>
            </w:tcBorders>
            <w:vAlign w:val="center"/>
          </w:tcPr>
          <w:p w:rsidR="00BF1A3B" w:rsidRPr="006E78E0" w:rsidRDefault="00BF1A3B" w:rsidP="00BF1A3B">
            <w:pPr>
              <w:widowControl w:val="0"/>
              <w:tabs>
                <w:tab w:val="decimal" w:pos="396"/>
              </w:tabs>
              <w:autoSpaceDE w:val="0"/>
              <w:autoSpaceDN w:val="0"/>
              <w:adjustRightInd w:val="0"/>
              <w:rPr>
                <w:sz w:val="20"/>
                <w:szCs w:val="20"/>
              </w:rPr>
            </w:pPr>
          </w:p>
        </w:tc>
      </w:tr>
      <w:tr w:rsidR="00BF1A3B" w:rsidRPr="006E78E0" w:rsidTr="00BF1A3B">
        <w:trPr>
          <w:trHeight w:val="720"/>
          <w:jc w:val="center"/>
        </w:trPr>
        <w:tc>
          <w:tcPr>
            <w:tcW w:w="2664" w:type="dxa"/>
            <w:tcBorders>
              <w:top w:val="nil"/>
              <w:left w:val="nil"/>
              <w:bottom w:val="nil"/>
              <w:right w:val="nil"/>
            </w:tcBorders>
            <w:vAlign w:val="center"/>
          </w:tcPr>
          <w:p w:rsidR="00BF1A3B" w:rsidRPr="00DD6C1B" w:rsidRDefault="00BF1A3B" w:rsidP="00BF1A3B">
            <w:pPr>
              <w:widowControl w:val="0"/>
              <w:tabs>
                <w:tab w:val="decimal" w:pos="538"/>
              </w:tabs>
              <w:autoSpaceDE w:val="0"/>
              <w:autoSpaceDN w:val="0"/>
              <w:adjustRightInd w:val="0"/>
              <w:ind w:left="180" w:hanging="180"/>
              <w:rPr>
                <w:i/>
                <w:iCs/>
                <w:sz w:val="20"/>
                <w:szCs w:val="20"/>
              </w:rPr>
            </w:pPr>
            <w:r w:rsidRPr="00DD6C1B">
              <w:rPr>
                <w:i/>
                <w:iCs/>
                <w:sz w:val="20"/>
                <w:szCs w:val="20"/>
              </w:rPr>
              <w:t>District Enrollment (log</w:t>
            </w:r>
            <w:r w:rsidRPr="00DD6C1B">
              <w:rPr>
                <w:i/>
                <w:iCs/>
                <w:sz w:val="20"/>
                <w:szCs w:val="20"/>
                <w:vertAlign w:val="subscript"/>
              </w:rPr>
              <w:t>2</w:t>
            </w:r>
            <w:r w:rsidRPr="00DD6C1B">
              <w:rPr>
                <w:i/>
                <w:iCs/>
                <w:sz w:val="20"/>
                <w:szCs w:val="20"/>
              </w:rPr>
              <w:t>)</w:t>
            </w:r>
          </w:p>
        </w:tc>
        <w:tc>
          <w:tcPr>
            <w:tcW w:w="1260" w:type="dxa"/>
            <w:tcBorders>
              <w:top w:val="nil"/>
              <w:left w:val="nil"/>
              <w:bottom w:val="nil"/>
            </w:tcBorders>
            <w:vAlign w:val="center"/>
          </w:tcPr>
          <w:p w:rsidR="00BF1A3B" w:rsidRPr="006E78E0" w:rsidRDefault="00BF1A3B" w:rsidP="00BF1A3B">
            <w:pPr>
              <w:widowControl w:val="0"/>
              <w:tabs>
                <w:tab w:val="decimal" w:pos="538"/>
              </w:tabs>
              <w:autoSpaceDE w:val="0"/>
              <w:autoSpaceDN w:val="0"/>
              <w:adjustRightInd w:val="0"/>
              <w:rPr>
                <w:sz w:val="20"/>
                <w:szCs w:val="20"/>
              </w:rPr>
            </w:pPr>
          </w:p>
        </w:tc>
        <w:tc>
          <w:tcPr>
            <w:tcW w:w="1260" w:type="dxa"/>
            <w:vAlign w:val="center"/>
          </w:tcPr>
          <w:p w:rsidR="00BF1A3B" w:rsidRPr="006E78E0" w:rsidRDefault="00BF1A3B" w:rsidP="00BF1A3B">
            <w:pPr>
              <w:widowControl w:val="0"/>
              <w:tabs>
                <w:tab w:val="decimal" w:pos="538"/>
              </w:tabs>
              <w:autoSpaceDE w:val="0"/>
              <w:autoSpaceDN w:val="0"/>
              <w:adjustRightInd w:val="0"/>
              <w:rPr>
                <w:sz w:val="20"/>
                <w:szCs w:val="20"/>
              </w:rPr>
            </w:pPr>
          </w:p>
        </w:tc>
        <w:tc>
          <w:tcPr>
            <w:tcW w:w="1170" w:type="dxa"/>
            <w:vAlign w:val="center"/>
          </w:tcPr>
          <w:p w:rsidR="00BF1A3B" w:rsidRPr="006E78E0" w:rsidRDefault="00BF1A3B" w:rsidP="00BF1A3B">
            <w:pPr>
              <w:widowControl w:val="0"/>
              <w:tabs>
                <w:tab w:val="decimal" w:pos="396"/>
              </w:tabs>
              <w:autoSpaceDE w:val="0"/>
              <w:autoSpaceDN w:val="0"/>
              <w:adjustRightInd w:val="0"/>
              <w:rPr>
                <w:sz w:val="20"/>
                <w:szCs w:val="20"/>
              </w:rPr>
            </w:pPr>
          </w:p>
        </w:tc>
        <w:tc>
          <w:tcPr>
            <w:tcW w:w="1260" w:type="dxa"/>
            <w:tcBorders>
              <w:top w:val="nil"/>
              <w:bottom w:val="nil"/>
              <w:right w:val="single" w:sz="6" w:space="0" w:color="BFBFBF" w:themeColor="background1" w:themeShade="BF"/>
            </w:tcBorders>
            <w:vAlign w:val="center"/>
          </w:tcPr>
          <w:p w:rsidR="00BF1A3B" w:rsidRDefault="00BF1A3B" w:rsidP="00BF1A3B">
            <w:pPr>
              <w:widowControl w:val="0"/>
              <w:tabs>
                <w:tab w:val="decimal" w:pos="306"/>
              </w:tabs>
              <w:autoSpaceDE w:val="0"/>
              <w:autoSpaceDN w:val="0"/>
              <w:adjustRightInd w:val="0"/>
              <w:rPr>
                <w:sz w:val="20"/>
                <w:szCs w:val="20"/>
              </w:rPr>
            </w:pPr>
            <w:r w:rsidRPr="006E78E0">
              <w:rPr>
                <w:sz w:val="20"/>
                <w:szCs w:val="20"/>
              </w:rPr>
              <w:t>-0.255</w:t>
            </w:r>
          </w:p>
          <w:p w:rsidR="00BF1A3B" w:rsidRPr="006E78E0" w:rsidRDefault="00BF1A3B" w:rsidP="00BF1A3B">
            <w:pPr>
              <w:widowControl w:val="0"/>
              <w:tabs>
                <w:tab w:val="decimal" w:pos="306"/>
              </w:tabs>
              <w:autoSpaceDE w:val="0"/>
              <w:autoSpaceDN w:val="0"/>
              <w:adjustRightInd w:val="0"/>
              <w:rPr>
                <w:sz w:val="20"/>
                <w:szCs w:val="20"/>
              </w:rPr>
            </w:pPr>
            <w:r w:rsidRPr="006E78E0">
              <w:rPr>
                <w:sz w:val="20"/>
                <w:szCs w:val="20"/>
              </w:rPr>
              <w:t>(0.372)</w:t>
            </w:r>
          </w:p>
        </w:tc>
        <w:tc>
          <w:tcPr>
            <w:tcW w:w="1314" w:type="dxa"/>
            <w:tcBorders>
              <w:top w:val="nil"/>
              <w:left w:val="single" w:sz="6" w:space="0" w:color="BFBFBF" w:themeColor="background1" w:themeShade="BF"/>
              <w:bottom w:val="nil"/>
              <w:right w:val="nil"/>
            </w:tcBorders>
            <w:vAlign w:val="center"/>
          </w:tcPr>
          <w:p w:rsidR="00BF1A3B" w:rsidRPr="006E78E0" w:rsidRDefault="00BF1A3B" w:rsidP="00BF1A3B">
            <w:pPr>
              <w:widowControl w:val="0"/>
              <w:tabs>
                <w:tab w:val="decimal" w:pos="396"/>
              </w:tabs>
              <w:autoSpaceDE w:val="0"/>
              <w:autoSpaceDN w:val="0"/>
              <w:adjustRightInd w:val="0"/>
              <w:rPr>
                <w:sz w:val="20"/>
                <w:szCs w:val="20"/>
              </w:rPr>
            </w:pPr>
          </w:p>
        </w:tc>
      </w:tr>
      <w:tr w:rsidR="00BF1A3B" w:rsidRPr="006E78E0" w:rsidTr="00BF1A3B">
        <w:trPr>
          <w:trHeight w:val="720"/>
          <w:jc w:val="center"/>
        </w:trPr>
        <w:tc>
          <w:tcPr>
            <w:tcW w:w="2664" w:type="dxa"/>
            <w:tcBorders>
              <w:top w:val="nil"/>
              <w:left w:val="nil"/>
              <w:bottom w:val="nil"/>
              <w:right w:val="nil"/>
            </w:tcBorders>
            <w:vAlign w:val="center"/>
          </w:tcPr>
          <w:p w:rsidR="00BF1A3B" w:rsidRPr="00DD6C1B" w:rsidRDefault="00BF1A3B" w:rsidP="00BF1A3B">
            <w:pPr>
              <w:widowControl w:val="0"/>
              <w:tabs>
                <w:tab w:val="decimal" w:pos="538"/>
              </w:tabs>
              <w:autoSpaceDE w:val="0"/>
              <w:autoSpaceDN w:val="0"/>
              <w:adjustRightInd w:val="0"/>
              <w:ind w:left="180" w:hanging="180"/>
              <w:rPr>
                <w:i/>
                <w:iCs/>
                <w:sz w:val="20"/>
                <w:szCs w:val="20"/>
              </w:rPr>
            </w:pPr>
            <w:r w:rsidRPr="00DD6C1B">
              <w:rPr>
                <w:i/>
                <w:iCs/>
                <w:sz w:val="20"/>
                <w:szCs w:val="20"/>
              </w:rPr>
              <w:t>District is ‘Rural</w:t>
            </w:r>
            <w:r w:rsidRPr="00DD6C1B">
              <w:rPr>
                <w:rStyle w:val="FootnoteReference"/>
                <w:i/>
                <w:iCs/>
                <w:sz w:val="20"/>
                <w:szCs w:val="20"/>
              </w:rPr>
              <w:footnoteReference w:id="26"/>
            </w:r>
            <w:r w:rsidRPr="00DD6C1B">
              <w:rPr>
                <w:i/>
                <w:iCs/>
                <w:sz w:val="20"/>
                <w:szCs w:val="20"/>
              </w:rPr>
              <w:t xml:space="preserve">’ </w:t>
            </w:r>
          </w:p>
        </w:tc>
        <w:tc>
          <w:tcPr>
            <w:tcW w:w="1260" w:type="dxa"/>
            <w:tcBorders>
              <w:top w:val="nil"/>
              <w:left w:val="nil"/>
              <w:bottom w:val="nil"/>
            </w:tcBorders>
            <w:vAlign w:val="center"/>
          </w:tcPr>
          <w:p w:rsidR="00BF1A3B" w:rsidRPr="006E78E0" w:rsidRDefault="00BF1A3B" w:rsidP="00BF1A3B">
            <w:pPr>
              <w:widowControl w:val="0"/>
              <w:tabs>
                <w:tab w:val="decimal" w:pos="538"/>
              </w:tabs>
              <w:autoSpaceDE w:val="0"/>
              <w:autoSpaceDN w:val="0"/>
              <w:adjustRightInd w:val="0"/>
              <w:rPr>
                <w:sz w:val="20"/>
                <w:szCs w:val="20"/>
              </w:rPr>
            </w:pPr>
          </w:p>
        </w:tc>
        <w:tc>
          <w:tcPr>
            <w:tcW w:w="1260" w:type="dxa"/>
            <w:vAlign w:val="center"/>
          </w:tcPr>
          <w:p w:rsidR="00BF1A3B" w:rsidRPr="006E78E0" w:rsidRDefault="00BF1A3B" w:rsidP="00BF1A3B">
            <w:pPr>
              <w:widowControl w:val="0"/>
              <w:tabs>
                <w:tab w:val="decimal" w:pos="460"/>
              </w:tabs>
              <w:autoSpaceDE w:val="0"/>
              <w:autoSpaceDN w:val="0"/>
              <w:adjustRightInd w:val="0"/>
              <w:rPr>
                <w:sz w:val="20"/>
                <w:szCs w:val="20"/>
              </w:rPr>
            </w:pPr>
          </w:p>
        </w:tc>
        <w:tc>
          <w:tcPr>
            <w:tcW w:w="1170" w:type="dxa"/>
            <w:vAlign w:val="center"/>
          </w:tcPr>
          <w:p w:rsidR="00BF1A3B" w:rsidRPr="006E78E0" w:rsidRDefault="00BF1A3B" w:rsidP="00BF1A3B">
            <w:pPr>
              <w:widowControl w:val="0"/>
              <w:tabs>
                <w:tab w:val="decimal" w:pos="396"/>
              </w:tabs>
              <w:autoSpaceDE w:val="0"/>
              <w:autoSpaceDN w:val="0"/>
              <w:adjustRightInd w:val="0"/>
              <w:rPr>
                <w:sz w:val="20"/>
                <w:szCs w:val="20"/>
              </w:rPr>
            </w:pPr>
          </w:p>
        </w:tc>
        <w:tc>
          <w:tcPr>
            <w:tcW w:w="1260" w:type="dxa"/>
            <w:tcBorders>
              <w:top w:val="nil"/>
              <w:bottom w:val="nil"/>
              <w:right w:val="single" w:sz="6" w:space="0" w:color="BFBFBF" w:themeColor="background1" w:themeShade="BF"/>
            </w:tcBorders>
            <w:vAlign w:val="center"/>
          </w:tcPr>
          <w:p w:rsidR="00BF1A3B" w:rsidRDefault="00BF1A3B" w:rsidP="00BF1A3B">
            <w:pPr>
              <w:widowControl w:val="0"/>
              <w:tabs>
                <w:tab w:val="decimal" w:pos="306"/>
              </w:tabs>
              <w:autoSpaceDE w:val="0"/>
              <w:autoSpaceDN w:val="0"/>
              <w:adjustRightInd w:val="0"/>
              <w:rPr>
                <w:sz w:val="20"/>
                <w:szCs w:val="20"/>
              </w:rPr>
            </w:pPr>
            <w:r w:rsidRPr="006E78E0">
              <w:rPr>
                <w:sz w:val="20"/>
                <w:szCs w:val="20"/>
              </w:rPr>
              <w:t>0.570</w:t>
            </w:r>
          </w:p>
          <w:p w:rsidR="00BF1A3B" w:rsidRPr="006E78E0" w:rsidRDefault="00BF1A3B" w:rsidP="00BF1A3B">
            <w:pPr>
              <w:widowControl w:val="0"/>
              <w:tabs>
                <w:tab w:val="decimal" w:pos="306"/>
              </w:tabs>
              <w:autoSpaceDE w:val="0"/>
              <w:autoSpaceDN w:val="0"/>
              <w:adjustRightInd w:val="0"/>
              <w:rPr>
                <w:sz w:val="20"/>
                <w:szCs w:val="20"/>
              </w:rPr>
            </w:pPr>
            <w:r w:rsidRPr="006E78E0">
              <w:rPr>
                <w:sz w:val="20"/>
                <w:szCs w:val="20"/>
              </w:rPr>
              <w:t>(0.424)</w:t>
            </w:r>
          </w:p>
        </w:tc>
        <w:tc>
          <w:tcPr>
            <w:tcW w:w="1314" w:type="dxa"/>
            <w:tcBorders>
              <w:top w:val="nil"/>
              <w:left w:val="single" w:sz="6" w:space="0" w:color="BFBFBF" w:themeColor="background1" w:themeShade="BF"/>
              <w:bottom w:val="nil"/>
              <w:right w:val="nil"/>
            </w:tcBorders>
            <w:vAlign w:val="center"/>
          </w:tcPr>
          <w:p w:rsidR="00BF1A3B" w:rsidRDefault="00BF1A3B" w:rsidP="00BF1A3B">
            <w:pPr>
              <w:widowControl w:val="0"/>
              <w:tabs>
                <w:tab w:val="decimal" w:pos="396"/>
              </w:tabs>
              <w:autoSpaceDE w:val="0"/>
              <w:autoSpaceDN w:val="0"/>
              <w:adjustRightInd w:val="0"/>
              <w:rPr>
                <w:sz w:val="20"/>
                <w:szCs w:val="20"/>
              </w:rPr>
            </w:pPr>
            <w:r w:rsidRPr="006E78E0">
              <w:rPr>
                <w:sz w:val="20"/>
                <w:szCs w:val="20"/>
              </w:rPr>
              <w:t>0.609</w:t>
            </w:r>
          </w:p>
          <w:p w:rsidR="00BF1A3B" w:rsidRPr="006E78E0" w:rsidRDefault="00BF1A3B" w:rsidP="00BF1A3B">
            <w:pPr>
              <w:widowControl w:val="0"/>
              <w:tabs>
                <w:tab w:val="decimal" w:pos="396"/>
              </w:tabs>
              <w:autoSpaceDE w:val="0"/>
              <w:autoSpaceDN w:val="0"/>
              <w:adjustRightInd w:val="0"/>
              <w:rPr>
                <w:sz w:val="20"/>
                <w:szCs w:val="20"/>
              </w:rPr>
            </w:pPr>
            <w:r w:rsidRPr="006E78E0">
              <w:rPr>
                <w:sz w:val="20"/>
                <w:szCs w:val="20"/>
              </w:rPr>
              <w:t>(0.355)</w:t>
            </w:r>
          </w:p>
        </w:tc>
      </w:tr>
      <w:tr w:rsidR="00BF1A3B" w:rsidRPr="006E78E0" w:rsidTr="00BF1A3B">
        <w:trPr>
          <w:trHeight w:val="720"/>
          <w:jc w:val="center"/>
        </w:trPr>
        <w:tc>
          <w:tcPr>
            <w:tcW w:w="2664" w:type="dxa"/>
            <w:tcBorders>
              <w:top w:val="nil"/>
              <w:left w:val="nil"/>
              <w:bottom w:val="nil"/>
              <w:right w:val="nil"/>
            </w:tcBorders>
            <w:vAlign w:val="center"/>
          </w:tcPr>
          <w:p w:rsidR="00BF1A3B" w:rsidRPr="00DD6C1B" w:rsidRDefault="00BF1A3B" w:rsidP="00BF1A3B">
            <w:pPr>
              <w:widowControl w:val="0"/>
              <w:tabs>
                <w:tab w:val="decimal" w:pos="538"/>
              </w:tabs>
              <w:autoSpaceDE w:val="0"/>
              <w:autoSpaceDN w:val="0"/>
              <w:adjustRightInd w:val="0"/>
              <w:ind w:left="180" w:hanging="180"/>
              <w:rPr>
                <w:i/>
                <w:iCs/>
                <w:sz w:val="20"/>
                <w:szCs w:val="20"/>
              </w:rPr>
            </w:pPr>
            <w:r w:rsidRPr="00DD6C1B">
              <w:rPr>
                <w:i/>
                <w:iCs/>
                <w:sz w:val="20"/>
                <w:szCs w:val="20"/>
              </w:rPr>
              <w:t xml:space="preserve">District is ‘Town’ </w:t>
            </w:r>
          </w:p>
        </w:tc>
        <w:tc>
          <w:tcPr>
            <w:tcW w:w="1260" w:type="dxa"/>
            <w:tcBorders>
              <w:top w:val="nil"/>
              <w:left w:val="nil"/>
              <w:bottom w:val="nil"/>
            </w:tcBorders>
            <w:vAlign w:val="center"/>
          </w:tcPr>
          <w:p w:rsidR="00BF1A3B" w:rsidRPr="006E78E0" w:rsidRDefault="00BF1A3B" w:rsidP="00BF1A3B">
            <w:pPr>
              <w:widowControl w:val="0"/>
              <w:tabs>
                <w:tab w:val="decimal" w:pos="538"/>
              </w:tabs>
              <w:autoSpaceDE w:val="0"/>
              <w:autoSpaceDN w:val="0"/>
              <w:adjustRightInd w:val="0"/>
              <w:rPr>
                <w:sz w:val="20"/>
                <w:szCs w:val="20"/>
              </w:rPr>
            </w:pPr>
          </w:p>
        </w:tc>
        <w:tc>
          <w:tcPr>
            <w:tcW w:w="1260" w:type="dxa"/>
            <w:vAlign w:val="center"/>
          </w:tcPr>
          <w:p w:rsidR="00BF1A3B" w:rsidRPr="006E78E0" w:rsidRDefault="00BF1A3B" w:rsidP="00BF1A3B">
            <w:pPr>
              <w:widowControl w:val="0"/>
              <w:tabs>
                <w:tab w:val="decimal" w:pos="538"/>
              </w:tabs>
              <w:autoSpaceDE w:val="0"/>
              <w:autoSpaceDN w:val="0"/>
              <w:adjustRightInd w:val="0"/>
              <w:rPr>
                <w:sz w:val="20"/>
                <w:szCs w:val="20"/>
              </w:rPr>
            </w:pPr>
          </w:p>
        </w:tc>
        <w:tc>
          <w:tcPr>
            <w:tcW w:w="1170" w:type="dxa"/>
            <w:vAlign w:val="center"/>
          </w:tcPr>
          <w:p w:rsidR="00BF1A3B" w:rsidRPr="006E78E0" w:rsidRDefault="00BF1A3B" w:rsidP="00BF1A3B">
            <w:pPr>
              <w:widowControl w:val="0"/>
              <w:tabs>
                <w:tab w:val="decimal" w:pos="396"/>
              </w:tabs>
              <w:autoSpaceDE w:val="0"/>
              <w:autoSpaceDN w:val="0"/>
              <w:adjustRightInd w:val="0"/>
              <w:rPr>
                <w:sz w:val="20"/>
                <w:szCs w:val="20"/>
              </w:rPr>
            </w:pPr>
          </w:p>
        </w:tc>
        <w:tc>
          <w:tcPr>
            <w:tcW w:w="1260" w:type="dxa"/>
            <w:tcBorders>
              <w:top w:val="nil"/>
              <w:bottom w:val="nil"/>
              <w:right w:val="single" w:sz="6" w:space="0" w:color="BFBFBF" w:themeColor="background1" w:themeShade="BF"/>
            </w:tcBorders>
            <w:vAlign w:val="center"/>
          </w:tcPr>
          <w:p w:rsidR="00BF1A3B" w:rsidRDefault="00BF1A3B" w:rsidP="00BF1A3B">
            <w:pPr>
              <w:widowControl w:val="0"/>
              <w:tabs>
                <w:tab w:val="decimal" w:pos="306"/>
              </w:tabs>
              <w:autoSpaceDE w:val="0"/>
              <w:autoSpaceDN w:val="0"/>
              <w:adjustRightInd w:val="0"/>
              <w:rPr>
                <w:sz w:val="20"/>
                <w:szCs w:val="20"/>
              </w:rPr>
            </w:pPr>
            <w:r w:rsidRPr="006E78E0">
              <w:rPr>
                <w:sz w:val="20"/>
                <w:szCs w:val="20"/>
              </w:rPr>
              <w:t>-0.311</w:t>
            </w:r>
          </w:p>
          <w:p w:rsidR="00BF1A3B" w:rsidRPr="006E78E0" w:rsidRDefault="00BF1A3B" w:rsidP="00BF1A3B">
            <w:pPr>
              <w:widowControl w:val="0"/>
              <w:tabs>
                <w:tab w:val="decimal" w:pos="306"/>
              </w:tabs>
              <w:autoSpaceDE w:val="0"/>
              <w:autoSpaceDN w:val="0"/>
              <w:adjustRightInd w:val="0"/>
              <w:rPr>
                <w:sz w:val="20"/>
                <w:szCs w:val="20"/>
              </w:rPr>
            </w:pPr>
            <w:r w:rsidRPr="006E78E0">
              <w:rPr>
                <w:sz w:val="20"/>
                <w:szCs w:val="20"/>
              </w:rPr>
              <w:t>(0.661)</w:t>
            </w:r>
          </w:p>
        </w:tc>
        <w:tc>
          <w:tcPr>
            <w:tcW w:w="1314" w:type="dxa"/>
            <w:tcBorders>
              <w:top w:val="nil"/>
              <w:left w:val="single" w:sz="6" w:space="0" w:color="BFBFBF" w:themeColor="background1" w:themeShade="BF"/>
              <w:bottom w:val="nil"/>
              <w:right w:val="nil"/>
            </w:tcBorders>
            <w:vAlign w:val="center"/>
          </w:tcPr>
          <w:p w:rsidR="00BF1A3B" w:rsidRDefault="00BF1A3B" w:rsidP="00BF1A3B">
            <w:pPr>
              <w:widowControl w:val="0"/>
              <w:tabs>
                <w:tab w:val="decimal" w:pos="396"/>
              </w:tabs>
              <w:autoSpaceDE w:val="0"/>
              <w:autoSpaceDN w:val="0"/>
              <w:adjustRightInd w:val="0"/>
              <w:rPr>
                <w:sz w:val="20"/>
                <w:szCs w:val="20"/>
              </w:rPr>
            </w:pPr>
            <w:r w:rsidRPr="006E78E0">
              <w:rPr>
                <w:sz w:val="20"/>
                <w:szCs w:val="20"/>
              </w:rPr>
              <w:t>-0.139</w:t>
            </w:r>
          </w:p>
          <w:p w:rsidR="00BF1A3B" w:rsidRPr="006E78E0" w:rsidRDefault="00BF1A3B" w:rsidP="00BF1A3B">
            <w:pPr>
              <w:widowControl w:val="0"/>
              <w:tabs>
                <w:tab w:val="decimal" w:pos="396"/>
              </w:tabs>
              <w:autoSpaceDE w:val="0"/>
              <w:autoSpaceDN w:val="0"/>
              <w:adjustRightInd w:val="0"/>
              <w:rPr>
                <w:sz w:val="20"/>
                <w:szCs w:val="20"/>
              </w:rPr>
            </w:pPr>
            <w:r w:rsidRPr="006E78E0">
              <w:rPr>
                <w:sz w:val="20"/>
                <w:szCs w:val="20"/>
              </w:rPr>
              <w:t>(0.600)</w:t>
            </w:r>
          </w:p>
        </w:tc>
      </w:tr>
      <w:tr w:rsidR="00BF1A3B" w:rsidRPr="006E78E0" w:rsidTr="00BF1A3B">
        <w:trPr>
          <w:trHeight w:val="720"/>
          <w:jc w:val="center"/>
        </w:trPr>
        <w:tc>
          <w:tcPr>
            <w:tcW w:w="2664" w:type="dxa"/>
            <w:tcBorders>
              <w:top w:val="nil"/>
              <w:left w:val="nil"/>
              <w:bottom w:val="nil"/>
              <w:right w:val="nil"/>
            </w:tcBorders>
            <w:vAlign w:val="center"/>
          </w:tcPr>
          <w:p w:rsidR="00BF1A3B" w:rsidRPr="00DD6C1B" w:rsidRDefault="00BF1A3B" w:rsidP="00BF1A3B">
            <w:pPr>
              <w:widowControl w:val="0"/>
              <w:tabs>
                <w:tab w:val="decimal" w:pos="538"/>
              </w:tabs>
              <w:autoSpaceDE w:val="0"/>
              <w:autoSpaceDN w:val="0"/>
              <w:adjustRightInd w:val="0"/>
              <w:ind w:left="180" w:hanging="180"/>
              <w:rPr>
                <w:i/>
                <w:iCs/>
                <w:sz w:val="20"/>
                <w:szCs w:val="20"/>
              </w:rPr>
            </w:pPr>
            <w:r w:rsidRPr="00DD6C1B">
              <w:rPr>
                <w:i/>
                <w:iCs/>
                <w:sz w:val="20"/>
                <w:szCs w:val="20"/>
              </w:rPr>
              <w:t xml:space="preserve">District is ‘City’ </w:t>
            </w:r>
          </w:p>
        </w:tc>
        <w:tc>
          <w:tcPr>
            <w:tcW w:w="1260" w:type="dxa"/>
            <w:tcBorders>
              <w:top w:val="nil"/>
              <w:left w:val="nil"/>
              <w:bottom w:val="nil"/>
            </w:tcBorders>
            <w:vAlign w:val="center"/>
          </w:tcPr>
          <w:p w:rsidR="00BF1A3B" w:rsidRPr="006E78E0" w:rsidRDefault="00BF1A3B" w:rsidP="00BF1A3B">
            <w:pPr>
              <w:widowControl w:val="0"/>
              <w:tabs>
                <w:tab w:val="decimal" w:pos="538"/>
              </w:tabs>
              <w:autoSpaceDE w:val="0"/>
              <w:autoSpaceDN w:val="0"/>
              <w:adjustRightInd w:val="0"/>
              <w:rPr>
                <w:sz w:val="20"/>
                <w:szCs w:val="20"/>
              </w:rPr>
            </w:pPr>
          </w:p>
        </w:tc>
        <w:tc>
          <w:tcPr>
            <w:tcW w:w="1260" w:type="dxa"/>
            <w:vAlign w:val="center"/>
          </w:tcPr>
          <w:p w:rsidR="00BF1A3B" w:rsidRPr="006E78E0" w:rsidRDefault="00BF1A3B" w:rsidP="00BF1A3B">
            <w:pPr>
              <w:widowControl w:val="0"/>
              <w:tabs>
                <w:tab w:val="decimal" w:pos="538"/>
              </w:tabs>
              <w:autoSpaceDE w:val="0"/>
              <w:autoSpaceDN w:val="0"/>
              <w:adjustRightInd w:val="0"/>
              <w:rPr>
                <w:sz w:val="20"/>
                <w:szCs w:val="20"/>
              </w:rPr>
            </w:pPr>
          </w:p>
        </w:tc>
        <w:tc>
          <w:tcPr>
            <w:tcW w:w="1170" w:type="dxa"/>
            <w:vAlign w:val="center"/>
          </w:tcPr>
          <w:p w:rsidR="00BF1A3B" w:rsidRPr="006E78E0" w:rsidRDefault="00BF1A3B" w:rsidP="00BF1A3B">
            <w:pPr>
              <w:widowControl w:val="0"/>
              <w:tabs>
                <w:tab w:val="decimal" w:pos="396"/>
              </w:tabs>
              <w:autoSpaceDE w:val="0"/>
              <w:autoSpaceDN w:val="0"/>
              <w:adjustRightInd w:val="0"/>
              <w:rPr>
                <w:sz w:val="20"/>
                <w:szCs w:val="20"/>
              </w:rPr>
            </w:pPr>
          </w:p>
        </w:tc>
        <w:tc>
          <w:tcPr>
            <w:tcW w:w="1260" w:type="dxa"/>
            <w:tcBorders>
              <w:top w:val="nil"/>
              <w:bottom w:val="nil"/>
              <w:right w:val="single" w:sz="6" w:space="0" w:color="BFBFBF" w:themeColor="background1" w:themeShade="BF"/>
            </w:tcBorders>
            <w:vAlign w:val="center"/>
          </w:tcPr>
          <w:p w:rsidR="00BF1A3B" w:rsidRDefault="00BF1A3B" w:rsidP="00BF1A3B">
            <w:pPr>
              <w:widowControl w:val="0"/>
              <w:tabs>
                <w:tab w:val="decimal" w:pos="306"/>
              </w:tabs>
              <w:autoSpaceDE w:val="0"/>
              <w:autoSpaceDN w:val="0"/>
              <w:adjustRightInd w:val="0"/>
              <w:rPr>
                <w:sz w:val="20"/>
                <w:szCs w:val="20"/>
              </w:rPr>
            </w:pPr>
            <w:r w:rsidRPr="006E78E0">
              <w:rPr>
                <w:sz w:val="20"/>
                <w:szCs w:val="20"/>
              </w:rPr>
              <w:t>-0.075</w:t>
            </w:r>
          </w:p>
          <w:p w:rsidR="00BF1A3B" w:rsidRPr="006E78E0" w:rsidRDefault="00BF1A3B" w:rsidP="00BF1A3B">
            <w:pPr>
              <w:widowControl w:val="0"/>
              <w:tabs>
                <w:tab w:val="decimal" w:pos="306"/>
              </w:tabs>
              <w:autoSpaceDE w:val="0"/>
              <w:autoSpaceDN w:val="0"/>
              <w:adjustRightInd w:val="0"/>
              <w:rPr>
                <w:sz w:val="20"/>
                <w:szCs w:val="20"/>
              </w:rPr>
            </w:pPr>
            <w:r w:rsidRPr="006E78E0">
              <w:rPr>
                <w:sz w:val="20"/>
                <w:szCs w:val="20"/>
              </w:rPr>
              <w:t>(0.837)</w:t>
            </w:r>
          </w:p>
        </w:tc>
        <w:tc>
          <w:tcPr>
            <w:tcW w:w="1314" w:type="dxa"/>
            <w:tcBorders>
              <w:top w:val="nil"/>
              <w:left w:val="single" w:sz="6" w:space="0" w:color="BFBFBF" w:themeColor="background1" w:themeShade="BF"/>
              <w:bottom w:val="nil"/>
              <w:right w:val="nil"/>
            </w:tcBorders>
            <w:vAlign w:val="center"/>
          </w:tcPr>
          <w:p w:rsidR="00BF1A3B" w:rsidRDefault="00BF1A3B" w:rsidP="00BF1A3B">
            <w:pPr>
              <w:widowControl w:val="0"/>
              <w:tabs>
                <w:tab w:val="decimal" w:pos="396"/>
              </w:tabs>
              <w:autoSpaceDE w:val="0"/>
              <w:autoSpaceDN w:val="0"/>
              <w:adjustRightInd w:val="0"/>
              <w:rPr>
                <w:sz w:val="20"/>
                <w:szCs w:val="20"/>
              </w:rPr>
            </w:pPr>
            <w:r w:rsidRPr="006E78E0">
              <w:rPr>
                <w:sz w:val="20"/>
                <w:szCs w:val="20"/>
              </w:rPr>
              <w:t>-0.232</w:t>
            </w:r>
          </w:p>
          <w:p w:rsidR="00BF1A3B" w:rsidRPr="006E78E0" w:rsidRDefault="00BF1A3B" w:rsidP="00BF1A3B">
            <w:pPr>
              <w:widowControl w:val="0"/>
              <w:tabs>
                <w:tab w:val="decimal" w:pos="396"/>
              </w:tabs>
              <w:autoSpaceDE w:val="0"/>
              <w:autoSpaceDN w:val="0"/>
              <w:adjustRightInd w:val="0"/>
              <w:rPr>
                <w:sz w:val="20"/>
                <w:szCs w:val="20"/>
              </w:rPr>
            </w:pPr>
            <w:r w:rsidRPr="006E78E0">
              <w:rPr>
                <w:sz w:val="20"/>
                <w:szCs w:val="20"/>
              </w:rPr>
              <w:t>(0.777)</w:t>
            </w:r>
          </w:p>
        </w:tc>
      </w:tr>
      <w:tr w:rsidR="00BF1A3B" w:rsidRPr="006E78E0" w:rsidTr="00BF1A3B">
        <w:trPr>
          <w:trHeight w:val="720"/>
          <w:jc w:val="center"/>
        </w:trPr>
        <w:tc>
          <w:tcPr>
            <w:tcW w:w="2664" w:type="dxa"/>
            <w:tcBorders>
              <w:top w:val="nil"/>
              <w:left w:val="nil"/>
              <w:bottom w:val="nil"/>
              <w:right w:val="nil"/>
            </w:tcBorders>
            <w:vAlign w:val="center"/>
          </w:tcPr>
          <w:p w:rsidR="00BF1A3B" w:rsidRPr="00DD6C1B" w:rsidRDefault="00BF1A3B" w:rsidP="00BF1A3B">
            <w:pPr>
              <w:widowControl w:val="0"/>
              <w:tabs>
                <w:tab w:val="decimal" w:pos="538"/>
              </w:tabs>
              <w:autoSpaceDE w:val="0"/>
              <w:autoSpaceDN w:val="0"/>
              <w:adjustRightInd w:val="0"/>
              <w:ind w:left="180" w:hanging="180"/>
              <w:rPr>
                <w:i/>
                <w:iCs/>
                <w:sz w:val="20"/>
                <w:szCs w:val="20"/>
              </w:rPr>
            </w:pPr>
            <w:r w:rsidRPr="00DD6C1B">
              <w:rPr>
                <w:i/>
                <w:iCs/>
                <w:sz w:val="20"/>
                <w:szCs w:val="20"/>
              </w:rPr>
              <w:t>District Percent Elementary Schools</w:t>
            </w:r>
          </w:p>
        </w:tc>
        <w:tc>
          <w:tcPr>
            <w:tcW w:w="1260" w:type="dxa"/>
            <w:tcBorders>
              <w:top w:val="nil"/>
              <w:left w:val="nil"/>
              <w:bottom w:val="nil"/>
            </w:tcBorders>
            <w:vAlign w:val="center"/>
          </w:tcPr>
          <w:p w:rsidR="00BF1A3B" w:rsidRPr="006E78E0" w:rsidRDefault="00BF1A3B" w:rsidP="00BF1A3B">
            <w:pPr>
              <w:widowControl w:val="0"/>
              <w:tabs>
                <w:tab w:val="decimal" w:pos="538"/>
              </w:tabs>
              <w:autoSpaceDE w:val="0"/>
              <w:autoSpaceDN w:val="0"/>
              <w:adjustRightInd w:val="0"/>
              <w:rPr>
                <w:sz w:val="20"/>
                <w:szCs w:val="20"/>
              </w:rPr>
            </w:pPr>
          </w:p>
        </w:tc>
        <w:tc>
          <w:tcPr>
            <w:tcW w:w="1260" w:type="dxa"/>
            <w:vAlign w:val="center"/>
          </w:tcPr>
          <w:p w:rsidR="00BF1A3B" w:rsidRPr="006E78E0" w:rsidRDefault="00BF1A3B" w:rsidP="00BF1A3B">
            <w:pPr>
              <w:widowControl w:val="0"/>
              <w:tabs>
                <w:tab w:val="decimal" w:pos="538"/>
              </w:tabs>
              <w:autoSpaceDE w:val="0"/>
              <w:autoSpaceDN w:val="0"/>
              <w:adjustRightInd w:val="0"/>
              <w:rPr>
                <w:sz w:val="20"/>
                <w:szCs w:val="20"/>
              </w:rPr>
            </w:pPr>
          </w:p>
        </w:tc>
        <w:tc>
          <w:tcPr>
            <w:tcW w:w="1170" w:type="dxa"/>
            <w:vAlign w:val="center"/>
          </w:tcPr>
          <w:p w:rsidR="00BF1A3B" w:rsidRPr="006E78E0" w:rsidRDefault="00BF1A3B" w:rsidP="00BF1A3B">
            <w:pPr>
              <w:widowControl w:val="0"/>
              <w:tabs>
                <w:tab w:val="decimal" w:pos="396"/>
              </w:tabs>
              <w:autoSpaceDE w:val="0"/>
              <w:autoSpaceDN w:val="0"/>
              <w:adjustRightInd w:val="0"/>
              <w:rPr>
                <w:sz w:val="20"/>
                <w:szCs w:val="20"/>
              </w:rPr>
            </w:pPr>
          </w:p>
        </w:tc>
        <w:tc>
          <w:tcPr>
            <w:tcW w:w="1260" w:type="dxa"/>
            <w:tcBorders>
              <w:top w:val="nil"/>
              <w:bottom w:val="nil"/>
              <w:right w:val="single" w:sz="6" w:space="0" w:color="BFBFBF" w:themeColor="background1" w:themeShade="BF"/>
            </w:tcBorders>
            <w:vAlign w:val="center"/>
          </w:tcPr>
          <w:p w:rsidR="00BF1A3B" w:rsidRDefault="00BF1A3B" w:rsidP="00BF1A3B">
            <w:pPr>
              <w:widowControl w:val="0"/>
              <w:tabs>
                <w:tab w:val="decimal" w:pos="306"/>
              </w:tabs>
              <w:autoSpaceDE w:val="0"/>
              <w:autoSpaceDN w:val="0"/>
              <w:adjustRightInd w:val="0"/>
              <w:rPr>
                <w:sz w:val="20"/>
                <w:szCs w:val="20"/>
              </w:rPr>
            </w:pPr>
            <w:r w:rsidRPr="006E78E0">
              <w:rPr>
                <w:sz w:val="20"/>
                <w:szCs w:val="20"/>
              </w:rPr>
              <w:t>-0.005</w:t>
            </w:r>
          </w:p>
          <w:p w:rsidR="00BF1A3B" w:rsidRPr="006E78E0" w:rsidRDefault="00BF1A3B" w:rsidP="00BF1A3B">
            <w:pPr>
              <w:widowControl w:val="0"/>
              <w:tabs>
                <w:tab w:val="decimal" w:pos="306"/>
              </w:tabs>
              <w:autoSpaceDE w:val="0"/>
              <w:autoSpaceDN w:val="0"/>
              <w:adjustRightInd w:val="0"/>
              <w:rPr>
                <w:sz w:val="20"/>
                <w:szCs w:val="20"/>
              </w:rPr>
            </w:pPr>
            <w:r w:rsidRPr="006E78E0">
              <w:rPr>
                <w:sz w:val="20"/>
                <w:szCs w:val="20"/>
              </w:rPr>
              <w:t>(0.008)</w:t>
            </w:r>
          </w:p>
        </w:tc>
        <w:tc>
          <w:tcPr>
            <w:tcW w:w="1314" w:type="dxa"/>
            <w:tcBorders>
              <w:top w:val="nil"/>
              <w:left w:val="single" w:sz="6" w:space="0" w:color="BFBFBF" w:themeColor="background1" w:themeShade="BF"/>
              <w:bottom w:val="nil"/>
              <w:right w:val="nil"/>
            </w:tcBorders>
            <w:vAlign w:val="center"/>
          </w:tcPr>
          <w:p w:rsidR="00BF1A3B" w:rsidRPr="006E78E0" w:rsidRDefault="00BF1A3B" w:rsidP="00BF1A3B">
            <w:pPr>
              <w:widowControl w:val="0"/>
              <w:tabs>
                <w:tab w:val="decimal" w:pos="538"/>
              </w:tabs>
              <w:autoSpaceDE w:val="0"/>
              <w:autoSpaceDN w:val="0"/>
              <w:adjustRightInd w:val="0"/>
              <w:rPr>
                <w:sz w:val="20"/>
                <w:szCs w:val="20"/>
              </w:rPr>
            </w:pPr>
          </w:p>
        </w:tc>
      </w:tr>
      <w:tr w:rsidR="00BF1A3B" w:rsidRPr="006E78E0" w:rsidTr="00BF1A3B">
        <w:trPr>
          <w:jc w:val="center"/>
        </w:trPr>
        <w:tc>
          <w:tcPr>
            <w:tcW w:w="2664" w:type="dxa"/>
            <w:tcBorders>
              <w:left w:val="nil"/>
            </w:tcBorders>
            <w:vAlign w:val="center"/>
          </w:tcPr>
          <w:p w:rsidR="00BF1A3B" w:rsidRPr="006E78E0" w:rsidRDefault="00BF1A3B" w:rsidP="00BF1A3B">
            <w:pPr>
              <w:widowControl w:val="0"/>
              <w:autoSpaceDE w:val="0"/>
              <w:autoSpaceDN w:val="0"/>
              <w:adjustRightInd w:val="0"/>
              <w:rPr>
                <w:sz w:val="20"/>
                <w:szCs w:val="20"/>
              </w:rPr>
            </w:pPr>
          </w:p>
        </w:tc>
        <w:tc>
          <w:tcPr>
            <w:tcW w:w="1260" w:type="dxa"/>
            <w:vAlign w:val="center"/>
          </w:tcPr>
          <w:p w:rsidR="00BF1A3B" w:rsidRPr="006E78E0" w:rsidRDefault="00BF1A3B" w:rsidP="00BF1A3B">
            <w:pPr>
              <w:widowControl w:val="0"/>
              <w:tabs>
                <w:tab w:val="decimal" w:pos="538"/>
              </w:tabs>
              <w:autoSpaceDE w:val="0"/>
              <w:autoSpaceDN w:val="0"/>
              <w:adjustRightInd w:val="0"/>
              <w:rPr>
                <w:sz w:val="20"/>
                <w:szCs w:val="20"/>
              </w:rPr>
            </w:pPr>
          </w:p>
        </w:tc>
        <w:tc>
          <w:tcPr>
            <w:tcW w:w="1260" w:type="dxa"/>
            <w:vAlign w:val="center"/>
          </w:tcPr>
          <w:p w:rsidR="00BF1A3B" w:rsidRPr="006E78E0" w:rsidRDefault="00BF1A3B" w:rsidP="00BF1A3B">
            <w:pPr>
              <w:widowControl w:val="0"/>
              <w:tabs>
                <w:tab w:val="decimal" w:pos="538"/>
              </w:tabs>
              <w:autoSpaceDE w:val="0"/>
              <w:autoSpaceDN w:val="0"/>
              <w:adjustRightInd w:val="0"/>
              <w:rPr>
                <w:sz w:val="20"/>
                <w:szCs w:val="20"/>
              </w:rPr>
            </w:pPr>
          </w:p>
        </w:tc>
        <w:tc>
          <w:tcPr>
            <w:tcW w:w="1170" w:type="dxa"/>
            <w:vAlign w:val="center"/>
          </w:tcPr>
          <w:p w:rsidR="00BF1A3B" w:rsidRPr="006E78E0" w:rsidRDefault="00BF1A3B" w:rsidP="00BF1A3B">
            <w:pPr>
              <w:widowControl w:val="0"/>
              <w:tabs>
                <w:tab w:val="decimal" w:pos="538"/>
              </w:tabs>
              <w:autoSpaceDE w:val="0"/>
              <w:autoSpaceDN w:val="0"/>
              <w:adjustRightInd w:val="0"/>
              <w:rPr>
                <w:sz w:val="20"/>
                <w:szCs w:val="20"/>
              </w:rPr>
            </w:pPr>
          </w:p>
        </w:tc>
        <w:tc>
          <w:tcPr>
            <w:tcW w:w="1260" w:type="dxa"/>
            <w:tcBorders>
              <w:top w:val="nil"/>
              <w:bottom w:val="nil"/>
              <w:right w:val="single" w:sz="6" w:space="0" w:color="BFBFBF" w:themeColor="background1" w:themeShade="BF"/>
            </w:tcBorders>
            <w:vAlign w:val="center"/>
          </w:tcPr>
          <w:p w:rsidR="00BF1A3B" w:rsidRPr="006E78E0" w:rsidRDefault="00BF1A3B" w:rsidP="00BF1A3B">
            <w:pPr>
              <w:widowControl w:val="0"/>
              <w:tabs>
                <w:tab w:val="decimal" w:pos="538"/>
              </w:tabs>
              <w:autoSpaceDE w:val="0"/>
              <w:autoSpaceDN w:val="0"/>
              <w:adjustRightInd w:val="0"/>
              <w:rPr>
                <w:sz w:val="20"/>
                <w:szCs w:val="20"/>
              </w:rPr>
            </w:pPr>
          </w:p>
        </w:tc>
        <w:tc>
          <w:tcPr>
            <w:tcW w:w="1314" w:type="dxa"/>
            <w:tcBorders>
              <w:top w:val="nil"/>
              <w:left w:val="single" w:sz="6" w:space="0" w:color="BFBFBF" w:themeColor="background1" w:themeShade="BF"/>
              <w:bottom w:val="nil"/>
              <w:right w:val="nil"/>
            </w:tcBorders>
            <w:vAlign w:val="center"/>
          </w:tcPr>
          <w:p w:rsidR="00BF1A3B" w:rsidRPr="006E78E0" w:rsidRDefault="00BF1A3B" w:rsidP="00BF1A3B">
            <w:pPr>
              <w:widowControl w:val="0"/>
              <w:tabs>
                <w:tab w:val="decimal" w:pos="538"/>
              </w:tabs>
              <w:autoSpaceDE w:val="0"/>
              <w:autoSpaceDN w:val="0"/>
              <w:adjustRightInd w:val="0"/>
              <w:rPr>
                <w:sz w:val="20"/>
                <w:szCs w:val="20"/>
              </w:rPr>
            </w:pPr>
          </w:p>
        </w:tc>
      </w:tr>
      <w:tr w:rsidR="00BF1A3B" w:rsidRPr="006E78E0" w:rsidTr="00BF1A3B">
        <w:trPr>
          <w:jc w:val="center"/>
        </w:trPr>
        <w:tc>
          <w:tcPr>
            <w:tcW w:w="2664" w:type="dxa"/>
            <w:tcBorders>
              <w:left w:val="nil"/>
            </w:tcBorders>
            <w:vAlign w:val="center"/>
          </w:tcPr>
          <w:p w:rsidR="00BF1A3B" w:rsidRPr="006E78E0" w:rsidRDefault="00BF1A3B" w:rsidP="00BF1A3B">
            <w:pPr>
              <w:widowControl w:val="0"/>
              <w:autoSpaceDE w:val="0"/>
              <w:autoSpaceDN w:val="0"/>
              <w:adjustRightInd w:val="0"/>
              <w:rPr>
                <w:sz w:val="20"/>
                <w:szCs w:val="20"/>
              </w:rPr>
            </w:pPr>
            <w:r w:rsidRPr="006E78E0">
              <w:rPr>
                <w:i/>
                <w:iCs/>
                <w:sz w:val="20"/>
                <w:szCs w:val="20"/>
              </w:rPr>
              <w:t>R</w:t>
            </w:r>
            <w:r w:rsidRPr="006E78E0">
              <w:rPr>
                <w:i/>
                <w:iCs/>
                <w:sz w:val="20"/>
                <w:szCs w:val="20"/>
                <w:vertAlign w:val="superscript"/>
              </w:rPr>
              <w:t>2</w:t>
            </w:r>
          </w:p>
        </w:tc>
        <w:tc>
          <w:tcPr>
            <w:tcW w:w="1260" w:type="dxa"/>
            <w:vAlign w:val="center"/>
          </w:tcPr>
          <w:p w:rsidR="00BF1A3B" w:rsidRPr="006E78E0" w:rsidRDefault="00BF1A3B" w:rsidP="00BF1A3B">
            <w:pPr>
              <w:widowControl w:val="0"/>
              <w:autoSpaceDE w:val="0"/>
              <w:autoSpaceDN w:val="0"/>
              <w:adjustRightInd w:val="0"/>
              <w:jc w:val="center"/>
              <w:rPr>
                <w:sz w:val="20"/>
                <w:szCs w:val="20"/>
              </w:rPr>
            </w:pPr>
            <w:r w:rsidRPr="006E78E0">
              <w:rPr>
                <w:sz w:val="20"/>
                <w:szCs w:val="20"/>
              </w:rPr>
              <w:t>0.000</w:t>
            </w:r>
          </w:p>
        </w:tc>
        <w:tc>
          <w:tcPr>
            <w:tcW w:w="1260" w:type="dxa"/>
            <w:vAlign w:val="center"/>
          </w:tcPr>
          <w:p w:rsidR="00BF1A3B" w:rsidRPr="006E78E0" w:rsidRDefault="00BF1A3B" w:rsidP="00BF1A3B">
            <w:pPr>
              <w:widowControl w:val="0"/>
              <w:autoSpaceDE w:val="0"/>
              <w:autoSpaceDN w:val="0"/>
              <w:adjustRightInd w:val="0"/>
              <w:jc w:val="center"/>
              <w:rPr>
                <w:sz w:val="20"/>
                <w:szCs w:val="20"/>
              </w:rPr>
            </w:pPr>
            <w:r w:rsidRPr="006E78E0">
              <w:rPr>
                <w:sz w:val="20"/>
                <w:szCs w:val="20"/>
              </w:rPr>
              <w:t>0.057</w:t>
            </w:r>
          </w:p>
        </w:tc>
        <w:tc>
          <w:tcPr>
            <w:tcW w:w="1170" w:type="dxa"/>
            <w:vAlign w:val="center"/>
          </w:tcPr>
          <w:p w:rsidR="00BF1A3B" w:rsidRPr="006E78E0" w:rsidRDefault="00BF1A3B" w:rsidP="00BF1A3B">
            <w:pPr>
              <w:widowControl w:val="0"/>
              <w:autoSpaceDE w:val="0"/>
              <w:autoSpaceDN w:val="0"/>
              <w:adjustRightInd w:val="0"/>
              <w:jc w:val="center"/>
              <w:rPr>
                <w:sz w:val="20"/>
                <w:szCs w:val="20"/>
              </w:rPr>
            </w:pPr>
            <w:r w:rsidRPr="006E78E0">
              <w:rPr>
                <w:sz w:val="20"/>
                <w:szCs w:val="20"/>
              </w:rPr>
              <w:t>0.059</w:t>
            </w:r>
          </w:p>
        </w:tc>
        <w:tc>
          <w:tcPr>
            <w:tcW w:w="1260" w:type="dxa"/>
            <w:tcBorders>
              <w:top w:val="nil"/>
              <w:bottom w:val="nil"/>
              <w:right w:val="single" w:sz="6" w:space="0" w:color="BFBFBF" w:themeColor="background1" w:themeShade="BF"/>
            </w:tcBorders>
            <w:vAlign w:val="center"/>
          </w:tcPr>
          <w:p w:rsidR="00BF1A3B" w:rsidRPr="006E78E0" w:rsidRDefault="00BF1A3B" w:rsidP="00BF1A3B">
            <w:pPr>
              <w:widowControl w:val="0"/>
              <w:autoSpaceDE w:val="0"/>
              <w:autoSpaceDN w:val="0"/>
              <w:adjustRightInd w:val="0"/>
              <w:jc w:val="center"/>
              <w:rPr>
                <w:sz w:val="20"/>
                <w:szCs w:val="20"/>
              </w:rPr>
            </w:pPr>
            <w:r w:rsidRPr="006E78E0">
              <w:rPr>
                <w:sz w:val="20"/>
                <w:szCs w:val="20"/>
              </w:rPr>
              <w:t>0.072</w:t>
            </w:r>
          </w:p>
        </w:tc>
        <w:tc>
          <w:tcPr>
            <w:tcW w:w="1314" w:type="dxa"/>
            <w:tcBorders>
              <w:top w:val="nil"/>
              <w:left w:val="single" w:sz="6" w:space="0" w:color="BFBFBF" w:themeColor="background1" w:themeShade="BF"/>
              <w:bottom w:val="nil"/>
              <w:right w:val="nil"/>
            </w:tcBorders>
            <w:vAlign w:val="center"/>
          </w:tcPr>
          <w:p w:rsidR="00BF1A3B" w:rsidRPr="006E78E0" w:rsidRDefault="00BF1A3B" w:rsidP="00BF1A3B">
            <w:pPr>
              <w:widowControl w:val="0"/>
              <w:autoSpaceDE w:val="0"/>
              <w:autoSpaceDN w:val="0"/>
              <w:adjustRightInd w:val="0"/>
              <w:jc w:val="center"/>
              <w:rPr>
                <w:sz w:val="20"/>
                <w:szCs w:val="20"/>
              </w:rPr>
            </w:pPr>
            <w:r w:rsidRPr="006E78E0">
              <w:rPr>
                <w:sz w:val="20"/>
                <w:szCs w:val="20"/>
              </w:rPr>
              <w:t>0.065</w:t>
            </w:r>
          </w:p>
        </w:tc>
      </w:tr>
      <w:tr w:rsidR="00BF1A3B" w:rsidRPr="006E78E0" w:rsidTr="00BF1A3B">
        <w:trPr>
          <w:jc w:val="center"/>
        </w:trPr>
        <w:tc>
          <w:tcPr>
            <w:tcW w:w="2664" w:type="dxa"/>
            <w:tcBorders>
              <w:left w:val="nil"/>
            </w:tcBorders>
            <w:vAlign w:val="center"/>
          </w:tcPr>
          <w:p w:rsidR="00BF1A3B" w:rsidRPr="006E78E0" w:rsidRDefault="00BF1A3B" w:rsidP="00BF1A3B">
            <w:pPr>
              <w:widowControl w:val="0"/>
              <w:autoSpaceDE w:val="0"/>
              <w:autoSpaceDN w:val="0"/>
              <w:adjustRightInd w:val="0"/>
              <w:rPr>
                <w:sz w:val="20"/>
                <w:szCs w:val="20"/>
              </w:rPr>
            </w:pPr>
            <w:r w:rsidRPr="006E78E0">
              <w:rPr>
                <w:i/>
                <w:iCs/>
                <w:sz w:val="20"/>
                <w:szCs w:val="20"/>
              </w:rPr>
              <w:t>N</w:t>
            </w:r>
          </w:p>
        </w:tc>
        <w:tc>
          <w:tcPr>
            <w:tcW w:w="1260" w:type="dxa"/>
            <w:vAlign w:val="center"/>
          </w:tcPr>
          <w:p w:rsidR="00BF1A3B" w:rsidRPr="006E78E0" w:rsidRDefault="00BF1A3B" w:rsidP="00BF1A3B">
            <w:pPr>
              <w:widowControl w:val="0"/>
              <w:autoSpaceDE w:val="0"/>
              <w:autoSpaceDN w:val="0"/>
              <w:adjustRightInd w:val="0"/>
              <w:jc w:val="center"/>
              <w:rPr>
                <w:sz w:val="20"/>
                <w:szCs w:val="20"/>
              </w:rPr>
            </w:pPr>
            <w:r w:rsidRPr="006E78E0">
              <w:rPr>
                <w:sz w:val="20"/>
                <w:szCs w:val="20"/>
              </w:rPr>
              <w:t>298</w:t>
            </w:r>
          </w:p>
        </w:tc>
        <w:tc>
          <w:tcPr>
            <w:tcW w:w="1260" w:type="dxa"/>
            <w:vAlign w:val="center"/>
          </w:tcPr>
          <w:p w:rsidR="00BF1A3B" w:rsidRPr="006E78E0" w:rsidRDefault="00BF1A3B" w:rsidP="00BF1A3B">
            <w:pPr>
              <w:widowControl w:val="0"/>
              <w:autoSpaceDE w:val="0"/>
              <w:autoSpaceDN w:val="0"/>
              <w:adjustRightInd w:val="0"/>
              <w:jc w:val="center"/>
              <w:rPr>
                <w:sz w:val="20"/>
                <w:szCs w:val="20"/>
              </w:rPr>
            </w:pPr>
            <w:r w:rsidRPr="006E78E0">
              <w:rPr>
                <w:sz w:val="20"/>
                <w:szCs w:val="20"/>
              </w:rPr>
              <w:t>298</w:t>
            </w:r>
          </w:p>
        </w:tc>
        <w:tc>
          <w:tcPr>
            <w:tcW w:w="1170" w:type="dxa"/>
            <w:vAlign w:val="center"/>
          </w:tcPr>
          <w:p w:rsidR="00BF1A3B" w:rsidRPr="006E78E0" w:rsidRDefault="00BF1A3B" w:rsidP="00BF1A3B">
            <w:pPr>
              <w:widowControl w:val="0"/>
              <w:autoSpaceDE w:val="0"/>
              <w:autoSpaceDN w:val="0"/>
              <w:adjustRightInd w:val="0"/>
              <w:jc w:val="center"/>
              <w:rPr>
                <w:sz w:val="20"/>
                <w:szCs w:val="20"/>
              </w:rPr>
            </w:pPr>
            <w:r w:rsidRPr="006E78E0">
              <w:rPr>
                <w:sz w:val="20"/>
                <w:szCs w:val="20"/>
              </w:rPr>
              <w:t>298</w:t>
            </w:r>
          </w:p>
        </w:tc>
        <w:tc>
          <w:tcPr>
            <w:tcW w:w="1260" w:type="dxa"/>
            <w:tcBorders>
              <w:top w:val="nil"/>
              <w:bottom w:val="nil"/>
              <w:right w:val="single" w:sz="6" w:space="0" w:color="BFBFBF" w:themeColor="background1" w:themeShade="BF"/>
            </w:tcBorders>
            <w:vAlign w:val="center"/>
          </w:tcPr>
          <w:p w:rsidR="00BF1A3B" w:rsidRPr="006E78E0" w:rsidRDefault="00BF1A3B" w:rsidP="00BF1A3B">
            <w:pPr>
              <w:widowControl w:val="0"/>
              <w:autoSpaceDE w:val="0"/>
              <w:autoSpaceDN w:val="0"/>
              <w:adjustRightInd w:val="0"/>
              <w:jc w:val="center"/>
              <w:rPr>
                <w:sz w:val="20"/>
                <w:szCs w:val="20"/>
              </w:rPr>
            </w:pPr>
            <w:r w:rsidRPr="006E78E0">
              <w:rPr>
                <w:sz w:val="20"/>
                <w:szCs w:val="20"/>
              </w:rPr>
              <w:t>298</w:t>
            </w:r>
          </w:p>
        </w:tc>
        <w:tc>
          <w:tcPr>
            <w:tcW w:w="1314" w:type="dxa"/>
            <w:tcBorders>
              <w:top w:val="nil"/>
              <w:left w:val="single" w:sz="6" w:space="0" w:color="BFBFBF" w:themeColor="background1" w:themeShade="BF"/>
              <w:bottom w:val="nil"/>
              <w:right w:val="nil"/>
            </w:tcBorders>
            <w:vAlign w:val="center"/>
          </w:tcPr>
          <w:p w:rsidR="00BF1A3B" w:rsidRPr="006E78E0" w:rsidRDefault="00BF1A3B" w:rsidP="00BF1A3B">
            <w:pPr>
              <w:widowControl w:val="0"/>
              <w:autoSpaceDE w:val="0"/>
              <w:autoSpaceDN w:val="0"/>
              <w:adjustRightInd w:val="0"/>
              <w:jc w:val="center"/>
              <w:rPr>
                <w:sz w:val="20"/>
                <w:szCs w:val="20"/>
              </w:rPr>
            </w:pPr>
            <w:r w:rsidRPr="006E78E0">
              <w:rPr>
                <w:sz w:val="20"/>
                <w:szCs w:val="20"/>
              </w:rPr>
              <w:t>298</w:t>
            </w:r>
          </w:p>
        </w:tc>
      </w:tr>
      <w:tr w:rsidR="00BF1A3B" w:rsidRPr="006E78E0" w:rsidTr="00BF1A3B">
        <w:trPr>
          <w:jc w:val="center"/>
        </w:trPr>
        <w:tc>
          <w:tcPr>
            <w:tcW w:w="2664" w:type="dxa"/>
            <w:tcBorders>
              <w:left w:val="nil"/>
              <w:bottom w:val="single" w:sz="6" w:space="0" w:color="auto"/>
            </w:tcBorders>
            <w:vAlign w:val="center"/>
          </w:tcPr>
          <w:p w:rsidR="00BF1A3B" w:rsidRPr="006E78E0" w:rsidRDefault="00BF1A3B" w:rsidP="00BF1A3B">
            <w:pPr>
              <w:widowControl w:val="0"/>
              <w:autoSpaceDE w:val="0"/>
              <w:autoSpaceDN w:val="0"/>
              <w:adjustRightInd w:val="0"/>
              <w:rPr>
                <w:sz w:val="20"/>
                <w:szCs w:val="20"/>
              </w:rPr>
            </w:pPr>
            <w:proofErr w:type="spellStart"/>
            <w:r w:rsidRPr="006E78E0">
              <w:rPr>
                <w:i/>
                <w:iCs/>
                <w:sz w:val="20"/>
                <w:szCs w:val="20"/>
              </w:rPr>
              <w:t>df</w:t>
            </w:r>
            <w:r w:rsidRPr="006E78E0">
              <w:rPr>
                <w:i/>
                <w:iCs/>
                <w:sz w:val="20"/>
                <w:szCs w:val="20"/>
                <w:vertAlign w:val="subscript"/>
              </w:rPr>
              <w:t>ERROR</w:t>
            </w:r>
            <w:proofErr w:type="spellEnd"/>
          </w:p>
        </w:tc>
        <w:tc>
          <w:tcPr>
            <w:tcW w:w="1260" w:type="dxa"/>
            <w:tcBorders>
              <w:bottom w:val="single" w:sz="6" w:space="0" w:color="auto"/>
            </w:tcBorders>
            <w:vAlign w:val="center"/>
          </w:tcPr>
          <w:p w:rsidR="00BF1A3B" w:rsidRPr="006E78E0" w:rsidRDefault="00BF1A3B" w:rsidP="00BF1A3B">
            <w:pPr>
              <w:widowControl w:val="0"/>
              <w:autoSpaceDE w:val="0"/>
              <w:autoSpaceDN w:val="0"/>
              <w:adjustRightInd w:val="0"/>
              <w:jc w:val="center"/>
              <w:rPr>
                <w:sz w:val="20"/>
                <w:szCs w:val="20"/>
              </w:rPr>
            </w:pPr>
            <w:r w:rsidRPr="006E78E0">
              <w:rPr>
                <w:sz w:val="20"/>
                <w:szCs w:val="20"/>
              </w:rPr>
              <w:t>297</w:t>
            </w:r>
          </w:p>
        </w:tc>
        <w:tc>
          <w:tcPr>
            <w:tcW w:w="1260" w:type="dxa"/>
            <w:tcBorders>
              <w:bottom w:val="single" w:sz="6" w:space="0" w:color="auto"/>
            </w:tcBorders>
            <w:vAlign w:val="center"/>
          </w:tcPr>
          <w:p w:rsidR="00BF1A3B" w:rsidRPr="006E78E0" w:rsidRDefault="00BF1A3B" w:rsidP="00BF1A3B">
            <w:pPr>
              <w:widowControl w:val="0"/>
              <w:autoSpaceDE w:val="0"/>
              <w:autoSpaceDN w:val="0"/>
              <w:adjustRightInd w:val="0"/>
              <w:jc w:val="center"/>
              <w:rPr>
                <w:sz w:val="20"/>
                <w:szCs w:val="20"/>
              </w:rPr>
            </w:pPr>
            <w:r w:rsidRPr="006E78E0">
              <w:rPr>
                <w:sz w:val="20"/>
                <w:szCs w:val="20"/>
              </w:rPr>
              <w:t>294</w:t>
            </w:r>
          </w:p>
        </w:tc>
        <w:tc>
          <w:tcPr>
            <w:tcW w:w="1170" w:type="dxa"/>
            <w:tcBorders>
              <w:bottom w:val="single" w:sz="6" w:space="0" w:color="auto"/>
            </w:tcBorders>
            <w:vAlign w:val="center"/>
          </w:tcPr>
          <w:p w:rsidR="00BF1A3B" w:rsidRPr="006E78E0" w:rsidRDefault="00BF1A3B" w:rsidP="00BF1A3B">
            <w:pPr>
              <w:widowControl w:val="0"/>
              <w:autoSpaceDE w:val="0"/>
              <w:autoSpaceDN w:val="0"/>
              <w:adjustRightInd w:val="0"/>
              <w:jc w:val="center"/>
              <w:rPr>
                <w:sz w:val="20"/>
                <w:szCs w:val="20"/>
              </w:rPr>
            </w:pPr>
            <w:r w:rsidRPr="006E78E0">
              <w:rPr>
                <w:sz w:val="20"/>
                <w:szCs w:val="20"/>
              </w:rPr>
              <w:t>294</w:t>
            </w:r>
          </w:p>
        </w:tc>
        <w:tc>
          <w:tcPr>
            <w:tcW w:w="1260" w:type="dxa"/>
            <w:tcBorders>
              <w:top w:val="nil"/>
              <w:bottom w:val="single" w:sz="6" w:space="0" w:color="auto"/>
              <w:right w:val="single" w:sz="6" w:space="0" w:color="BFBFBF" w:themeColor="background1" w:themeShade="BF"/>
            </w:tcBorders>
            <w:vAlign w:val="center"/>
          </w:tcPr>
          <w:p w:rsidR="00BF1A3B" w:rsidRPr="006E78E0" w:rsidRDefault="00BF1A3B" w:rsidP="00BF1A3B">
            <w:pPr>
              <w:widowControl w:val="0"/>
              <w:autoSpaceDE w:val="0"/>
              <w:autoSpaceDN w:val="0"/>
              <w:adjustRightInd w:val="0"/>
              <w:jc w:val="center"/>
              <w:rPr>
                <w:sz w:val="20"/>
                <w:szCs w:val="20"/>
              </w:rPr>
            </w:pPr>
            <w:r w:rsidRPr="006E78E0">
              <w:rPr>
                <w:sz w:val="20"/>
                <w:szCs w:val="20"/>
              </w:rPr>
              <w:t>289</w:t>
            </w:r>
          </w:p>
        </w:tc>
        <w:tc>
          <w:tcPr>
            <w:tcW w:w="1314" w:type="dxa"/>
            <w:tcBorders>
              <w:top w:val="nil"/>
              <w:left w:val="single" w:sz="6" w:space="0" w:color="BFBFBF" w:themeColor="background1" w:themeShade="BF"/>
              <w:bottom w:val="single" w:sz="6" w:space="0" w:color="auto"/>
              <w:right w:val="nil"/>
            </w:tcBorders>
            <w:vAlign w:val="center"/>
          </w:tcPr>
          <w:p w:rsidR="00BF1A3B" w:rsidRPr="006E78E0" w:rsidRDefault="00BF1A3B" w:rsidP="00BF1A3B">
            <w:pPr>
              <w:widowControl w:val="0"/>
              <w:autoSpaceDE w:val="0"/>
              <w:autoSpaceDN w:val="0"/>
              <w:adjustRightInd w:val="0"/>
              <w:jc w:val="center"/>
              <w:rPr>
                <w:sz w:val="20"/>
                <w:szCs w:val="20"/>
              </w:rPr>
            </w:pPr>
            <w:r w:rsidRPr="006E78E0">
              <w:rPr>
                <w:sz w:val="20"/>
                <w:szCs w:val="20"/>
              </w:rPr>
              <w:t>293</w:t>
            </w:r>
          </w:p>
        </w:tc>
      </w:tr>
      <w:tr w:rsidR="00BF1A3B" w:rsidRPr="006E78E0" w:rsidTr="00BF1A3B">
        <w:trPr>
          <w:jc w:val="center"/>
        </w:trPr>
        <w:tc>
          <w:tcPr>
            <w:tcW w:w="8928" w:type="dxa"/>
            <w:gridSpan w:val="6"/>
            <w:tcBorders>
              <w:top w:val="single" w:sz="6" w:space="0" w:color="auto"/>
              <w:left w:val="nil"/>
              <w:bottom w:val="nil"/>
              <w:right w:val="nil"/>
            </w:tcBorders>
            <w:vAlign w:val="center"/>
          </w:tcPr>
          <w:p w:rsidR="00BF1A3B" w:rsidRPr="002B0B42" w:rsidRDefault="00BF1A3B" w:rsidP="00BF1A3B">
            <w:pPr>
              <w:widowControl w:val="0"/>
              <w:autoSpaceDE w:val="0"/>
              <w:autoSpaceDN w:val="0"/>
              <w:adjustRightInd w:val="0"/>
              <w:spacing w:before="79" w:after="79"/>
              <w:rPr>
                <w:sz w:val="16"/>
                <w:szCs w:val="16"/>
              </w:rPr>
            </w:pPr>
            <w:r w:rsidRPr="002B0B42">
              <w:rPr>
                <w:sz w:val="16"/>
                <w:szCs w:val="16"/>
              </w:rPr>
              <w:t xml:space="preserve">* </w:t>
            </w:r>
            <w:r w:rsidRPr="002B0B42">
              <w:rPr>
                <w:i/>
                <w:iCs/>
                <w:sz w:val="16"/>
                <w:szCs w:val="16"/>
              </w:rPr>
              <w:t>p</w:t>
            </w:r>
            <w:r w:rsidRPr="002B0B42">
              <w:rPr>
                <w:sz w:val="16"/>
                <w:szCs w:val="16"/>
              </w:rPr>
              <w:t xml:space="preserve">&lt;0.05; ** </w:t>
            </w:r>
            <w:r w:rsidRPr="002B0B42">
              <w:rPr>
                <w:i/>
                <w:iCs/>
                <w:sz w:val="16"/>
                <w:szCs w:val="16"/>
              </w:rPr>
              <w:t>p</w:t>
            </w:r>
            <w:r w:rsidRPr="002B0B42">
              <w:rPr>
                <w:sz w:val="16"/>
                <w:szCs w:val="16"/>
              </w:rPr>
              <w:t xml:space="preserve">&lt;0.01 </w:t>
            </w:r>
          </w:p>
        </w:tc>
      </w:tr>
      <w:bookmarkEnd w:id="5"/>
      <w:bookmarkEnd w:id="6"/>
    </w:tbl>
    <w:p w:rsidR="00BF1A3B" w:rsidRDefault="00BF1A3B" w:rsidP="00BF1A3B">
      <w:pPr>
        <w:widowControl w:val="0"/>
        <w:autoSpaceDE w:val="0"/>
        <w:autoSpaceDN w:val="0"/>
        <w:adjustRightInd w:val="0"/>
      </w:pPr>
    </w:p>
    <w:p w:rsidR="004B42C3" w:rsidRDefault="004B42C3">
      <w:r>
        <w:br w:type="page"/>
      </w:r>
    </w:p>
    <w:tbl>
      <w:tblPr>
        <w:tblW w:w="0" w:type="auto"/>
        <w:jc w:val="center"/>
        <w:tblLayout w:type="fixed"/>
        <w:tblCellMar>
          <w:left w:w="144" w:type="dxa"/>
          <w:right w:w="144" w:type="dxa"/>
        </w:tblCellMar>
        <w:tblLook w:val="0000"/>
      </w:tblPr>
      <w:tblGrid>
        <w:gridCol w:w="2639"/>
        <w:gridCol w:w="1039"/>
        <w:gridCol w:w="1040"/>
        <w:gridCol w:w="1040"/>
        <w:gridCol w:w="1040"/>
        <w:gridCol w:w="1040"/>
        <w:gridCol w:w="1040"/>
      </w:tblGrid>
      <w:tr w:rsidR="00BF1A3B" w:rsidRPr="006E78E0" w:rsidTr="00BF1A3B">
        <w:trPr>
          <w:jc w:val="center"/>
        </w:trPr>
        <w:tc>
          <w:tcPr>
            <w:tcW w:w="8878" w:type="dxa"/>
            <w:gridSpan w:val="7"/>
            <w:tcBorders>
              <w:bottom w:val="single" w:sz="6" w:space="0" w:color="auto"/>
            </w:tcBorders>
            <w:vAlign w:val="center"/>
          </w:tcPr>
          <w:p w:rsidR="00BF1A3B" w:rsidRPr="006E78E0" w:rsidRDefault="00BF1A3B" w:rsidP="00BF1A3B">
            <w:pPr>
              <w:widowControl w:val="0"/>
              <w:autoSpaceDE w:val="0"/>
              <w:autoSpaceDN w:val="0"/>
              <w:adjustRightInd w:val="0"/>
              <w:spacing w:before="79" w:after="79"/>
              <w:rPr>
                <w:sz w:val="20"/>
                <w:szCs w:val="20"/>
              </w:rPr>
            </w:pPr>
            <w:r>
              <w:lastRenderedPageBreak/>
              <w:br w:type="page"/>
            </w:r>
            <w:r w:rsidRPr="003A5F69">
              <w:rPr>
                <w:i/>
                <w:sz w:val="20"/>
                <w:szCs w:val="20"/>
              </w:rPr>
              <w:t>Table 2</w:t>
            </w:r>
            <w:r>
              <w:rPr>
                <w:sz w:val="20"/>
                <w:szCs w:val="20"/>
              </w:rPr>
              <w:t>.</w:t>
            </w:r>
            <w:r w:rsidRPr="00F5063E">
              <w:rPr>
                <w:sz w:val="20"/>
                <w:szCs w:val="20"/>
              </w:rPr>
              <w:t xml:space="preserve">  </w:t>
            </w:r>
            <w:r>
              <w:rPr>
                <w:sz w:val="20"/>
                <w:szCs w:val="20"/>
              </w:rPr>
              <w:t>T</w:t>
            </w:r>
            <w:r w:rsidRPr="00F5063E">
              <w:rPr>
                <w:sz w:val="20"/>
                <w:szCs w:val="20"/>
              </w:rPr>
              <w:t xml:space="preserve">axonomy of </w:t>
            </w:r>
            <w:r>
              <w:rPr>
                <w:sz w:val="20"/>
                <w:szCs w:val="20"/>
              </w:rPr>
              <w:t>selected</w:t>
            </w:r>
            <w:r w:rsidRPr="00F5063E">
              <w:rPr>
                <w:sz w:val="20"/>
                <w:szCs w:val="20"/>
              </w:rPr>
              <w:t xml:space="preserve"> fitted </w:t>
            </w:r>
            <w:r>
              <w:rPr>
                <w:sz w:val="20"/>
                <w:szCs w:val="20"/>
              </w:rPr>
              <w:t xml:space="preserve">school-level Ordinary Least Squares regression </w:t>
            </w:r>
            <w:r w:rsidRPr="00F5063E">
              <w:rPr>
                <w:sz w:val="20"/>
                <w:szCs w:val="20"/>
              </w:rPr>
              <w:t xml:space="preserve">models predicting the percentage of a school district’s </w:t>
            </w:r>
            <w:r>
              <w:rPr>
                <w:sz w:val="20"/>
                <w:szCs w:val="20"/>
              </w:rPr>
              <w:t>students with ‘</w:t>
            </w:r>
            <w:r>
              <w:rPr>
                <w:i/>
                <w:sz w:val="20"/>
                <w:szCs w:val="20"/>
              </w:rPr>
              <w:t>High Incidence</w:t>
            </w:r>
            <w:r>
              <w:rPr>
                <w:sz w:val="20"/>
                <w:szCs w:val="20"/>
              </w:rPr>
              <w:t>’</w:t>
            </w:r>
            <w:r w:rsidRPr="00375639">
              <w:rPr>
                <w:sz w:val="20"/>
                <w:szCs w:val="20"/>
              </w:rPr>
              <w:t xml:space="preserve"> </w:t>
            </w:r>
            <w:r>
              <w:rPr>
                <w:sz w:val="20"/>
                <w:szCs w:val="20"/>
              </w:rPr>
              <w:t xml:space="preserve">disability designations </w:t>
            </w:r>
            <w:r w:rsidRPr="00375639">
              <w:rPr>
                <w:sz w:val="20"/>
                <w:szCs w:val="20"/>
              </w:rPr>
              <w:t xml:space="preserve">who score </w:t>
            </w:r>
            <w:r w:rsidRPr="003A5F69">
              <w:rPr>
                <w:i/>
                <w:sz w:val="20"/>
                <w:szCs w:val="20"/>
              </w:rPr>
              <w:t>Proficient</w:t>
            </w:r>
            <w:r w:rsidRPr="00375639">
              <w:rPr>
                <w:sz w:val="20"/>
                <w:szCs w:val="20"/>
              </w:rPr>
              <w:t xml:space="preserve"> or </w:t>
            </w:r>
            <w:r>
              <w:rPr>
                <w:i/>
                <w:sz w:val="20"/>
                <w:szCs w:val="20"/>
              </w:rPr>
              <w:t>Advanced</w:t>
            </w:r>
            <w:r w:rsidRPr="00375639">
              <w:rPr>
                <w:sz w:val="20"/>
                <w:szCs w:val="20"/>
              </w:rPr>
              <w:t xml:space="preserve"> on the M</w:t>
            </w:r>
            <w:r>
              <w:rPr>
                <w:sz w:val="20"/>
                <w:szCs w:val="20"/>
              </w:rPr>
              <w:t>ath</w:t>
            </w:r>
            <w:r w:rsidRPr="00375639">
              <w:rPr>
                <w:sz w:val="20"/>
                <w:szCs w:val="20"/>
              </w:rPr>
              <w:t xml:space="preserve"> MCAS</w:t>
            </w:r>
            <w:r>
              <w:rPr>
                <w:sz w:val="20"/>
                <w:szCs w:val="20"/>
              </w:rPr>
              <w:t xml:space="preserve">, </w:t>
            </w:r>
            <w:r w:rsidRPr="003A5F69">
              <w:rPr>
                <w:i/>
                <w:sz w:val="20"/>
                <w:szCs w:val="20"/>
              </w:rPr>
              <w:t>n</w:t>
            </w:r>
            <w:r w:rsidRPr="00375639">
              <w:rPr>
                <w:sz w:val="20"/>
                <w:szCs w:val="20"/>
              </w:rPr>
              <w:t>=29</w:t>
            </w:r>
            <w:r>
              <w:rPr>
                <w:sz w:val="20"/>
                <w:szCs w:val="20"/>
              </w:rPr>
              <w:t xml:space="preserve">7 traditional </w:t>
            </w:r>
            <w:r w:rsidRPr="00375639">
              <w:rPr>
                <w:sz w:val="20"/>
                <w:szCs w:val="20"/>
              </w:rPr>
              <w:t>school districts</w:t>
            </w:r>
            <w:r>
              <w:rPr>
                <w:sz w:val="20"/>
                <w:szCs w:val="20"/>
              </w:rPr>
              <w:t xml:space="preserve"> (model excludes ch</w:t>
            </w:r>
            <w:r w:rsidRPr="00375639">
              <w:rPr>
                <w:sz w:val="20"/>
                <w:szCs w:val="20"/>
              </w:rPr>
              <w:t>arter</w:t>
            </w:r>
            <w:r>
              <w:rPr>
                <w:sz w:val="20"/>
                <w:szCs w:val="20"/>
              </w:rPr>
              <w:t xml:space="preserve"> schools</w:t>
            </w:r>
            <w:r w:rsidRPr="00375639">
              <w:rPr>
                <w:sz w:val="20"/>
                <w:szCs w:val="20"/>
              </w:rPr>
              <w:t>, vocational</w:t>
            </w:r>
            <w:r>
              <w:rPr>
                <w:sz w:val="20"/>
                <w:szCs w:val="20"/>
              </w:rPr>
              <w:t>/tech schools,</w:t>
            </w:r>
            <w:r w:rsidRPr="00375639">
              <w:rPr>
                <w:sz w:val="20"/>
                <w:szCs w:val="20"/>
              </w:rPr>
              <w:t xml:space="preserve"> </w:t>
            </w:r>
            <w:r>
              <w:rPr>
                <w:sz w:val="20"/>
                <w:szCs w:val="20"/>
              </w:rPr>
              <w:t>or</w:t>
            </w:r>
            <w:r w:rsidRPr="00375639">
              <w:rPr>
                <w:sz w:val="20"/>
                <w:szCs w:val="20"/>
              </w:rPr>
              <w:t xml:space="preserve"> </w:t>
            </w:r>
            <w:r>
              <w:rPr>
                <w:sz w:val="20"/>
                <w:szCs w:val="20"/>
              </w:rPr>
              <w:t xml:space="preserve">schools serving </w:t>
            </w:r>
            <w:r w:rsidRPr="00375639">
              <w:rPr>
                <w:sz w:val="20"/>
                <w:szCs w:val="20"/>
              </w:rPr>
              <w:t xml:space="preserve">special education </w:t>
            </w:r>
            <w:r>
              <w:rPr>
                <w:sz w:val="20"/>
                <w:szCs w:val="20"/>
              </w:rPr>
              <w:t>students exclusively; m</w:t>
            </w:r>
            <w:r w:rsidRPr="00375639">
              <w:rPr>
                <w:sz w:val="20"/>
                <w:szCs w:val="20"/>
              </w:rPr>
              <w:t>odels also exclude one small rural school district that represents an outlier on a number of critical characteris</w:t>
            </w:r>
            <w:r w:rsidRPr="007A7C86">
              <w:rPr>
                <w:sz w:val="20"/>
                <w:szCs w:val="20"/>
              </w:rPr>
              <w:t>tics)</w:t>
            </w:r>
            <w:r>
              <w:rPr>
                <w:sz w:val="20"/>
                <w:szCs w:val="20"/>
              </w:rPr>
              <w:t>.</w:t>
            </w:r>
          </w:p>
        </w:tc>
      </w:tr>
      <w:tr w:rsidR="00BF1A3B" w:rsidRPr="006E78E0" w:rsidTr="00BF1A3B">
        <w:trPr>
          <w:jc w:val="center"/>
        </w:trPr>
        <w:tc>
          <w:tcPr>
            <w:tcW w:w="2639" w:type="dxa"/>
            <w:tcBorders>
              <w:top w:val="single" w:sz="6" w:space="0" w:color="auto"/>
              <w:right w:val="nil"/>
            </w:tcBorders>
          </w:tcPr>
          <w:p w:rsidR="00BF1A3B" w:rsidRPr="006E78E0" w:rsidRDefault="00BF1A3B" w:rsidP="00BF1A3B">
            <w:pPr>
              <w:widowControl w:val="0"/>
              <w:autoSpaceDE w:val="0"/>
              <w:autoSpaceDN w:val="0"/>
              <w:adjustRightInd w:val="0"/>
              <w:spacing w:before="79" w:after="79"/>
              <w:ind w:right="-144"/>
              <w:rPr>
                <w:sz w:val="20"/>
                <w:szCs w:val="20"/>
              </w:rPr>
            </w:pPr>
          </w:p>
        </w:tc>
        <w:tc>
          <w:tcPr>
            <w:tcW w:w="1039" w:type="dxa"/>
            <w:tcBorders>
              <w:top w:val="single" w:sz="6" w:space="0" w:color="auto"/>
              <w:left w:val="nil"/>
              <w:right w:val="nil"/>
            </w:tcBorders>
          </w:tcPr>
          <w:p w:rsidR="00BF1A3B" w:rsidRPr="00587D66" w:rsidRDefault="00BF1A3B" w:rsidP="00BF1A3B">
            <w:pPr>
              <w:widowControl w:val="0"/>
              <w:autoSpaceDE w:val="0"/>
              <w:autoSpaceDN w:val="0"/>
              <w:adjustRightInd w:val="0"/>
              <w:spacing w:before="79" w:after="79"/>
              <w:jc w:val="center"/>
              <w:rPr>
                <w:b/>
                <w:sz w:val="16"/>
                <w:szCs w:val="16"/>
              </w:rPr>
            </w:pPr>
            <w:r w:rsidRPr="00587D66">
              <w:rPr>
                <w:b/>
                <w:sz w:val="16"/>
                <w:szCs w:val="16"/>
              </w:rPr>
              <w:t>Model 2.1</w:t>
            </w:r>
          </w:p>
        </w:tc>
        <w:tc>
          <w:tcPr>
            <w:tcW w:w="1040" w:type="dxa"/>
            <w:tcBorders>
              <w:top w:val="single" w:sz="6" w:space="0" w:color="auto"/>
              <w:left w:val="nil"/>
              <w:right w:val="nil"/>
            </w:tcBorders>
          </w:tcPr>
          <w:p w:rsidR="00BF1A3B" w:rsidRPr="00587D66" w:rsidRDefault="00BF1A3B" w:rsidP="00BF1A3B">
            <w:pPr>
              <w:widowControl w:val="0"/>
              <w:autoSpaceDE w:val="0"/>
              <w:autoSpaceDN w:val="0"/>
              <w:adjustRightInd w:val="0"/>
              <w:spacing w:before="79" w:after="79"/>
              <w:jc w:val="center"/>
              <w:rPr>
                <w:b/>
                <w:sz w:val="16"/>
                <w:szCs w:val="16"/>
              </w:rPr>
            </w:pPr>
            <w:r w:rsidRPr="00587D66">
              <w:rPr>
                <w:b/>
                <w:sz w:val="16"/>
                <w:szCs w:val="16"/>
              </w:rPr>
              <w:t>Model 2.2</w:t>
            </w:r>
          </w:p>
        </w:tc>
        <w:tc>
          <w:tcPr>
            <w:tcW w:w="1040" w:type="dxa"/>
            <w:tcBorders>
              <w:top w:val="single" w:sz="6" w:space="0" w:color="auto"/>
              <w:left w:val="nil"/>
              <w:right w:val="nil"/>
            </w:tcBorders>
          </w:tcPr>
          <w:p w:rsidR="00BF1A3B" w:rsidRPr="00587D66" w:rsidRDefault="00BF1A3B" w:rsidP="00BF1A3B">
            <w:pPr>
              <w:widowControl w:val="0"/>
              <w:autoSpaceDE w:val="0"/>
              <w:autoSpaceDN w:val="0"/>
              <w:adjustRightInd w:val="0"/>
              <w:spacing w:before="79" w:after="79"/>
              <w:jc w:val="center"/>
              <w:rPr>
                <w:b/>
                <w:sz w:val="16"/>
                <w:szCs w:val="16"/>
              </w:rPr>
            </w:pPr>
            <w:r w:rsidRPr="00587D66">
              <w:rPr>
                <w:b/>
                <w:sz w:val="16"/>
                <w:szCs w:val="16"/>
              </w:rPr>
              <w:t>Model 2.3</w:t>
            </w:r>
          </w:p>
        </w:tc>
        <w:tc>
          <w:tcPr>
            <w:tcW w:w="1040" w:type="dxa"/>
            <w:tcBorders>
              <w:top w:val="single" w:sz="6" w:space="0" w:color="auto"/>
              <w:left w:val="nil"/>
              <w:right w:val="nil"/>
            </w:tcBorders>
          </w:tcPr>
          <w:p w:rsidR="00BF1A3B" w:rsidRPr="00587D66" w:rsidRDefault="00BF1A3B" w:rsidP="00BF1A3B">
            <w:pPr>
              <w:widowControl w:val="0"/>
              <w:autoSpaceDE w:val="0"/>
              <w:autoSpaceDN w:val="0"/>
              <w:adjustRightInd w:val="0"/>
              <w:spacing w:before="79" w:after="79"/>
              <w:jc w:val="center"/>
              <w:rPr>
                <w:b/>
                <w:sz w:val="16"/>
                <w:szCs w:val="16"/>
              </w:rPr>
            </w:pPr>
            <w:r w:rsidRPr="00587D66">
              <w:rPr>
                <w:b/>
                <w:sz w:val="16"/>
                <w:szCs w:val="16"/>
              </w:rPr>
              <w:t>Model 2.4</w:t>
            </w:r>
          </w:p>
        </w:tc>
        <w:tc>
          <w:tcPr>
            <w:tcW w:w="1040" w:type="dxa"/>
            <w:tcBorders>
              <w:top w:val="single" w:sz="6" w:space="0" w:color="auto"/>
              <w:left w:val="nil"/>
              <w:right w:val="nil"/>
            </w:tcBorders>
          </w:tcPr>
          <w:p w:rsidR="00BF1A3B" w:rsidRPr="00587D66" w:rsidRDefault="00BF1A3B" w:rsidP="00BF1A3B">
            <w:pPr>
              <w:widowControl w:val="0"/>
              <w:autoSpaceDE w:val="0"/>
              <w:autoSpaceDN w:val="0"/>
              <w:adjustRightInd w:val="0"/>
              <w:spacing w:before="79" w:after="79"/>
              <w:jc w:val="center"/>
              <w:rPr>
                <w:b/>
                <w:sz w:val="16"/>
                <w:szCs w:val="16"/>
              </w:rPr>
            </w:pPr>
            <w:r w:rsidRPr="00587D66">
              <w:rPr>
                <w:b/>
                <w:sz w:val="16"/>
                <w:szCs w:val="16"/>
              </w:rPr>
              <w:t>Model 2.5</w:t>
            </w:r>
          </w:p>
        </w:tc>
        <w:tc>
          <w:tcPr>
            <w:tcW w:w="1040" w:type="dxa"/>
            <w:tcBorders>
              <w:top w:val="single" w:sz="6" w:space="0" w:color="auto"/>
              <w:left w:val="nil"/>
            </w:tcBorders>
          </w:tcPr>
          <w:p w:rsidR="00BF1A3B" w:rsidRPr="00587D66" w:rsidRDefault="00BF1A3B" w:rsidP="00BF1A3B">
            <w:pPr>
              <w:widowControl w:val="0"/>
              <w:autoSpaceDE w:val="0"/>
              <w:autoSpaceDN w:val="0"/>
              <w:adjustRightInd w:val="0"/>
              <w:spacing w:before="79" w:after="79"/>
              <w:jc w:val="center"/>
              <w:rPr>
                <w:b/>
                <w:sz w:val="16"/>
                <w:szCs w:val="16"/>
              </w:rPr>
            </w:pPr>
            <w:r w:rsidRPr="00587D66">
              <w:rPr>
                <w:b/>
                <w:sz w:val="16"/>
                <w:szCs w:val="16"/>
              </w:rPr>
              <w:t>Model 2.6</w:t>
            </w:r>
          </w:p>
        </w:tc>
      </w:tr>
      <w:tr w:rsidR="00BF1A3B" w:rsidRPr="006E78E0" w:rsidTr="00BF1A3B">
        <w:trPr>
          <w:trHeight w:val="720"/>
          <w:jc w:val="center"/>
        </w:trPr>
        <w:tc>
          <w:tcPr>
            <w:tcW w:w="2639" w:type="dxa"/>
            <w:tcBorders>
              <w:bottom w:val="nil"/>
              <w:right w:val="nil"/>
            </w:tcBorders>
            <w:vAlign w:val="center"/>
          </w:tcPr>
          <w:p w:rsidR="00BF1A3B" w:rsidRPr="00F932C3" w:rsidRDefault="00BF1A3B" w:rsidP="00BF1A3B">
            <w:pPr>
              <w:widowControl w:val="0"/>
              <w:autoSpaceDE w:val="0"/>
              <w:autoSpaceDN w:val="0"/>
              <w:adjustRightInd w:val="0"/>
              <w:ind w:left="243" w:right="-144" w:hanging="243"/>
              <w:rPr>
                <w:i/>
                <w:sz w:val="20"/>
                <w:szCs w:val="20"/>
              </w:rPr>
            </w:pPr>
            <w:r w:rsidRPr="00F932C3">
              <w:rPr>
                <w:i/>
                <w:sz w:val="20"/>
                <w:szCs w:val="20"/>
              </w:rPr>
              <w:t>Intercept</w:t>
            </w:r>
          </w:p>
        </w:tc>
        <w:tc>
          <w:tcPr>
            <w:tcW w:w="1039" w:type="dxa"/>
            <w:tcBorders>
              <w:left w:val="nil"/>
              <w:bottom w:val="nil"/>
              <w:right w:val="nil"/>
            </w:tcBorders>
            <w:vAlign w:val="center"/>
          </w:tcPr>
          <w:p w:rsidR="00BF1A3B" w:rsidRDefault="00BF1A3B" w:rsidP="00BF1A3B">
            <w:pPr>
              <w:widowControl w:val="0"/>
              <w:tabs>
                <w:tab w:val="decimal" w:pos="216"/>
              </w:tabs>
              <w:autoSpaceDE w:val="0"/>
              <w:autoSpaceDN w:val="0"/>
              <w:adjustRightInd w:val="0"/>
              <w:ind w:left="-144" w:right="-144"/>
              <w:rPr>
                <w:sz w:val="20"/>
                <w:szCs w:val="20"/>
              </w:rPr>
            </w:pPr>
            <w:r w:rsidRPr="006E78E0">
              <w:rPr>
                <w:sz w:val="20"/>
                <w:szCs w:val="20"/>
              </w:rPr>
              <w:t>-24.845**</w:t>
            </w:r>
          </w:p>
          <w:p w:rsidR="00BF1A3B" w:rsidRPr="006E78E0" w:rsidRDefault="00BF1A3B" w:rsidP="00BF1A3B">
            <w:pPr>
              <w:widowControl w:val="0"/>
              <w:tabs>
                <w:tab w:val="decimal" w:pos="216"/>
              </w:tabs>
              <w:autoSpaceDE w:val="0"/>
              <w:autoSpaceDN w:val="0"/>
              <w:adjustRightInd w:val="0"/>
              <w:ind w:left="-144" w:right="-144"/>
              <w:rPr>
                <w:sz w:val="20"/>
                <w:szCs w:val="20"/>
              </w:rPr>
            </w:pPr>
            <w:r w:rsidRPr="006E78E0">
              <w:rPr>
                <w:sz w:val="20"/>
                <w:szCs w:val="20"/>
              </w:rPr>
              <w:t>(2.781)</w:t>
            </w:r>
          </w:p>
        </w:tc>
        <w:tc>
          <w:tcPr>
            <w:tcW w:w="1040" w:type="dxa"/>
            <w:tcBorders>
              <w:left w:val="nil"/>
              <w:bottom w:val="nil"/>
              <w:right w:val="nil"/>
            </w:tcBorders>
            <w:vAlign w:val="center"/>
          </w:tcPr>
          <w:p w:rsidR="00BF1A3B" w:rsidRDefault="00BF1A3B" w:rsidP="00BF1A3B">
            <w:pPr>
              <w:widowControl w:val="0"/>
              <w:tabs>
                <w:tab w:val="decimal" w:pos="167"/>
              </w:tabs>
              <w:autoSpaceDE w:val="0"/>
              <w:autoSpaceDN w:val="0"/>
              <w:adjustRightInd w:val="0"/>
              <w:ind w:left="-144" w:right="-144"/>
              <w:rPr>
                <w:sz w:val="20"/>
                <w:szCs w:val="20"/>
              </w:rPr>
            </w:pPr>
            <w:r w:rsidRPr="006E78E0">
              <w:rPr>
                <w:sz w:val="20"/>
                <w:szCs w:val="20"/>
              </w:rPr>
              <w:t>-30.452**</w:t>
            </w:r>
          </w:p>
          <w:p w:rsidR="00BF1A3B" w:rsidRPr="006E78E0" w:rsidRDefault="00BF1A3B" w:rsidP="00BF1A3B">
            <w:pPr>
              <w:widowControl w:val="0"/>
              <w:tabs>
                <w:tab w:val="decimal" w:pos="167"/>
              </w:tabs>
              <w:autoSpaceDE w:val="0"/>
              <w:autoSpaceDN w:val="0"/>
              <w:adjustRightInd w:val="0"/>
              <w:ind w:left="-144" w:right="-144"/>
              <w:rPr>
                <w:sz w:val="20"/>
                <w:szCs w:val="20"/>
              </w:rPr>
            </w:pPr>
            <w:r w:rsidRPr="006E78E0">
              <w:rPr>
                <w:sz w:val="20"/>
                <w:szCs w:val="20"/>
              </w:rPr>
              <w:t>(3.710)</w:t>
            </w:r>
          </w:p>
        </w:tc>
        <w:tc>
          <w:tcPr>
            <w:tcW w:w="1040" w:type="dxa"/>
            <w:tcBorders>
              <w:left w:val="nil"/>
              <w:bottom w:val="nil"/>
              <w:right w:val="nil"/>
            </w:tcBorders>
            <w:vAlign w:val="center"/>
          </w:tcPr>
          <w:p w:rsidR="00BF1A3B" w:rsidRDefault="00BF1A3B" w:rsidP="00BF1A3B">
            <w:pPr>
              <w:widowControl w:val="0"/>
              <w:tabs>
                <w:tab w:val="decimal" w:pos="192"/>
              </w:tabs>
              <w:autoSpaceDE w:val="0"/>
              <w:autoSpaceDN w:val="0"/>
              <w:adjustRightInd w:val="0"/>
              <w:ind w:left="-144" w:right="-144"/>
              <w:rPr>
                <w:sz w:val="20"/>
                <w:szCs w:val="20"/>
              </w:rPr>
            </w:pPr>
            <w:r w:rsidRPr="006E78E0">
              <w:rPr>
                <w:sz w:val="20"/>
                <w:szCs w:val="20"/>
              </w:rPr>
              <w:t>-25.870**</w:t>
            </w:r>
          </w:p>
          <w:p w:rsidR="00BF1A3B" w:rsidRPr="006E78E0" w:rsidRDefault="00BF1A3B" w:rsidP="00BF1A3B">
            <w:pPr>
              <w:widowControl w:val="0"/>
              <w:tabs>
                <w:tab w:val="decimal" w:pos="192"/>
              </w:tabs>
              <w:autoSpaceDE w:val="0"/>
              <w:autoSpaceDN w:val="0"/>
              <w:adjustRightInd w:val="0"/>
              <w:ind w:left="-144" w:right="-144"/>
              <w:rPr>
                <w:sz w:val="20"/>
                <w:szCs w:val="20"/>
              </w:rPr>
            </w:pPr>
            <w:r w:rsidRPr="006E78E0">
              <w:rPr>
                <w:sz w:val="20"/>
                <w:szCs w:val="20"/>
              </w:rPr>
              <w:t>(4.094)</w:t>
            </w:r>
          </w:p>
        </w:tc>
        <w:tc>
          <w:tcPr>
            <w:tcW w:w="1040" w:type="dxa"/>
            <w:tcBorders>
              <w:left w:val="nil"/>
              <w:bottom w:val="nil"/>
              <w:right w:val="nil"/>
            </w:tcBorders>
            <w:vAlign w:val="center"/>
          </w:tcPr>
          <w:p w:rsidR="00BF1A3B" w:rsidRDefault="00BF1A3B" w:rsidP="00BF1A3B">
            <w:pPr>
              <w:widowControl w:val="0"/>
              <w:tabs>
                <w:tab w:val="decimal" w:pos="232"/>
              </w:tabs>
              <w:autoSpaceDE w:val="0"/>
              <w:autoSpaceDN w:val="0"/>
              <w:adjustRightInd w:val="0"/>
              <w:ind w:left="-144" w:right="-98"/>
              <w:rPr>
                <w:sz w:val="20"/>
                <w:szCs w:val="20"/>
              </w:rPr>
            </w:pPr>
            <w:r w:rsidRPr="006E78E0">
              <w:rPr>
                <w:sz w:val="20"/>
                <w:szCs w:val="20"/>
              </w:rPr>
              <w:t>-8.490</w:t>
            </w:r>
          </w:p>
          <w:p w:rsidR="00BF1A3B" w:rsidRPr="006E78E0" w:rsidRDefault="00BF1A3B" w:rsidP="00BF1A3B">
            <w:pPr>
              <w:widowControl w:val="0"/>
              <w:tabs>
                <w:tab w:val="decimal" w:pos="232"/>
              </w:tabs>
              <w:autoSpaceDE w:val="0"/>
              <w:autoSpaceDN w:val="0"/>
              <w:adjustRightInd w:val="0"/>
              <w:ind w:left="-144" w:right="-98"/>
              <w:rPr>
                <w:sz w:val="20"/>
                <w:szCs w:val="20"/>
              </w:rPr>
            </w:pPr>
            <w:r w:rsidRPr="006E78E0">
              <w:rPr>
                <w:sz w:val="20"/>
                <w:szCs w:val="20"/>
              </w:rPr>
              <w:t>(10.031)</w:t>
            </w:r>
          </w:p>
        </w:tc>
        <w:tc>
          <w:tcPr>
            <w:tcW w:w="1040" w:type="dxa"/>
            <w:tcBorders>
              <w:left w:val="nil"/>
              <w:bottom w:val="nil"/>
              <w:right w:val="single" w:sz="6" w:space="0" w:color="BFBFBF" w:themeColor="background1" w:themeShade="BF"/>
            </w:tcBorders>
            <w:vAlign w:val="center"/>
          </w:tcPr>
          <w:p w:rsidR="00BF1A3B" w:rsidRDefault="00BF1A3B" w:rsidP="00BF1A3B">
            <w:pPr>
              <w:widowControl w:val="0"/>
              <w:tabs>
                <w:tab w:val="decimal" w:pos="182"/>
              </w:tabs>
              <w:autoSpaceDE w:val="0"/>
              <w:autoSpaceDN w:val="0"/>
              <w:adjustRightInd w:val="0"/>
              <w:ind w:left="-100" w:right="-144"/>
              <w:rPr>
                <w:sz w:val="20"/>
                <w:szCs w:val="20"/>
              </w:rPr>
            </w:pPr>
            <w:r w:rsidRPr="006E78E0">
              <w:rPr>
                <w:sz w:val="20"/>
                <w:szCs w:val="20"/>
              </w:rPr>
              <w:t>-9.583</w:t>
            </w:r>
          </w:p>
          <w:p w:rsidR="00BF1A3B" w:rsidRPr="006E78E0" w:rsidRDefault="00BF1A3B" w:rsidP="00BF1A3B">
            <w:pPr>
              <w:widowControl w:val="0"/>
              <w:tabs>
                <w:tab w:val="decimal" w:pos="182"/>
              </w:tabs>
              <w:autoSpaceDE w:val="0"/>
              <w:autoSpaceDN w:val="0"/>
              <w:adjustRightInd w:val="0"/>
              <w:ind w:left="-100" w:right="-144"/>
              <w:rPr>
                <w:sz w:val="20"/>
                <w:szCs w:val="20"/>
              </w:rPr>
            </w:pPr>
            <w:r w:rsidRPr="006E78E0">
              <w:rPr>
                <w:sz w:val="20"/>
                <w:szCs w:val="20"/>
              </w:rPr>
              <w:t>(6.521)</w:t>
            </w:r>
          </w:p>
        </w:tc>
        <w:tc>
          <w:tcPr>
            <w:tcW w:w="1040" w:type="dxa"/>
            <w:tcBorders>
              <w:left w:val="single" w:sz="6" w:space="0" w:color="BFBFBF" w:themeColor="background1" w:themeShade="BF"/>
              <w:bottom w:val="nil"/>
            </w:tcBorders>
            <w:vAlign w:val="center"/>
          </w:tcPr>
          <w:p w:rsidR="00BF1A3B" w:rsidRDefault="00BF1A3B" w:rsidP="00BF1A3B">
            <w:pPr>
              <w:widowControl w:val="0"/>
              <w:tabs>
                <w:tab w:val="decimal" w:pos="237"/>
              </w:tabs>
              <w:autoSpaceDE w:val="0"/>
              <w:autoSpaceDN w:val="0"/>
              <w:adjustRightInd w:val="0"/>
              <w:rPr>
                <w:sz w:val="20"/>
                <w:szCs w:val="20"/>
              </w:rPr>
            </w:pPr>
            <w:r w:rsidRPr="006E78E0">
              <w:rPr>
                <w:sz w:val="20"/>
                <w:szCs w:val="20"/>
              </w:rPr>
              <w:t>-12.783</w:t>
            </w:r>
          </w:p>
          <w:p w:rsidR="00BF1A3B" w:rsidRPr="006E78E0" w:rsidRDefault="00BF1A3B" w:rsidP="00BF1A3B">
            <w:pPr>
              <w:widowControl w:val="0"/>
              <w:tabs>
                <w:tab w:val="decimal" w:pos="237"/>
              </w:tabs>
              <w:autoSpaceDE w:val="0"/>
              <w:autoSpaceDN w:val="0"/>
              <w:adjustRightInd w:val="0"/>
              <w:rPr>
                <w:sz w:val="20"/>
                <w:szCs w:val="20"/>
              </w:rPr>
            </w:pPr>
            <w:r w:rsidRPr="006E78E0">
              <w:rPr>
                <w:sz w:val="20"/>
                <w:szCs w:val="20"/>
              </w:rPr>
              <w:t>(7.081)</w:t>
            </w:r>
          </w:p>
        </w:tc>
      </w:tr>
      <w:tr w:rsidR="00BF1A3B" w:rsidRPr="006E78E0" w:rsidTr="00BF1A3B">
        <w:trPr>
          <w:trHeight w:val="720"/>
          <w:jc w:val="center"/>
        </w:trPr>
        <w:tc>
          <w:tcPr>
            <w:tcW w:w="2639" w:type="dxa"/>
            <w:tcBorders>
              <w:bottom w:val="nil"/>
              <w:right w:val="nil"/>
            </w:tcBorders>
            <w:vAlign w:val="center"/>
          </w:tcPr>
          <w:p w:rsidR="00BF1A3B" w:rsidRPr="006E78E0" w:rsidRDefault="00BF1A3B" w:rsidP="00BF1A3B">
            <w:pPr>
              <w:widowControl w:val="0"/>
              <w:autoSpaceDE w:val="0"/>
              <w:autoSpaceDN w:val="0"/>
              <w:adjustRightInd w:val="0"/>
              <w:ind w:left="243" w:right="-144" w:hanging="243"/>
              <w:rPr>
                <w:sz w:val="20"/>
                <w:szCs w:val="20"/>
              </w:rPr>
            </w:pPr>
            <w:r w:rsidRPr="00DD6C1B">
              <w:rPr>
                <w:i/>
                <w:iCs/>
                <w:sz w:val="20"/>
                <w:szCs w:val="20"/>
              </w:rPr>
              <w:t xml:space="preserve">District Percent </w:t>
            </w:r>
            <w:r>
              <w:rPr>
                <w:i/>
                <w:iCs/>
                <w:sz w:val="20"/>
                <w:szCs w:val="20"/>
              </w:rPr>
              <w:t xml:space="preserve">General Education </w:t>
            </w:r>
            <w:r w:rsidRPr="005364AD">
              <w:rPr>
                <w:i/>
                <w:iCs/>
                <w:sz w:val="20"/>
                <w:szCs w:val="20"/>
              </w:rPr>
              <w:t>Students</w:t>
            </w:r>
            <w:r w:rsidRPr="005364AD">
              <w:rPr>
                <w:i/>
                <w:sz w:val="20"/>
                <w:szCs w:val="20"/>
              </w:rPr>
              <w:t xml:space="preserve"> scoring Proficient or Advanced</w:t>
            </w:r>
            <w:r w:rsidRPr="006E78E0">
              <w:rPr>
                <w:sz w:val="20"/>
                <w:szCs w:val="20"/>
              </w:rPr>
              <w:t xml:space="preserve"> </w:t>
            </w:r>
          </w:p>
        </w:tc>
        <w:tc>
          <w:tcPr>
            <w:tcW w:w="1039" w:type="dxa"/>
            <w:tcBorders>
              <w:left w:val="nil"/>
              <w:bottom w:val="nil"/>
              <w:right w:val="nil"/>
            </w:tcBorders>
            <w:vAlign w:val="center"/>
          </w:tcPr>
          <w:p w:rsidR="00BF1A3B" w:rsidRDefault="00BF1A3B" w:rsidP="00BF1A3B">
            <w:pPr>
              <w:widowControl w:val="0"/>
              <w:tabs>
                <w:tab w:val="decimal" w:pos="216"/>
              </w:tabs>
              <w:autoSpaceDE w:val="0"/>
              <w:autoSpaceDN w:val="0"/>
              <w:adjustRightInd w:val="0"/>
              <w:ind w:left="-144" w:right="-144"/>
              <w:rPr>
                <w:sz w:val="20"/>
                <w:szCs w:val="20"/>
              </w:rPr>
            </w:pPr>
            <w:r w:rsidRPr="006E78E0">
              <w:rPr>
                <w:sz w:val="20"/>
                <w:szCs w:val="20"/>
              </w:rPr>
              <w:t>0.740**</w:t>
            </w:r>
          </w:p>
          <w:p w:rsidR="00BF1A3B" w:rsidRPr="006E78E0" w:rsidRDefault="00BF1A3B" w:rsidP="00BF1A3B">
            <w:pPr>
              <w:widowControl w:val="0"/>
              <w:tabs>
                <w:tab w:val="decimal" w:pos="216"/>
              </w:tabs>
              <w:autoSpaceDE w:val="0"/>
              <w:autoSpaceDN w:val="0"/>
              <w:adjustRightInd w:val="0"/>
              <w:ind w:left="-144" w:right="-144"/>
              <w:rPr>
                <w:sz w:val="20"/>
                <w:szCs w:val="20"/>
              </w:rPr>
            </w:pPr>
            <w:r w:rsidRPr="006E78E0">
              <w:rPr>
                <w:sz w:val="20"/>
                <w:szCs w:val="20"/>
              </w:rPr>
              <w:t>(0.040)</w:t>
            </w:r>
          </w:p>
        </w:tc>
        <w:tc>
          <w:tcPr>
            <w:tcW w:w="1040" w:type="dxa"/>
            <w:tcBorders>
              <w:left w:val="nil"/>
              <w:bottom w:val="nil"/>
              <w:right w:val="nil"/>
            </w:tcBorders>
            <w:vAlign w:val="center"/>
          </w:tcPr>
          <w:p w:rsidR="00BF1A3B" w:rsidRDefault="00BF1A3B" w:rsidP="00BF1A3B">
            <w:pPr>
              <w:widowControl w:val="0"/>
              <w:tabs>
                <w:tab w:val="decimal" w:pos="167"/>
              </w:tabs>
              <w:autoSpaceDE w:val="0"/>
              <w:autoSpaceDN w:val="0"/>
              <w:adjustRightInd w:val="0"/>
              <w:ind w:left="-144" w:right="-144"/>
              <w:rPr>
                <w:sz w:val="20"/>
                <w:szCs w:val="20"/>
              </w:rPr>
            </w:pPr>
            <w:r w:rsidRPr="006E78E0">
              <w:rPr>
                <w:sz w:val="20"/>
                <w:szCs w:val="20"/>
              </w:rPr>
              <w:t>0.749**</w:t>
            </w:r>
          </w:p>
          <w:p w:rsidR="00BF1A3B" w:rsidRPr="006E78E0" w:rsidRDefault="00BF1A3B" w:rsidP="00BF1A3B">
            <w:pPr>
              <w:widowControl w:val="0"/>
              <w:tabs>
                <w:tab w:val="decimal" w:pos="167"/>
              </w:tabs>
              <w:autoSpaceDE w:val="0"/>
              <w:autoSpaceDN w:val="0"/>
              <w:adjustRightInd w:val="0"/>
              <w:ind w:left="-144" w:right="-144"/>
              <w:rPr>
                <w:sz w:val="20"/>
                <w:szCs w:val="20"/>
              </w:rPr>
            </w:pPr>
            <w:r w:rsidRPr="006E78E0">
              <w:rPr>
                <w:sz w:val="20"/>
                <w:szCs w:val="20"/>
              </w:rPr>
              <w:t>(0.040)</w:t>
            </w:r>
          </w:p>
        </w:tc>
        <w:tc>
          <w:tcPr>
            <w:tcW w:w="1040" w:type="dxa"/>
            <w:tcBorders>
              <w:left w:val="nil"/>
              <w:bottom w:val="nil"/>
              <w:right w:val="nil"/>
            </w:tcBorders>
            <w:vAlign w:val="center"/>
          </w:tcPr>
          <w:p w:rsidR="00BF1A3B" w:rsidRDefault="00BF1A3B" w:rsidP="00BF1A3B">
            <w:pPr>
              <w:widowControl w:val="0"/>
              <w:tabs>
                <w:tab w:val="decimal" w:pos="192"/>
              </w:tabs>
              <w:autoSpaceDE w:val="0"/>
              <w:autoSpaceDN w:val="0"/>
              <w:adjustRightInd w:val="0"/>
              <w:ind w:left="-144" w:right="-144"/>
              <w:rPr>
                <w:sz w:val="20"/>
                <w:szCs w:val="20"/>
              </w:rPr>
            </w:pPr>
            <w:r w:rsidRPr="006E78E0">
              <w:rPr>
                <w:sz w:val="20"/>
                <w:szCs w:val="20"/>
              </w:rPr>
              <w:t>0.782</w:t>
            </w:r>
            <w:r w:rsidRPr="00F932C3">
              <w:rPr>
                <w:sz w:val="20"/>
                <w:szCs w:val="20"/>
              </w:rPr>
              <w:t>**</w:t>
            </w:r>
          </w:p>
          <w:p w:rsidR="00BF1A3B" w:rsidRPr="006E78E0" w:rsidRDefault="00BF1A3B" w:rsidP="00BF1A3B">
            <w:pPr>
              <w:widowControl w:val="0"/>
              <w:tabs>
                <w:tab w:val="decimal" w:pos="192"/>
              </w:tabs>
              <w:autoSpaceDE w:val="0"/>
              <w:autoSpaceDN w:val="0"/>
              <w:adjustRightInd w:val="0"/>
              <w:ind w:left="-144" w:right="-144"/>
              <w:rPr>
                <w:sz w:val="20"/>
                <w:szCs w:val="20"/>
              </w:rPr>
            </w:pPr>
            <w:r w:rsidRPr="00F932C3">
              <w:rPr>
                <w:sz w:val="20"/>
                <w:szCs w:val="20"/>
              </w:rPr>
              <w:t>(0.066)</w:t>
            </w:r>
          </w:p>
        </w:tc>
        <w:tc>
          <w:tcPr>
            <w:tcW w:w="1040" w:type="dxa"/>
            <w:tcBorders>
              <w:left w:val="nil"/>
              <w:bottom w:val="nil"/>
              <w:right w:val="nil"/>
            </w:tcBorders>
            <w:vAlign w:val="center"/>
          </w:tcPr>
          <w:p w:rsidR="00BF1A3B" w:rsidRDefault="00BF1A3B" w:rsidP="00BF1A3B">
            <w:pPr>
              <w:widowControl w:val="0"/>
              <w:tabs>
                <w:tab w:val="decimal" w:pos="232"/>
              </w:tabs>
              <w:autoSpaceDE w:val="0"/>
              <w:autoSpaceDN w:val="0"/>
              <w:adjustRightInd w:val="0"/>
              <w:ind w:left="-144" w:right="-98"/>
              <w:rPr>
                <w:sz w:val="20"/>
                <w:szCs w:val="20"/>
              </w:rPr>
            </w:pPr>
            <w:r w:rsidRPr="006E78E0">
              <w:rPr>
                <w:sz w:val="20"/>
                <w:szCs w:val="20"/>
              </w:rPr>
              <w:t>0.765**</w:t>
            </w:r>
          </w:p>
          <w:p w:rsidR="00BF1A3B" w:rsidRPr="006E78E0" w:rsidRDefault="00BF1A3B" w:rsidP="00BF1A3B">
            <w:pPr>
              <w:widowControl w:val="0"/>
              <w:tabs>
                <w:tab w:val="decimal" w:pos="232"/>
              </w:tabs>
              <w:autoSpaceDE w:val="0"/>
              <w:autoSpaceDN w:val="0"/>
              <w:adjustRightInd w:val="0"/>
              <w:ind w:left="-144" w:right="-98"/>
              <w:rPr>
                <w:sz w:val="20"/>
                <w:szCs w:val="20"/>
              </w:rPr>
            </w:pPr>
            <w:r w:rsidRPr="006E78E0">
              <w:rPr>
                <w:sz w:val="20"/>
                <w:szCs w:val="20"/>
              </w:rPr>
              <w:t>(0.065)</w:t>
            </w:r>
          </w:p>
        </w:tc>
        <w:tc>
          <w:tcPr>
            <w:tcW w:w="1040" w:type="dxa"/>
            <w:tcBorders>
              <w:left w:val="nil"/>
              <w:bottom w:val="nil"/>
              <w:right w:val="single" w:sz="6" w:space="0" w:color="BFBFBF" w:themeColor="background1" w:themeShade="BF"/>
            </w:tcBorders>
            <w:vAlign w:val="center"/>
          </w:tcPr>
          <w:p w:rsidR="00BF1A3B" w:rsidRDefault="00BF1A3B" w:rsidP="00BF1A3B">
            <w:pPr>
              <w:widowControl w:val="0"/>
              <w:tabs>
                <w:tab w:val="decimal" w:pos="182"/>
              </w:tabs>
              <w:autoSpaceDE w:val="0"/>
              <w:autoSpaceDN w:val="0"/>
              <w:adjustRightInd w:val="0"/>
              <w:ind w:left="-100" w:right="-144"/>
              <w:rPr>
                <w:sz w:val="20"/>
                <w:szCs w:val="20"/>
              </w:rPr>
            </w:pPr>
            <w:r w:rsidRPr="006E78E0">
              <w:rPr>
                <w:sz w:val="20"/>
                <w:szCs w:val="20"/>
              </w:rPr>
              <w:t>0.810**</w:t>
            </w:r>
          </w:p>
          <w:p w:rsidR="00BF1A3B" w:rsidRPr="006E78E0" w:rsidRDefault="00BF1A3B" w:rsidP="00BF1A3B">
            <w:pPr>
              <w:widowControl w:val="0"/>
              <w:tabs>
                <w:tab w:val="decimal" w:pos="182"/>
              </w:tabs>
              <w:autoSpaceDE w:val="0"/>
              <w:autoSpaceDN w:val="0"/>
              <w:adjustRightInd w:val="0"/>
              <w:ind w:left="-100" w:right="-144"/>
              <w:rPr>
                <w:sz w:val="20"/>
                <w:szCs w:val="20"/>
              </w:rPr>
            </w:pPr>
            <w:r w:rsidRPr="006E78E0">
              <w:rPr>
                <w:sz w:val="20"/>
                <w:szCs w:val="20"/>
              </w:rPr>
              <w:t>(0.044)</w:t>
            </w:r>
          </w:p>
        </w:tc>
        <w:tc>
          <w:tcPr>
            <w:tcW w:w="1040" w:type="dxa"/>
            <w:tcBorders>
              <w:left w:val="single" w:sz="6" w:space="0" w:color="BFBFBF" w:themeColor="background1" w:themeShade="BF"/>
              <w:bottom w:val="nil"/>
            </w:tcBorders>
            <w:vAlign w:val="center"/>
          </w:tcPr>
          <w:p w:rsidR="00BF1A3B" w:rsidRDefault="00BF1A3B" w:rsidP="00BF1A3B">
            <w:pPr>
              <w:widowControl w:val="0"/>
              <w:tabs>
                <w:tab w:val="decimal" w:pos="237"/>
              </w:tabs>
              <w:autoSpaceDE w:val="0"/>
              <w:autoSpaceDN w:val="0"/>
              <w:adjustRightInd w:val="0"/>
              <w:ind w:left="-144" w:right="-117"/>
              <w:rPr>
                <w:sz w:val="20"/>
                <w:szCs w:val="20"/>
              </w:rPr>
            </w:pPr>
            <w:r w:rsidRPr="006E78E0">
              <w:rPr>
                <w:sz w:val="20"/>
                <w:szCs w:val="20"/>
              </w:rPr>
              <w:t>0.814**</w:t>
            </w:r>
          </w:p>
          <w:p w:rsidR="00BF1A3B" w:rsidRPr="006E78E0" w:rsidRDefault="00BF1A3B" w:rsidP="00BF1A3B">
            <w:pPr>
              <w:widowControl w:val="0"/>
              <w:tabs>
                <w:tab w:val="decimal" w:pos="237"/>
              </w:tabs>
              <w:autoSpaceDE w:val="0"/>
              <w:autoSpaceDN w:val="0"/>
              <w:adjustRightInd w:val="0"/>
              <w:ind w:left="-144" w:right="-117"/>
              <w:rPr>
                <w:sz w:val="20"/>
                <w:szCs w:val="20"/>
              </w:rPr>
            </w:pPr>
            <w:r w:rsidRPr="006E78E0">
              <w:rPr>
                <w:sz w:val="20"/>
                <w:szCs w:val="20"/>
              </w:rPr>
              <w:t>(0.044)</w:t>
            </w:r>
          </w:p>
        </w:tc>
      </w:tr>
      <w:tr w:rsidR="00BF1A3B" w:rsidRPr="006E78E0" w:rsidTr="00BF1A3B">
        <w:trPr>
          <w:trHeight w:val="720"/>
          <w:jc w:val="center"/>
        </w:trPr>
        <w:tc>
          <w:tcPr>
            <w:tcW w:w="2639" w:type="dxa"/>
            <w:tcBorders>
              <w:top w:val="nil"/>
              <w:bottom w:val="nil"/>
              <w:right w:val="nil"/>
            </w:tcBorders>
            <w:vAlign w:val="center"/>
          </w:tcPr>
          <w:p w:rsidR="00BF1A3B" w:rsidRPr="006E78E0" w:rsidRDefault="00BF1A3B" w:rsidP="00BF1A3B">
            <w:pPr>
              <w:widowControl w:val="0"/>
              <w:autoSpaceDE w:val="0"/>
              <w:autoSpaceDN w:val="0"/>
              <w:adjustRightInd w:val="0"/>
              <w:ind w:left="243" w:right="-144" w:hanging="243"/>
              <w:rPr>
                <w:sz w:val="20"/>
                <w:szCs w:val="20"/>
              </w:rPr>
            </w:pPr>
            <w:r w:rsidRPr="00DD6C1B">
              <w:rPr>
                <w:i/>
                <w:iCs/>
                <w:sz w:val="20"/>
                <w:szCs w:val="20"/>
              </w:rPr>
              <w:t xml:space="preserve">District Percent </w:t>
            </w:r>
            <w:r>
              <w:rPr>
                <w:i/>
                <w:iCs/>
                <w:sz w:val="20"/>
                <w:szCs w:val="20"/>
              </w:rPr>
              <w:t>Students with ‘High Incidence Disabilities</w:t>
            </w:r>
          </w:p>
        </w:tc>
        <w:tc>
          <w:tcPr>
            <w:tcW w:w="1039" w:type="dxa"/>
            <w:tcBorders>
              <w:top w:val="nil"/>
              <w:left w:val="nil"/>
              <w:bottom w:val="nil"/>
              <w:right w:val="nil"/>
            </w:tcBorders>
            <w:vAlign w:val="center"/>
          </w:tcPr>
          <w:p w:rsidR="00BF1A3B" w:rsidRPr="006E78E0" w:rsidRDefault="00BF1A3B" w:rsidP="00BF1A3B">
            <w:pPr>
              <w:widowControl w:val="0"/>
              <w:autoSpaceDE w:val="0"/>
              <w:autoSpaceDN w:val="0"/>
              <w:adjustRightInd w:val="0"/>
              <w:ind w:left="-144" w:right="-144"/>
              <w:rPr>
                <w:sz w:val="20"/>
                <w:szCs w:val="20"/>
              </w:rPr>
            </w:pPr>
          </w:p>
        </w:tc>
        <w:tc>
          <w:tcPr>
            <w:tcW w:w="1040" w:type="dxa"/>
            <w:tcBorders>
              <w:top w:val="nil"/>
              <w:left w:val="nil"/>
              <w:bottom w:val="nil"/>
              <w:right w:val="nil"/>
            </w:tcBorders>
            <w:vAlign w:val="center"/>
          </w:tcPr>
          <w:p w:rsidR="00BF1A3B" w:rsidRDefault="00BF1A3B" w:rsidP="00BF1A3B">
            <w:pPr>
              <w:widowControl w:val="0"/>
              <w:tabs>
                <w:tab w:val="decimal" w:pos="167"/>
              </w:tabs>
              <w:autoSpaceDE w:val="0"/>
              <w:autoSpaceDN w:val="0"/>
              <w:adjustRightInd w:val="0"/>
              <w:ind w:left="-144" w:right="-144"/>
              <w:rPr>
                <w:sz w:val="20"/>
                <w:szCs w:val="20"/>
              </w:rPr>
            </w:pPr>
            <w:r w:rsidRPr="006E78E0">
              <w:rPr>
                <w:sz w:val="20"/>
                <w:szCs w:val="20"/>
              </w:rPr>
              <w:t>0.449*</w:t>
            </w:r>
          </w:p>
          <w:p w:rsidR="00BF1A3B" w:rsidRPr="006E78E0" w:rsidRDefault="00BF1A3B" w:rsidP="00BF1A3B">
            <w:pPr>
              <w:widowControl w:val="0"/>
              <w:tabs>
                <w:tab w:val="decimal" w:pos="167"/>
              </w:tabs>
              <w:autoSpaceDE w:val="0"/>
              <w:autoSpaceDN w:val="0"/>
              <w:adjustRightInd w:val="0"/>
              <w:ind w:left="-144" w:right="-144"/>
              <w:rPr>
                <w:sz w:val="20"/>
                <w:szCs w:val="20"/>
              </w:rPr>
            </w:pPr>
            <w:r w:rsidRPr="006E78E0">
              <w:rPr>
                <w:sz w:val="20"/>
                <w:szCs w:val="20"/>
              </w:rPr>
              <w:t>(0.198)</w:t>
            </w:r>
          </w:p>
        </w:tc>
        <w:tc>
          <w:tcPr>
            <w:tcW w:w="1040" w:type="dxa"/>
            <w:tcBorders>
              <w:top w:val="nil"/>
              <w:left w:val="nil"/>
              <w:bottom w:val="nil"/>
              <w:right w:val="nil"/>
            </w:tcBorders>
            <w:vAlign w:val="center"/>
          </w:tcPr>
          <w:p w:rsidR="00BF1A3B" w:rsidRDefault="00BF1A3B" w:rsidP="00BF1A3B">
            <w:pPr>
              <w:widowControl w:val="0"/>
              <w:tabs>
                <w:tab w:val="decimal" w:pos="192"/>
              </w:tabs>
              <w:autoSpaceDE w:val="0"/>
              <w:autoSpaceDN w:val="0"/>
              <w:adjustRightInd w:val="0"/>
              <w:ind w:left="-144" w:right="-144"/>
              <w:rPr>
                <w:sz w:val="20"/>
                <w:szCs w:val="20"/>
              </w:rPr>
            </w:pPr>
            <w:r w:rsidRPr="006E78E0">
              <w:rPr>
                <w:sz w:val="20"/>
                <w:szCs w:val="20"/>
              </w:rPr>
              <w:t>0.452*</w:t>
            </w:r>
          </w:p>
          <w:p w:rsidR="00BF1A3B" w:rsidRPr="006E78E0" w:rsidRDefault="00BF1A3B" w:rsidP="00BF1A3B">
            <w:pPr>
              <w:widowControl w:val="0"/>
              <w:tabs>
                <w:tab w:val="decimal" w:pos="192"/>
              </w:tabs>
              <w:autoSpaceDE w:val="0"/>
              <w:autoSpaceDN w:val="0"/>
              <w:adjustRightInd w:val="0"/>
              <w:ind w:left="-144" w:right="-144"/>
              <w:rPr>
                <w:sz w:val="20"/>
                <w:szCs w:val="20"/>
              </w:rPr>
            </w:pPr>
            <w:r w:rsidRPr="006E78E0">
              <w:rPr>
                <w:sz w:val="20"/>
                <w:szCs w:val="20"/>
              </w:rPr>
              <w:t>(0.202)</w:t>
            </w:r>
          </w:p>
        </w:tc>
        <w:tc>
          <w:tcPr>
            <w:tcW w:w="1040" w:type="dxa"/>
            <w:tcBorders>
              <w:top w:val="nil"/>
              <w:left w:val="nil"/>
              <w:bottom w:val="nil"/>
              <w:right w:val="nil"/>
            </w:tcBorders>
            <w:vAlign w:val="center"/>
          </w:tcPr>
          <w:p w:rsidR="00BF1A3B" w:rsidRDefault="00BF1A3B" w:rsidP="00BF1A3B">
            <w:pPr>
              <w:widowControl w:val="0"/>
              <w:tabs>
                <w:tab w:val="decimal" w:pos="232"/>
              </w:tabs>
              <w:autoSpaceDE w:val="0"/>
              <w:autoSpaceDN w:val="0"/>
              <w:adjustRightInd w:val="0"/>
              <w:ind w:left="-144" w:right="-98"/>
              <w:rPr>
                <w:sz w:val="20"/>
                <w:szCs w:val="20"/>
              </w:rPr>
            </w:pPr>
            <w:r w:rsidRPr="006E78E0">
              <w:rPr>
                <w:sz w:val="20"/>
                <w:szCs w:val="20"/>
              </w:rPr>
              <w:t>0.419*</w:t>
            </w:r>
          </w:p>
          <w:p w:rsidR="00BF1A3B" w:rsidRPr="006E78E0" w:rsidRDefault="00BF1A3B" w:rsidP="00BF1A3B">
            <w:pPr>
              <w:widowControl w:val="0"/>
              <w:tabs>
                <w:tab w:val="decimal" w:pos="232"/>
              </w:tabs>
              <w:autoSpaceDE w:val="0"/>
              <w:autoSpaceDN w:val="0"/>
              <w:adjustRightInd w:val="0"/>
              <w:ind w:left="-144" w:right="-98"/>
              <w:rPr>
                <w:sz w:val="20"/>
                <w:szCs w:val="20"/>
              </w:rPr>
            </w:pPr>
            <w:r w:rsidRPr="006E78E0">
              <w:rPr>
                <w:sz w:val="20"/>
                <w:szCs w:val="20"/>
              </w:rPr>
              <w:t>(0.199)</w:t>
            </w:r>
          </w:p>
        </w:tc>
        <w:tc>
          <w:tcPr>
            <w:tcW w:w="1040" w:type="dxa"/>
            <w:tcBorders>
              <w:top w:val="nil"/>
              <w:left w:val="nil"/>
              <w:bottom w:val="nil"/>
              <w:right w:val="single" w:sz="6" w:space="0" w:color="BFBFBF" w:themeColor="background1" w:themeShade="BF"/>
            </w:tcBorders>
            <w:vAlign w:val="center"/>
          </w:tcPr>
          <w:p w:rsidR="00BF1A3B" w:rsidRDefault="00BF1A3B" w:rsidP="00BF1A3B">
            <w:pPr>
              <w:widowControl w:val="0"/>
              <w:tabs>
                <w:tab w:val="decimal" w:pos="182"/>
              </w:tabs>
              <w:autoSpaceDE w:val="0"/>
              <w:autoSpaceDN w:val="0"/>
              <w:adjustRightInd w:val="0"/>
              <w:ind w:left="-100" w:right="-144"/>
              <w:rPr>
                <w:sz w:val="20"/>
                <w:szCs w:val="20"/>
              </w:rPr>
            </w:pPr>
            <w:r w:rsidRPr="006E78E0">
              <w:rPr>
                <w:sz w:val="20"/>
                <w:szCs w:val="20"/>
              </w:rPr>
              <w:t>0.406*</w:t>
            </w:r>
          </w:p>
          <w:p w:rsidR="00BF1A3B" w:rsidRPr="006E78E0" w:rsidRDefault="00BF1A3B" w:rsidP="00BF1A3B">
            <w:pPr>
              <w:widowControl w:val="0"/>
              <w:tabs>
                <w:tab w:val="decimal" w:pos="182"/>
              </w:tabs>
              <w:autoSpaceDE w:val="0"/>
              <w:autoSpaceDN w:val="0"/>
              <w:adjustRightInd w:val="0"/>
              <w:ind w:left="-100" w:right="-144"/>
              <w:rPr>
                <w:sz w:val="20"/>
                <w:szCs w:val="20"/>
              </w:rPr>
            </w:pPr>
            <w:r w:rsidRPr="006E78E0">
              <w:rPr>
                <w:sz w:val="20"/>
                <w:szCs w:val="20"/>
              </w:rPr>
              <w:t>(0.194)</w:t>
            </w:r>
          </w:p>
        </w:tc>
        <w:tc>
          <w:tcPr>
            <w:tcW w:w="1040" w:type="dxa"/>
            <w:tcBorders>
              <w:top w:val="nil"/>
              <w:left w:val="single" w:sz="6" w:space="0" w:color="BFBFBF" w:themeColor="background1" w:themeShade="BF"/>
              <w:bottom w:val="nil"/>
            </w:tcBorders>
            <w:vAlign w:val="center"/>
          </w:tcPr>
          <w:p w:rsidR="00BF1A3B" w:rsidRDefault="00BF1A3B" w:rsidP="00BF1A3B">
            <w:pPr>
              <w:widowControl w:val="0"/>
              <w:tabs>
                <w:tab w:val="decimal" w:pos="237"/>
              </w:tabs>
              <w:autoSpaceDE w:val="0"/>
              <w:autoSpaceDN w:val="0"/>
              <w:adjustRightInd w:val="0"/>
              <w:ind w:left="-144" w:right="-117"/>
              <w:rPr>
                <w:sz w:val="20"/>
                <w:szCs w:val="20"/>
              </w:rPr>
            </w:pPr>
            <w:r w:rsidRPr="006E78E0">
              <w:rPr>
                <w:sz w:val="20"/>
                <w:szCs w:val="20"/>
              </w:rPr>
              <w:t>0.365</w:t>
            </w:r>
          </w:p>
          <w:p w:rsidR="00BF1A3B" w:rsidRPr="006E78E0" w:rsidRDefault="00BF1A3B" w:rsidP="00BF1A3B">
            <w:pPr>
              <w:widowControl w:val="0"/>
              <w:tabs>
                <w:tab w:val="decimal" w:pos="237"/>
              </w:tabs>
              <w:autoSpaceDE w:val="0"/>
              <w:autoSpaceDN w:val="0"/>
              <w:adjustRightInd w:val="0"/>
              <w:ind w:left="-144" w:right="-117"/>
              <w:rPr>
                <w:sz w:val="20"/>
                <w:szCs w:val="20"/>
              </w:rPr>
            </w:pPr>
            <w:r w:rsidRPr="006E78E0">
              <w:rPr>
                <w:sz w:val="20"/>
                <w:szCs w:val="20"/>
              </w:rPr>
              <w:t>(0.193)</w:t>
            </w:r>
          </w:p>
        </w:tc>
      </w:tr>
      <w:tr w:rsidR="00BF1A3B" w:rsidRPr="006E78E0" w:rsidTr="00BF1A3B">
        <w:trPr>
          <w:trHeight w:val="720"/>
          <w:jc w:val="center"/>
        </w:trPr>
        <w:tc>
          <w:tcPr>
            <w:tcW w:w="2639" w:type="dxa"/>
            <w:tcBorders>
              <w:top w:val="nil"/>
              <w:bottom w:val="nil"/>
              <w:right w:val="nil"/>
            </w:tcBorders>
            <w:vAlign w:val="center"/>
          </w:tcPr>
          <w:p w:rsidR="00BF1A3B" w:rsidRPr="006E78E0" w:rsidRDefault="00BF1A3B" w:rsidP="00BF1A3B">
            <w:pPr>
              <w:widowControl w:val="0"/>
              <w:autoSpaceDE w:val="0"/>
              <w:autoSpaceDN w:val="0"/>
              <w:adjustRightInd w:val="0"/>
              <w:ind w:left="243" w:right="-144" w:hanging="243"/>
              <w:rPr>
                <w:sz w:val="20"/>
                <w:szCs w:val="20"/>
              </w:rPr>
            </w:pPr>
            <w:r w:rsidRPr="00DD6C1B">
              <w:rPr>
                <w:i/>
                <w:iCs/>
                <w:sz w:val="20"/>
                <w:szCs w:val="20"/>
              </w:rPr>
              <w:t>District Percent White Students</w:t>
            </w:r>
          </w:p>
        </w:tc>
        <w:tc>
          <w:tcPr>
            <w:tcW w:w="1039" w:type="dxa"/>
            <w:tcBorders>
              <w:top w:val="nil"/>
              <w:left w:val="nil"/>
              <w:bottom w:val="nil"/>
              <w:right w:val="nil"/>
            </w:tcBorders>
            <w:vAlign w:val="center"/>
          </w:tcPr>
          <w:p w:rsidR="00BF1A3B" w:rsidRPr="006E78E0" w:rsidRDefault="00BF1A3B" w:rsidP="00BF1A3B">
            <w:pPr>
              <w:widowControl w:val="0"/>
              <w:autoSpaceDE w:val="0"/>
              <w:autoSpaceDN w:val="0"/>
              <w:adjustRightInd w:val="0"/>
              <w:ind w:left="-144" w:right="-144"/>
              <w:rPr>
                <w:sz w:val="20"/>
                <w:szCs w:val="20"/>
              </w:rPr>
            </w:pPr>
          </w:p>
        </w:tc>
        <w:tc>
          <w:tcPr>
            <w:tcW w:w="1040" w:type="dxa"/>
            <w:tcBorders>
              <w:top w:val="nil"/>
              <w:left w:val="nil"/>
              <w:bottom w:val="nil"/>
              <w:right w:val="nil"/>
            </w:tcBorders>
            <w:vAlign w:val="center"/>
          </w:tcPr>
          <w:p w:rsidR="00BF1A3B" w:rsidRPr="006E78E0" w:rsidRDefault="00BF1A3B" w:rsidP="00BF1A3B">
            <w:pPr>
              <w:widowControl w:val="0"/>
              <w:autoSpaceDE w:val="0"/>
              <w:autoSpaceDN w:val="0"/>
              <w:adjustRightInd w:val="0"/>
              <w:ind w:left="-144" w:right="-144"/>
              <w:rPr>
                <w:sz w:val="20"/>
                <w:szCs w:val="20"/>
              </w:rPr>
            </w:pPr>
          </w:p>
        </w:tc>
        <w:tc>
          <w:tcPr>
            <w:tcW w:w="1040" w:type="dxa"/>
            <w:tcBorders>
              <w:top w:val="nil"/>
              <w:left w:val="nil"/>
              <w:bottom w:val="nil"/>
              <w:right w:val="nil"/>
            </w:tcBorders>
            <w:vAlign w:val="center"/>
          </w:tcPr>
          <w:p w:rsidR="00BF1A3B" w:rsidRDefault="00BF1A3B" w:rsidP="00BF1A3B">
            <w:pPr>
              <w:widowControl w:val="0"/>
              <w:tabs>
                <w:tab w:val="decimal" w:pos="192"/>
              </w:tabs>
              <w:autoSpaceDE w:val="0"/>
              <w:autoSpaceDN w:val="0"/>
              <w:adjustRightInd w:val="0"/>
              <w:ind w:left="-144" w:right="-144"/>
              <w:rPr>
                <w:sz w:val="20"/>
                <w:szCs w:val="20"/>
              </w:rPr>
            </w:pPr>
            <w:r w:rsidRPr="006E78E0">
              <w:rPr>
                <w:sz w:val="20"/>
                <w:szCs w:val="20"/>
              </w:rPr>
              <w:t>-0.094*</w:t>
            </w:r>
          </w:p>
          <w:p w:rsidR="00BF1A3B" w:rsidRPr="006E78E0" w:rsidRDefault="00BF1A3B" w:rsidP="00BF1A3B">
            <w:pPr>
              <w:widowControl w:val="0"/>
              <w:tabs>
                <w:tab w:val="decimal" w:pos="192"/>
              </w:tabs>
              <w:autoSpaceDE w:val="0"/>
              <w:autoSpaceDN w:val="0"/>
              <w:adjustRightInd w:val="0"/>
              <w:ind w:left="-144" w:right="-144"/>
              <w:rPr>
                <w:sz w:val="20"/>
                <w:szCs w:val="20"/>
              </w:rPr>
            </w:pPr>
            <w:r w:rsidRPr="006E78E0">
              <w:rPr>
                <w:sz w:val="20"/>
                <w:szCs w:val="20"/>
              </w:rPr>
              <w:t>(0.036)</w:t>
            </w:r>
          </w:p>
        </w:tc>
        <w:tc>
          <w:tcPr>
            <w:tcW w:w="1040" w:type="dxa"/>
            <w:tcBorders>
              <w:top w:val="nil"/>
              <w:left w:val="nil"/>
              <w:bottom w:val="nil"/>
              <w:right w:val="nil"/>
            </w:tcBorders>
            <w:vAlign w:val="center"/>
          </w:tcPr>
          <w:p w:rsidR="00BF1A3B" w:rsidRDefault="00BF1A3B" w:rsidP="00BF1A3B">
            <w:pPr>
              <w:widowControl w:val="0"/>
              <w:tabs>
                <w:tab w:val="decimal" w:pos="232"/>
              </w:tabs>
              <w:autoSpaceDE w:val="0"/>
              <w:autoSpaceDN w:val="0"/>
              <w:adjustRightInd w:val="0"/>
              <w:ind w:left="-144" w:right="-98"/>
              <w:rPr>
                <w:sz w:val="20"/>
                <w:szCs w:val="20"/>
              </w:rPr>
            </w:pPr>
            <w:r w:rsidRPr="006E78E0">
              <w:rPr>
                <w:sz w:val="20"/>
                <w:szCs w:val="20"/>
              </w:rPr>
              <w:t>-0.183**</w:t>
            </w:r>
          </w:p>
          <w:p w:rsidR="00BF1A3B" w:rsidRPr="006E78E0" w:rsidRDefault="00BF1A3B" w:rsidP="00BF1A3B">
            <w:pPr>
              <w:widowControl w:val="0"/>
              <w:tabs>
                <w:tab w:val="decimal" w:pos="232"/>
              </w:tabs>
              <w:autoSpaceDE w:val="0"/>
              <w:autoSpaceDN w:val="0"/>
              <w:adjustRightInd w:val="0"/>
              <w:ind w:left="-144" w:right="-98"/>
              <w:rPr>
                <w:sz w:val="20"/>
                <w:szCs w:val="20"/>
              </w:rPr>
            </w:pPr>
            <w:r w:rsidRPr="006E78E0">
              <w:rPr>
                <w:sz w:val="20"/>
                <w:szCs w:val="20"/>
              </w:rPr>
              <w:t>(0.065)</w:t>
            </w:r>
          </w:p>
        </w:tc>
        <w:tc>
          <w:tcPr>
            <w:tcW w:w="1040" w:type="dxa"/>
            <w:tcBorders>
              <w:top w:val="nil"/>
              <w:left w:val="nil"/>
              <w:bottom w:val="nil"/>
              <w:right w:val="single" w:sz="6" w:space="0" w:color="BFBFBF" w:themeColor="background1" w:themeShade="BF"/>
            </w:tcBorders>
            <w:vAlign w:val="center"/>
          </w:tcPr>
          <w:p w:rsidR="00BF1A3B" w:rsidRDefault="00BF1A3B" w:rsidP="00BF1A3B">
            <w:pPr>
              <w:widowControl w:val="0"/>
              <w:tabs>
                <w:tab w:val="decimal" w:pos="182"/>
              </w:tabs>
              <w:autoSpaceDE w:val="0"/>
              <w:autoSpaceDN w:val="0"/>
              <w:adjustRightInd w:val="0"/>
              <w:ind w:left="-100" w:right="-144"/>
              <w:rPr>
                <w:sz w:val="20"/>
                <w:szCs w:val="20"/>
              </w:rPr>
            </w:pPr>
            <w:r w:rsidRPr="006E78E0">
              <w:rPr>
                <w:sz w:val="20"/>
                <w:szCs w:val="20"/>
              </w:rPr>
              <w:t>-0.150**</w:t>
            </w:r>
          </w:p>
          <w:p w:rsidR="00BF1A3B" w:rsidRPr="006E78E0" w:rsidRDefault="00BF1A3B" w:rsidP="00BF1A3B">
            <w:pPr>
              <w:widowControl w:val="0"/>
              <w:tabs>
                <w:tab w:val="decimal" w:pos="182"/>
              </w:tabs>
              <w:autoSpaceDE w:val="0"/>
              <w:autoSpaceDN w:val="0"/>
              <w:adjustRightInd w:val="0"/>
              <w:ind w:left="-100" w:right="-144"/>
              <w:rPr>
                <w:sz w:val="20"/>
                <w:szCs w:val="20"/>
              </w:rPr>
            </w:pPr>
            <w:r w:rsidRPr="006E78E0">
              <w:rPr>
                <w:sz w:val="20"/>
                <w:szCs w:val="20"/>
              </w:rPr>
              <w:t>(0.039)</w:t>
            </w:r>
          </w:p>
        </w:tc>
        <w:tc>
          <w:tcPr>
            <w:tcW w:w="1040" w:type="dxa"/>
            <w:tcBorders>
              <w:top w:val="nil"/>
              <w:left w:val="single" w:sz="6" w:space="0" w:color="BFBFBF" w:themeColor="background1" w:themeShade="BF"/>
              <w:bottom w:val="nil"/>
            </w:tcBorders>
            <w:vAlign w:val="center"/>
          </w:tcPr>
          <w:p w:rsidR="00BF1A3B" w:rsidRDefault="00BF1A3B" w:rsidP="00BF1A3B">
            <w:pPr>
              <w:widowControl w:val="0"/>
              <w:tabs>
                <w:tab w:val="decimal" w:pos="237"/>
              </w:tabs>
              <w:autoSpaceDE w:val="0"/>
              <w:autoSpaceDN w:val="0"/>
              <w:adjustRightInd w:val="0"/>
              <w:ind w:left="-144" w:right="-117"/>
              <w:rPr>
                <w:sz w:val="20"/>
                <w:szCs w:val="20"/>
              </w:rPr>
            </w:pPr>
            <w:r w:rsidRPr="006E78E0">
              <w:rPr>
                <w:sz w:val="20"/>
                <w:szCs w:val="20"/>
              </w:rPr>
              <w:t>-0.151**</w:t>
            </w:r>
          </w:p>
          <w:p w:rsidR="00BF1A3B" w:rsidRPr="006E78E0" w:rsidRDefault="00BF1A3B" w:rsidP="00BF1A3B">
            <w:pPr>
              <w:widowControl w:val="0"/>
              <w:tabs>
                <w:tab w:val="decimal" w:pos="237"/>
              </w:tabs>
              <w:autoSpaceDE w:val="0"/>
              <w:autoSpaceDN w:val="0"/>
              <w:adjustRightInd w:val="0"/>
              <w:ind w:left="-144" w:right="-117"/>
              <w:rPr>
                <w:sz w:val="20"/>
                <w:szCs w:val="20"/>
              </w:rPr>
            </w:pPr>
            <w:r w:rsidRPr="006E78E0">
              <w:rPr>
                <w:sz w:val="20"/>
                <w:szCs w:val="20"/>
              </w:rPr>
              <w:t>(0.040)</w:t>
            </w:r>
          </w:p>
        </w:tc>
      </w:tr>
      <w:tr w:rsidR="00BF1A3B" w:rsidRPr="006E78E0" w:rsidTr="00BF1A3B">
        <w:trPr>
          <w:trHeight w:val="720"/>
          <w:jc w:val="center"/>
        </w:trPr>
        <w:tc>
          <w:tcPr>
            <w:tcW w:w="2639" w:type="dxa"/>
            <w:tcBorders>
              <w:top w:val="nil"/>
              <w:bottom w:val="nil"/>
              <w:right w:val="nil"/>
            </w:tcBorders>
            <w:vAlign w:val="center"/>
          </w:tcPr>
          <w:p w:rsidR="00BF1A3B" w:rsidRPr="007E7600" w:rsidRDefault="00BF1A3B" w:rsidP="00BF1A3B">
            <w:pPr>
              <w:widowControl w:val="0"/>
              <w:autoSpaceDE w:val="0"/>
              <w:autoSpaceDN w:val="0"/>
              <w:adjustRightInd w:val="0"/>
              <w:ind w:left="243" w:right="-144" w:hanging="243"/>
              <w:rPr>
                <w:i/>
                <w:sz w:val="20"/>
                <w:szCs w:val="20"/>
              </w:rPr>
            </w:pPr>
            <w:r w:rsidRPr="007E7600">
              <w:rPr>
                <w:i/>
                <w:sz w:val="20"/>
                <w:szCs w:val="20"/>
              </w:rPr>
              <w:t>District Median Family Income</w:t>
            </w:r>
          </w:p>
        </w:tc>
        <w:tc>
          <w:tcPr>
            <w:tcW w:w="1039" w:type="dxa"/>
            <w:tcBorders>
              <w:top w:val="nil"/>
              <w:left w:val="nil"/>
              <w:bottom w:val="nil"/>
              <w:right w:val="nil"/>
            </w:tcBorders>
            <w:vAlign w:val="center"/>
          </w:tcPr>
          <w:p w:rsidR="00BF1A3B" w:rsidRPr="006E78E0" w:rsidRDefault="00BF1A3B" w:rsidP="00BF1A3B">
            <w:pPr>
              <w:widowControl w:val="0"/>
              <w:autoSpaceDE w:val="0"/>
              <w:autoSpaceDN w:val="0"/>
              <w:adjustRightInd w:val="0"/>
              <w:ind w:left="-144" w:right="-144"/>
              <w:rPr>
                <w:sz w:val="20"/>
                <w:szCs w:val="20"/>
              </w:rPr>
            </w:pPr>
          </w:p>
        </w:tc>
        <w:tc>
          <w:tcPr>
            <w:tcW w:w="1040" w:type="dxa"/>
            <w:tcBorders>
              <w:top w:val="nil"/>
              <w:left w:val="nil"/>
              <w:bottom w:val="nil"/>
              <w:right w:val="nil"/>
            </w:tcBorders>
            <w:vAlign w:val="center"/>
          </w:tcPr>
          <w:p w:rsidR="00BF1A3B" w:rsidRPr="006E78E0" w:rsidRDefault="00BF1A3B" w:rsidP="00BF1A3B">
            <w:pPr>
              <w:widowControl w:val="0"/>
              <w:autoSpaceDE w:val="0"/>
              <w:autoSpaceDN w:val="0"/>
              <w:adjustRightInd w:val="0"/>
              <w:ind w:left="-144" w:right="-144"/>
              <w:rPr>
                <w:sz w:val="20"/>
                <w:szCs w:val="20"/>
              </w:rPr>
            </w:pPr>
          </w:p>
        </w:tc>
        <w:tc>
          <w:tcPr>
            <w:tcW w:w="1040" w:type="dxa"/>
            <w:tcBorders>
              <w:top w:val="nil"/>
              <w:left w:val="nil"/>
              <w:bottom w:val="nil"/>
              <w:right w:val="nil"/>
            </w:tcBorders>
            <w:vAlign w:val="center"/>
          </w:tcPr>
          <w:p w:rsidR="00BF1A3B" w:rsidRDefault="00BF1A3B" w:rsidP="00BF1A3B">
            <w:pPr>
              <w:widowControl w:val="0"/>
              <w:tabs>
                <w:tab w:val="decimal" w:pos="192"/>
              </w:tabs>
              <w:autoSpaceDE w:val="0"/>
              <w:autoSpaceDN w:val="0"/>
              <w:adjustRightInd w:val="0"/>
              <w:ind w:left="-144" w:right="-144"/>
              <w:rPr>
                <w:sz w:val="20"/>
                <w:szCs w:val="20"/>
              </w:rPr>
            </w:pPr>
            <w:r w:rsidRPr="006E78E0">
              <w:rPr>
                <w:sz w:val="20"/>
                <w:szCs w:val="20"/>
              </w:rPr>
              <w:t>0.014</w:t>
            </w:r>
          </w:p>
          <w:p w:rsidR="00BF1A3B" w:rsidRPr="006E78E0" w:rsidRDefault="00BF1A3B" w:rsidP="00BF1A3B">
            <w:pPr>
              <w:widowControl w:val="0"/>
              <w:tabs>
                <w:tab w:val="decimal" w:pos="192"/>
              </w:tabs>
              <w:autoSpaceDE w:val="0"/>
              <w:autoSpaceDN w:val="0"/>
              <w:adjustRightInd w:val="0"/>
              <w:ind w:left="-144" w:right="-144"/>
              <w:rPr>
                <w:sz w:val="20"/>
                <w:szCs w:val="20"/>
              </w:rPr>
            </w:pPr>
            <w:r w:rsidRPr="006E78E0">
              <w:rPr>
                <w:sz w:val="20"/>
                <w:szCs w:val="20"/>
              </w:rPr>
              <w:t>(0.038)</w:t>
            </w:r>
          </w:p>
        </w:tc>
        <w:tc>
          <w:tcPr>
            <w:tcW w:w="1040" w:type="dxa"/>
            <w:tcBorders>
              <w:top w:val="nil"/>
              <w:left w:val="nil"/>
              <w:bottom w:val="nil"/>
              <w:right w:val="nil"/>
            </w:tcBorders>
            <w:vAlign w:val="center"/>
          </w:tcPr>
          <w:p w:rsidR="00BF1A3B" w:rsidRDefault="00BF1A3B" w:rsidP="00BF1A3B">
            <w:pPr>
              <w:widowControl w:val="0"/>
              <w:tabs>
                <w:tab w:val="decimal" w:pos="232"/>
              </w:tabs>
              <w:autoSpaceDE w:val="0"/>
              <w:autoSpaceDN w:val="0"/>
              <w:adjustRightInd w:val="0"/>
              <w:ind w:left="-144" w:right="-98"/>
              <w:rPr>
                <w:sz w:val="20"/>
                <w:szCs w:val="20"/>
              </w:rPr>
            </w:pPr>
            <w:r w:rsidRPr="006E78E0">
              <w:rPr>
                <w:sz w:val="20"/>
                <w:szCs w:val="20"/>
              </w:rPr>
              <w:t>0.038</w:t>
            </w:r>
          </w:p>
          <w:p w:rsidR="00BF1A3B" w:rsidRPr="006E78E0" w:rsidRDefault="00BF1A3B" w:rsidP="00BF1A3B">
            <w:pPr>
              <w:widowControl w:val="0"/>
              <w:tabs>
                <w:tab w:val="decimal" w:pos="232"/>
              </w:tabs>
              <w:autoSpaceDE w:val="0"/>
              <w:autoSpaceDN w:val="0"/>
              <w:adjustRightInd w:val="0"/>
              <w:ind w:left="-144" w:right="-98"/>
              <w:rPr>
                <w:sz w:val="20"/>
                <w:szCs w:val="20"/>
              </w:rPr>
            </w:pPr>
            <w:r w:rsidRPr="006E78E0">
              <w:rPr>
                <w:sz w:val="20"/>
                <w:szCs w:val="20"/>
              </w:rPr>
              <w:t>(0.039)</w:t>
            </w:r>
          </w:p>
        </w:tc>
        <w:tc>
          <w:tcPr>
            <w:tcW w:w="1040" w:type="dxa"/>
            <w:tcBorders>
              <w:top w:val="nil"/>
              <w:left w:val="nil"/>
              <w:bottom w:val="nil"/>
              <w:right w:val="single" w:sz="6" w:space="0" w:color="BFBFBF" w:themeColor="background1" w:themeShade="BF"/>
            </w:tcBorders>
            <w:vAlign w:val="center"/>
          </w:tcPr>
          <w:p w:rsidR="00BF1A3B" w:rsidRPr="006E78E0" w:rsidRDefault="00BF1A3B" w:rsidP="00BF1A3B">
            <w:pPr>
              <w:widowControl w:val="0"/>
              <w:tabs>
                <w:tab w:val="decimal" w:pos="182"/>
              </w:tabs>
              <w:autoSpaceDE w:val="0"/>
              <w:autoSpaceDN w:val="0"/>
              <w:adjustRightInd w:val="0"/>
              <w:ind w:left="-100" w:right="-144"/>
              <w:rPr>
                <w:sz w:val="20"/>
                <w:szCs w:val="20"/>
              </w:rPr>
            </w:pPr>
          </w:p>
        </w:tc>
        <w:tc>
          <w:tcPr>
            <w:tcW w:w="1040" w:type="dxa"/>
            <w:tcBorders>
              <w:top w:val="nil"/>
              <w:left w:val="single" w:sz="6" w:space="0" w:color="BFBFBF" w:themeColor="background1" w:themeShade="BF"/>
              <w:bottom w:val="nil"/>
            </w:tcBorders>
            <w:vAlign w:val="center"/>
          </w:tcPr>
          <w:p w:rsidR="00BF1A3B" w:rsidRPr="006E78E0" w:rsidRDefault="00BF1A3B" w:rsidP="00BF1A3B">
            <w:pPr>
              <w:widowControl w:val="0"/>
              <w:tabs>
                <w:tab w:val="decimal" w:pos="237"/>
              </w:tabs>
              <w:autoSpaceDE w:val="0"/>
              <w:autoSpaceDN w:val="0"/>
              <w:adjustRightInd w:val="0"/>
              <w:ind w:left="-144" w:right="-117"/>
              <w:rPr>
                <w:sz w:val="20"/>
                <w:szCs w:val="20"/>
              </w:rPr>
            </w:pPr>
          </w:p>
        </w:tc>
      </w:tr>
      <w:tr w:rsidR="00BF1A3B" w:rsidRPr="006E78E0" w:rsidTr="00BF1A3B">
        <w:trPr>
          <w:trHeight w:val="720"/>
          <w:jc w:val="center"/>
        </w:trPr>
        <w:tc>
          <w:tcPr>
            <w:tcW w:w="2639" w:type="dxa"/>
            <w:tcBorders>
              <w:top w:val="nil"/>
              <w:bottom w:val="nil"/>
              <w:right w:val="nil"/>
            </w:tcBorders>
            <w:vAlign w:val="center"/>
          </w:tcPr>
          <w:p w:rsidR="00BF1A3B" w:rsidRPr="006E78E0" w:rsidRDefault="00BF1A3B" w:rsidP="00BF1A3B">
            <w:pPr>
              <w:widowControl w:val="0"/>
              <w:autoSpaceDE w:val="0"/>
              <w:autoSpaceDN w:val="0"/>
              <w:adjustRightInd w:val="0"/>
              <w:ind w:left="243" w:right="-144" w:hanging="243"/>
              <w:rPr>
                <w:sz w:val="20"/>
                <w:szCs w:val="20"/>
              </w:rPr>
            </w:pPr>
            <w:r w:rsidRPr="00DD6C1B">
              <w:rPr>
                <w:i/>
                <w:iCs/>
                <w:sz w:val="20"/>
                <w:szCs w:val="20"/>
              </w:rPr>
              <w:t xml:space="preserve">District Percent Students </w:t>
            </w:r>
            <w:r>
              <w:rPr>
                <w:i/>
                <w:iCs/>
                <w:sz w:val="20"/>
                <w:szCs w:val="20"/>
              </w:rPr>
              <w:br/>
            </w:r>
            <w:r w:rsidRPr="00DD6C1B">
              <w:rPr>
                <w:i/>
                <w:iCs/>
                <w:sz w:val="20"/>
                <w:szCs w:val="20"/>
              </w:rPr>
              <w:t>with Limited English Proficiency (square root)</w:t>
            </w:r>
          </w:p>
        </w:tc>
        <w:tc>
          <w:tcPr>
            <w:tcW w:w="1039" w:type="dxa"/>
            <w:tcBorders>
              <w:top w:val="nil"/>
              <w:left w:val="nil"/>
              <w:bottom w:val="nil"/>
              <w:right w:val="nil"/>
            </w:tcBorders>
            <w:vAlign w:val="center"/>
          </w:tcPr>
          <w:p w:rsidR="00BF1A3B" w:rsidRPr="006E78E0" w:rsidRDefault="00BF1A3B" w:rsidP="00BF1A3B">
            <w:pPr>
              <w:widowControl w:val="0"/>
              <w:autoSpaceDE w:val="0"/>
              <w:autoSpaceDN w:val="0"/>
              <w:adjustRightInd w:val="0"/>
              <w:ind w:left="-144" w:right="-144"/>
              <w:rPr>
                <w:sz w:val="20"/>
                <w:szCs w:val="20"/>
              </w:rPr>
            </w:pPr>
          </w:p>
        </w:tc>
        <w:tc>
          <w:tcPr>
            <w:tcW w:w="1040" w:type="dxa"/>
            <w:tcBorders>
              <w:top w:val="nil"/>
              <w:left w:val="nil"/>
              <w:bottom w:val="nil"/>
              <w:right w:val="nil"/>
            </w:tcBorders>
            <w:vAlign w:val="center"/>
          </w:tcPr>
          <w:p w:rsidR="00BF1A3B" w:rsidRPr="006E78E0" w:rsidRDefault="00BF1A3B" w:rsidP="00BF1A3B">
            <w:pPr>
              <w:widowControl w:val="0"/>
              <w:autoSpaceDE w:val="0"/>
              <w:autoSpaceDN w:val="0"/>
              <w:adjustRightInd w:val="0"/>
              <w:ind w:left="-144" w:right="-144"/>
              <w:rPr>
                <w:sz w:val="20"/>
                <w:szCs w:val="20"/>
              </w:rPr>
            </w:pPr>
          </w:p>
        </w:tc>
        <w:tc>
          <w:tcPr>
            <w:tcW w:w="1040" w:type="dxa"/>
            <w:tcBorders>
              <w:top w:val="nil"/>
              <w:left w:val="nil"/>
              <w:bottom w:val="nil"/>
              <w:right w:val="nil"/>
            </w:tcBorders>
            <w:vAlign w:val="center"/>
          </w:tcPr>
          <w:p w:rsidR="00BF1A3B" w:rsidRPr="006E78E0" w:rsidRDefault="00BF1A3B" w:rsidP="00BF1A3B">
            <w:pPr>
              <w:widowControl w:val="0"/>
              <w:autoSpaceDE w:val="0"/>
              <w:autoSpaceDN w:val="0"/>
              <w:adjustRightInd w:val="0"/>
              <w:ind w:left="-144" w:right="-144"/>
              <w:rPr>
                <w:sz w:val="20"/>
                <w:szCs w:val="20"/>
              </w:rPr>
            </w:pPr>
          </w:p>
        </w:tc>
        <w:tc>
          <w:tcPr>
            <w:tcW w:w="1040" w:type="dxa"/>
            <w:tcBorders>
              <w:top w:val="nil"/>
              <w:left w:val="nil"/>
              <w:bottom w:val="nil"/>
              <w:right w:val="nil"/>
            </w:tcBorders>
            <w:vAlign w:val="center"/>
          </w:tcPr>
          <w:p w:rsidR="00BF1A3B" w:rsidRDefault="00BF1A3B" w:rsidP="00BF1A3B">
            <w:pPr>
              <w:widowControl w:val="0"/>
              <w:tabs>
                <w:tab w:val="decimal" w:pos="232"/>
              </w:tabs>
              <w:autoSpaceDE w:val="0"/>
              <w:autoSpaceDN w:val="0"/>
              <w:adjustRightInd w:val="0"/>
              <w:ind w:left="-144" w:right="-98"/>
              <w:rPr>
                <w:sz w:val="20"/>
                <w:szCs w:val="20"/>
              </w:rPr>
            </w:pPr>
            <w:r w:rsidRPr="006E78E0">
              <w:rPr>
                <w:sz w:val="20"/>
                <w:szCs w:val="20"/>
              </w:rPr>
              <w:t>-0.667</w:t>
            </w:r>
          </w:p>
          <w:p w:rsidR="00BF1A3B" w:rsidRPr="006E78E0" w:rsidRDefault="00BF1A3B" w:rsidP="00BF1A3B">
            <w:pPr>
              <w:widowControl w:val="0"/>
              <w:tabs>
                <w:tab w:val="decimal" w:pos="232"/>
              </w:tabs>
              <w:autoSpaceDE w:val="0"/>
              <w:autoSpaceDN w:val="0"/>
              <w:adjustRightInd w:val="0"/>
              <w:ind w:left="-144" w:right="-98"/>
              <w:rPr>
                <w:sz w:val="20"/>
                <w:szCs w:val="20"/>
              </w:rPr>
            </w:pPr>
            <w:r w:rsidRPr="006E78E0">
              <w:rPr>
                <w:sz w:val="20"/>
                <w:szCs w:val="20"/>
              </w:rPr>
              <w:t>(1.021)</w:t>
            </w:r>
          </w:p>
        </w:tc>
        <w:tc>
          <w:tcPr>
            <w:tcW w:w="1040" w:type="dxa"/>
            <w:tcBorders>
              <w:top w:val="nil"/>
              <w:left w:val="nil"/>
              <w:bottom w:val="nil"/>
              <w:right w:val="single" w:sz="6" w:space="0" w:color="BFBFBF" w:themeColor="background1" w:themeShade="BF"/>
            </w:tcBorders>
            <w:vAlign w:val="center"/>
          </w:tcPr>
          <w:p w:rsidR="00BF1A3B" w:rsidRPr="006E78E0" w:rsidRDefault="00BF1A3B" w:rsidP="00BF1A3B">
            <w:pPr>
              <w:widowControl w:val="0"/>
              <w:tabs>
                <w:tab w:val="decimal" w:pos="182"/>
              </w:tabs>
              <w:autoSpaceDE w:val="0"/>
              <w:autoSpaceDN w:val="0"/>
              <w:adjustRightInd w:val="0"/>
              <w:ind w:left="-100" w:right="-144"/>
              <w:rPr>
                <w:sz w:val="20"/>
                <w:szCs w:val="20"/>
              </w:rPr>
            </w:pPr>
          </w:p>
        </w:tc>
        <w:tc>
          <w:tcPr>
            <w:tcW w:w="1040" w:type="dxa"/>
            <w:tcBorders>
              <w:top w:val="nil"/>
              <w:left w:val="single" w:sz="6" w:space="0" w:color="BFBFBF" w:themeColor="background1" w:themeShade="BF"/>
              <w:bottom w:val="nil"/>
            </w:tcBorders>
            <w:vAlign w:val="center"/>
          </w:tcPr>
          <w:p w:rsidR="00BF1A3B" w:rsidRPr="006E78E0" w:rsidRDefault="00BF1A3B" w:rsidP="00BF1A3B">
            <w:pPr>
              <w:widowControl w:val="0"/>
              <w:tabs>
                <w:tab w:val="decimal" w:pos="237"/>
              </w:tabs>
              <w:autoSpaceDE w:val="0"/>
              <w:autoSpaceDN w:val="0"/>
              <w:adjustRightInd w:val="0"/>
              <w:ind w:left="-144" w:right="-117"/>
              <w:rPr>
                <w:sz w:val="20"/>
                <w:szCs w:val="20"/>
              </w:rPr>
            </w:pPr>
          </w:p>
        </w:tc>
      </w:tr>
      <w:tr w:rsidR="00BF1A3B" w:rsidRPr="006E78E0" w:rsidTr="00BF1A3B">
        <w:trPr>
          <w:trHeight w:val="720"/>
          <w:jc w:val="center"/>
        </w:trPr>
        <w:tc>
          <w:tcPr>
            <w:tcW w:w="2639" w:type="dxa"/>
            <w:tcBorders>
              <w:top w:val="nil"/>
              <w:bottom w:val="nil"/>
              <w:right w:val="nil"/>
            </w:tcBorders>
            <w:vAlign w:val="center"/>
          </w:tcPr>
          <w:p w:rsidR="00BF1A3B" w:rsidRPr="006E78E0" w:rsidRDefault="00BF1A3B" w:rsidP="00BF1A3B">
            <w:pPr>
              <w:widowControl w:val="0"/>
              <w:autoSpaceDE w:val="0"/>
              <w:autoSpaceDN w:val="0"/>
              <w:adjustRightInd w:val="0"/>
              <w:ind w:left="243" w:right="-144" w:hanging="243"/>
              <w:rPr>
                <w:sz w:val="20"/>
                <w:szCs w:val="20"/>
              </w:rPr>
            </w:pPr>
            <w:r w:rsidRPr="00DD6C1B">
              <w:rPr>
                <w:i/>
                <w:iCs/>
                <w:sz w:val="20"/>
                <w:szCs w:val="20"/>
              </w:rPr>
              <w:t>District Enrollment (log</w:t>
            </w:r>
            <w:r w:rsidRPr="00DD6C1B">
              <w:rPr>
                <w:i/>
                <w:iCs/>
                <w:sz w:val="20"/>
                <w:szCs w:val="20"/>
                <w:vertAlign w:val="subscript"/>
              </w:rPr>
              <w:t>2</w:t>
            </w:r>
            <w:r w:rsidRPr="00DD6C1B">
              <w:rPr>
                <w:i/>
                <w:iCs/>
                <w:sz w:val="20"/>
                <w:szCs w:val="20"/>
              </w:rPr>
              <w:t>)</w:t>
            </w:r>
          </w:p>
        </w:tc>
        <w:tc>
          <w:tcPr>
            <w:tcW w:w="1039" w:type="dxa"/>
            <w:tcBorders>
              <w:top w:val="nil"/>
              <w:left w:val="nil"/>
              <w:bottom w:val="nil"/>
              <w:right w:val="nil"/>
            </w:tcBorders>
            <w:vAlign w:val="center"/>
          </w:tcPr>
          <w:p w:rsidR="00BF1A3B" w:rsidRPr="006E78E0" w:rsidRDefault="00BF1A3B" w:rsidP="00BF1A3B">
            <w:pPr>
              <w:widowControl w:val="0"/>
              <w:autoSpaceDE w:val="0"/>
              <w:autoSpaceDN w:val="0"/>
              <w:adjustRightInd w:val="0"/>
              <w:ind w:left="-144" w:right="-144"/>
              <w:rPr>
                <w:sz w:val="20"/>
                <w:szCs w:val="20"/>
              </w:rPr>
            </w:pPr>
          </w:p>
        </w:tc>
        <w:tc>
          <w:tcPr>
            <w:tcW w:w="1040" w:type="dxa"/>
            <w:tcBorders>
              <w:top w:val="nil"/>
              <w:left w:val="nil"/>
              <w:bottom w:val="nil"/>
              <w:right w:val="nil"/>
            </w:tcBorders>
            <w:vAlign w:val="center"/>
          </w:tcPr>
          <w:p w:rsidR="00BF1A3B" w:rsidRPr="006E78E0" w:rsidRDefault="00BF1A3B" w:rsidP="00BF1A3B">
            <w:pPr>
              <w:widowControl w:val="0"/>
              <w:autoSpaceDE w:val="0"/>
              <w:autoSpaceDN w:val="0"/>
              <w:adjustRightInd w:val="0"/>
              <w:ind w:left="-144" w:right="-144"/>
              <w:rPr>
                <w:sz w:val="20"/>
                <w:szCs w:val="20"/>
              </w:rPr>
            </w:pPr>
          </w:p>
        </w:tc>
        <w:tc>
          <w:tcPr>
            <w:tcW w:w="1040" w:type="dxa"/>
            <w:tcBorders>
              <w:top w:val="nil"/>
              <w:left w:val="nil"/>
              <w:bottom w:val="nil"/>
              <w:right w:val="nil"/>
            </w:tcBorders>
            <w:vAlign w:val="center"/>
          </w:tcPr>
          <w:p w:rsidR="00BF1A3B" w:rsidRPr="006E78E0" w:rsidRDefault="00BF1A3B" w:rsidP="00BF1A3B">
            <w:pPr>
              <w:widowControl w:val="0"/>
              <w:autoSpaceDE w:val="0"/>
              <w:autoSpaceDN w:val="0"/>
              <w:adjustRightInd w:val="0"/>
              <w:ind w:left="-144" w:right="-144"/>
              <w:rPr>
                <w:sz w:val="20"/>
                <w:szCs w:val="20"/>
              </w:rPr>
            </w:pPr>
          </w:p>
        </w:tc>
        <w:tc>
          <w:tcPr>
            <w:tcW w:w="1040" w:type="dxa"/>
            <w:tcBorders>
              <w:top w:val="nil"/>
              <w:left w:val="nil"/>
              <w:bottom w:val="nil"/>
              <w:right w:val="nil"/>
            </w:tcBorders>
            <w:vAlign w:val="center"/>
          </w:tcPr>
          <w:p w:rsidR="00BF1A3B" w:rsidRDefault="00BF1A3B" w:rsidP="00BF1A3B">
            <w:pPr>
              <w:widowControl w:val="0"/>
              <w:tabs>
                <w:tab w:val="decimal" w:pos="232"/>
              </w:tabs>
              <w:autoSpaceDE w:val="0"/>
              <w:autoSpaceDN w:val="0"/>
              <w:adjustRightInd w:val="0"/>
              <w:ind w:left="-144" w:right="-98"/>
              <w:rPr>
                <w:sz w:val="20"/>
                <w:szCs w:val="20"/>
              </w:rPr>
            </w:pPr>
            <w:r w:rsidRPr="006E78E0">
              <w:rPr>
                <w:sz w:val="20"/>
                <w:szCs w:val="20"/>
              </w:rPr>
              <w:t>-2.097</w:t>
            </w:r>
          </w:p>
          <w:p w:rsidR="00BF1A3B" w:rsidRPr="006E78E0" w:rsidRDefault="00BF1A3B" w:rsidP="00BF1A3B">
            <w:pPr>
              <w:widowControl w:val="0"/>
              <w:tabs>
                <w:tab w:val="decimal" w:pos="232"/>
              </w:tabs>
              <w:autoSpaceDE w:val="0"/>
              <w:autoSpaceDN w:val="0"/>
              <w:adjustRightInd w:val="0"/>
              <w:ind w:left="-144" w:right="-98"/>
              <w:rPr>
                <w:sz w:val="20"/>
                <w:szCs w:val="20"/>
              </w:rPr>
            </w:pPr>
            <w:r w:rsidRPr="006E78E0">
              <w:rPr>
                <w:sz w:val="20"/>
                <w:szCs w:val="20"/>
              </w:rPr>
              <w:t>(1.294)</w:t>
            </w:r>
          </w:p>
        </w:tc>
        <w:tc>
          <w:tcPr>
            <w:tcW w:w="1040" w:type="dxa"/>
            <w:tcBorders>
              <w:top w:val="nil"/>
              <w:left w:val="nil"/>
              <w:bottom w:val="nil"/>
              <w:right w:val="single" w:sz="6" w:space="0" w:color="BFBFBF" w:themeColor="background1" w:themeShade="BF"/>
            </w:tcBorders>
            <w:vAlign w:val="center"/>
          </w:tcPr>
          <w:p w:rsidR="00BF1A3B" w:rsidRDefault="00BF1A3B" w:rsidP="00BF1A3B">
            <w:pPr>
              <w:widowControl w:val="0"/>
              <w:tabs>
                <w:tab w:val="decimal" w:pos="182"/>
              </w:tabs>
              <w:autoSpaceDE w:val="0"/>
              <w:autoSpaceDN w:val="0"/>
              <w:adjustRightInd w:val="0"/>
              <w:ind w:left="-100" w:right="-144"/>
              <w:rPr>
                <w:sz w:val="20"/>
                <w:szCs w:val="20"/>
              </w:rPr>
            </w:pPr>
            <w:r w:rsidRPr="006E78E0">
              <w:rPr>
                <w:sz w:val="20"/>
                <w:szCs w:val="20"/>
              </w:rPr>
              <w:t>-2.535**</w:t>
            </w:r>
          </w:p>
          <w:p w:rsidR="00BF1A3B" w:rsidRPr="006E78E0" w:rsidRDefault="00BF1A3B" w:rsidP="00BF1A3B">
            <w:pPr>
              <w:widowControl w:val="0"/>
              <w:tabs>
                <w:tab w:val="decimal" w:pos="182"/>
              </w:tabs>
              <w:autoSpaceDE w:val="0"/>
              <w:autoSpaceDN w:val="0"/>
              <w:adjustRightInd w:val="0"/>
              <w:ind w:left="-100" w:right="-144"/>
              <w:rPr>
                <w:sz w:val="20"/>
                <w:szCs w:val="20"/>
              </w:rPr>
            </w:pPr>
            <w:r w:rsidRPr="006E78E0">
              <w:rPr>
                <w:sz w:val="20"/>
                <w:szCs w:val="20"/>
              </w:rPr>
              <w:t>(0.805)</w:t>
            </w:r>
          </w:p>
        </w:tc>
        <w:tc>
          <w:tcPr>
            <w:tcW w:w="1040" w:type="dxa"/>
            <w:tcBorders>
              <w:top w:val="nil"/>
              <w:left w:val="single" w:sz="6" w:space="0" w:color="BFBFBF" w:themeColor="background1" w:themeShade="BF"/>
              <w:bottom w:val="nil"/>
            </w:tcBorders>
            <w:vAlign w:val="center"/>
          </w:tcPr>
          <w:p w:rsidR="00BF1A3B" w:rsidRDefault="00BF1A3B" w:rsidP="00BF1A3B">
            <w:pPr>
              <w:widowControl w:val="0"/>
              <w:tabs>
                <w:tab w:val="decimal" w:pos="237"/>
              </w:tabs>
              <w:autoSpaceDE w:val="0"/>
              <w:autoSpaceDN w:val="0"/>
              <w:adjustRightInd w:val="0"/>
              <w:ind w:left="-144" w:right="-117"/>
              <w:rPr>
                <w:sz w:val="20"/>
                <w:szCs w:val="20"/>
              </w:rPr>
            </w:pPr>
            <w:r w:rsidRPr="006E78E0">
              <w:rPr>
                <w:sz w:val="20"/>
                <w:szCs w:val="20"/>
              </w:rPr>
              <w:t>-1.996*</w:t>
            </w:r>
          </w:p>
          <w:p w:rsidR="00BF1A3B" w:rsidRPr="006E78E0" w:rsidRDefault="00BF1A3B" w:rsidP="00BF1A3B">
            <w:pPr>
              <w:widowControl w:val="0"/>
              <w:tabs>
                <w:tab w:val="decimal" w:pos="237"/>
              </w:tabs>
              <w:autoSpaceDE w:val="0"/>
              <w:autoSpaceDN w:val="0"/>
              <w:adjustRightInd w:val="0"/>
              <w:ind w:left="-144" w:right="-117"/>
              <w:rPr>
                <w:sz w:val="20"/>
                <w:szCs w:val="20"/>
              </w:rPr>
            </w:pPr>
            <w:r w:rsidRPr="006E78E0">
              <w:rPr>
                <w:sz w:val="20"/>
                <w:szCs w:val="20"/>
              </w:rPr>
              <w:t>(0.954)</w:t>
            </w:r>
          </w:p>
        </w:tc>
      </w:tr>
      <w:tr w:rsidR="00BF1A3B" w:rsidRPr="006E78E0" w:rsidTr="00BF1A3B">
        <w:trPr>
          <w:trHeight w:val="720"/>
          <w:jc w:val="center"/>
        </w:trPr>
        <w:tc>
          <w:tcPr>
            <w:tcW w:w="2639" w:type="dxa"/>
            <w:tcBorders>
              <w:top w:val="nil"/>
              <w:bottom w:val="nil"/>
              <w:right w:val="nil"/>
            </w:tcBorders>
            <w:vAlign w:val="center"/>
          </w:tcPr>
          <w:p w:rsidR="00BF1A3B" w:rsidRPr="00DD6C1B" w:rsidRDefault="00BF1A3B" w:rsidP="00BF1A3B">
            <w:pPr>
              <w:widowControl w:val="0"/>
              <w:tabs>
                <w:tab w:val="decimal" w:pos="538"/>
              </w:tabs>
              <w:autoSpaceDE w:val="0"/>
              <w:autoSpaceDN w:val="0"/>
              <w:adjustRightInd w:val="0"/>
              <w:ind w:left="180" w:hanging="180"/>
              <w:rPr>
                <w:i/>
                <w:iCs/>
                <w:sz w:val="20"/>
                <w:szCs w:val="20"/>
              </w:rPr>
            </w:pPr>
            <w:r w:rsidRPr="00DD6C1B">
              <w:rPr>
                <w:i/>
                <w:iCs/>
                <w:sz w:val="20"/>
                <w:szCs w:val="20"/>
              </w:rPr>
              <w:t xml:space="preserve">District is ‘Rural’ </w:t>
            </w:r>
          </w:p>
        </w:tc>
        <w:tc>
          <w:tcPr>
            <w:tcW w:w="1039" w:type="dxa"/>
            <w:tcBorders>
              <w:top w:val="nil"/>
              <w:left w:val="nil"/>
              <w:bottom w:val="nil"/>
              <w:right w:val="nil"/>
            </w:tcBorders>
            <w:vAlign w:val="center"/>
          </w:tcPr>
          <w:p w:rsidR="00BF1A3B" w:rsidRPr="006E78E0" w:rsidRDefault="00BF1A3B" w:rsidP="00BF1A3B">
            <w:pPr>
              <w:widowControl w:val="0"/>
              <w:autoSpaceDE w:val="0"/>
              <w:autoSpaceDN w:val="0"/>
              <w:adjustRightInd w:val="0"/>
              <w:ind w:left="-144" w:right="-144"/>
              <w:rPr>
                <w:sz w:val="20"/>
                <w:szCs w:val="20"/>
              </w:rPr>
            </w:pPr>
          </w:p>
        </w:tc>
        <w:tc>
          <w:tcPr>
            <w:tcW w:w="1040" w:type="dxa"/>
            <w:tcBorders>
              <w:top w:val="nil"/>
              <w:left w:val="nil"/>
              <w:bottom w:val="nil"/>
              <w:right w:val="nil"/>
            </w:tcBorders>
            <w:vAlign w:val="center"/>
          </w:tcPr>
          <w:p w:rsidR="00BF1A3B" w:rsidRPr="006E78E0" w:rsidRDefault="00BF1A3B" w:rsidP="00BF1A3B">
            <w:pPr>
              <w:widowControl w:val="0"/>
              <w:autoSpaceDE w:val="0"/>
              <w:autoSpaceDN w:val="0"/>
              <w:adjustRightInd w:val="0"/>
              <w:ind w:left="-144" w:right="-144"/>
              <w:rPr>
                <w:sz w:val="20"/>
                <w:szCs w:val="20"/>
              </w:rPr>
            </w:pPr>
          </w:p>
        </w:tc>
        <w:tc>
          <w:tcPr>
            <w:tcW w:w="1040" w:type="dxa"/>
            <w:tcBorders>
              <w:top w:val="nil"/>
              <w:left w:val="nil"/>
              <w:bottom w:val="nil"/>
              <w:right w:val="nil"/>
            </w:tcBorders>
            <w:vAlign w:val="center"/>
          </w:tcPr>
          <w:p w:rsidR="00BF1A3B" w:rsidRPr="006E78E0" w:rsidRDefault="00BF1A3B" w:rsidP="00BF1A3B">
            <w:pPr>
              <w:widowControl w:val="0"/>
              <w:autoSpaceDE w:val="0"/>
              <w:autoSpaceDN w:val="0"/>
              <w:adjustRightInd w:val="0"/>
              <w:ind w:left="-144" w:right="-144"/>
              <w:rPr>
                <w:sz w:val="20"/>
                <w:szCs w:val="20"/>
              </w:rPr>
            </w:pPr>
          </w:p>
        </w:tc>
        <w:tc>
          <w:tcPr>
            <w:tcW w:w="1040" w:type="dxa"/>
            <w:tcBorders>
              <w:top w:val="nil"/>
              <w:left w:val="nil"/>
              <w:bottom w:val="nil"/>
              <w:right w:val="nil"/>
            </w:tcBorders>
            <w:vAlign w:val="center"/>
          </w:tcPr>
          <w:p w:rsidR="00BF1A3B" w:rsidRDefault="00BF1A3B" w:rsidP="00BF1A3B">
            <w:pPr>
              <w:widowControl w:val="0"/>
              <w:tabs>
                <w:tab w:val="decimal" w:pos="232"/>
              </w:tabs>
              <w:autoSpaceDE w:val="0"/>
              <w:autoSpaceDN w:val="0"/>
              <w:adjustRightInd w:val="0"/>
              <w:ind w:left="-144" w:right="-98"/>
              <w:rPr>
                <w:sz w:val="20"/>
                <w:szCs w:val="20"/>
              </w:rPr>
            </w:pPr>
            <w:r w:rsidRPr="006E78E0">
              <w:rPr>
                <w:sz w:val="20"/>
                <w:szCs w:val="20"/>
              </w:rPr>
              <w:t>3.110*</w:t>
            </w:r>
          </w:p>
          <w:p w:rsidR="00BF1A3B" w:rsidRPr="006E78E0" w:rsidRDefault="00BF1A3B" w:rsidP="00BF1A3B">
            <w:pPr>
              <w:widowControl w:val="0"/>
              <w:tabs>
                <w:tab w:val="decimal" w:pos="232"/>
              </w:tabs>
              <w:autoSpaceDE w:val="0"/>
              <w:autoSpaceDN w:val="0"/>
              <w:adjustRightInd w:val="0"/>
              <w:ind w:left="-144" w:right="-98"/>
              <w:rPr>
                <w:sz w:val="20"/>
                <w:szCs w:val="20"/>
              </w:rPr>
            </w:pPr>
            <w:r w:rsidRPr="006E78E0">
              <w:rPr>
                <w:sz w:val="20"/>
                <w:szCs w:val="20"/>
              </w:rPr>
              <w:t>(1.445)</w:t>
            </w:r>
          </w:p>
        </w:tc>
        <w:tc>
          <w:tcPr>
            <w:tcW w:w="1040" w:type="dxa"/>
            <w:tcBorders>
              <w:top w:val="nil"/>
              <w:left w:val="nil"/>
              <w:bottom w:val="nil"/>
              <w:right w:val="single" w:sz="6" w:space="0" w:color="BFBFBF" w:themeColor="background1" w:themeShade="BF"/>
            </w:tcBorders>
            <w:vAlign w:val="center"/>
          </w:tcPr>
          <w:p w:rsidR="00BF1A3B" w:rsidRPr="006E78E0" w:rsidRDefault="00BF1A3B" w:rsidP="00BF1A3B">
            <w:pPr>
              <w:widowControl w:val="0"/>
              <w:autoSpaceDE w:val="0"/>
              <w:autoSpaceDN w:val="0"/>
              <w:adjustRightInd w:val="0"/>
              <w:ind w:left="-100" w:right="-144"/>
              <w:rPr>
                <w:sz w:val="20"/>
                <w:szCs w:val="20"/>
              </w:rPr>
            </w:pPr>
          </w:p>
        </w:tc>
        <w:tc>
          <w:tcPr>
            <w:tcW w:w="1040" w:type="dxa"/>
            <w:tcBorders>
              <w:top w:val="nil"/>
              <w:left w:val="single" w:sz="6" w:space="0" w:color="BFBFBF" w:themeColor="background1" w:themeShade="BF"/>
              <w:bottom w:val="nil"/>
            </w:tcBorders>
            <w:vAlign w:val="center"/>
          </w:tcPr>
          <w:p w:rsidR="00BF1A3B" w:rsidRDefault="00BF1A3B" w:rsidP="00BF1A3B">
            <w:pPr>
              <w:widowControl w:val="0"/>
              <w:tabs>
                <w:tab w:val="decimal" w:pos="237"/>
              </w:tabs>
              <w:autoSpaceDE w:val="0"/>
              <w:autoSpaceDN w:val="0"/>
              <w:adjustRightInd w:val="0"/>
              <w:ind w:left="-144" w:right="-117"/>
              <w:rPr>
                <w:sz w:val="20"/>
                <w:szCs w:val="20"/>
              </w:rPr>
            </w:pPr>
            <w:r w:rsidRPr="006E78E0">
              <w:rPr>
                <w:sz w:val="20"/>
                <w:szCs w:val="20"/>
              </w:rPr>
              <w:t>3.204*</w:t>
            </w:r>
          </w:p>
          <w:p w:rsidR="00BF1A3B" w:rsidRPr="006E78E0" w:rsidRDefault="00BF1A3B" w:rsidP="00BF1A3B">
            <w:pPr>
              <w:widowControl w:val="0"/>
              <w:tabs>
                <w:tab w:val="decimal" w:pos="237"/>
              </w:tabs>
              <w:autoSpaceDE w:val="0"/>
              <w:autoSpaceDN w:val="0"/>
              <w:adjustRightInd w:val="0"/>
              <w:ind w:left="-144" w:right="-117"/>
              <w:rPr>
                <w:sz w:val="20"/>
                <w:szCs w:val="20"/>
              </w:rPr>
            </w:pPr>
            <w:r w:rsidRPr="006E78E0">
              <w:rPr>
                <w:sz w:val="20"/>
                <w:szCs w:val="20"/>
              </w:rPr>
              <w:t>(1.416)</w:t>
            </w:r>
          </w:p>
        </w:tc>
      </w:tr>
      <w:tr w:rsidR="00BF1A3B" w:rsidRPr="006E78E0" w:rsidTr="00BF1A3B">
        <w:trPr>
          <w:trHeight w:val="720"/>
          <w:jc w:val="center"/>
        </w:trPr>
        <w:tc>
          <w:tcPr>
            <w:tcW w:w="2639" w:type="dxa"/>
            <w:tcBorders>
              <w:top w:val="nil"/>
              <w:bottom w:val="nil"/>
              <w:right w:val="nil"/>
            </w:tcBorders>
            <w:vAlign w:val="center"/>
          </w:tcPr>
          <w:p w:rsidR="00BF1A3B" w:rsidRPr="00DD6C1B" w:rsidRDefault="00BF1A3B" w:rsidP="00BF1A3B">
            <w:pPr>
              <w:widowControl w:val="0"/>
              <w:tabs>
                <w:tab w:val="decimal" w:pos="538"/>
              </w:tabs>
              <w:autoSpaceDE w:val="0"/>
              <w:autoSpaceDN w:val="0"/>
              <w:adjustRightInd w:val="0"/>
              <w:ind w:left="180" w:hanging="180"/>
              <w:rPr>
                <w:i/>
                <w:iCs/>
                <w:sz w:val="20"/>
                <w:szCs w:val="20"/>
              </w:rPr>
            </w:pPr>
            <w:r w:rsidRPr="00DD6C1B">
              <w:rPr>
                <w:i/>
                <w:iCs/>
                <w:sz w:val="20"/>
                <w:szCs w:val="20"/>
              </w:rPr>
              <w:t xml:space="preserve">District is ‘Town’ </w:t>
            </w:r>
          </w:p>
        </w:tc>
        <w:tc>
          <w:tcPr>
            <w:tcW w:w="1039" w:type="dxa"/>
            <w:tcBorders>
              <w:top w:val="nil"/>
              <w:left w:val="nil"/>
              <w:bottom w:val="nil"/>
              <w:right w:val="nil"/>
            </w:tcBorders>
            <w:vAlign w:val="center"/>
          </w:tcPr>
          <w:p w:rsidR="00BF1A3B" w:rsidRPr="006E78E0" w:rsidRDefault="00BF1A3B" w:rsidP="00BF1A3B">
            <w:pPr>
              <w:widowControl w:val="0"/>
              <w:autoSpaceDE w:val="0"/>
              <w:autoSpaceDN w:val="0"/>
              <w:adjustRightInd w:val="0"/>
              <w:ind w:left="-144" w:right="-144"/>
              <w:rPr>
                <w:sz w:val="20"/>
                <w:szCs w:val="20"/>
              </w:rPr>
            </w:pPr>
          </w:p>
        </w:tc>
        <w:tc>
          <w:tcPr>
            <w:tcW w:w="1040" w:type="dxa"/>
            <w:tcBorders>
              <w:top w:val="nil"/>
              <w:left w:val="nil"/>
              <w:bottom w:val="nil"/>
              <w:right w:val="nil"/>
            </w:tcBorders>
            <w:vAlign w:val="center"/>
          </w:tcPr>
          <w:p w:rsidR="00BF1A3B" w:rsidRPr="006E78E0" w:rsidRDefault="00BF1A3B" w:rsidP="00BF1A3B">
            <w:pPr>
              <w:widowControl w:val="0"/>
              <w:autoSpaceDE w:val="0"/>
              <w:autoSpaceDN w:val="0"/>
              <w:adjustRightInd w:val="0"/>
              <w:ind w:right="-144"/>
              <w:rPr>
                <w:sz w:val="20"/>
                <w:szCs w:val="20"/>
              </w:rPr>
            </w:pPr>
          </w:p>
        </w:tc>
        <w:tc>
          <w:tcPr>
            <w:tcW w:w="1040" w:type="dxa"/>
            <w:tcBorders>
              <w:top w:val="nil"/>
              <w:left w:val="nil"/>
              <w:bottom w:val="nil"/>
              <w:right w:val="nil"/>
            </w:tcBorders>
            <w:vAlign w:val="center"/>
          </w:tcPr>
          <w:p w:rsidR="00BF1A3B" w:rsidRPr="006E78E0" w:rsidRDefault="00BF1A3B" w:rsidP="00BF1A3B">
            <w:pPr>
              <w:widowControl w:val="0"/>
              <w:autoSpaceDE w:val="0"/>
              <w:autoSpaceDN w:val="0"/>
              <w:adjustRightInd w:val="0"/>
              <w:ind w:left="-144" w:right="-144"/>
              <w:rPr>
                <w:sz w:val="20"/>
                <w:szCs w:val="20"/>
              </w:rPr>
            </w:pPr>
          </w:p>
        </w:tc>
        <w:tc>
          <w:tcPr>
            <w:tcW w:w="1040" w:type="dxa"/>
            <w:tcBorders>
              <w:top w:val="nil"/>
              <w:left w:val="nil"/>
              <w:bottom w:val="nil"/>
              <w:right w:val="nil"/>
            </w:tcBorders>
            <w:vAlign w:val="center"/>
          </w:tcPr>
          <w:p w:rsidR="00BF1A3B" w:rsidRDefault="00BF1A3B" w:rsidP="00BF1A3B">
            <w:pPr>
              <w:widowControl w:val="0"/>
              <w:tabs>
                <w:tab w:val="decimal" w:pos="232"/>
              </w:tabs>
              <w:autoSpaceDE w:val="0"/>
              <w:autoSpaceDN w:val="0"/>
              <w:adjustRightInd w:val="0"/>
              <w:ind w:left="-144" w:right="-98"/>
              <w:rPr>
                <w:sz w:val="20"/>
                <w:szCs w:val="20"/>
              </w:rPr>
            </w:pPr>
            <w:r w:rsidRPr="006E78E0">
              <w:rPr>
                <w:sz w:val="20"/>
                <w:szCs w:val="20"/>
              </w:rPr>
              <w:t>-0.192</w:t>
            </w:r>
          </w:p>
          <w:p w:rsidR="00BF1A3B" w:rsidRPr="006E78E0" w:rsidRDefault="00BF1A3B" w:rsidP="00BF1A3B">
            <w:pPr>
              <w:widowControl w:val="0"/>
              <w:tabs>
                <w:tab w:val="decimal" w:pos="232"/>
              </w:tabs>
              <w:autoSpaceDE w:val="0"/>
              <w:autoSpaceDN w:val="0"/>
              <w:adjustRightInd w:val="0"/>
              <w:ind w:left="-144" w:right="-98"/>
              <w:rPr>
                <w:sz w:val="20"/>
                <w:szCs w:val="20"/>
              </w:rPr>
            </w:pPr>
            <w:r w:rsidRPr="006E78E0">
              <w:rPr>
                <w:sz w:val="20"/>
                <w:szCs w:val="20"/>
              </w:rPr>
              <w:t>(2.253)</w:t>
            </w:r>
          </w:p>
        </w:tc>
        <w:tc>
          <w:tcPr>
            <w:tcW w:w="1040" w:type="dxa"/>
            <w:tcBorders>
              <w:top w:val="nil"/>
              <w:left w:val="nil"/>
              <w:bottom w:val="nil"/>
              <w:right w:val="single" w:sz="6" w:space="0" w:color="BFBFBF" w:themeColor="background1" w:themeShade="BF"/>
            </w:tcBorders>
            <w:vAlign w:val="center"/>
          </w:tcPr>
          <w:p w:rsidR="00BF1A3B" w:rsidRPr="006E78E0" w:rsidRDefault="00BF1A3B" w:rsidP="00BF1A3B">
            <w:pPr>
              <w:widowControl w:val="0"/>
              <w:autoSpaceDE w:val="0"/>
              <w:autoSpaceDN w:val="0"/>
              <w:adjustRightInd w:val="0"/>
              <w:ind w:left="-100" w:right="-144"/>
              <w:rPr>
                <w:sz w:val="20"/>
                <w:szCs w:val="20"/>
              </w:rPr>
            </w:pPr>
          </w:p>
        </w:tc>
        <w:tc>
          <w:tcPr>
            <w:tcW w:w="1040" w:type="dxa"/>
            <w:tcBorders>
              <w:top w:val="nil"/>
              <w:left w:val="single" w:sz="6" w:space="0" w:color="BFBFBF" w:themeColor="background1" w:themeShade="BF"/>
              <w:bottom w:val="nil"/>
            </w:tcBorders>
            <w:vAlign w:val="center"/>
          </w:tcPr>
          <w:p w:rsidR="00BF1A3B" w:rsidRDefault="00BF1A3B" w:rsidP="00BF1A3B">
            <w:pPr>
              <w:widowControl w:val="0"/>
              <w:tabs>
                <w:tab w:val="decimal" w:pos="237"/>
              </w:tabs>
              <w:autoSpaceDE w:val="0"/>
              <w:autoSpaceDN w:val="0"/>
              <w:adjustRightInd w:val="0"/>
              <w:ind w:left="-144" w:right="-117"/>
              <w:rPr>
                <w:sz w:val="20"/>
                <w:szCs w:val="20"/>
              </w:rPr>
            </w:pPr>
            <w:r w:rsidRPr="006E78E0">
              <w:rPr>
                <w:sz w:val="20"/>
                <w:szCs w:val="20"/>
              </w:rPr>
              <w:t>-0.618</w:t>
            </w:r>
          </w:p>
          <w:p w:rsidR="00BF1A3B" w:rsidRPr="006E78E0" w:rsidRDefault="00BF1A3B" w:rsidP="00BF1A3B">
            <w:pPr>
              <w:widowControl w:val="0"/>
              <w:tabs>
                <w:tab w:val="decimal" w:pos="237"/>
              </w:tabs>
              <w:autoSpaceDE w:val="0"/>
              <w:autoSpaceDN w:val="0"/>
              <w:adjustRightInd w:val="0"/>
              <w:ind w:left="-144" w:right="-117"/>
              <w:rPr>
                <w:sz w:val="20"/>
                <w:szCs w:val="20"/>
              </w:rPr>
            </w:pPr>
            <w:r w:rsidRPr="006E78E0">
              <w:rPr>
                <w:sz w:val="20"/>
                <w:szCs w:val="20"/>
              </w:rPr>
              <w:t>(2.182)</w:t>
            </w:r>
          </w:p>
        </w:tc>
      </w:tr>
      <w:tr w:rsidR="00BF1A3B" w:rsidRPr="006E78E0" w:rsidTr="00BF1A3B">
        <w:trPr>
          <w:trHeight w:val="720"/>
          <w:jc w:val="center"/>
        </w:trPr>
        <w:tc>
          <w:tcPr>
            <w:tcW w:w="2639" w:type="dxa"/>
            <w:tcBorders>
              <w:top w:val="nil"/>
              <w:bottom w:val="nil"/>
              <w:right w:val="nil"/>
            </w:tcBorders>
            <w:vAlign w:val="center"/>
          </w:tcPr>
          <w:p w:rsidR="00BF1A3B" w:rsidRPr="00DD6C1B" w:rsidRDefault="00BF1A3B" w:rsidP="00BF1A3B">
            <w:pPr>
              <w:widowControl w:val="0"/>
              <w:tabs>
                <w:tab w:val="decimal" w:pos="538"/>
              </w:tabs>
              <w:autoSpaceDE w:val="0"/>
              <w:autoSpaceDN w:val="0"/>
              <w:adjustRightInd w:val="0"/>
              <w:ind w:left="180" w:hanging="180"/>
              <w:rPr>
                <w:i/>
                <w:iCs/>
                <w:sz w:val="20"/>
                <w:szCs w:val="20"/>
              </w:rPr>
            </w:pPr>
            <w:r w:rsidRPr="00DD6C1B">
              <w:rPr>
                <w:i/>
                <w:iCs/>
                <w:sz w:val="20"/>
                <w:szCs w:val="20"/>
              </w:rPr>
              <w:t xml:space="preserve">District is ‘City’ </w:t>
            </w:r>
          </w:p>
        </w:tc>
        <w:tc>
          <w:tcPr>
            <w:tcW w:w="1039" w:type="dxa"/>
            <w:tcBorders>
              <w:top w:val="nil"/>
              <w:left w:val="nil"/>
              <w:bottom w:val="nil"/>
              <w:right w:val="nil"/>
            </w:tcBorders>
            <w:vAlign w:val="center"/>
          </w:tcPr>
          <w:p w:rsidR="00BF1A3B" w:rsidRPr="006E78E0" w:rsidRDefault="00BF1A3B" w:rsidP="00BF1A3B">
            <w:pPr>
              <w:widowControl w:val="0"/>
              <w:autoSpaceDE w:val="0"/>
              <w:autoSpaceDN w:val="0"/>
              <w:adjustRightInd w:val="0"/>
              <w:ind w:left="-144" w:right="-144"/>
              <w:rPr>
                <w:sz w:val="20"/>
                <w:szCs w:val="20"/>
              </w:rPr>
            </w:pPr>
          </w:p>
        </w:tc>
        <w:tc>
          <w:tcPr>
            <w:tcW w:w="1040" w:type="dxa"/>
            <w:tcBorders>
              <w:top w:val="nil"/>
              <w:left w:val="nil"/>
              <w:bottom w:val="nil"/>
              <w:right w:val="nil"/>
            </w:tcBorders>
            <w:vAlign w:val="center"/>
          </w:tcPr>
          <w:p w:rsidR="00BF1A3B" w:rsidRPr="006E78E0" w:rsidRDefault="00BF1A3B" w:rsidP="00BF1A3B">
            <w:pPr>
              <w:widowControl w:val="0"/>
              <w:autoSpaceDE w:val="0"/>
              <w:autoSpaceDN w:val="0"/>
              <w:adjustRightInd w:val="0"/>
              <w:ind w:right="-144"/>
              <w:rPr>
                <w:sz w:val="20"/>
                <w:szCs w:val="20"/>
              </w:rPr>
            </w:pPr>
          </w:p>
        </w:tc>
        <w:tc>
          <w:tcPr>
            <w:tcW w:w="1040" w:type="dxa"/>
            <w:tcBorders>
              <w:top w:val="nil"/>
              <w:left w:val="nil"/>
              <w:bottom w:val="nil"/>
              <w:right w:val="nil"/>
            </w:tcBorders>
            <w:vAlign w:val="center"/>
          </w:tcPr>
          <w:p w:rsidR="00BF1A3B" w:rsidRPr="006E78E0" w:rsidRDefault="00BF1A3B" w:rsidP="00BF1A3B">
            <w:pPr>
              <w:widowControl w:val="0"/>
              <w:autoSpaceDE w:val="0"/>
              <w:autoSpaceDN w:val="0"/>
              <w:adjustRightInd w:val="0"/>
              <w:ind w:left="-144" w:right="-144"/>
              <w:rPr>
                <w:sz w:val="20"/>
                <w:szCs w:val="20"/>
              </w:rPr>
            </w:pPr>
          </w:p>
        </w:tc>
        <w:tc>
          <w:tcPr>
            <w:tcW w:w="1040" w:type="dxa"/>
            <w:tcBorders>
              <w:top w:val="nil"/>
              <w:left w:val="nil"/>
              <w:bottom w:val="nil"/>
              <w:right w:val="nil"/>
            </w:tcBorders>
            <w:vAlign w:val="center"/>
          </w:tcPr>
          <w:p w:rsidR="00BF1A3B" w:rsidRDefault="00BF1A3B" w:rsidP="00BF1A3B">
            <w:pPr>
              <w:widowControl w:val="0"/>
              <w:tabs>
                <w:tab w:val="decimal" w:pos="232"/>
              </w:tabs>
              <w:autoSpaceDE w:val="0"/>
              <w:autoSpaceDN w:val="0"/>
              <w:adjustRightInd w:val="0"/>
              <w:ind w:left="-144" w:right="-98"/>
              <w:rPr>
                <w:sz w:val="20"/>
                <w:szCs w:val="20"/>
              </w:rPr>
            </w:pPr>
            <w:r w:rsidRPr="006E78E0">
              <w:rPr>
                <w:sz w:val="20"/>
                <w:szCs w:val="20"/>
              </w:rPr>
              <w:t>3.375</w:t>
            </w:r>
          </w:p>
          <w:p w:rsidR="00BF1A3B" w:rsidRPr="006E78E0" w:rsidRDefault="00BF1A3B" w:rsidP="00BF1A3B">
            <w:pPr>
              <w:widowControl w:val="0"/>
              <w:tabs>
                <w:tab w:val="decimal" w:pos="232"/>
              </w:tabs>
              <w:autoSpaceDE w:val="0"/>
              <w:autoSpaceDN w:val="0"/>
              <w:adjustRightInd w:val="0"/>
              <w:ind w:left="-144" w:right="-98"/>
              <w:rPr>
                <w:sz w:val="20"/>
                <w:szCs w:val="20"/>
              </w:rPr>
            </w:pPr>
            <w:r w:rsidRPr="006E78E0">
              <w:rPr>
                <w:sz w:val="20"/>
                <w:szCs w:val="20"/>
              </w:rPr>
              <w:t>(2.834)</w:t>
            </w:r>
          </w:p>
        </w:tc>
        <w:tc>
          <w:tcPr>
            <w:tcW w:w="1040" w:type="dxa"/>
            <w:tcBorders>
              <w:top w:val="nil"/>
              <w:left w:val="nil"/>
              <w:bottom w:val="nil"/>
              <w:right w:val="single" w:sz="6" w:space="0" w:color="BFBFBF" w:themeColor="background1" w:themeShade="BF"/>
            </w:tcBorders>
            <w:vAlign w:val="center"/>
          </w:tcPr>
          <w:p w:rsidR="00BF1A3B" w:rsidRPr="006E78E0" w:rsidRDefault="00BF1A3B" w:rsidP="00BF1A3B">
            <w:pPr>
              <w:widowControl w:val="0"/>
              <w:autoSpaceDE w:val="0"/>
              <w:autoSpaceDN w:val="0"/>
              <w:adjustRightInd w:val="0"/>
              <w:ind w:left="-100" w:right="-144"/>
              <w:rPr>
                <w:sz w:val="20"/>
                <w:szCs w:val="20"/>
              </w:rPr>
            </w:pPr>
          </w:p>
        </w:tc>
        <w:tc>
          <w:tcPr>
            <w:tcW w:w="1040" w:type="dxa"/>
            <w:tcBorders>
              <w:top w:val="nil"/>
              <w:left w:val="single" w:sz="6" w:space="0" w:color="BFBFBF" w:themeColor="background1" w:themeShade="BF"/>
              <w:bottom w:val="nil"/>
            </w:tcBorders>
            <w:vAlign w:val="center"/>
          </w:tcPr>
          <w:p w:rsidR="00BF1A3B" w:rsidRDefault="00BF1A3B" w:rsidP="00BF1A3B">
            <w:pPr>
              <w:widowControl w:val="0"/>
              <w:tabs>
                <w:tab w:val="decimal" w:pos="237"/>
              </w:tabs>
              <w:autoSpaceDE w:val="0"/>
              <w:autoSpaceDN w:val="0"/>
              <w:adjustRightInd w:val="0"/>
              <w:ind w:left="-144" w:right="-117"/>
              <w:rPr>
                <w:sz w:val="20"/>
                <w:szCs w:val="20"/>
              </w:rPr>
            </w:pPr>
            <w:r w:rsidRPr="006E78E0">
              <w:rPr>
                <w:sz w:val="20"/>
                <w:szCs w:val="20"/>
              </w:rPr>
              <w:t>3.038</w:t>
            </w:r>
          </w:p>
          <w:p w:rsidR="00BF1A3B" w:rsidRPr="006E78E0" w:rsidRDefault="00BF1A3B" w:rsidP="00BF1A3B">
            <w:pPr>
              <w:widowControl w:val="0"/>
              <w:tabs>
                <w:tab w:val="decimal" w:pos="237"/>
              </w:tabs>
              <w:autoSpaceDE w:val="0"/>
              <w:autoSpaceDN w:val="0"/>
              <w:adjustRightInd w:val="0"/>
              <w:ind w:left="-144" w:right="-117"/>
              <w:rPr>
                <w:sz w:val="20"/>
                <w:szCs w:val="20"/>
              </w:rPr>
            </w:pPr>
            <w:r w:rsidRPr="006E78E0">
              <w:rPr>
                <w:sz w:val="20"/>
                <w:szCs w:val="20"/>
              </w:rPr>
              <w:t>(2.788)</w:t>
            </w:r>
          </w:p>
        </w:tc>
      </w:tr>
      <w:tr w:rsidR="00BF1A3B" w:rsidRPr="006E78E0" w:rsidTr="00BF1A3B">
        <w:trPr>
          <w:trHeight w:val="720"/>
          <w:jc w:val="center"/>
        </w:trPr>
        <w:tc>
          <w:tcPr>
            <w:tcW w:w="2639" w:type="dxa"/>
            <w:tcBorders>
              <w:top w:val="nil"/>
              <w:bottom w:val="nil"/>
              <w:right w:val="nil"/>
            </w:tcBorders>
            <w:vAlign w:val="center"/>
          </w:tcPr>
          <w:p w:rsidR="00BF1A3B" w:rsidRPr="00DD6C1B" w:rsidRDefault="00BF1A3B" w:rsidP="00BF1A3B">
            <w:pPr>
              <w:widowControl w:val="0"/>
              <w:tabs>
                <w:tab w:val="decimal" w:pos="538"/>
              </w:tabs>
              <w:autoSpaceDE w:val="0"/>
              <w:autoSpaceDN w:val="0"/>
              <w:adjustRightInd w:val="0"/>
              <w:ind w:left="180" w:hanging="180"/>
              <w:rPr>
                <w:i/>
                <w:iCs/>
                <w:sz w:val="20"/>
                <w:szCs w:val="20"/>
              </w:rPr>
            </w:pPr>
            <w:r w:rsidRPr="00DD6C1B">
              <w:rPr>
                <w:i/>
                <w:iCs/>
                <w:sz w:val="20"/>
                <w:szCs w:val="20"/>
              </w:rPr>
              <w:t>District Percent Elementary Schools</w:t>
            </w:r>
          </w:p>
        </w:tc>
        <w:tc>
          <w:tcPr>
            <w:tcW w:w="1039" w:type="dxa"/>
            <w:tcBorders>
              <w:top w:val="nil"/>
              <w:left w:val="nil"/>
              <w:bottom w:val="nil"/>
              <w:right w:val="nil"/>
            </w:tcBorders>
            <w:vAlign w:val="center"/>
          </w:tcPr>
          <w:p w:rsidR="00BF1A3B" w:rsidRPr="006E78E0" w:rsidRDefault="00BF1A3B" w:rsidP="00BF1A3B">
            <w:pPr>
              <w:widowControl w:val="0"/>
              <w:autoSpaceDE w:val="0"/>
              <w:autoSpaceDN w:val="0"/>
              <w:adjustRightInd w:val="0"/>
              <w:ind w:left="-144" w:right="-144"/>
              <w:rPr>
                <w:sz w:val="20"/>
                <w:szCs w:val="20"/>
              </w:rPr>
            </w:pPr>
          </w:p>
        </w:tc>
        <w:tc>
          <w:tcPr>
            <w:tcW w:w="1040" w:type="dxa"/>
            <w:tcBorders>
              <w:top w:val="nil"/>
              <w:left w:val="nil"/>
              <w:bottom w:val="nil"/>
              <w:right w:val="nil"/>
            </w:tcBorders>
            <w:vAlign w:val="center"/>
          </w:tcPr>
          <w:p w:rsidR="00BF1A3B" w:rsidRPr="006E78E0" w:rsidRDefault="00BF1A3B" w:rsidP="00BF1A3B">
            <w:pPr>
              <w:widowControl w:val="0"/>
              <w:autoSpaceDE w:val="0"/>
              <w:autoSpaceDN w:val="0"/>
              <w:adjustRightInd w:val="0"/>
              <w:ind w:right="-144"/>
              <w:rPr>
                <w:sz w:val="20"/>
                <w:szCs w:val="20"/>
              </w:rPr>
            </w:pPr>
          </w:p>
        </w:tc>
        <w:tc>
          <w:tcPr>
            <w:tcW w:w="1040" w:type="dxa"/>
            <w:tcBorders>
              <w:top w:val="nil"/>
              <w:left w:val="nil"/>
              <w:bottom w:val="nil"/>
              <w:right w:val="nil"/>
            </w:tcBorders>
            <w:vAlign w:val="center"/>
          </w:tcPr>
          <w:p w:rsidR="00BF1A3B" w:rsidRPr="006E78E0" w:rsidRDefault="00BF1A3B" w:rsidP="00BF1A3B">
            <w:pPr>
              <w:widowControl w:val="0"/>
              <w:autoSpaceDE w:val="0"/>
              <w:autoSpaceDN w:val="0"/>
              <w:adjustRightInd w:val="0"/>
              <w:ind w:left="-144" w:right="-144"/>
              <w:rPr>
                <w:sz w:val="20"/>
                <w:szCs w:val="20"/>
              </w:rPr>
            </w:pPr>
          </w:p>
        </w:tc>
        <w:tc>
          <w:tcPr>
            <w:tcW w:w="1040" w:type="dxa"/>
            <w:tcBorders>
              <w:top w:val="nil"/>
              <w:left w:val="nil"/>
              <w:bottom w:val="nil"/>
              <w:right w:val="nil"/>
            </w:tcBorders>
            <w:vAlign w:val="center"/>
          </w:tcPr>
          <w:p w:rsidR="00BF1A3B" w:rsidRDefault="00BF1A3B" w:rsidP="00BF1A3B">
            <w:pPr>
              <w:widowControl w:val="0"/>
              <w:tabs>
                <w:tab w:val="decimal" w:pos="232"/>
              </w:tabs>
              <w:autoSpaceDE w:val="0"/>
              <w:autoSpaceDN w:val="0"/>
              <w:adjustRightInd w:val="0"/>
              <w:ind w:left="-144" w:right="-98"/>
              <w:rPr>
                <w:sz w:val="20"/>
                <w:szCs w:val="20"/>
              </w:rPr>
            </w:pPr>
            <w:r w:rsidRPr="006E78E0">
              <w:rPr>
                <w:sz w:val="20"/>
                <w:szCs w:val="20"/>
              </w:rPr>
              <w:t>-0.005</w:t>
            </w:r>
          </w:p>
          <w:p w:rsidR="00BF1A3B" w:rsidRPr="006E78E0" w:rsidRDefault="00BF1A3B" w:rsidP="00BF1A3B">
            <w:pPr>
              <w:widowControl w:val="0"/>
              <w:tabs>
                <w:tab w:val="decimal" w:pos="232"/>
              </w:tabs>
              <w:autoSpaceDE w:val="0"/>
              <w:autoSpaceDN w:val="0"/>
              <w:adjustRightInd w:val="0"/>
              <w:ind w:left="-144" w:right="-98"/>
              <w:rPr>
                <w:sz w:val="20"/>
                <w:szCs w:val="20"/>
              </w:rPr>
            </w:pPr>
            <w:r w:rsidRPr="006E78E0">
              <w:rPr>
                <w:sz w:val="20"/>
                <w:szCs w:val="20"/>
              </w:rPr>
              <w:t>(0.026)</w:t>
            </w:r>
          </w:p>
        </w:tc>
        <w:tc>
          <w:tcPr>
            <w:tcW w:w="1040" w:type="dxa"/>
            <w:tcBorders>
              <w:top w:val="nil"/>
              <w:left w:val="nil"/>
              <w:bottom w:val="nil"/>
              <w:right w:val="single" w:sz="6" w:space="0" w:color="BFBFBF" w:themeColor="background1" w:themeShade="BF"/>
            </w:tcBorders>
            <w:vAlign w:val="center"/>
          </w:tcPr>
          <w:p w:rsidR="00BF1A3B" w:rsidRPr="006E78E0" w:rsidRDefault="00BF1A3B" w:rsidP="00BF1A3B">
            <w:pPr>
              <w:widowControl w:val="0"/>
              <w:autoSpaceDE w:val="0"/>
              <w:autoSpaceDN w:val="0"/>
              <w:adjustRightInd w:val="0"/>
              <w:ind w:left="-100" w:right="-144"/>
              <w:rPr>
                <w:sz w:val="20"/>
                <w:szCs w:val="20"/>
              </w:rPr>
            </w:pPr>
          </w:p>
        </w:tc>
        <w:tc>
          <w:tcPr>
            <w:tcW w:w="1040" w:type="dxa"/>
            <w:tcBorders>
              <w:top w:val="nil"/>
              <w:left w:val="single" w:sz="6" w:space="0" w:color="BFBFBF" w:themeColor="background1" w:themeShade="BF"/>
              <w:bottom w:val="nil"/>
            </w:tcBorders>
            <w:vAlign w:val="center"/>
          </w:tcPr>
          <w:p w:rsidR="00BF1A3B" w:rsidRPr="006E78E0" w:rsidRDefault="00BF1A3B" w:rsidP="00BF1A3B">
            <w:pPr>
              <w:widowControl w:val="0"/>
              <w:autoSpaceDE w:val="0"/>
              <w:autoSpaceDN w:val="0"/>
              <w:adjustRightInd w:val="0"/>
              <w:ind w:left="-144" w:right="-117"/>
              <w:rPr>
                <w:sz w:val="20"/>
                <w:szCs w:val="20"/>
              </w:rPr>
            </w:pPr>
          </w:p>
        </w:tc>
      </w:tr>
      <w:tr w:rsidR="00BF1A3B" w:rsidRPr="006E78E0" w:rsidTr="00BF1A3B">
        <w:trPr>
          <w:jc w:val="center"/>
        </w:trPr>
        <w:tc>
          <w:tcPr>
            <w:tcW w:w="2639" w:type="dxa"/>
            <w:tcBorders>
              <w:top w:val="nil"/>
              <w:bottom w:val="nil"/>
              <w:right w:val="nil"/>
            </w:tcBorders>
          </w:tcPr>
          <w:p w:rsidR="00BF1A3B" w:rsidRPr="006E78E0" w:rsidRDefault="00BF1A3B" w:rsidP="00BF1A3B">
            <w:pPr>
              <w:widowControl w:val="0"/>
              <w:autoSpaceDE w:val="0"/>
              <w:autoSpaceDN w:val="0"/>
              <w:adjustRightInd w:val="0"/>
              <w:ind w:left="243" w:right="-144" w:hanging="243"/>
              <w:rPr>
                <w:sz w:val="20"/>
                <w:szCs w:val="20"/>
              </w:rPr>
            </w:pPr>
          </w:p>
        </w:tc>
        <w:tc>
          <w:tcPr>
            <w:tcW w:w="1039" w:type="dxa"/>
            <w:tcBorders>
              <w:top w:val="nil"/>
              <w:left w:val="nil"/>
              <w:bottom w:val="nil"/>
              <w:right w:val="nil"/>
            </w:tcBorders>
            <w:vAlign w:val="center"/>
          </w:tcPr>
          <w:p w:rsidR="00BF1A3B" w:rsidRPr="006E78E0" w:rsidRDefault="00BF1A3B" w:rsidP="00BF1A3B">
            <w:pPr>
              <w:widowControl w:val="0"/>
              <w:autoSpaceDE w:val="0"/>
              <w:autoSpaceDN w:val="0"/>
              <w:adjustRightInd w:val="0"/>
              <w:ind w:left="-144" w:right="-144"/>
              <w:rPr>
                <w:sz w:val="20"/>
                <w:szCs w:val="20"/>
              </w:rPr>
            </w:pPr>
          </w:p>
        </w:tc>
        <w:tc>
          <w:tcPr>
            <w:tcW w:w="1040" w:type="dxa"/>
            <w:tcBorders>
              <w:top w:val="nil"/>
              <w:left w:val="nil"/>
              <w:bottom w:val="nil"/>
              <w:right w:val="nil"/>
            </w:tcBorders>
            <w:vAlign w:val="center"/>
          </w:tcPr>
          <w:p w:rsidR="00BF1A3B" w:rsidRPr="006E78E0" w:rsidRDefault="00BF1A3B" w:rsidP="00BF1A3B">
            <w:pPr>
              <w:widowControl w:val="0"/>
              <w:autoSpaceDE w:val="0"/>
              <w:autoSpaceDN w:val="0"/>
              <w:adjustRightInd w:val="0"/>
              <w:ind w:right="-144"/>
              <w:rPr>
                <w:sz w:val="20"/>
                <w:szCs w:val="20"/>
              </w:rPr>
            </w:pPr>
          </w:p>
        </w:tc>
        <w:tc>
          <w:tcPr>
            <w:tcW w:w="1040" w:type="dxa"/>
            <w:tcBorders>
              <w:top w:val="nil"/>
              <w:left w:val="nil"/>
              <w:bottom w:val="nil"/>
              <w:right w:val="nil"/>
            </w:tcBorders>
            <w:vAlign w:val="center"/>
          </w:tcPr>
          <w:p w:rsidR="00BF1A3B" w:rsidRPr="006E78E0" w:rsidRDefault="00BF1A3B" w:rsidP="00BF1A3B">
            <w:pPr>
              <w:widowControl w:val="0"/>
              <w:autoSpaceDE w:val="0"/>
              <w:autoSpaceDN w:val="0"/>
              <w:adjustRightInd w:val="0"/>
              <w:ind w:left="-144" w:right="-144"/>
              <w:rPr>
                <w:sz w:val="20"/>
                <w:szCs w:val="20"/>
              </w:rPr>
            </w:pPr>
          </w:p>
        </w:tc>
        <w:tc>
          <w:tcPr>
            <w:tcW w:w="1040" w:type="dxa"/>
            <w:tcBorders>
              <w:top w:val="nil"/>
              <w:left w:val="nil"/>
              <w:bottom w:val="nil"/>
              <w:right w:val="nil"/>
            </w:tcBorders>
            <w:vAlign w:val="center"/>
          </w:tcPr>
          <w:p w:rsidR="00BF1A3B" w:rsidRPr="006E78E0" w:rsidRDefault="00BF1A3B" w:rsidP="00BF1A3B">
            <w:pPr>
              <w:widowControl w:val="0"/>
              <w:autoSpaceDE w:val="0"/>
              <w:autoSpaceDN w:val="0"/>
              <w:adjustRightInd w:val="0"/>
              <w:ind w:left="-144" w:right="-98"/>
              <w:rPr>
                <w:sz w:val="20"/>
                <w:szCs w:val="20"/>
              </w:rPr>
            </w:pPr>
          </w:p>
        </w:tc>
        <w:tc>
          <w:tcPr>
            <w:tcW w:w="1040" w:type="dxa"/>
            <w:tcBorders>
              <w:top w:val="nil"/>
              <w:left w:val="nil"/>
              <w:bottom w:val="nil"/>
              <w:right w:val="single" w:sz="6" w:space="0" w:color="BFBFBF" w:themeColor="background1" w:themeShade="BF"/>
            </w:tcBorders>
            <w:vAlign w:val="center"/>
          </w:tcPr>
          <w:p w:rsidR="00BF1A3B" w:rsidRPr="006E78E0" w:rsidRDefault="00BF1A3B" w:rsidP="00BF1A3B">
            <w:pPr>
              <w:widowControl w:val="0"/>
              <w:autoSpaceDE w:val="0"/>
              <w:autoSpaceDN w:val="0"/>
              <w:adjustRightInd w:val="0"/>
              <w:ind w:left="-100" w:right="-144"/>
              <w:rPr>
                <w:sz w:val="20"/>
                <w:szCs w:val="20"/>
              </w:rPr>
            </w:pPr>
          </w:p>
        </w:tc>
        <w:tc>
          <w:tcPr>
            <w:tcW w:w="1040" w:type="dxa"/>
            <w:tcBorders>
              <w:top w:val="nil"/>
              <w:left w:val="single" w:sz="6" w:space="0" w:color="BFBFBF" w:themeColor="background1" w:themeShade="BF"/>
              <w:bottom w:val="nil"/>
            </w:tcBorders>
            <w:vAlign w:val="center"/>
          </w:tcPr>
          <w:p w:rsidR="00BF1A3B" w:rsidRPr="006E78E0" w:rsidRDefault="00BF1A3B" w:rsidP="00BF1A3B">
            <w:pPr>
              <w:widowControl w:val="0"/>
              <w:autoSpaceDE w:val="0"/>
              <w:autoSpaceDN w:val="0"/>
              <w:adjustRightInd w:val="0"/>
              <w:ind w:left="-144" w:right="-117"/>
              <w:rPr>
                <w:sz w:val="20"/>
                <w:szCs w:val="20"/>
              </w:rPr>
            </w:pPr>
          </w:p>
        </w:tc>
      </w:tr>
      <w:tr w:rsidR="00BF1A3B" w:rsidRPr="006E78E0" w:rsidTr="00BF1A3B">
        <w:trPr>
          <w:jc w:val="center"/>
        </w:trPr>
        <w:tc>
          <w:tcPr>
            <w:tcW w:w="2639" w:type="dxa"/>
            <w:tcBorders>
              <w:top w:val="nil"/>
              <w:bottom w:val="nil"/>
              <w:right w:val="nil"/>
            </w:tcBorders>
          </w:tcPr>
          <w:p w:rsidR="00BF1A3B" w:rsidRPr="006E78E0" w:rsidRDefault="00BF1A3B" w:rsidP="00BF1A3B">
            <w:pPr>
              <w:widowControl w:val="0"/>
              <w:autoSpaceDE w:val="0"/>
              <w:autoSpaceDN w:val="0"/>
              <w:adjustRightInd w:val="0"/>
              <w:ind w:right="-144"/>
              <w:rPr>
                <w:sz w:val="20"/>
                <w:szCs w:val="20"/>
              </w:rPr>
            </w:pPr>
            <w:r w:rsidRPr="006E78E0">
              <w:rPr>
                <w:i/>
                <w:iCs/>
                <w:sz w:val="20"/>
                <w:szCs w:val="20"/>
              </w:rPr>
              <w:t>R</w:t>
            </w:r>
            <w:r w:rsidRPr="006E78E0">
              <w:rPr>
                <w:i/>
                <w:iCs/>
                <w:sz w:val="20"/>
                <w:szCs w:val="20"/>
                <w:vertAlign w:val="superscript"/>
              </w:rPr>
              <w:t>2</w:t>
            </w:r>
          </w:p>
        </w:tc>
        <w:tc>
          <w:tcPr>
            <w:tcW w:w="1039" w:type="dxa"/>
            <w:tcBorders>
              <w:top w:val="nil"/>
              <w:left w:val="nil"/>
              <w:bottom w:val="nil"/>
              <w:right w:val="nil"/>
            </w:tcBorders>
            <w:vAlign w:val="center"/>
          </w:tcPr>
          <w:p w:rsidR="00BF1A3B" w:rsidRPr="006E78E0" w:rsidRDefault="00BF1A3B" w:rsidP="00BF1A3B">
            <w:pPr>
              <w:widowControl w:val="0"/>
              <w:autoSpaceDE w:val="0"/>
              <w:autoSpaceDN w:val="0"/>
              <w:adjustRightInd w:val="0"/>
              <w:jc w:val="center"/>
              <w:rPr>
                <w:sz w:val="20"/>
                <w:szCs w:val="20"/>
              </w:rPr>
            </w:pPr>
            <w:r w:rsidRPr="006E78E0">
              <w:rPr>
                <w:sz w:val="20"/>
                <w:szCs w:val="20"/>
              </w:rPr>
              <w:t>0.534</w:t>
            </w:r>
          </w:p>
        </w:tc>
        <w:tc>
          <w:tcPr>
            <w:tcW w:w="1040" w:type="dxa"/>
            <w:tcBorders>
              <w:top w:val="nil"/>
              <w:left w:val="nil"/>
              <w:bottom w:val="nil"/>
              <w:right w:val="nil"/>
            </w:tcBorders>
            <w:vAlign w:val="center"/>
          </w:tcPr>
          <w:p w:rsidR="00BF1A3B" w:rsidRPr="006E78E0" w:rsidRDefault="00BF1A3B" w:rsidP="00BF1A3B">
            <w:pPr>
              <w:widowControl w:val="0"/>
              <w:autoSpaceDE w:val="0"/>
              <w:autoSpaceDN w:val="0"/>
              <w:adjustRightInd w:val="0"/>
              <w:ind w:right="-142"/>
              <w:jc w:val="center"/>
              <w:rPr>
                <w:sz w:val="20"/>
                <w:szCs w:val="20"/>
              </w:rPr>
            </w:pPr>
            <w:r w:rsidRPr="006E78E0">
              <w:rPr>
                <w:sz w:val="20"/>
                <w:szCs w:val="20"/>
              </w:rPr>
              <w:t>0.542</w:t>
            </w:r>
          </w:p>
        </w:tc>
        <w:tc>
          <w:tcPr>
            <w:tcW w:w="1040" w:type="dxa"/>
            <w:tcBorders>
              <w:top w:val="nil"/>
              <w:left w:val="nil"/>
              <w:bottom w:val="nil"/>
              <w:right w:val="nil"/>
            </w:tcBorders>
            <w:vAlign w:val="center"/>
          </w:tcPr>
          <w:p w:rsidR="00BF1A3B" w:rsidRPr="006E78E0" w:rsidRDefault="00BF1A3B" w:rsidP="00BF1A3B">
            <w:pPr>
              <w:widowControl w:val="0"/>
              <w:tabs>
                <w:tab w:val="left" w:pos="34"/>
              </w:tabs>
              <w:autoSpaceDE w:val="0"/>
              <w:autoSpaceDN w:val="0"/>
              <w:adjustRightInd w:val="0"/>
              <w:ind w:left="-146"/>
              <w:jc w:val="center"/>
              <w:rPr>
                <w:sz w:val="20"/>
                <w:szCs w:val="20"/>
              </w:rPr>
            </w:pPr>
            <w:r w:rsidRPr="006E78E0">
              <w:rPr>
                <w:sz w:val="20"/>
                <w:szCs w:val="20"/>
              </w:rPr>
              <w:t>0.552</w:t>
            </w:r>
          </w:p>
        </w:tc>
        <w:tc>
          <w:tcPr>
            <w:tcW w:w="1040" w:type="dxa"/>
            <w:tcBorders>
              <w:top w:val="nil"/>
              <w:left w:val="nil"/>
              <w:bottom w:val="nil"/>
              <w:right w:val="nil"/>
            </w:tcBorders>
            <w:vAlign w:val="center"/>
          </w:tcPr>
          <w:p w:rsidR="00BF1A3B" w:rsidRPr="006E78E0" w:rsidRDefault="00BF1A3B" w:rsidP="00BF1A3B">
            <w:pPr>
              <w:widowControl w:val="0"/>
              <w:autoSpaceDE w:val="0"/>
              <w:autoSpaceDN w:val="0"/>
              <w:adjustRightInd w:val="0"/>
              <w:jc w:val="center"/>
              <w:rPr>
                <w:sz w:val="20"/>
                <w:szCs w:val="20"/>
              </w:rPr>
            </w:pPr>
            <w:r w:rsidRPr="006E78E0">
              <w:rPr>
                <w:sz w:val="20"/>
                <w:szCs w:val="20"/>
              </w:rPr>
              <w:t>0.580</w:t>
            </w:r>
          </w:p>
        </w:tc>
        <w:tc>
          <w:tcPr>
            <w:tcW w:w="1040" w:type="dxa"/>
            <w:tcBorders>
              <w:top w:val="nil"/>
              <w:left w:val="nil"/>
              <w:bottom w:val="nil"/>
              <w:right w:val="single" w:sz="6" w:space="0" w:color="BFBFBF" w:themeColor="background1" w:themeShade="BF"/>
            </w:tcBorders>
            <w:vAlign w:val="center"/>
          </w:tcPr>
          <w:p w:rsidR="00BF1A3B" w:rsidRPr="006E78E0" w:rsidRDefault="00BF1A3B" w:rsidP="00BF1A3B">
            <w:pPr>
              <w:widowControl w:val="0"/>
              <w:autoSpaceDE w:val="0"/>
              <w:autoSpaceDN w:val="0"/>
              <w:adjustRightInd w:val="0"/>
              <w:jc w:val="center"/>
              <w:rPr>
                <w:sz w:val="20"/>
                <w:szCs w:val="20"/>
              </w:rPr>
            </w:pPr>
            <w:r w:rsidRPr="006E78E0">
              <w:rPr>
                <w:sz w:val="20"/>
                <w:szCs w:val="20"/>
              </w:rPr>
              <w:t>0.568</w:t>
            </w:r>
          </w:p>
        </w:tc>
        <w:tc>
          <w:tcPr>
            <w:tcW w:w="1040" w:type="dxa"/>
            <w:tcBorders>
              <w:top w:val="nil"/>
              <w:left w:val="single" w:sz="6" w:space="0" w:color="BFBFBF" w:themeColor="background1" w:themeShade="BF"/>
              <w:bottom w:val="nil"/>
            </w:tcBorders>
            <w:vAlign w:val="center"/>
          </w:tcPr>
          <w:p w:rsidR="00BF1A3B" w:rsidRPr="006E78E0" w:rsidRDefault="00BF1A3B" w:rsidP="00BF1A3B">
            <w:pPr>
              <w:widowControl w:val="0"/>
              <w:autoSpaceDE w:val="0"/>
              <w:autoSpaceDN w:val="0"/>
              <w:adjustRightInd w:val="0"/>
              <w:jc w:val="center"/>
              <w:rPr>
                <w:sz w:val="20"/>
                <w:szCs w:val="20"/>
              </w:rPr>
            </w:pPr>
            <w:r w:rsidRPr="006E78E0">
              <w:rPr>
                <w:sz w:val="20"/>
                <w:szCs w:val="20"/>
              </w:rPr>
              <w:t>0.579</w:t>
            </w:r>
          </w:p>
        </w:tc>
      </w:tr>
      <w:tr w:rsidR="00BF1A3B" w:rsidRPr="006E78E0" w:rsidTr="00BF1A3B">
        <w:trPr>
          <w:jc w:val="center"/>
        </w:trPr>
        <w:tc>
          <w:tcPr>
            <w:tcW w:w="2639" w:type="dxa"/>
            <w:tcBorders>
              <w:top w:val="nil"/>
              <w:bottom w:val="nil"/>
              <w:right w:val="nil"/>
            </w:tcBorders>
          </w:tcPr>
          <w:p w:rsidR="00BF1A3B" w:rsidRPr="006E78E0" w:rsidRDefault="00BF1A3B" w:rsidP="00BF1A3B">
            <w:pPr>
              <w:widowControl w:val="0"/>
              <w:autoSpaceDE w:val="0"/>
              <w:autoSpaceDN w:val="0"/>
              <w:adjustRightInd w:val="0"/>
              <w:ind w:right="-144"/>
              <w:rPr>
                <w:sz w:val="20"/>
                <w:szCs w:val="20"/>
              </w:rPr>
            </w:pPr>
            <w:r w:rsidRPr="006E78E0">
              <w:rPr>
                <w:i/>
                <w:iCs/>
                <w:sz w:val="20"/>
                <w:szCs w:val="20"/>
              </w:rPr>
              <w:t>N</w:t>
            </w:r>
          </w:p>
        </w:tc>
        <w:tc>
          <w:tcPr>
            <w:tcW w:w="1039" w:type="dxa"/>
            <w:tcBorders>
              <w:top w:val="nil"/>
              <w:left w:val="nil"/>
              <w:bottom w:val="nil"/>
              <w:right w:val="nil"/>
            </w:tcBorders>
            <w:vAlign w:val="center"/>
          </w:tcPr>
          <w:p w:rsidR="00BF1A3B" w:rsidRPr="006E78E0" w:rsidRDefault="00BF1A3B" w:rsidP="00BF1A3B">
            <w:pPr>
              <w:widowControl w:val="0"/>
              <w:autoSpaceDE w:val="0"/>
              <w:autoSpaceDN w:val="0"/>
              <w:adjustRightInd w:val="0"/>
              <w:jc w:val="center"/>
              <w:rPr>
                <w:sz w:val="20"/>
                <w:szCs w:val="20"/>
              </w:rPr>
            </w:pPr>
            <w:r w:rsidRPr="006E78E0">
              <w:rPr>
                <w:sz w:val="20"/>
                <w:szCs w:val="20"/>
              </w:rPr>
              <w:t>297</w:t>
            </w:r>
          </w:p>
        </w:tc>
        <w:tc>
          <w:tcPr>
            <w:tcW w:w="1040" w:type="dxa"/>
            <w:tcBorders>
              <w:top w:val="nil"/>
              <w:left w:val="nil"/>
              <w:bottom w:val="nil"/>
              <w:right w:val="nil"/>
            </w:tcBorders>
            <w:vAlign w:val="center"/>
          </w:tcPr>
          <w:p w:rsidR="00BF1A3B" w:rsidRPr="006E78E0" w:rsidRDefault="00BF1A3B" w:rsidP="00BF1A3B">
            <w:pPr>
              <w:widowControl w:val="0"/>
              <w:autoSpaceDE w:val="0"/>
              <w:autoSpaceDN w:val="0"/>
              <w:adjustRightInd w:val="0"/>
              <w:ind w:right="-142"/>
              <w:jc w:val="center"/>
              <w:rPr>
                <w:sz w:val="20"/>
                <w:szCs w:val="20"/>
              </w:rPr>
            </w:pPr>
            <w:r w:rsidRPr="006E78E0">
              <w:rPr>
                <w:sz w:val="20"/>
                <w:szCs w:val="20"/>
              </w:rPr>
              <w:t>297</w:t>
            </w:r>
          </w:p>
        </w:tc>
        <w:tc>
          <w:tcPr>
            <w:tcW w:w="1040" w:type="dxa"/>
            <w:tcBorders>
              <w:top w:val="nil"/>
              <w:left w:val="nil"/>
              <w:bottom w:val="nil"/>
              <w:right w:val="nil"/>
            </w:tcBorders>
            <w:vAlign w:val="center"/>
          </w:tcPr>
          <w:p w:rsidR="00BF1A3B" w:rsidRPr="006E78E0" w:rsidRDefault="00BF1A3B" w:rsidP="00BF1A3B">
            <w:pPr>
              <w:widowControl w:val="0"/>
              <w:tabs>
                <w:tab w:val="left" w:pos="34"/>
              </w:tabs>
              <w:autoSpaceDE w:val="0"/>
              <w:autoSpaceDN w:val="0"/>
              <w:adjustRightInd w:val="0"/>
              <w:ind w:left="-146"/>
              <w:jc w:val="center"/>
              <w:rPr>
                <w:sz w:val="20"/>
                <w:szCs w:val="20"/>
              </w:rPr>
            </w:pPr>
            <w:r w:rsidRPr="006E78E0">
              <w:rPr>
                <w:sz w:val="20"/>
                <w:szCs w:val="20"/>
              </w:rPr>
              <w:t>296</w:t>
            </w:r>
          </w:p>
        </w:tc>
        <w:tc>
          <w:tcPr>
            <w:tcW w:w="1040" w:type="dxa"/>
            <w:tcBorders>
              <w:top w:val="nil"/>
              <w:left w:val="nil"/>
              <w:bottom w:val="nil"/>
              <w:right w:val="nil"/>
            </w:tcBorders>
            <w:vAlign w:val="center"/>
          </w:tcPr>
          <w:p w:rsidR="00BF1A3B" w:rsidRPr="006E78E0" w:rsidRDefault="00BF1A3B" w:rsidP="00BF1A3B">
            <w:pPr>
              <w:widowControl w:val="0"/>
              <w:autoSpaceDE w:val="0"/>
              <w:autoSpaceDN w:val="0"/>
              <w:adjustRightInd w:val="0"/>
              <w:jc w:val="center"/>
              <w:rPr>
                <w:sz w:val="20"/>
                <w:szCs w:val="20"/>
              </w:rPr>
            </w:pPr>
            <w:r w:rsidRPr="006E78E0">
              <w:rPr>
                <w:sz w:val="20"/>
                <w:szCs w:val="20"/>
              </w:rPr>
              <w:t>296</w:t>
            </w:r>
          </w:p>
        </w:tc>
        <w:tc>
          <w:tcPr>
            <w:tcW w:w="1040" w:type="dxa"/>
            <w:tcBorders>
              <w:top w:val="nil"/>
              <w:left w:val="nil"/>
              <w:bottom w:val="nil"/>
              <w:right w:val="single" w:sz="6" w:space="0" w:color="BFBFBF" w:themeColor="background1" w:themeShade="BF"/>
            </w:tcBorders>
            <w:vAlign w:val="center"/>
          </w:tcPr>
          <w:p w:rsidR="00BF1A3B" w:rsidRPr="006E78E0" w:rsidRDefault="00BF1A3B" w:rsidP="00BF1A3B">
            <w:pPr>
              <w:widowControl w:val="0"/>
              <w:autoSpaceDE w:val="0"/>
              <w:autoSpaceDN w:val="0"/>
              <w:adjustRightInd w:val="0"/>
              <w:jc w:val="center"/>
              <w:rPr>
                <w:sz w:val="20"/>
                <w:szCs w:val="20"/>
              </w:rPr>
            </w:pPr>
            <w:r w:rsidRPr="006E78E0">
              <w:rPr>
                <w:sz w:val="20"/>
                <w:szCs w:val="20"/>
              </w:rPr>
              <w:t>297</w:t>
            </w:r>
          </w:p>
        </w:tc>
        <w:tc>
          <w:tcPr>
            <w:tcW w:w="1040" w:type="dxa"/>
            <w:tcBorders>
              <w:top w:val="nil"/>
              <w:left w:val="single" w:sz="6" w:space="0" w:color="BFBFBF" w:themeColor="background1" w:themeShade="BF"/>
              <w:bottom w:val="nil"/>
            </w:tcBorders>
            <w:vAlign w:val="center"/>
          </w:tcPr>
          <w:p w:rsidR="00BF1A3B" w:rsidRPr="006E78E0" w:rsidRDefault="00BF1A3B" w:rsidP="00BF1A3B">
            <w:pPr>
              <w:widowControl w:val="0"/>
              <w:autoSpaceDE w:val="0"/>
              <w:autoSpaceDN w:val="0"/>
              <w:adjustRightInd w:val="0"/>
              <w:jc w:val="center"/>
              <w:rPr>
                <w:sz w:val="20"/>
                <w:szCs w:val="20"/>
              </w:rPr>
            </w:pPr>
            <w:r w:rsidRPr="006E78E0">
              <w:rPr>
                <w:sz w:val="20"/>
                <w:szCs w:val="20"/>
              </w:rPr>
              <w:t>297</w:t>
            </w:r>
          </w:p>
        </w:tc>
      </w:tr>
      <w:tr w:rsidR="00BF1A3B" w:rsidRPr="006E78E0" w:rsidTr="00BF1A3B">
        <w:trPr>
          <w:jc w:val="center"/>
        </w:trPr>
        <w:tc>
          <w:tcPr>
            <w:tcW w:w="2639" w:type="dxa"/>
            <w:tcBorders>
              <w:top w:val="nil"/>
              <w:bottom w:val="single" w:sz="6" w:space="0" w:color="auto"/>
              <w:right w:val="nil"/>
            </w:tcBorders>
          </w:tcPr>
          <w:p w:rsidR="00BF1A3B" w:rsidRPr="006E78E0" w:rsidRDefault="00BF1A3B" w:rsidP="00BF1A3B">
            <w:pPr>
              <w:widowControl w:val="0"/>
              <w:autoSpaceDE w:val="0"/>
              <w:autoSpaceDN w:val="0"/>
              <w:adjustRightInd w:val="0"/>
              <w:ind w:right="-144"/>
              <w:rPr>
                <w:sz w:val="20"/>
                <w:szCs w:val="20"/>
              </w:rPr>
            </w:pPr>
            <w:proofErr w:type="spellStart"/>
            <w:r w:rsidRPr="006E78E0">
              <w:rPr>
                <w:i/>
                <w:iCs/>
                <w:sz w:val="20"/>
                <w:szCs w:val="20"/>
              </w:rPr>
              <w:t>df</w:t>
            </w:r>
            <w:r w:rsidRPr="006E78E0">
              <w:rPr>
                <w:i/>
                <w:iCs/>
                <w:sz w:val="20"/>
                <w:szCs w:val="20"/>
                <w:vertAlign w:val="subscript"/>
              </w:rPr>
              <w:t>ERROR</w:t>
            </w:r>
            <w:proofErr w:type="spellEnd"/>
          </w:p>
        </w:tc>
        <w:tc>
          <w:tcPr>
            <w:tcW w:w="1039" w:type="dxa"/>
            <w:tcBorders>
              <w:top w:val="nil"/>
              <w:left w:val="nil"/>
              <w:bottom w:val="single" w:sz="6" w:space="0" w:color="auto"/>
              <w:right w:val="nil"/>
            </w:tcBorders>
            <w:vAlign w:val="center"/>
          </w:tcPr>
          <w:p w:rsidR="00BF1A3B" w:rsidRPr="006E78E0" w:rsidRDefault="00BF1A3B" w:rsidP="00BF1A3B">
            <w:pPr>
              <w:widowControl w:val="0"/>
              <w:autoSpaceDE w:val="0"/>
              <w:autoSpaceDN w:val="0"/>
              <w:adjustRightInd w:val="0"/>
              <w:jc w:val="center"/>
              <w:rPr>
                <w:sz w:val="20"/>
                <w:szCs w:val="20"/>
              </w:rPr>
            </w:pPr>
            <w:r w:rsidRPr="006E78E0">
              <w:rPr>
                <w:sz w:val="20"/>
                <w:szCs w:val="20"/>
              </w:rPr>
              <w:t>295</w:t>
            </w:r>
          </w:p>
        </w:tc>
        <w:tc>
          <w:tcPr>
            <w:tcW w:w="1040" w:type="dxa"/>
            <w:tcBorders>
              <w:top w:val="nil"/>
              <w:left w:val="nil"/>
              <w:bottom w:val="single" w:sz="6" w:space="0" w:color="auto"/>
              <w:right w:val="nil"/>
            </w:tcBorders>
            <w:vAlign w:val="center"/>
          </w:tcPr>
          <w:p w:rsidR="00BF1A3B" w:rsidRPr="006E78E0" w:rsidRDefault="00BF1A3B" w:rsidP="00BF1A3B">
            <w:pPr>
              <w:widowControl w:val="0"/>
              <w:autoSpaceDE w:val="0"/>
              <w:autoSpaceDN w:val="0"/>
              <w:adjustRightInd w:val="0"/>
              <w:ind w:right="-142"/>
              <w:jc w:val="center"/>
              <w:rPr>
                <w:sz w:val="20"/>
                <w:szCs w:val="20"/>
              </w:rPr>
            </w:pPr>
            <w:r w:rsidRPr="006E78E0">
              <w:rPr>
                <w:sz w:val="20"/>
                <w:szCs w:val="20"/>
              </w:rPr>
              <w:t>294</w:t>
            </w:r>
          </w:p>
        </w:tc>
        <w:tc>
          <w:tcPr>
            <w:tcW w:w="1040" w:type="dxa"/>
            <w:tcBorders>
              <w:top w:val="nil"/>
              <w:left w:val="nil"/>
              <w:bottom w:val="single" w:sz="6" w:space="0" w:color="auto"/>
              <w:right w:val="nil"/>
            </w:tcBorders>
            <w:vAlign w:val="center"/>
          </w:tcPr>
          <w:p w:rsidR="00BF1A3B" w:rsidRPr="006E78E0" w:rsidRDefault="00BF1A3B" w:rsidP="00BF1A3B">
            <w:pPr>
              <w:widowControl w:val="0"/>
              <w:tabs>
                <w:tab w:val="left" w:pos="34"/>
              </w:tabs>
              <w:autoSpaceDE w:val="0"/>
              <w:autoSpaceDN w:val="0"/>
              <w:adjustRightInd w:val="0"/>
              <w:ind w:left="-146"/>
              <w:jc w:val="center"/>
              <w:rPr>
                <w:sz w:val="20"/>
                <w:szCs w:val="20"/>
              </w:rPr>
            </w:pPr>
            <w:r w:rsidRPr="006E78E0">
              <w:rPr>
                <w:sz w:val="20"/>
                <w:szCs w:val="20"/>
              </w:rPr>
              <w:t>291</w:t>
            </w:r>
          </w:p>
        </w:tc>
        <w:tc>
          <w:tcPr>
            <w:tcW w:w="1040" w:type="dxa"/>
            <w:tcBorders>
              <w:top w:val="nil"/>
              <w:left w:val="nil"/>
              <w:bottom w:val="single" w:sz="6" w:space="0" w:color="auto"/>
              <w:right w:val="nil"/>
            </w:tcBorders>
            <w:vAlign w:val="center"/>
          </w:tcPr>
          <w:p w:rsidR="00BF1A3B" w:rsidRPr="006E78E0" w:rsidRDefault="00BF1A3B" w:rsidP="00BF1A3B">
            <w:pPr>
              <w:widowControl w:val="0"/>
              <w:autoSpaceDE w:val="0"/>
              <w:autoSpaceDN w:val="0"/>
              <w:adjustRightInd w:val="0"/>
              <w:jc w:val="center"/>
              <w:rPr>
                <w:sz w:val="20"/>
                <w:szCs w:val="20"/>
              </w:rPr>
            </w:pPr>
            <w:r w:rsidRPr="006E78E0">
              <w:rPr>
                <w:sz w:val="20"/>
                <w:szCs w:val="20"/>
              </w:rPr>
              <w:t>285</w:t>
            </w:r>
          </w:p>
        </w:tc>
        <w:tc>
          <w:tcPr>
            <w:tcW w:w="1040" w:type="dxa"/>
            <w:tcBorders>
              <w:top w:val="nil"/>
              <w:left w:val="nil"/>
              <w:bottom w:val="single" w:sz="6" w:space="0" w:color="auto"/>
              <w:right w:val="single" w:sz="6" w:space="0" w:color="BFBFBF" w:themeColor="background1" w:themeShade="BF"/>
            </w:tcBorders>
            <w:vAlign w:val="center"/>
          </w:tcPr>
          <w:p w:rsidR="00BF1A3B" w:rsidRPr="006E78E0" w:rsidRDefault="00BF1A3B" w:rsidP="00BF1A3B">
            <w:pPr>
              <w:widowControl w:val="0"/>
              <w:autoSpaceDE w:val="0"/>
              <w:autoSpaceDN w:val="0"/>
              <w:adjustRightInd w:val="0"/>
              <w:jc w:val="center"/>
              <w:rPr>
                <w:sz w:val="20"/>
                <w:szCs w:val="20"/>
              </w:rPr>
            </w:pPr>
            <w:r w:rsidRPr="006E78E0">
              <w:rPr>
                <w:sz w:val="20"/>
                <w:szCs w:val="20"/>
              </w:rPr>
              <w:t>292</w:t>
            </w:r>
          </w:p>
        </w:tc>
        <w:tc>
          <w:tcPr>
            <w:tcW w:w="1040" w:type="dxa"/>
            <w:tcBorders>
              <w:top w:val="nil"/>
              <w:left w:val="single" w:sz="6" w:space="0" w:color="BFBFBF" w:themeColor="background1" w:themeShade="BF"/>
              <w:bottom w:val="single" w:sz="6" w:space="0" w:color="auto"/>
            </w:tcBorders>
            <w:vAlign w:val="center"/>
          </w:tcPr>
          <w:p w:rsidR="00BF1A3B" w:rsidRPr="006E78E0" w:rsidRDefault="00BF1A3B" w:rsidP="00BF1A3B">
            <w:pPr>
              <w:widowControl w:val="0"/>
              <w:autoSpaceDE w:val="0"/>
              <w:autoSpaceDN w:val="0"/>
              <w:adjustRightInd w:val="0"/>
              <w:jc w:val="center"/>
              <w:rPr>
                <w:sz w:val="20"/>
                <w:szCs w:val="20"/>
              </w:rPr>
            </w:pPr>
            <w:r w:rsidRPr="006E78E0">
              <w:rPr>
                <w:sz w:val="20"/>
                <w:szCs w:val="20"/>
              </w:rPr>
              <w:t>289</w:t>
            </w:r>
          </w:p>
        </w:tc>
      </w:tr>
      <w:tr w:rsidR="00BF1A3B" w:rsidRPr="006E78E0" w:rsidTr="00BF1A3B">
        <w:trPr>
          <w:jc w:val="center"/>
        </w:trPr>
        <w:tc>
          <w:tcPr>
            <w:tcW w:w="8878" w:type="dxa"/>
            <w:gridSpan w:val="7"/>
            <w:tcBorders>
              <w:top w:val="single" w:sz="6" w:space="0" w:color="auto"/>
            </w:tcBorders>
            <w:vAlign w:val="center"/>
          </w:tcPr>
          <w:p w:rsidR="00BF1A3B" w:rsidRPr="006E78E0" w:rsidRDefault="00BF1A3B" w:rsidP="00BF1A3B">
            <w:pPr>
              <w:widowControl w:val="0"/>
              <w:autoSpaceDE w:val="0"/>
              <w:autoSpaceDN w:val="0"/>
              <w:adjustRightInd w:val="0"/>
              <w:rPr>
                <w:sz w:val="20"/>
                <w:szCs w:val="20"/>
              </w:rPr>
            </w:pPr>
            <w:r w:rsidRPr="002B0B42">
              <w:rPr>
                <w:sz w:val="16"/>
                <w:szCs w:val="16"/>
              </w:rPr>
              <w:t xml:space="preserve">* </w:t>
            </w:r>
            <w:r w:rsidRPr="002B0B42">
              <w:rPr>
                <w:i/>
                <w:iCs/>
                <w:sz w:val="16"/>
                <w:szCs w:val="16"/>
              </w:rPr>
              <w:t>p</w:t>
            </w:r>
            <w:r w:rsidRPr="002B0B42">
              <w:rPr>
                <w:sz w:val="16"/>
                <w:szCs w:val="16"/>
              </w:rPr>
              <w:t xml:space="preserve">&lt;0.05; ** </w:t>
            </w:r>
            <w:r w:rsidRPr="002B0B42">
              <w:rPr>
                <w:i/>
                <w:iCs/>
                <w:sz w:val="16"/>
                <w:szCs w:val="16"/>
              </w:rPr>
              <w:t>p</w:t>
            </w:r>
            <w:r w:rsidRPr="002B0B42">
              <w:rPr>
                <w:sz w:val="16"/>
                <w:szCs w:val="16"/>
              </w:rPr>
              <w:t>&lt;0.01</w:t>
            </w:r>
          </w:p>
        </w:tc>
      </w:tr>
    </w:tbl>
    <w:p w:rsidR="00BF1A3B" w:rsidRPr="006E78E0" w:rsidRDefault="00BF1A3B" w:rsidP="00BF1A3B">
      <w:pPr>
        <w:rPr>
          <w:rFonts w:cs="Cambria"/>
          <w:b/>
          <w:color w:val="000000"/>
        </w:rPr>
      </w:pPr>
    </w:p>
    <w:p w:rsidR="00BF1A3B" w:rsidRDefault="00BF1A3B" w:rsidP="00BF1A3B">
      <w:pPr>
        <w:rPr>
          <w:rFonts w:cs="Cambria"/>
          <w:b/>
          <w:color w:val="000000"/>
        </w:rPr>
      </w:pPr>
      <w:bookmarkStart w:id="7" w:name="_GoBack"/>
      <w:bookmarkEnd w:id="7"/>
      <w:r>
        <w:rPr>
          <w:rFonts w:cs="Cambria"/>
          <w:b/>
          <w:color w:val="000000"/>
        </w:rPr>
        <w:br w:type="page"/>
      </w:r>
    </w:p>
    <w:tbl>
      <w:tblPr>
        <w:tblpPr w:leftFromText="180" w:rightFromText="180" w:horzAnchor="page" w:tblpXSpec="center" w:tblpY="736"/>
        <w:tblW w:w="10080" w:type="dxa"/>
        <w:tblBorders>
          <w:top w:val="single" w:sz="4" w:space="0" w:color="auto"/>
          <w:bottom w:val="single" w:sz="4" w:space="0" w:color="auto"/>
        </w:tblBorders>
        <w:tblLayout w:type="fixed"/>
        <w:tblCellMar>
          <w:left w:w="144" w:type="dxa"/>
          <w:right w:w="144" w:type="dxa"/>
        </w:tblCellMar>
        <w:tblLook w:val="0000"/>
      </w:tblPr>
      <w:tblGrid>
        <w:gridCol w:w="3330"/>
        <w:gridCol w:w="1350"/>
        <w:gridCol w:w="1350"/>
        <w:gridCol w:w="1350"/>
        <w:gridCol w:w="1350"/>
        <w:gridCol w:w="1350"/>
      </w:tblGrid>
      <w:tr w:rsidR="00BF1A3B" w:rsidRPr="00CA61E8" w:rsidTr="00BF1A3B">
        <w:trPr>
          <w:trHeight w:val="259"/>
        </w:trPr>
        <w:tc>
          <w:tcPr>
            <w:tcW w:w="10080" w:type="dxa"/>
            <w:gridSpan w:val="6"/>
            <w:tcBorders>
              <w:top w:val="nil"/>
              <w:bottom w:val="single" w:sz="4" w:space="0" w:color="auto"/>
            </w:tcBorders>
          </w:tcPr>
          <w:p w:rsidR="00BF1A3B" w:rsidRPr="005153B9" w:rsidRDefault="00BF1A3B" w:rsidP="00BF1A3B">
            <w:pPr>
              <w:rPr>
                <w:rFonts w:cs="Cambria"/>
                <w:b/>
                <w:color w:val="000000"/>
              </w:rPr>
            </w:pPr>
            <w:r w:rsidRPr="00324B69">
              <w:rPr>
                <w:i/>
                <w:sz w:val="20"/>
                <w:szCs w:val="20"/>
              </w:rPr>
              <w:lastRenderedPageBreak/>
              <w:t>Table 3.</w:t>
            </w:r>
            <w:r w:rsidRPr="00324B69">
              <w:rPr>
                <w:sz w:val="20"/>
                <w:szCs w:val="20"/>
              </w:rPr>
              <w:t xml:space="preserve"> </w:t>
            </w:r>
            <w:r>
              <w:rPr>
                <w:sz w:val="20"/>
                <w:szCs w:val="20"/>
              </w:rPr>
              <w:t>T</w:t>
            </w:r>
            <w:r w:rsidRPr="00324B69">
              <w:rPr>
                <w:sz w:val="20"/>
                <w:szCs w:val="20"/>
              </w:rPr>
              <w:t>axonomy of select</w:t>
            </w:r>
            <w:r>
              <w:rPr>
                <w:sz w:val="20"/>
                <w:szCs w:val="20"/>
              </w:rPr>
              <w:t>ed</w:t>
            </w:r>
            <w:r w:rsidRPr="00324B69">
              <w:rPr>
                <w:sz w:val="20"/>
                <w:szCs w:val="20"/>
              </w:rPr>
              <w:t xml:space="preserve"> fitted multilevel logistic regression models estimating the odds that elementary school children, nested in traditional school districts, will receive a </w:t>
            </w:r>
            <w:r w:rsidRPr="00324B69">
              <w:rPr>
                <w:b/>
                <w:sz w:val="20"/>
                <w:szCs w:val="20"/>
              </w:rPr>
              <w:t>Specific Learning Disability</w:t>
            </w:r>
            <w:r w:rsidRPr="00324B69">
              <w:rPr>
                <w:sz w:val="20"/>
                <w:szCs w:val="20"/>
              </w:rPr>
              <w:t xml:space="preserve"> designation, </w:t>
            </w:r>
            <w:r w:rsidRPr="00324B69">
              <w:rPr>
                <w:i/>
                <w:sz w:val="20"/>
                <w:szCs w:val="20"/>
              </w:rPr>
              <w:t>n</w:t>
            </w:r>
            <w:r w:rsidRPr="00324B69">
              <w:rPr>
                <w:sz w:val="20"/>
                <w:szCs w:val="20"/>
              </w:rPr>
              <w:t>=468,158 children nested in 29</w:t>
            </w:r>
            <w:r>
              <w:rPr>
                <w:sz w:val="20"/>
                <w:szCs w:val="20"/>
              </w:rPr>
              <w:t>9</w:t>
            </w:r>
            <w:r w:rsidRPr="00324B69">
              <w:rPr>
                <w:sz w:val="20"/>
                <w:szCs w:val="20"/>
              </w:rPr>
              <w:t xml:space="preserve"> school districts</w:t>
            </w:r>
            <w:r>
              <w:rPr>
                <w:sz w:val="20"/>
                <w:szCs w:val="20"/>
              </w:rPr>
              <w:t xml:space="preserve"> (random effects at the district level)</w:t>
            </w:r>
            <w:r>
              <w:rPr>
                <w:rStyle w:val="FootnoteReference"/>
                <w:sz w:val="20"/>
                <w:szCs w:val="20"/>
              </w:rPr>
              <w:footnoteReference w:id="27"/>
            </w:r>
            <w:r w:rsidRPr="00324B69">
              <w:rPr>
                <w:sz w:val="20"/>
                <w:szCs w:val="20"/>
              </w:rPr>
              <w:t>.</w:t>
            </w:r>
          </w:p>
        </w:tc>
      </w:tr>
      <w:tr w:rsidR="00BF1A3B" w:rsidRPr="00CA61E8" w:rsidTr="00BF1A3B">
        <w:trPr>
          <w:trHeight w:val="259"/>
        </w:trPr>
        <w:tc>
          <w:tcPr>
            <w:tcW w:w="3330" w:type="dxa"/>
            <w:tcBorders>
              <w:top w:val="single" w:sz="4" w:space="0" w:color="auto"/>
            </w:tcBorders>
          </w:tcPr>
          <w:p w:rsidR="00BF1A3B" w:rsidRPr="00CA61E8" w:rsidRDefault="00BF1A3B" w:rsidP="00BF1A3B">
            <w:pPr>
              <w:widowControl w:val="0"/>
              <w:autoSpaceDE w:val="0"/>
              <w:autoSpaceDN w:val="0"/>
              <w:adjustRightInd w:val="0"/>
              <w:spacing w:before="79" w:after="79"/>
              <w:ind w:left="270" w:hanging="270"/>
              <w:jc w:val="center"/>
              <w:rPr>
                <w:i/>
                <w:color w:val="FF0000"/>
                <w:sz w:val="16"/>
                <w:szCs w:val="16"/>
              </w:rPr>
            </w:pPr>
          </w:p>
        </w:tc>
        <w:tc>
          <w:tcPr>
            <w:tcW w:w="1350" w:type="dxa"/>
            <w:tcBorders>
              <w:top w:val="single" w:sz="4" w:space="0" w:color="auto"/>
            </w:tcBorders>
          </w:tcPr>
          <w:p w:rsidR="00BF1A3B" w:rsidRPr="0078338A" w:rsidRDefault="00BF1A3B" w:rsidP="00BF1A3B">
            <w:pPr>
              <w:widowControl w:val="0"/>
              <w:autoSpaceDE w:val="0"/>
              <w:autoSpaceDN w:val="0"/>
              <w:adjustRightInd w:val="0"/>
              <w:spacing w:before="79" w:after="79"/>
              <w:ind w:left="-144" w:right="-101"/>
              <w:jc w:val="center"/>
              <w:rPr>
                <w:b/>
                <w:sz w:val="18"/>
                <w:szCs w:val="18"/>
              </w:rPr>
            </w:pPr>
            <w:r w:rsidRPr="0078338A">
              <w:rPr>
                <w:b/>
                <w:sz w:val="18"/>
                <w:szCs w:val="18"/>
              </w:rPr>
              <w:t>Model 3.1</w:t>
            </w:r>
          </w:p>
        </w:tc>
        <w:tc>
          <w:tcPr>
            <w:tcW w:w="1350" w:type="dxa"/>
            <w:tcBorders>
              <w:top w:val="single" w:sz="4" w:space="0" w:color="auto"/>
            </w:tcBorders>
          </w:tcPr>
          <w:p w:rsidR="00BF1A3B" w:rsidRPr="0078338A" w:rsidRDefault="00BF1A3B" w:rsidP="00BF1A3B">
            <w:pPr>
              <w:widowControl w:val="0"/>
              <w:autoSpaceDE w:val="0"/>
              <w:autoSpaceDN w:val="0"/>
              <w:adjustRightInd w:val="0"/>
              <w:spacing w:before="79" w:after="79"/>
              <w:ind w:left="-97" w:right="-148"/>
              <w:jc w:val="center"/>
              <w:rPr>
                <w:b/>
                <w:sz w:val="18"/>
                <w:szCs w:val="18"/>
              </w:rPr>
            </w:pPr>
            <w:r w:rsidRPr="0078338A">
              <w:rPr>
                <w:b/>
                <w:sz w:val="18"/>
                <w:szCs w:val="18"/>
              </w:rPr>
              <w:t>Model 3.2</w:t>
            </w:r>
          </w:p>
        </w:tc>
        <w:tc>
          <w:tcPr>
            <w:tcW w:w="1350" w:type="dxa"/>
            <w:tcBorders>
              <w:top w:val="single" w:sz="4" w:space="0" w:color="auto"/>
            </w:tcBorders>
          </w:tcPr>
          <w:p w:rsidR="00BF1A3B" w:rsidRPr="0078338A" w:rsidRDefault="00BF1A3B" w:rsidP="00BF1A3B">
            <w:pPr>
              <w:widowControl w:val="0"/>
              <w:autoSpaceDE w:val="0"/>
              <w:autoSpaceDN w:val="0"/>
              <w:adjustRightInd w:val="0"/>
              <w:spacing w:before="79" w:after="79"/>
              <w:ind w:left="-140" w:right="-105"/>
              <w:jc w:val="center"/>
              <w:rPr>
                <w:b/>
                <w:sz w:val="18"/>
                <w:szCs w:val="18"/>
              </w:rPr>
            </w:pPr>
            <w:r w:rsidRPr="0078338A">
              <w:rPr>
                <w:b/>
                <w:sz w:val="18"/>
                <w:szCs w:val="18"/>
              </w:rPr>
              <w:t>Model 3.3</w:t>
            </w:r>
          </w:p>
        </w:tc>
        <w:tc>
          <w:tcPr>
            <w:tcW w:w="1350" w:type="dxa"/>
            <w:tcBorders>
              <w:top w:val="single" w:sz="4" w:space="0" w:color="auto"/>
            </w:tcBorders>
          </w:tcPr>
          <w:p w:rsidR="00BF1A3B" w:rsidRPr="0078338A" w:rsidRDefault="00BF1A3B" w:rsidP="00BF1A3B">
            <w:pPr>
              <w:widowControl w:val="0"/>
              <w:tabs>
                <w:tab w:val="left" w:pos="1077"/>
              </w:tabs>
              <w:autoSpaceDE w:val="0"/>
              <w:autoSpaceDN w:val="0"/>
              <w:adjustRightInd w:val="0"/>
              <w:spacing w:before="79" w:after="79"/>
              <w:ind w:left="-3" w:firstLine="3"/>
              <w:jc w:val="center"/>
              <w:rPr>
                <w:b/>
                <w:sz w:val="18"/>
                <w:szCs w:val="18"/>
              </w:rPr>
            </w:pPr>
            <w:r w:rsidRPr="0078338A">
              <w:rPr>
                <w:b/>
                <w:sz w:val="18"/>
                <w:szCs w:val="18"/>
              </w:rPr>
              <w:t>Model 3.4</w:t>
            </w:r>
          </w:p>
        </w:tc>
        <w:tc>
          <w:tcPr>
            <w:tcW w:w="1350" w:type="dxa"/>
            <w:tcBorders>
              <w:top w:val="single" w:sz="4" w:space="0" w:color="auto"/>
            </w:tcBorders>
          </w:tcPr>
          <w:p w:rsidR="00BF1A3B" w:rsidRPr="0078338A" w:rsidRDefault="00BF1A3B" w:rsidP="00BF1A3B">
            <w:pPr>
              <w:widowControl w:val="0"/>
              <w:autoSpaceDE w:val="0"/>
              <w:autoSpaceDN w:val="0"/>
              <w:adjustRightInd w:val="0"/>
              <w:spacing w:before="79" w:after="79"/>
              <w:ind w:left="-136" w:right="-108" w:firstLine="136"/>
              <w:jc w:val="center"/>
              <w:rPr>
                <w:b/>
                <w:sz w:val="18"/>
                <w:szCs w:val="18"/>
              </w:rPr>
            </w:pPr>
            <w:r w:rsidRPr="0078338A">
              <w:rPr>
                <w:b/>
                <w:sz w:val="18"/>
                <w:szCs w:val="18"/>
              </w:rPr>
              <w:t>Model 3.5</w:t>
            </w:r>
          </w:p>
        </w:tc>
      </w:tr>
      <w:tr w:rsidR="00BF1A3B" w:rsidRPr="006E78E0" w:rsidTr="00BF1A3B">
        <w:trPr>
          <w:trHeight w:val="432"/>
        </w:trPr>
        <w:tc>
          <w:tcPr>
            <w:tcW w:w="3330" w:type="dxa"/>
            <w:vAlign w:val="center"/>
          </w:tcPr>
          <w:p w:rsidR="00BF1A3B" w:rsidRPr="00861D01" w:rsidRDefault="00BF1A3B" w:rsidP="00BF1A3B">
            <w:pPr>
              <w:widowControl w:val="0"/>
              <w:autoSpaceDE w:val="0"/>
              <w:autoSpaceDN w:val="0"/>
              <w:adjustRightInd w:val="0"/>
              <w:ind w:left="270" w:hanging="270"/>
              <w:rPr>
                <w:i/>
                <w:sz w:val="20"/>
                <w:szCs w:val="20"/>
              </w:rPr>
            </w:pPr>
            <w:r w:rsidRPr="00861D01">
              <w:rPr>
                <w:i/>
                <w:sz w:val="20"/>
                <w:szCs w:val="20"/>
              </w:rPr>
              <w:t xml:space="preserve">Intercept </w:t>
            </w:r>
          </w:p>
        </w:tc>
        <w:tc>
          <w:tcPr>
            <w:tcW w:w="1350" w:type="dxa"/>
            <w:vAlign w:val="center"/>
          </w:tcPr>
          <w:p w:rsidR="00BF1A3B" w:rsidRPr="0092607D" w:rsidRDefault="00BF1A3B" w:rsidP="00BF1A3B">
            <w:pPr>
              <w:widowControl w:val="0"/>
              <w:tabs>
                <w:tab w:val="decimal" w:pos="408"/>
              </w:tabs>
              <w:autoSpaceDE w:val="0"/>
              <w:autoSpaceDN w:val="0"/>
              <w:adjustRightInd w:val="0"/>
              <w:ind w:left="-144" w:right="-101"/>
              <w:rPr>
                <w:sz w:val="20"/>
                <w:szCs w:val="20"/>
              </w:rPr>
            </w:pPr>
            <w:r w:rsidRPr="00396DEC">
              <w:rPr>
                <w:sz w:val="20"/>
                <w:szCs w:val="20"/>
              </w:rPr>
              <w:t>-3.22***</w:t>
            </w:r>
          </w:p>
        </w:tc>
        <w:tc>
          <w:tcPr>
            <w:tcW w:w="1350" w:type="dxa"/>
            <w:vAlign w:val="center"/>
          </w:tcPr>
          <w:p w:rsidR="00BF1A3B" w:rsidRPr="0092607D" w:rsidRDefault="00BF1A3B" w:rsidP="00BF1A3B">
            <w:pPr>
              <w:widowControl w:val="0"/>
              <w:tabs>
                <w:tab w:val="decimal" w:pos="533"/>
              </w:tabs>
              <w:autoSpaceDE w:val="0"/>
              <w:autoSpaceDN w:val="0"/>
              <w:adjustRightInd w:val="0"/>
              <w:ind w:left="-97" w:right="-148"/>
              <w:rPr>
                <w:color w:val="000000"/>
                <w:sz w:val="20"/>
                <w:szCs w:val="20"/>
              </w:rPr>
            </w:pPr>
            <w:r w:rsidRPr="00396DEC">
              <w:rPr>
                <w:color w:val="000000"/>
                <w:sz w:val="20"/>
                <w:szCs w:val="20"/>
              </w:rPr>
              <w:t>-3.22***</w:t>
            </w:r>
          </w:p>
        </w:tc>
        <w:tc>
          <w:tcPr>
            <w:tcW w:w="1350" w:type="dxa"/>
            <w:vAlign w:val="center"/>
          </w:tcPr>
          <w:p w:rsidR="00BF1A3B" w:rsidRPr="0092607D" w:rsidRDefault="00BF1A3B" w:rsidP="00BF1A3B">
            <w:pPr>
              <w:widowControl w:val="0"/>
              <w:tabs>
                <w:tab w:val="decimal" w:pos="400"/>
              </w:tabs>
              <w:autoSpaceDE w:val="0"/>
              <w:autoSpaceDN w:val="0"/>
              <w:adjustRightInd w:val="0"/>
              <w:ind w:left="-140" w:right="-105"/>
              <w:rPr>
                <w:color w:val="000000"/>
                <w:sz w:val="20"/>
                <w:szCs w:val="20"/>
              </w:rPr>
            </w:pPr>
            <w:r w:rsidRPr="00396DEC">
              <w:rPr>
                <w:color w:val="000000"/>
                <w:sz w:val="20"/>
                <w:szCs w:val="20"/>
              </w:rPr>
              <w:t>-2.68***</w:t>
            </w:r>
          </w:p>
        </w:tc>
        <w:tc>
          <w:tcPr>
            <w:tcW w:w="1350" w:type="dxa"/>
            <w:vAlign w:val="center"/>
          </w:tcPr>
          <w:p w:rsidR="00BF1A3B" w:rsidRPr="0092607D" w:rsidRDefault="00BF1A3B" w:rsidP="00BF1A3B">
            <w:pPr>
              <w:widowControl w:val="0"/>
              <w:tabs>
                <w:tab w:val="decimal" w:pos="369"/>
              </w:tabs>
              <w:autoSpaceDE w:val="0"/>
              <w:autoSpaceDN w:val="0"/>
              <w:adjustRightInd w:val="0"/>
              <w:ind w:left="-3" w:firstLine="3"/>
              <w:rPr>
                <w:color w:val="000000"/>
                <w:sz w:val="20"/>
                <w:szCs w:val="20"/>
              </w:rPr>
            </w:pPr>
            <w:r w:rsidRPr="00396DEC">
              <w:rPr>
                <w:color w:val="000000"/>
                <w:sz w:val="20"/>
                <w:szCs w:val="20"/>
              </w:rPr>
              <w:t>-2.66***</w:t>
            </w:r>
          </w:p>
        </w:tc>
        <w:tc>
          <w:tcPr>
            <w:tcW w:w="1350" w:type="dxa"/>
            <w:vAlign w:val="center"/>
          </w:tcPr>
          <w:p w:rsidR="00BF1A3B" w:rsidRPr="0092607D" w:rsidRDefault="00BF1A3B" w:rsidP="00BF1A3B">
            <w:pPr>
              <w:widowControl w:val="0"/>
              <w:tabs>
                <w:tab w:val="decimal" w:pos="538"/>
              </w:tabs>
              <w:autoSpaceDE w:val="0"/>
              <w:autoSpaceDN w:val="0"/>
              <w:adjustRightInd w:val="0"/>
              <w:ind w:left="-136" w:right="-108" w:firstLine="136"/>
              <w:rPr>
                <w:color w:val="000000"/>
                <w:sz w:val="20"/>
                <w:szCs w:val="20"/>
              </w:rPr>
            </w:pPr>
            <w:r w:rsidRPr="00396DEC">
              <w:rPr>
                <w:color w:val="000000"/>
                <w:sz w:val="20"/>
                <w:szCs w:val="20"/>
              </w:rPr>
              <w:t>-3.05***</w:t>
            </w:r>
          </w:p>
        </w:tc>
      </w:tr>
      <w:tr w:rsidR="00BF1A3B" w:rsidRPr="006E78E0" w:rsidTr="00BF1A3B">
        <w:trPr>
          <w:trHeight w:val="432"/>
        </w:trPr>
        <w:tc>
          <w:tcPr>
            <w:tcW w:w="3330" w:type="dxa"/>
            <w:vAlign w:val="center"/>
          </w:tcPr>
          <w:p w:rsidR="00BF1A3B" w:rsidRPr="00861D01" w:rsidRDefault="00BF1A3B" w:rsidP="00BF1A3B">
            <w:pPr>
              <w:widowControl w:val="0"/>
              <w:autoSpaceDE w:val="0"/>
              <w:autoSpaceDN w:val="0"/>
              <w:adjustRightInd w:val="0"/>
              <w:ind w:left="270" w:hanging="270"/>
              <w:rPr>
                <w:i/>
                <w:sz w:val="20"/>
                <w:szCs w:val="20"/>
              </w:rPr>
            </w:pPr>
            <w:r w:rsidRPr="00861D01">
              <w:rPr>
                <w:i/>
                <w:sz w:val="20"/>
                <w:szCs w:val="20"/>
              </w:rPr>
              <w:t>Child is Hispanic</w:t>
            </w:r>
          </w:p>
        </w:tc>
        <w:tc>
          <w:tcPr>
            <w:tcW w:w="1350" w:type="dxa"/>
            <w:vAlign w:val="center"/>
          </w:tcPr>
          <w:p w:rsidR="00BF1A3B" w:rsidRPr="00396DEC" w:rsidRDefault="00BF1A3B" w:rsidP="00BF1A3B">
            <w:pPr>
              <w:widowControl w:val="0"/>
              <w:autoSpaceDE w:val="0"/>
              <w:autoSpaceDN w:val="0"/>
              <w:adjustRightInd w:val="0"/>
              <w:ind w:left="-144" w:right="-101"/>
              <w:rPr>
                <w:sz w:val="20"/>
                <w:szCs w:val="20"/>
              </w:rPr>
            </w:pPr>
          </w:p>
        </w:tc>
        <w:tc>
          <w:tcPr>
            <w:tcW w:w="1350" w:type="dxa"/>
            <w:vAlign w:val="center"/>
          </w:tcPr>
          <w:p w:rsidR="00BF1A3B" w:rsidRPr="0092607D" w:rsidRDefault="00BF1A3B" w:rsidP="00BF1A3B">
            <w:pPr>
              <w:widowControl w:val="0"/>
              <w:tabs>
                <w:tab w:val="decimal" w:pos="538"/>
              </w:tabs>
              <w:autoSpaceDE w:val="0"/>
              <w:autoSpaceDN w:val="0"/>
              <w:adjustRightInd w:val="0"/>
              <w:ind w:left="-97" w:right="-148"/>
              <w:rPr>
                <w:color w:val="000000"/>
                <w:sz w:val="20"/>
                <w:szCs w:val="20"/>
              </w:rPr>
            </w:pPr>
            <w:r w:rsidRPr="00396DEC">
              <w:rPr>
                <w:color w:val="000000"/>
                <w:sz w:val="20"/>
                <w:szCs w:val="20"/>
              </w:rPr>
              <w:t>0.08**</w:t>
            </w:r>
          </w:p>
        </w:tc>
        <w:tc>
          <w:tcPr>
            <w:tcW w:w="1350" w:type="dxa"/>
            <w:vAlign w:val="center"/>
          </w:tcPr>
          <w:p w:rsidR="00BF1A3B" w:rsidRPr="0092607D" w:rsidRDefault="00BF1A3B" w:rsidP="00BF1A3B">
            <w:pPr>
              <w:widowControl w:val="0"/>
              <w:tabs>
                <w:tab w:val="decimal" w:pos="400"/>
              </w:tabs>
              <w:autoSpaceDE w:val="0"/>
              <w:autoSpaceDN w:val="0"/>
              <w:adjustRightInd w:val="0"/>
              <w:ind w:left="-140" w:right="-105"/>
              <w:rPr>
                <w:color w:val="000000"/>
                <w:sz w:val="20"/>
                <w:szCs w:val="20"/>
              </w:rPr>
            </w:pPr>
            <w:r w:rsidRPr="00396DEC">
              <w:rPr>
                <w:color w:val="000000"/>
                <w:sz w:val="20"/>
                <w:szCs w:val="20"/>
              </w:rPr>
              <w:t>0.08**</w:t>
            </w:r>
          </w:p>
        </w:tc>
        <w:tc>
          <w:tcPr>
            <w:tcW w:w="1350" w:type="dxa"/>
            <w:vAlign w:val="center"/>
          </w:tcPr>
          <w:p w:rsidR="00BF1A3B" w:rsidRPr="0092607D" w:rsidRDefault="00BF1A3B" w:rsidP="00BF1A3B">
            <w:pPr>
              <w:widowControl w:val="0"/>
              <w:tabs>
                <w:tab w:val="decimal" w:pos="369"/>
              </w:tabs>
              <w:autoSpaceDE w:val="0"/>
              <w:autoSpaceDN w:val="0"/>
              <w:adjustRightInd w:val="0"/>
              <w:ind w:left="-3" w:firstLine="3"/>
              <w:rPr>
                <w:color w:val="000000"/>
                <w:sz w:val="20"/>
                <w:szCs w:val="20"/>
              </w:rPr>
            </w:pPr>
            <w:r w:rsidRPr="00396DEC">
              <w:rPr>
                <w:color w:val="000000"/>
                <w:sz w:val="20"/>
                <w:szCs w:val="20"/>
              </w:rPr>
              <w:t>0.09~</w:t>
            </w:r>
          </w:p>
        </w:tc>
        <w:tc>
          <w:tcPr>
            <w:tcW w:w="1350" w:type="dxa"/>
            <w:vAlign w:val="center"/>
          </w:tcPr>
          <w:p w:rsidR="00BF1A3B" w:rsidRPr="0092607D" w:rsidRDefault="00BF1A3B" w:rsidP="00BF1A3B">
            <w:pPr>
              <w:widowControl w:val="0"/>
              <w:tabs>
                <w:tab w:val="decimal" w:pos="538"/>
              </w:tabs>
              <w:autoSpaceDE w:val="0"/>
              <w:autoSpaceDN w:val="0"/>
              <w:adjustRightInd w:val="0"/>
              <w:ind w:left="-136" w:right="-108" w:firstLine="136"/>
              <w:rPr>
                <w:color w:val="000000"/>
                <w:sz w:val="20"/>
                <w:szCs w:val="20"/>
              </w:rPr>
            </w:pPr>
            <w:r w:rsidRPr="00396DEC">
              <w:rPr>
                <w:color w:val="000000"/>
                <w:sz w:val="20"/>
                <w:szCs w:val="20"/>
              </w:rPr>
              <w:t>0.08</w:t>
            </w:r>
          </w:p>
        </w:tc>
      </w:tr>
      <w:tr w:rsidR="00BF1A3B" w:rsidRPr="006E78E0" w:rsidTr="00BF1A3B">
        <w:trPr>
          <w:trHeight w:val="432"/>
        </w:trPr>
        <w:tc>
          <w:tcPr>
            <w:tcW w:w="3330" w:type="dxa"/>
            <w:vAlign w:val="center"/>
          </w:tcPr>
          <w:p w:rsidR="00BF1A3B" w:rsidRPr="00861D01" w:rsidRDefault="00BF1A3B" w:rsidP="00BF1A3B">
            <w:pPr>
              <w:widowControl w:val="0"/>
              <w:autoSpaceDE w:val="0"/>
              <w:autoSpaceDN w:val="0"/>
              <w:adjustRightInd w:val="0"/>
              <w:ind w:left="270" w:hanging="270"/>
              <w:rPr>
                <w:i/>
                <w:sz w:val="20"/>
                <w:szCs w:val="20"/>
              </w:rPr>
            </w:pPr>
            <w:r w:rsidRPr="00861D01">
              <w:rPr>
                <w:i/>
                <w:sz w:val="20"/>
                <w:szCs w:val="20"/>
              </w:rPr>
              <w:t>Child is Black</w:t>
            </w:r>
          </w:p>
        </w:tc>
        <w:tc>
          <w:tcPr>
            <w:tcW w:w="1350" w:type="dxa"/>
            <w:vAlign w:val="center"/>
          </w:tcPr>
          <w:p w:rsidR="00BF1A3B" w:rsidRPr="00396DEC" w:rsidRDefault="00BF1A3B" w:rsidP="00BF1A3B">
            <w:pPr>
              <w:widowControl w:val="0"/>
              <w:autoSpaceDE w:val="0"/>
              <w:autoSpaceDN w:val="0"/>
              <w:adjustRightInd w:val="0"/>
              <w:ind w:left="-144" w:right="-101"/>
              <w:rPr>
                <w:sz w:val="20"/>
                <w:szCs w:val="20"/>
              </w:rPr>
            </w:pPr>
          </w:p>
        </w:tc>
        <w:tc>
          <w:tcPr>
            <w:tcW w:w="1350" w:type="dxa"/>
            <w:vAlign w:val="center"/>
          </w:tcPr>
          <w:p w:rsidR="00BF1A3B" w:rsidRPr="0092607D" w:rsidRDefault="00BF1A3B" w:rsidP="00BF1A3B">
            <w:pPr>
              <w:widowControl w:val="0"/>
              <w:tabs>
                <w:tab w:val="decimal" w:pos="538"/>
              </w:tabs>
              <w:autoSpaceDE w:val="0"/>
              <w:autoSpaceDN w:val="0"/>
              <w:adjustRightInd w:val="0"/>
              <w:ind w:left="-97" w:right="-148"/>
              <w:rPr>
                <w:color w:val="000000"/>
                <w:sz w:val="20"/>
                <w:szCs w:val="20"/>
              </w:rPr>
            </w:pPr>
            <w:r w:rsidRPr="00396DEC">
              <w:rPr>
                <w:color w:val="000000"/>
                <w:sz w:val="20"/>
                <w:szCs w:val="20"/>
              </w:rPr>
              <w:t>0.13***</w:t>
            </w:r>
          </w:p>
        </w:tc>
        <w:tc>
          <w:tcPr>
            <w:tcW w:w="1350" w:type="dxa"/>
            <w:vAlign w:val="center"/>
          </w:tcPr>
          <w:p w:rsidR="00BF1A3B" w:rsidRPr="0092607D" w:rsidRDefault="00BF1A3B" w:rsidP="00BF1A3B">
            <w:pPr>
              <w:widowControl w:val="0"/>
              <w:tabs>
                <w:tab w:val="decimal" w:pos="400"/>
              </w:tabs>
              <w:autoSpaceDE w:val="0"/>
              <w:autoSpaceDN w:val="0"/>
              <w:adjustRightInd w:val="0"/>
              <w:ind w:left="-140" w:right="-105"/>
              <w:rPr>
                <w:color w:val="000000"/>
                <w:sz w:val="20"/>
                <w:szCs w:val="20"/>
              </w:rPr>
            </w:pPr>
            <w:r w:rsidRPr="00396DEC">
              <w:rPr>
                <w:color w:val="000000"/>
                <w:sz w:val="20"/>
                <w:szCs w:val="20"/>
              </w:rPr>
              <w:t>0.14***</w:t>
            </w:r>
          </w:p>
        </w:tc>
        <w:tc>
          <w:tcPr>
            <w:tcW w:w="1350" w:type="dxa"/>
            <w:vAlign w:val="center"/>
          </w:tcPr>
          <w:p w:rsidR="00BF1A3B" w:rsidRPr="0092607D" w:rsidRDefault="00BF1A3B" w:rsidP="00BF1A3B">
            <w:pPr>
              <w:widowControl w:val="0"/>
              <w:tabs>
                <w:tab w:val="decimal" w:pos="369"/>
              </w:tabs>
              <w:autoSpaceDE w:val="0"/>
              <w:autoSpaceDN w:val="0"/>
              <w:adjustRightInd w:val="0"/>
              <w:ind w:left="-3" w:firstLine="3"/>
              <w:rPr>
                <w:color w:val="000000"/>
                <w:sz w:val="20"/>
                <w:szCs w:val="20"/>
              </w:rPr>
            </w:pPr>
            <w:r w:rsidRPr="00396DEC">
              <w:rPr>
                <w:color w:val="000000"/>
                <w:sz w:val="20"/>
                <w:szCs w:val="20"/>
              </w:rPr>
              <w:t>0.20***</w:t>
            </w:r>
          </w:p>
        </w:tc>
        <w:tc>
          <w:tcPr>
            <w:tcW w:w="1350" w:type="dxa"/>
            <w:vAlign w:val="center"/>
          </w:tcPr>
          <w:p w:rsidR="00BF1A3B" w:rsidRPr="0092607D" w:rsidRDefault="00BF1A3B" w:rsidP="00BF1A3B">
            <w:pPr>
              <w:widowControl w:val="0"/>
              <w:tabs>
                <w:tab w:val="decimal" w:pos="538"/>
              </w:tabs>
              <w:autoSpaceDE w:val="0"/>
              <w:autoSpaceDN w:val="0"/>
              <w:adjustRightInd w:val="0"/>
              <w:ind w:left="-136" w:right="-108" w:firstLine="136"/>
              <w:rPr>
                <w:color w:val="000000"/>
                <w:sz w:val="20"/>
                <w:szCs w:val="20"/>
              </w:rPr>
            </w:pPr>
            <w:r w:rsidRPr="00396DEC">
              <w:rPr>
                <w:color w:val="000000"/>
                <w:sz w:val="20"/>
                <w:szCs w:val="20"/>
              </w:rPr>
              <w:t>0.12***</w:t>
            </w:r>
          </w:p>
        </w:tc>
      </w:tr>
      <w:tr w:rsidR="00BF1A3B" w:rsidRPr="006E78E0" w:rsidTr="00BF1A3B">
        <w:trPr>
          <w:trHeight w:val="432"/>
        </w:trPr>
        <w:tc>
          <w:tcPr>
            <w:tcW w:w="3330" w:type="dxa"/>
            <w:vAlign w:val="center"/>
          </w:tcPr>
          <w:p w:rsidR="00BF1A3B" w:rsidRPr="00861D01" w:rsidRDefault="00BF1A3B" w:rsidP="00BF1A3B">
            <w:pPr>
              <w:widowControl w:val="0"/>
              <w:tabs>
                <w:tab w:val="decimal" w:pos="538"/>
              </w:tabs>
              <w:autoSpaceDE w:val="0"/>
              <w:autoSpaceDN w:val="0"/>
              <w:adjustRightInd w:val="0"/>
              <w:ind w:left="270" w:hanging="270"/>
              <w:rPr>
                <w:i/>
                <w:sz w:val="20"/>
                <w:szCs w:val="20"/>
              </w:rPr>
            </w:pPr>
            <w:r w:rsidRPr="00861D01">
              <w:rPr>
                <w:i/>
                <w:sz w:val="20"/>
                <w:szCs w:val="20"/>
              </w:rPr>
              <w:t>Child is Asian</w:t>
            </w:r>
          </w:p>
        </w:tc>
        <w:tc>
          <w:tcPr>
            <w:tcW w:w="1350" w:type="dxa"/>
            <w:vAlign w:val="center"/>
          </w:tcPr>
          <w:p w:rsidR="00BF1A3B" w:rsidRPr="00396DEC" w:rsidRDefault="00BF1A3B" w:rsidP="00BF1A3B">
            <w:pPr>
              <w:widowControl w:val="0"/>
              <w:autoSpaceDE w:val="0"/>
              <w:autoSpaceDN w:val="0"/>
              <w:adjustRightInd w:val="0"/>
              <w:ind w:left="-144" w:right="-101"/>
              <w:rPr>
                <w:sz w:val="20"/>
                <w:szCs w:val="20"/>
              </w:rPr>
            </w:pPr>
          </w:p>
        </w:tc>
        <w:tc>
          <w:tcPr>
            <w:tcW w:w="1350" w:type="dxa"/>
            <w:vAlign w:val="center"/>
          </w:tcPr>
          <w:p w:rsidR="00BF1A3B" w:rsidRPr="0092607D" w:rsidRDefault="00BF1A3B" w:rsidP="00BF1A3B">
            <w:pPr>
              <w:widowControl w:val="0"/>
              <w:tabs>
                <w:tab w:val="decimal" w:pos="538"/>
              </w:tabs>
              <w:autoSpaceDE w:val="0"/>
              <w:autoSpaceDN w:val="0"/>
              <w:adjustRightInd w:val="0"/>
              <w:ind w:left="-97" w:right="-148"/>
              <w:rPr>
                <w:color w:val="000000"/>
                <w:sz w:val="20"/>
                <w:szCs w:val="20"/>
              </w:rPr>
            </w:pPr>
            <w:r w:rsidRPr="00396DEC">
              <w:rPr>
                <w:color w:val="000000"/>
                <w:sz w:val="20"/>
                <w:szCs w:val="20"/>
              </w:rPr>
              <w:t>-1.27***</w:t>
            </w:r>
          </w:p>
        </w:tc>
        <w:tc>
          <w:tcPr>
            <w:tcW w:w="1350" w:type="dxa"/>
            <w:vAlign w:val="center"/>
          </w:tcPr>
          <w:p w:rsidR="00BF1A3B" w:rsidRPr="0092607D" w:rsidRDefault="00BF1A3B" w:rsidP="00BF1A3B">
            <w:pPr>
              <w:widowControl w:val="0"/>
              <w:tabs>
                <w:tab w:val="decimal" w:pos="400"/>
              </w:tabs>
              <w:autoSpaceDE w:val="0"/>
              <w:autoSpaceDN w:val="0"/>
              <w:adjustRightInd w:val="0"/>
              <w:ind w:left="-140" w:right="-105"/>
              <w:rPr>
                <w:color w:val="000000"/>
                <w:sz w:val="20"/>
                <w:szCs w:val="20"/>
              </w:rPr>
            </w:pPr>
            <w:r w:rsidRPr="00396DEC">
              <w:rPr>
                <w:color w:val="000000"/>
                <w:sz w:val="20"/>
                <w:szCs w:val="20"/>
              </w:rPr>
              <w:t>-1.28***</w:t>
            </w:r>
          </w:p>
        </w:tc>
        <w:tc>
          <w:tcPr>
            <w:tcW w:w="1350" w:type="dxa"/>
            <w:vAlign w:val="center"/>
          </w:tcPr>
          <w:p w:rsidR="00BF1A3B" w:rsidRPr="0092607D" w:rsidRDefault="00BF1A3B" w:rsidP="00BF1A3B">
            <w:pPr>
              <w:widowControl w:val="0"/>
              <w:tabs>
                <w:tab w:val="decimal" w:pos="369"/>
              </w:tabs>
              <w:autoSpaceDE w:val="0"/>
              <w:autoSpaceDN w:val="0"/>
              <w:adjustRightInd w:val="0"/>
              <w:ind w:left="-3" w:firstLine="3"/>
              <w:rPr>
                <w:color w:val="000000"/>
                <w:sz w:val="20"/>
                <w:szCs w:val="20"/>
              </w:rPr>
            </w:pPr>
            <w:r w:rsidRPr="00396DEC">
              <w:rPr>
                <w:color w:val="000000"/>
                <w:sz w:val="20"/>
                <w:szCs w:val="20"/>
              </w:rPr>
              <w:t>-1.32***</w:t>
            </w:r>
          </w:p>
        </w:tc>
        <w:tc>
          <w:tcPr>
            <w:tcW w:w="1350" w:type="dxa"/>
            <w:vAlign w:val="center"/>
          </w:tcPr>
          <w:p w:rsidR="00BF1A3B" w:rsidRPr="0092607D" w:rsidRDefault="00BF1A3B" w:rsidP="00BF1A3B">
            <w:pPr>
              <w:widowControl w:val="0"/>
              <w:tabs>
                <w:tab w:val="decimal" w:pos="538"/>
              </w:tabs>
              <w:autoSpaceDE w:val="0"/>
              <w:autoSpaceDN w:val="0"/>
              <w:adjustRightInd w:val="0"/>
              <w:ind w:left="-136" w:right="-108" w:firstLine="136"/>
              <w:rPr>
                <w:color w:val="000000"/>
                <w:sz w:val="20"/>
                <w:szCs w:val="20"/>
              </w:rPr>
            </w:pPr>
            <w:r w:rsidRPr="00396DEC">
              <w:rPr>
                <w:color w:val="000000"/>
                <w:sz w:val="20"/>
                <w:szCs w:val="20"/>
              </w:rPr>
              <w:t>-1.29***</w:t>
            </w:r>
          </w:p>
        </w:tc>
      </w:tr>
      <w:tr w:rsidR="00BF1A3B" w:rsidRPr="006E78E0" w:rsidTr="00BF1A3B">
        <w:trPr>
          <w:trHeight w:val="432"/>
        </w:trPr>
        <w:tc>
          <w:tcPr>
            <w:tcW w:w="3330" w:type="dxa"/>
            <w:vAlign w:val="center"/>
          </w:tcPr>
          <w:p w:rsidR="00BF1A3B" w:rsidRPr="00861D01" w:rsidRDefault="00BF1A3B" w:rsidP="00BF1A3B">
            <w:pPr>
              <w:widowControl w:val="0"/>
              <w:tabs>
                <w:tab w:val="decimal" w:pos="538"/>
              </w:tabs>
              <w:autoSpaceDE w:val="0"/>
              <w:autoSpaceDN w:val="0"/>
              <w:adjustRightInd w:val="0"/>
              <w:ind w:left="270" w:hanging="270"/>
              <w:rPr>
                <w:i/>
                <w:sz w:val="20"/>
                <w:szCs w:val="20"/>
              </w:rPr>
            </w:pPr>
            <w:r w:rsidRPr="00861D01">
              <w:rPr>
                <w:i/>
                <w:sz w:val="20"/>
                <w:szCs w:val="20"/>
              </w:rPr>
              <w:t>Child is ‘Other’</w:t>
            </w:r>
          </w:p>
        </w:tc>
        <w:tc>
          <w:tcPr>
            <w:tcW w:w="1350" w:type="dxa"/>
            <w:vAlign w:val="center"/>
          </w:tcPr>
          <w:p w:rsidR="00BF1A3B" w:rsidRPr="00396DEC" w:rsidRDefault="00BF1A3B" w:rsidP="00BF1A3B">
            <w:pPr>
              <w:widowControl w:val="0"/>
              <w:tabs>
                <w:tab w:val="decimal" w:pos="538"/>
              </w:tabs>
              <w:autoSpaceDE w:val="0"/>
              <w:autoSpaceDN w:val="0"/>
              <w:adjustRightInd w:val="0"/>
              <w:ind w:left="-144" w:right="-101"/>
              <w:rPr>
                <w:sz w:val="20"/>
                <w:szCs w:val="20"/>
              </w:rPr>
            </w:pPr>
          </w:p>
        </w:tc>
        <w:tc>
          <w:tcPr>
            <w:tcW w:w="1350" w:type="dxa"/>
            <w:vAlign w:val="center"/>
          </w:tcPr>
          <w:p w:rsidR="00BF1A3B" w:rsidRPr="0092607D" w:rsidRDefault="00BF1A3B" w:rsidP="00BF1A3B">
            <w:pPr>
              <w:widowControl w:val="0"/>
              <w:tabs>
                <w:tab w:val="decimal" w:pos="538"/>
              </w:tabs>
              <w:autoSpaceDE w:val="0"/>
              <w:autoSpaceDN w:val="0"/>
              <w:adjustRightInd w:val="0"/>
              <w:ind w:left="-97" w:right="-148"/>
              <w:rPr>
                <w:color w:val="000000"/>
                <w:sz w:val="20"/>
                <w:szCs w:val="20"/>
              </w:rPr>
            </w:pPr>
            <w:r w:rsidRPr="00396DEC">
              <w:rPr>
                <w:color w:val="000000"/>
                <w:sz w:val="20"/>
                <w:szCs w:val="20"/>
              </w:rPr>
              <w:t>0.14***</w:t>
            </w:r>
          </w:p>
        </w:tc>
        <w:tc>
          <w:tcPr>
            <w:tcW w:w="1350" w:type="dxa"/>
            <w:vAlign w:val="center"/>
          </w:tcPr>
          <w:p w:rsidR="00BF1A3B" w:rsidRPr="0092607D" w:rsidRDefault="00BF1A3B" w:rsidP="00BF1A3B">
            <w:pPr>
              <w:widowControl w:val="0"/>
              <w:tabs>
                <w:tab w:val="decimal" w:pos="400"/>
              </w:tabs>
              <w:autoSpaceDE w:val="0"/>
              <w:autoSpaceDN w:val="0"/>
              <w:adjustRightInd w:val="0"/>
              <w:ind w:left="-140" w:right="-105"/>
              <w:rPr>
                <w:color w:val="000000"/>
                <w:sz w:val="20"/>
                <w:szCs w:val="20"/>
              </w:rPr>
            </w:pPr>
            <w:r w:rsidRPr="00396DEC">
              <w:rPr>
                <w:color w:val="000000"/>
                <w:sz w:val="20"/>
                <w:szCs w:val="20"/>
              </w:rPr>
              <w:t>-0.14***</w:t>
            </w:r>
          </w:p>
        </w:tc>
        <w:tc>
          <w:tcPr>
            <w:tcW w:w="1350" w:type="dxa"/>
            <w:vAlign w:val="center"/>
          </w:tcPr>
          <w:p w:rsidR="00BF1A3B" w:rsidRPr="0092607D" w:rsidRDefault="00BF1A3B" w:rsidP="00BF1A3B">
            <w:pPr>
              <w:widowControl w:val="0"/>
              <w:tabs>
                <w:tab w:val="decimal" w:pos="369"/>
              </w:tabs>
              <w:autoSpaceDE w:val="0"/>
              <w:autoSpaceDN w:val="0"/>
              <w:adjustRightInd w:val="0"/>
              <w:ind w:left="-3" w:firstLine="3"/>
              <w:rPr>
                <w:color w:val="000000"/>
                <w:sz w:val="20"/>
                <w:szCs w:val="20"/>
              </w:rPr>
            </w:pPr>
            <w:r w:rsidRPr="00396DEC">
              <w:rPr>
                <w:color w:val="000000"/>
                <w:sz w:val="20"/>
                <w:szCs w:val="20"/>
              </w:rPr>
              <w:t>0.05</w:t>
            </w:r>
          </w:p>
        </w:tc>
        <w:tc>
          <w:tcPr>
            <w:tcW w:w="1350" w:type="dxa"/>
            <w:vAlign w:val="center"/>
          </w:tcPr>
          <w:p w:rsidR="00BF1A3B" w:rsidRPr="0092607D" w:rsidRDefault="00BF1A3B" w:rsidP="00BF1A3B">
            <w:pPr>
              <w:widowControl w:val="0"/>
              <w:tabs>
                <w:tab w:val="decimal" w:pos="538"/>
              </w:tabs>
              <w:autoSpaceDE w:val="0"/>
              <w:autoSpaceDN w:val="0"/>
              <w:adjustRightInd w:val="0"/>
              <w:ind w:left="-136" w:right="-108" w:firstLine="136"/>
              <w:rPr>
                <w:color w:val="000000"/>
                <w:sz w:val="20"/>
                <w:szCs w:val="20"/>
              </w:rPr>
            </w:pPr>
            <w:r w:rsidRPr="00396DEC">
              <w:rPr>
                <w:color w:val="000000"/>
                <w:sz w:val="20"/>
                <w:szCs w:val="20"/>
              </w:rPr>
              <w:t>-0.12**</w:t>
            </w:r>
          </w:p>
        </w:tc>
      </w:tr>
      <w:tr w:rsidR="00BF1A3B" w:rsidRPr="006E78E0" w:rsidTr="00BF1A3B">
        <w:trPr>
          <w:trHeight w:val="432"/>
        </w:trPr>
        <w:tc>
          <w:tcPr>
            <w:tcW w:w="3330" w:type="dxa"/>
            <w:vAlign w:val="center"/>
          </w:tcPr>
          <w:p w:rsidR="00BF1A3B" w:rsidRPr="00861D01" w:rsidRDefault="00BF1A3B" w:rsidP="00BF1A3B">
            <w:pPr>
              <w:widowControl w:val="0"/>
              <w:tabs>
                <w:tab w:val="decimal" w:pos="538"/>
              </w:tabs>
              <w:autoSpaceDE w:val="0"/>
              <w:autoSpaceDN w:val="0"/>
              <w:adjustRightInd w:val="0"/>
              <w:ind w:left="270" w:hanging="270"/>
              <w:rPr>
                <w:i/>
                <w:sz w:val="20"/>
                <w:szCs w:val="20"/>
              </w:rPr>
            </w:pPr>
            <w:r w:rsidRPr="00861D01">
              <w:rPr>
                <w:i/>
                <w:sz w:val="20"/>
                <w:szCs w:val="20"/>
              </w:rPr>
              <w:t>Child is American Indian</w:t>
            </w:r>
          </w:p>
        </w:tc>
        <w:tc>
          <w:tcPr>
            <w:tcW w:w="1350" w:type="dxa"/>
            <w:vAlign w:val="center"/>
          </w:tcPr>
          <w:p w:rsidR="00BF1A3B" w:rsidRPr="00396DEC" w:rsidRDefault="00BF1A3B" w:rsidP="00BF1A3B">
            <w:pPr>
              <w:widowControl w:val="0"/>
              <w:tabs>
                <w:tab w:val="decimal" w:pos="538"/>
              </w:tabs>
              <w:autoSpaceDE w:val="0"/>
              <w:autoSpaceDN w:val="0"/>
              <w:adjustRightInd w:val="0"/>
              <w:ind w:left="-144" w:right="-101"/>
              <w:rPr>
                <w:sz w:val="20"/>
                <w:szCs w:val="20"/>
              </w:rPr>
            </w:pPr>
          </w:p>
        </w:tc>
        <w:tc>
          <w:tcPr>
            <w:tcW w:w="1350" w:type="dxa"/>
            <w:vAlign w:val="center"/>
          </w:tcPr>
          <w:p w:rsidR="00BF1A3B" w:rsidRPr="0092607D" w:rsidRDefault="00BF1A3B" w:rsidP="00BF1A3B">
            <w:pPr>
              <w:widowControl w:val="0"/>
              <w:tabs>
                <w:tab w:val="decimal" w:pos="538"/>
              </w:tabs>
              <w:autoSpaceDE w:val="0"/>
              <w:autoSpaceDN w:val="0"/>
              <w:adjustRightInd w:val="0"/>
              <w:ind w:left="-97" w:right="-148"/>
              <w:rPr>
                <w:color w:val="000000"/>
                <w:sz w:val="20"/>
                <w:szCs w:val="20"/>
              </w:rPr>
            </w:pPr>
            <w:r w:rsidRPr="00396DEC">
              <w:rPr>
                <w:color w:val="000000"/>
                <w:sz w:val="20"/>
                <w:szCs w:val="20"/>
              </w:rPr>
              <w:t>0.14</w:t>
            </w:r>
          </w:p>
        </w:tc>
        <w:tc>
          <w:tcPr>
            <w:tcW w:w="1350" w:type="dxa"/>
            <w:vAlign w:val="center"/>
          </w:tcPr>
          <w:p w:rsidR="00BF1A3B" w:rsidRPr="0092607D" w:rsidRDefault="00BF1A3B" w:rsidP="00BF1A3B">
            <w:pPr>
              <w:widowControl w:val="0"/>
              <w:tabs>
                <w:tab w:val="decimal" w:pos="400"/>
              </w:tabs>
              <w:autoSpaceDE w:val="0"/>
              <w:autoSpaceDN w:val="0"/>
              <w:adjustRightInd w:val="0"/>
              <w:ind w:left="-140" w:right="-105"/>
              <w:rPr>
                <w:color w:val="000000"/>
                <w:sz w:val="20"/>
                <w:szCs w:val="20"/>
              </w:rPr>
            </w:pPr>
            <w:r w:rsidRPr="00396DEC">
              <w:rPr>
                <w:color w:val="000000"/>
                <w:sz w:val="20"/>
                <w:szCs w:val="20"/>
              </w:rPr>
              <w:t>0.15**</w:t>
            </w:r>
          </w:p>
        </w:tc>
        <w:tc>
          <w:tcPr>
            <w:tcW w:w="1350" w:type="dxa"/>
            <w:vAlign w:val="center"/>
          </w:tcPr>
          <w:p w:rsidR="00BF1A3B" w:rsidRPr="0092607D" w:rsidRDefault="00BF1A3B" w:rsidP="00BF1A3B">
            <w:pPr>
              <w:widowControl w:val="0"/>
              <w:tabs>
                <w:tab w:val="decimal" w:pos="369"/>
              </w:tabs>
              <w:autoSpaceDE w:val="0"/>
              <w:autoSpaceDN w:val="0"/>
              <w:adjustRightInd w:val="0"/>
              <w:ind w:left="-3" w:firstLine="3"/>
              <w:rPr>
                <w:color w:val="000000"/>
                <w:sz w:val="20"/>
                <w:szCs w:val="20"/>
              </w:rPr>
            </w:pPr>
            <w:r w:rsidRPr="00396DEC">
              <w:rPr>
                <w:color w:val="000000"/>
                <w:sz w:val="20"/>
                <w:szCs w:val="20"/>
              </w:rPr>
              <w:t>-0.10</w:t>
            </w:r>
          </w:p>
        </w:tc>
        <w:tc>
          <w:tcPr>
            <w:tcW w:w="1350" w:type="dxa"/>
            <w:vAlign w:val="center"/>
          </w:tcPr>
          <w:p w:rsidR="00BF1A3B" w:rsidRPr="0092607D" w:rsidRDefault="00BF1A3B" w:rsidP="00BF1A3B">
            <w:pPr>
              <w:widowControl w:val="0"/>
              <w:tabs>
                <w:tab w:val="decimal" w:pos="538"/>
              </w:tabs>
              <w:autoSpaceDE w:val="0"/>
              <w:autoSpaceDN w:val="0"/>
              <w:adjustRightInd w:val="0"/>
              <w:ind w:left="-136" w:right="-108" w:firstLine="136"/>
              <w:rPr>
                <w:color w:val="000000"/>
                <w:sz w:val="20"/>
                <w:szCs w:val="20"/>
              </w:rPr>
            </w:pPr>
            <w:r w:rsidRPr="00396DEC">
              <w:rPr>
                <w:color w:val="000000"/>
                <w:sz w:val="20"/>
                <w:szCs w:val="20"/>
              </w:rPr>
              <w:t>0.17</w:t>
            </w:r>
          </w:p>
        </w:tc>
      </w:tr>
      <w:tr w:rsidR="00BF1A3B" w:rsidRPr="006E78E0" w:rsidTr="00BF1A3B">
        <w:trPr>
          <w:trHeight w:val="432"/>
        </w:trPr>
        <w:tc>
          <w:tcPr>
            <w:tcW w:w="3330" w:type="dxa"/>
            <w:vAlign w:val="center"/>
          </w:tcPr>
          <w:p w:rsidR="00BF1A3B" w:rsidRPr="00861D01" w:rsidRDefault="00BF1A3B" w:rsidP="00BF1A3B">
            <w:pPr>
              <w:widowControl w:val="0"/>
              <w:autoSpaceDE w:val="0"/>
              <w:autoSpaceDN w:val="0"/>
              <w:adjustRightInd w:val="0"/>
              <w:ind w:left="270" w:hanging="270"/>
              <w:rPr>
                <w:i/>
                <w:sz w:val="20"/>
                <w:szCs w:val="20"/>
              </w:rPr>
            </w:pPr>
            <w:r w:rsidRPr="00861D01">
              <w:rPr>
                <w:i/>
                <w:sz w:val="20"/>
                <w:szCs w:val="20"/>
              </w:rPr>
              <w:t>Child has Limited English Proficiency</w:t>
            </w:r>
          </w:p>
        </w:tc>
        <w:tc>
          <w:tcPr>
            <w:tcW w:w="1350" w:type="dxa"/>
            <w:vAlign w:val="center"/>
          </w:tcPr>
          <w:p w:rsidR="00BF1A3B" w:rsidRPr="00396DEC" w:rsidRDefault="00BF1A3B" w:rsidP="00BF1A3B">
            <w:pPr>
              <w:widowControl w:val="0"/>
              <w:tabs>
                <w:tab w:val="decimal" w:pos="538"/>
              </w:tabs>
              <w:autoSpaceDE w:val="0"/>
              <w:autoSpaceDN w:val="0"/>
              <w:adjustRightInd w:val="0"/>
              <w:ind w:left="-144" w:right="-101"/>
              <w:rPr>
                <w:sz w:val="20"/>
                <w:szCs w:val="20"/>
              </w:rPr>
            </w:pPr>
          </w:p>
        </w:tc>
        <w:tc>
          <w:tcPr>
            <w:tcW w:w="1350" w:type="dxa"/>
            <w:vAlign w:val="center"/>
          </w:tcPr>
          <w:p w:rsidR="00BF1A3B" w:rsidRPr="0092607D" w:rsidRDefault="00BF1A3B" w:rsidP="00BF1A3B">
            <w:pPr>
              <w:widowControl w:val="0"/>
              <w:tabs>
                <w:tab w:val="decimal" w:pos="538"/>
              </w:tabs>
              <w:autoSpaceDE w:val="0"/>
              <w:autoSpaceDN w:val="0"/>
              <w:adjustRightInd w:val="0"/>
              <w:ind w:left="-97" w:right="-148"/>
              <w:rPr>
                <w:color w:val="000000"/>
                <w:sz w:val="20"/>
                <w:szCs w:val="20"/>
              </w:rPr>
            </w:pPr>
            <w:r w:rsidRPr="00396DEC">
              <w:rPr>
                <w:color w:val="000000"/>
                <w:sz w:val="20"/>
                <w:szCs w:val="20"/>
              </w:rPr>
              <w:t>-0.15***</w:t>
            </w:r>
          </w:p>
        </w:tc>
        <w:tc>
          <w:tcPr>
            <w:tcW w:w="1350" w:type="dxa"/>
            <w:vAlign w:val="center"/>
          </w:tcPr>
          <w:p w:rsidR="00BF1A3B" w:rsidRPr="0092607D" w:rsidRDefault="00BF1A3B" w:rsidP="00BF1A3B">
            <w:pPr>
              <w:widowControl w:val="0"/>
              <w:tabs>
                <w:tab w:val="decimal" w:pos="400"/>
              </w:tabs>
              <w:autoSpaceDE w:val="0"/>
              <w:autoSpaceDN w:val="0"/>
              <w:adjustRightInd w:val="0"/>
              <w:ind w:left="-140" w:right="-105"/>
              <w:rPr>
                <w:color w:val="000000"/>
                <w:sz w:val="20"/>
                <w:szCs w:val="20"/>
              </w:rPr>
            </w:pPr>
            <w:r w:rsidRPr="00396DEC">
              <w:rPr>
                <w:color w:val="000000"/>
                <w:sz w:val="20"/>
                <w:szCs w:val="20"/>
              </w:rPr>
              <w:t>-0.16***</w:t>
            </w:r>
          </w:p>
        </w:tc>
        <w:tc>
          <w:tcPr>
            <w:tcW w:w="1350" w:type="dxa"/>
            <w:vAlign w:val="center"/>
          </w:tcPr>
          <w:p w:rsidR="00BF1A3B" w:rsidRPr="0092607D" w:rsidRDefault="00BF1A3B" w:rsidP="00BF1A3B">
            <w:pPr>
              <w:widowControl w:val="0"/>
              <w:tabs>
                <w:tab w:val="decimal" w:pos="369"/>
              </w:tabs>
              <w:autoSpaceDE w:val="0"/>
              <w:autoSpaceDN w:val="0"/>
              <w:adjustRightInd w:val="0"/>
              <w:ind w:left="-3" w:firstLine="3"/>
              <w:rPr>
                <w:color w:val="000000"/>
                <w:sz w:val="20"/>
                <w:szCs w:val="20"/>
              </w:rPr>
            </w:pPr>
            <w:r w:rsidRPr="00396DEC">
              <w:rPr>
                <w:color w:val="000000"/>
                <w:sz w:val="20"/>
                <w:szCs w:val="20"/>
              </w:rPr>
              <w:t>-0.15***</w:t>
            </w:r>
          </w:p>
        </w:tc>
        <w:tc>
          <w:tcPr>
            <w:tcW w:w="1350" w:type="dxa"/>
            <w:vAlign w:val="center"/>
          </w:tcPr>
          <w:p w:rsidR="00BF1A3B" w:rsidRPr="0092607D" w:rsidRDefault="00BF1A3B" w:rsidP="00BF1A3B">
            <w:pPr>
              <w:widowControl w:val="0"/>
              <w:tabs>
                <w:tab w:val="decimal" w:pos="538"/>
              </w:tabs>
              <w:autoSpaceDE w:val="0"/>
              <w:autoSpaceDN w:val="0"/>
              <w:adjustRightInd w:val="0"/>
              <w:ind w:left="-136" w:right="-108" w:firstLine="136"/>
              <w:rPr>
                <w:color w:val="000000"/>
                <w:sz w:val="20"/>
                <w:szCs w:val="20"/>
              </w:rPr>
            </w:pPr>
            <w:r w:rsidRPr="00396DEC">
              <w:rPr>
                <w:color w:val="000000"/>
                <w:sz w:val="20"/>
                <w:szCs w:val="20"/>
              </w:rPr>
              <w:t>-0.15***</w:t>
            </w:r>
          </w:p>
        </w:tc>
      </w:tr>
      <w:tr w:rsidR="00BF1A3B" w:rsidRPr="006E78E0" w:rsidTr="00BF1A3B">
        <w:trPr>
          <w:trHeight w:val="432"/>
        </w:trPr>
        <w:tc>
          <w:tcPr>
            <w:tcW w:w="3330" w:type="dxa"/>
            <w:vAlign w:val="center"/>
          </w:tcPr>
          <w:p w:rsidR="00BF1A3B" w:rsidRPr="00861D01" w:rsidRDefault="00BF1A3B" w:rsidP="00BF1A3B">
            <w:pPr>
              <w:widowControl w:val="0"/>
              <w:autoSpaceDE w:val="0"/>
              <w:autoSpaceDN w:val="0"/>
              <w:adjustRightInd w:val="0"/>
              <w:ind w:left="270" w:hanging="270"/>
              <w:rPr>
                <w:i/>
                <w:sz w:val="20"/>
                <w:szCs w:val="20"/>
              </w:rPr>
            </w:pPr>
            <w:r w:rsidRPr="00861D01">
              <w:rPr>
                <w:i/>
                <w:sz w:val="20"/>
                <w:szCs w:val="20"/>
              </w:rPr>
              <w:t>Child is Female</w:t>
            </w:r>
          </w:p>
        </w:tc>
        <w:tc>
          <w:tcPr>
            <w:tcW w:w="1350" w:type="dxa"/>
            <w:vAlign w:val="center"/>
          </w:tcPr>
          <w:p w:rsidR="00BF1A3B" w:rsidRPr="00396DEC" w:rsidRDefault="00BF1A3B" w:rsidP="00BF1A3B">
            <w:pPr>
              <w:widowControl w:val="0"/>
              <w:tabs>
                <w:tab w:val="decimal" w:pos="538"/>
              </w:tabs>
              <w:autoSpaceDE w:val="0"/>
              <w:autoSpaceDN w:val="0"/>
              <w:adjustRightInd w:val="0"/>
              <w:ind w:left="-144" w:right="-101"/>
              <w:rPr>
                <w:sz w:val="20"/>
                <w:szCs w:val="20"/>
              </w:rPr>
            </w:pPr>
          </w:p>
        </w:tc>
        <w:tc>
          <w:tcPr>
            <w:tcW w:w="1350" w:type="dxa"/>
            <w:vAlign w:val="center"/>
          </w:tcPr>
          <w:p w:rsidR="00BF1A3B" w:rsidRPr="0092607D" w:rsidRDefault="00BF1A3B" w:rsidP="00BF1A3B">
            <w:pPr>
              <w:widowControl w:val="0"/>
              <w:tabs>
                <w:tab w:val="decimal" w:pos="538"/>
              </w:tabs>
              <w:autoSpaceDE w:val="0"/>
              <w:autoSpaceDN w:val="0"/>
              <w:adjustRightInd w:val="0"/>
              <w:ind w:left="-97" w:right="-148"/>
              <w:rPr>
                <w:color w:val="000000"/>
                <w:sz w:val="20"/>
                <w:szCs w:val="20"/>
              </w:rPr>
            </w:pPr>
            <w:r w:rsidRPr="00396DEC">
              <w:rPr>
                <w:color w:val="000000"/>
                <w:sz w:val="20"/>
                <w:szCs w:val="20"/>
              </w:rPr>
              <w:t>-0.39***</w:t>
            </w:r>
          </w:p>
        </w:tc>
        <w:tc>
          <w:tcPr>
            <w:tcW w:w="1350" w:type="dxa"/>
            <w:vAlign w:val="center"/>
          </w:tcPr>
          <w:p w:rsidR="00BF1A3B" w:rsidRPr="0092607D" w:rsidRDefault="00BF1A3B" w:rsidP="00BF1A3B">
            <w:pPr>
              <w:widowControl w:val="0"/>
              <w:tabs>
                <w:tab w:val="decimal" w:pos="400"/>
              </w:tabs>
              <w:autoSpaceDE w:val="0"/>
              <w:autoSpaceDN w:val="0"/>
              <w:adjustRightInd w:val="0"/>
              <w:ind w:left="-140" w:right="-105"/>
              <w:rPr>
                <w:color w:val="000000"/>
                <w:sz w:val="20"/>
                <w:szCs w:val="20"/>
              </w:rPr>
            </w:pPr>
            <w:r w:rsidRPr="00396DEC">
              <w:rPr>
                <w:color w:val="000000"/>
                <w:sz w:val="20"/>
                <w:szCs w:val="20"/>
              </w:rPr>
              <w:t>-0.38***</w:t>
            </w:r>
          </w:p>
        </w:tc>
        <w:tc>
          <w:tcPr>
            <w:tcW w:w="1350" w:type="dxa"/>
            <w:vAlign w:val="center"/>
          </w:tcPr>
          <w:p w:rsidR="00BF1A3B" w:rsidRPr="0092607D" w:rsidRDefault="00BF1A3B" w:rsidP="00BF1A3B">
            <w:pPr>
              <w:widowControl w:val="0"/>
              <w:tabs>
                <w:tab w:val="decimal" w:pos="369"/>
              </w:tabs>
              <w:autoSpaceDE w:val="0"/>
              <w:autoSpaceDN w:val="0"/>
              <w:adjustRightInd w:val="0"/>
              <w:ind w:left="-3" w:firstLine="3"/>
              <w:rPr>
                <w:color w:val="000000"/>
                <w:sz w:val="20"/>
                <w:szCs w:val="20"/>
              </w:rPr>
            </w:pPr>
            <w:r w:rsidRPr="00396DEC">
              <w:rPr>
                <w:color w:val="000000"/>
                <w:sz w:val="20"/>
                <w:szCs w:val="20"/>
              </w:rPr>
              <w:t>-0.38***</w:t>
            </w:r>
          </w:p>
        </w:tc>
        <w:tc>
          <w:tcPr>
            <w:tcW w:w="1350" w:type="dxa"/>
            <w:vAlign w:val="center"/>
          </w:tcPr>
          <w:p w:rsidR="00BF1A3B" w:rsidRPr="0092607D" w:rsidRDefault="00BF1A3B" w:rsidP="00BF1A3B">
            <w:pPr>
              <w:widowControl w:val="0"/>
              <w:tabs>
                <w:tab w:val="decimal" w:pos="538"/>
              </w:tabs>
              <w:autoSpaceDE w:val="0"/>
              <w:autoSpaceDN w:val="0"/>
              <w:adjustRightInd w:val="0"/>
              <w:ind w:left="-136" w:right="-108" w:firstLine="136"/>
              <w:rPr>
                <w:color w:val="000000"/>
                <w:sz w:val="20"/>
                <w:szCs w:val="20"/>
              </w:rPr>
            </w:pPr>
            <w:r w:rsidRPr="00396DEC">
              <w:rPr>
                <w:color w:val="000000"/>
                <w:sz w:val="20"/>
                <w:szCs w:val="20"/>
              </w:rPr>
              <w:t>-0.38***</w:t>
            </w:r>
          </w:p>
        </w:tc>
      </w:tr>
      <w:tr w:rsidR="00BF1A3B" w:rsidRPr="006E78E0" w:rsidTr="00BF1A3B">
        <w:trPr>
          <w:trHeight w:val="432"/>
        </w:trPr>
        <w:tc>
          <w:tcPr>
            <w:tcW w:w="3330" w:type="dxa"/>
            <w:vAlign w:val="center"/>
          </w:tcPr>
          <w:p w:rsidR="00BF1A3B" w:rsidRPr="00A65481" w:rsidRDefault="00BF1A3B" w:rsidP="00BF1A3B">
            <w:pPr>
              <w:widowControl w:val="0"/>
              <w:autoSpaceDE w:val="0"/>
              <w:autoSpaceDN w:val="0"/>
              <w:adjustRightInd w:val="0"/>
              <w:ind w:left="270" w:hanging="270"/>
              <w:rPr>
                <w:i/>
                <w:sz w:val="20"/>
                <w:szCs w:val="20"/>
              </w:rPr>
            </w:pPr>
            <w:r w:rsidRPr="00A65481">
              <w:rPr>
                <w:i/>
                <w:sz w:val="20"/>
                <w:szCs w:val="20"/>
              </w:rPr>
              <w:t xml:space="preserve">Child </w:t>
            </w:r>
            <w:r w:rsidRPr="00A65481">
              <w:rPr>
                <w:i/>
                <w:iCs/>
                <w:sz w:val="20"/>
                <w:szCs w:val="20"/>
              </w:rPr>
              <w:t>eligible for Free/ Reduced Price Lunch (FRPL)</w:t>
            </w:r>
          </w:p>
        </w:tc>
        <w:tc>
          <w:tcPr>
            <w:tcW w:w="1350" w:type="dxa"/>
            <w:vAlign w:val="center"/>
          </w:tcPr>
          <w:p w:rsidR="00BF1A3B" w:rsidRPr="00396DEC" w:rsidRDefault="00BF1A3B" w:rsidP="00BF1A3B">
            <w:pPr>
              <w:widowControl w:val="0"/>
              <w:tabs>
                <w:tab w:val="decimal" w:pos="538"/>
              </w:tabs>
              <w:autoSpaceDE w:val="0"/>
              <w:autoSpaceDN w:val="0"/>
              <w:adjustRightInd w:val="0"/>
              <w:ind w:left="-144" w:right="-101"/>
              <w:rPr>
                <w:sz w:val="20"/>
                <w:szCs w:val="20"/>
              </w:rPr>
            </w:pPr>
          </w:p>
        </w:tc>
        <w:tc>
          <w:tcPr>
            <w:tcW w:w="1350" w:type="dxa"/>
            <w:vAlign w:val="center"/>
          </w:tcPr>
          <w:p w:rsidR="00BF1A3B" w:rsidRPr="0092607D" w:rsidRDefault="00BF1A3B" w:rsidP="00BF1A3B">
            <w:pPr>
              <w:widowControl w:val="0"/>
              <w:tabs>
                <w:tab w:val="decimal" w:pos="538"/>
              </w:tabs>
              <w:autoSpaceDE w:val="0"/>
              <w:autoSpaceDN w:val="0"/>
              <w:adjustRightInd w:val="0"/>
              <w:ind w:left="-97" w:right="-148"/>
              <w:rPr>
                <w:sz w:val="20"/>
                <w:szCs w:val="20"/>
              </w:rPr>
            </w:pPr>
            <w:r w:rsidRPr="00396DEC">
              <w:rPr>
                <w:sz w:val="20"/>
                <w:szCs w:val="20"/>
              </w:rPr>
              <w:t>0.68***</w:t>
            </w:r>
          </w:p>
        </w:tc>
        <w:tc>
          <w:tcPr>
            <w:tcW w:w="1350" w:type="dxa"/>
            <w:vAlign w:val="center"/>
          </w:tcPr>
          <w:p w:rsidR="00BF1A3B" w:rsidRPr="0092607D" w:rsidRDefault="00BF1A3B" w:rsidP="00BF1A3B">
            <w:pPr>
              <w:widowControl w:val="0"/>
              <w:tabs>
                <w:tab w:val="decimal" w:pos="400"/>
              </w:tabs>
              <w:autoSpaceDE w:val="0"/>
              <w:autoSpaceDN w:val="0"/>
              <w:adjustRightInd w:val="0"/>
              <w:ind w:left="-140" w:right="-105"/>
              <w:rPr>
                <w:color w:val="000000"/>
                <w:sz w:val="20"/>
                <w:szCs w:val="20"/>
              </w:rPr>
            </w:pPr>
            <w:r w:rsidRPr="00396DEC">
              <w:rPr>
                <w:color w:val="000000"/>
                <w:sz w:val="20"/>
                <w:szCs w:val="20"/>
              </w:rPr>
              <w:t>0.69***</w:t>
            </w:r>
          </w:p>
        </w:tc>
        <w:tc>
          <w:tcPr>
            <w:tcW w:w="1350" w:type="dxa"/>
            <w:vAlign w:val="center"/>
          </w:tcPr>
          <w:p w:rsidR="00BF1A3B" w:rsidRPr="0092607D" w:rsidRDefault="00BF1A3B" w:rsidP="00BF1A3B">
            <w:pPr>
              <w:widowControl w:val="0"/>
              <w:tabs>
                <w:tab w:val="decimal" w:pos="369"/>
              </w:tabs>
              <w:autoSpaceDE w:val="0"/>
              <w:autoSpaceDN w:val="0"/>
              <w:adjustRightInd w:val="0"/>
              <w:ind w:left="-3" w:firstLine="3"/>
              <w:rPr>
                <w:color w:val="000000"/>
                <w:sz w:val="20"/>
                <w:szCs w:val="20"/>
              </w:rPr>
            </w:pPr>
            <w:r w:rsidRPr="00396DEC">
              <w:rPr>
                <w:color w:val="000000"/>
                <w:sz w:val="20"/>
                <w:szCs w:val="20"/>
              </w:rPr>
              <w:t>1.16***</w:t>
            </w:r>
          </w:p>
        </w:tc>
        <w:tc>
          <w:tcPr>
            <w:tcW w:w="1350" w:type="dxa"/>
            <w:vAlign w:val="center"/>
          </w:tcPr>
          <w:p w:rsidR="00BF1A3B" w:rsidRPr="0092607D" w:rsidRDefault="00BF1A3B" w:rsidP="00BF1A3B">
            <w:pPr>
              <w:widowControl w:val="0"/>
              <w:tabs>
                <w:tab w:val="decimal" w:pos="538"/>
              </w:tabs>
              <w:autoSpaceDE w:val="0"/>
              <w:autoSpaceDN w:val="0"/>
              <w:adjustRightInd w:val="0"/>
              <w:ind w:left="-136" w:right="-108" w:firstLine="136"/>
              <w:rPr>
                <w:color w:val="000000"/>
                <w:sz w:val="20"/>
                <w:szCs w:val="20"/>
              </w:rPr>
            </w:pPr>
            <w:r w:rsidRPr="00396DEC">
              <w:rPr>
                <w:color w:val="000000"/>
                <w:sz w:val="20"/>
                <w:szCs w:val="20"/>
              </w:rPr>
              <w:t>1.10***</w:t>
            </w:r>
          </w:p>
        </w:tc>
      </w:tr>
      <w:tr w:rsidR="00BF1A3B" w:rsidRPr="006E78E0" w:rsidTr="00BF1A3B">
        <w:trPr>
          <w:trHeight w:val="432"/>
        </w:trPr>
        <w:tc>
          <w:tcPr>
            <w:tcW w:w="3330" w:type="dxa"/>
            <w:vAlign w:val="center"/>
          </w:tcPr>
          <w:p w:rsidR="00BF1A3B" w:rsidRPr="00861D01" w:rsidRDefault="00BF1A3B" w:rsidP="00BF1A3B">
            <w:pPr>
              <w:widowControl w:val="0"/>
              <w:autoSpaceDE w:val="0"/>
              <w:autoSpaceDN w:val="0"/>
              <w:adjustRightInd w:val="0"/>
              <w:ind w:left="270" w:hanging="270"/>
              <w:rPr>
                <w:i/>
                <w:sz w:val="20"/>
                <w:szCs w:val="20"/>
              </w:rPr>
            </w:pPr>
            <w:r w:rsidRPr="00DD6C1B">
              <w:rPr>
                <w:i/>
                <w:iCs/>
                <w:sz w:val="20"/>
                <w:szCs w:val="20"/>
              </w:rPr>
              <w:t>District Percent White Students</w:t>
            </w:r>
          </w:p>
        </w:tc>
        <w:tc>
          <w:tcPr>
            <w:tcW w:w="1350" w:type="dxa"/>
            <w:vAlign w:val="center"/>
          </w:tcPr>
          <w:p w:rsidR="00BF1A3B" w:rsidRPr="00396DEC" w:rsidRDefault="00BF1A3B" w:rsidP="00BF1A3B">
            <w:pPr>
              <w:widowControl w:val="0"/>
              <w:tabs>
                <w:tab w:val="decimal" w:pos="538"/>
              </w:tabs>
              <w:autoSpaceDE w:val="0"/>
              <w:autoSpaceDN w:val="0"/>
              <w:adjustRightInd w:val="0"/>
              <w:ind w:left="-144" w:right="-101"/>
              <w:rPr>
                <w:sz w:val="20"/>
                <w:szCs w:val="20"/>
              </w:rPr>
            </w:pPr>
          </w:p>
        </w:tc>
        <w:tc>
          <w:tcPr>
            <w:tcW w:w="1350" w:type="dxa"/>
            <w:vAlign w:val="center"/>
          </w:tcPr>
          <w:p w:rsidR="00BF1A3B" w:rsidRPr="00396DEC" w:rsidRDefault="00BF1A3B" w:rsidP="00BF1A3B">
            <w:pPr>
              <w:widowControl w:val="0"/>
              <w:tabs>
                <w:tab w:val="decimal" w:pos="538"/>
              </w:tabs>
              <w:autoSpaceDE w:val="0"/>
              <w:autoSpaceDN w:val="0"/>
              <w:adjustRightInd w:val="0"/>
              <w:ind w:left="-97" w:right="-148"/>
              <w:rPr>
                <w:sz w:val="20"/>
                <w:szCs w:val="20"/>
              </w:rPr>
            </w:pPr>
          </w:p>
        </w:tc>
        <w:tc>
          <w:tcPr>
            <w:tcW w:w="1350" w:type="dxa"/>
            <w:vAlign w:val="center"/>
          </w:tcPr>
          <w:p w:rsidR="00BF1A3B" w:rsidRPr="0092607D" w:rsidRDefault="00BF1A3B" w:rsidP="00BF1A3B">
            <w:pPr>
              <w:widowControl w:val="0"/>
              <w:tabs>
                <w:tab w:val="decimal" w:pos="400"/>
              </w:tabs>
              <w:autoSpaceDE w:val="0"/>
              <w:autoSpaceDN w:val="0"/>
              <w:adjustRightInd w:val="0"/>
              <w:ind w:left="-140" w:right="-105"/>
              <w:rPr>
                <w:color w:val="000000"/>
                <w:sz w:val="20"/>
                <w:szCs w:val="20"/>
              </w:rPr>
            </w:pPr>
            <w:r w:rsidRPr="00396DEC">
              <w:rPr>
                <w:color w:val="000000"/>
                <w:sz w:val="20"/>
                <w:szCs w:val="20"/>
              </w:rPr>
              <w:t>-0.00</w:t>
            </w:r>
          </w:p>
        </w:tc>
        <w:tc>
          <w:tcPr>
            <w:tcW w:w="1350" w:type="dxa"/>
            <w:vAlign w:val="center"/>
          </w:tcPr>
          <w:p w:rsidR="00BF1A3B" w:rsidRPr="0092607D" w:rsidRDefault="00BF1A3B" w:rsidP="00BF1A3B">
            <w:pPr>
              <w:widowControl w:val="0"/>
              <w:tabs>
                <w:tab w:val="decimal" w:pos="369"/>
              </w:tabs>
              <w:autoSpaceDE w:val="0"/>
              <w:autoSpaceDN w:val="0"/>
              <w:adjustRightInd w:val="0"/>
              <w:ind w:left="-3" w:firstLine="3"/>
              <w:rPr>
                <w:color w:val="000000"/>
                <w:sz w:val="20"/>
                <w:szCs w:val="20"/>
              </w:rPr>
            </w:pPr>
            <w:r w:rsidRPr="00396DEC">
              <w:rPr>
                <w:color w:val="000000"/>
                <w:sz w:val="20"/>
                <w:szCs w:val="20"/>
              </w:rPr>
              <w:t>-0.004***</w:t>
            </w:r>
          </w:p>
        </w:tc>
        <w:tc>
          <w:tcPr>
            <w:tcW w:w="1350" w:type="dxa"/>
            <w:vAlign w:val="center"/>
          </w:tcPr>
          <w:p w:rsidR="00BF1A3B" w:rsidRPr="00396DEC" w:rsidRDefault="00BF1A3B" w:rsidP="00BF1A3B">
            <w:pPr>
              <w:widowControl w:val="0"/>
              <w:tabs>
                <w:tab w:val="decimal" w:pos="538"/>
              </w:tabs>
              <w:autoSpaceDE w:val="0"/>
              <w:autoSpaceDN w:val="0"/>
              <w:adjustRightInd w:val="0"/>
              <w:ind w:left="-136" w:right="-108" w:firstLine="136"/>
              <w:rPr>
                <w:sz w:val="20"/>
                <w:szCs w:val="20"/>
              </w:rPr>
            </w:pPr>
          </w:p>
        </w:tc>
      </w:tr>
      <w:tr w:rsidR="00BF1A3B" w:rsidRPr="00A65481" w:rsidTr="00BF1A3B">
        <w:trPr>
          <w:trHeight w:val="432"/>
        </w:trPr>
        <w:tc>
          <w:tcPr>
            <w:tcW w:w="3330" w:type="dxa"/>
            <w:vAlign w:val="center"/>
          </w:tcPr>
          <w:p w:rsidR="00BF1A3B" w:rsidRPr="00A65481" w:rsidRDefault="00BF1A3B" w:rsidP="00BF1A3B">
            <w:pPr>
              <w:widowControl w:val="0"/>
              <w:autoSpaceDE w:val="0"/>
              <w:autoSpaceDN w:val="0"/>
              <w:adjustRightInd w:val="0"/>
              <w:ind w:left="270" w:hanging="270"/>
              <w:rPr>
                <w:i/>
                <w:sz w:val="20"/>
                <w:szCs w:val="20"/>
              </w:rPr>
            </w:pPr>
            <w:r>
              <w:rPr>
                <w:i/>
                <w:iCs/>
                <w:sz w:val="20"/>
                <w:szCs w:val="20"/>
              </w:rPr>
              <w:t>District Percent</w:t>
            </w:r>
            <w:r w:rsidRPr="00A65481">
              <w:rPr>
                <w:i/>
                <w:iCs/>
                <w:sz w:val="20"/>
                <w:szCs w:val="20"/>
              </w:rPr>
              <w:t xml:space="preserve"> Students eligible for FRPL (log</w:t>
            </w:r>
            <w:r w:rsidRPr="00A65481">
              <w:rPr>
                <w:i/>
                <w:iCs/>
                <w:sz w:val="20"/>
                <w:szCs w:val="20"/>
                <w:vertAlign w:val="subscript"/>
              </w:rPr>
              <w:t>2</w:t>
            </w:r>
            <w:r w:rsidRPr="00A65481">
              <w:rPr>
                <w:i/>
                <w:iCs/>
                <w:sz w:val="20"/>
                <w:szCs w:val="20"/>
              </w:rPr>
              <w:t>)</w:t>
            </w:r>
          </w:p>
        </w:tc>
        <w:tc>
          <w:tcPr>
            <w:tcW w:w="1350" w:type="dxa"/>
            <w:vAlign w:val="center"/>
          </w:tcPr>
          <w:p w:rsidR="00BF1A3B" w:rsidRPr="00A65481" w:rsidRDefault="00BF1A3B" w:rsidP="00BF1A3B">
            <w:pPr>
              <w:widowControl w:val="0"/>
              <w:tabs>
                <w:tab w:val="decimal" w:pos="538"/>
              </w:tabs>
              <w:autoSpaceDE w:val="0"/>
              <w:autoSpaceDN w:val="0"/>
              <w:adjustRightInd w:val="0"/>
              <w:ind w:left="-144" w:right="-101"/>
              <w:rPr>
                <w:sz w:val="20"/>
                <w:szCs w:val="20"/>
              </w:rPr>
            </w:pPr>
          </w:p>
        </w:tc>
        <w:tc>
          <w:tcPr>
            <w:tcW w:w="1350" w:type="dxa"/>
            <w:vAlign w:val="center"/>
          </w:tcPr>
          <w:p w:rsidR="00BF1A3B" w:rsidRPr="00A65481" w:rsidRDefault="00BF1A3B" w:rsidP="00BF1A3B">
            <w:pPr>
              <w:widowControl w:val="0"/>
              <w:tabs>
                <w:tab w:val="decimal" w:pos="538"/>
              </w:tabs>
              <w:autoSpaceDE w:val="0"/>
              <w:autoSpaceDN w:val="0"/>
              <w:adjustRightInd w:val="0"/>
              <w:ind w:left="-97" w:right="-148"/>
              <w:rPr>
                <w:sz w:val="20"/>
                <w:szCs w:val="20"/>
              </w:rPr>
            </w:pPr>
          </w:p>
        </w:tc>
        <w:tc>
          <w:tcPr>
            <w:tcW w:w="1350" w:type="dxa"/>
            <w:vAlign w:val="center"/>
          </w:tcPr>
          <w:p w:rsidR="00BF1A3B" w:rsidRPr="0092607D" w:rsidRDefault="00BF1A3B" w:rsidP="00BF1A3B">
            <w:pPr>
              <w:widowControl w:val="0"/>
              <w:tabs>
                <w:tab w:val="decimal" w:pos="400"/>
              </w:tabs>
              <w:autoSpaceDE w:val="0"/>
              <w:autoSpaceDN w:val="0"/>
              <w:adjustRightInd w:val="0"/>
              <w:ind w:left="-140" w:right="-105"/>
              <w:rPr>
                <w:color w:val="000000"/>
                <w:sz w:val="20"/>
                <w:szCs w:val="20"/>
              </w:rPr>
            </w:pPr>
            <w:r w:rsidRPr="00A65481">
              <w:rPr>
                <w:color w:val="000000"/>
                <w:sz w:val="20"/>
                <w:szCs w:val="20"/>
              </w:rPr>
              <w:t>-0.08</w:t>
            </w:r>
          </w:p>
        </w:tc>
        <w:tc>
          <w:tcPr>
            <w:tcW w:w="1350" w:type="dxa"/>
            <w:vAlign w:val="center"/>
          </w:tcPr>
          <w:p w:rsidR="00BF1A3B" w:rsidRPr="0092607D" w:rsidRDefault="00BF1A3B" w:rsidP="00BF1A3B">
            <w:pPr>
              <w:widowControl w:val="0"/>
              <w:tabs>
                <w:tab w:val="decimal" w:pos="369"/>
              </w:tabs>
              <w:autoSpaceDE w:val="0"/>
              <w:autoSpaceDN w:val="0"/>
              <w:adjustRightInd w:val="0"/>
              <w:ind w:left="-3" w:firstLine="3"/>
              <w:rPr>
                <w:color w:val="000000"/>
                <w:sz w:val="20"/>
                <w:szCs w:val="20"/>
              </w:rPr>
            </w:pPr>
            <w:r w:rsidRPr="00A65481">
              <w:rPr>
                <w:color w:val="000000"/>
                <w:sz w:val="20"/>
                <w:szCs w:val="20"/>
              </w:rPr>
              <w:t>-0.07*</w:t>
            </w:r>
          </w:p>
        </w:tc>
        <w:tc>
          <w:tcPr>
            <w:tcW w:w="1350" w:type="dxa"/>
            <w:vAlign w:val="center"/>
          </w:tcPr>
          <w:p w:rsidR="00BF1A3B" w:rsidRPr="0092607D" w:rsidRDefault="00BF1A3B" w:rsidP="00BF1A3B">
            <w:pPr>
              <w:widowControl w:val="0"/>
              <w:tabs>
                <w:tab w:val="decimal" w:pos="538"/>
              </w:tabs>
              <w:autoSpaceDE w:val="0"/>
              <w:autoSpaceDN w:val="0"/>
              <w:adjustRightInd w:val="0"/>
              <w:ind w:left="-136" w:right="-108" w:firstLine="136"/>
              <w:rPr>
                <w:sz w:val="20"/>
                <w:szCs w:val="20"/>
              </w:rPr>
            </w:pPr>
            <w:r w:rsidRPr="00A65481">
              <w:rPr>
                <w:sz w:val="20"/>
                <w:szCs w:val="20"/>
              </w:rPr>
              <w:t>-0.04~</w:t>
            </w:r>
          </w:p>
        </w:tc>
      </w:tr>
      <w:tr w:rsidR="00BF1A3B" w:rsidRPr="00A65481" w:rsidTr="00BF1A3B">
        <w:trPr>
          <w:trHeight w:val="432"/>
        </w:trPr>
        <w:tc>
          <w:tcPr>
            <w:tcW w:w="3330" w:type="dxa"/>
            <w:vAlign w:val="center"/>
          </w:tcPr>
          <w:p w:rsidR="00BF1A3B" w:rsidRPr="00A65481" w:rsidRDefault="00BF1A3B" w:rsidP="00BF1A3B">
            <w:pPr>
              <w:widowControl w:val="0"/>
              <w:autoSpaceDE w:val="0"/>
              <w:autoSpaceDN w:val="0"/>
              <w:adjustRightInd w:val="0"/>
              <w:ind w:left="270" w:hanging="270"/>
              <w:rPr>
                <w:i/>
                <w:sz w:val="20"/>
                <w:szCs w:val="20"/>
              </w:rPr>
            </w:pPr>
            <w:r w:rsidRPr="00A65481">
              <w:rPr>
                <w:i/>
                <w:sz w:val="20"/>
                <w:szCs w:val="20"/>
              </w:rPr>
              <w:t>District is ‘Rural’</w:t>
            </w:r>
          </w:p>
        </w:tc>
        <w:tc>
          <w:tcPr>
            <w:tcW w:w="1350" w:type="dxa"/>
            <w:vAlign w:val="center"/>
          </w:tcPr>
          <w:p w:rsidR="00BF1A3B" w:rsidRPr="00A65481" w:rsidRDefault="00BF1A3B" w:rsidP="00BF1A3B">
            <w:pPr>
              <w:widowControl w:val="0"/>
              <w:tabs>
                <w:tab w:val="decimal" w:pos="538"/>
              </w:tabs>
              <w:autoSpaceDE w:val="0"/>
              <w:autoSpaceDN w:val="0"/>
              <w:adjustRightInd w:val="0"/>
              <w:ind w:left="-144" w:right="-101"/>
              <w:rPr>
                <w:sz w:val="20"/>
                <w:szCs w:val="20"/>
              </w:rPr>
            </w:pPr>
          </w:p>
        </w:tc>
        <w:tc>
          <w:tcPr>
            <w:tcW w:w="1350" w:type="dxa"/>
            <w:vAlign w:val="center"/>
          </w:tcPr>
          <w:p w:rsidR="00BF1A3B" w:rsidRPr="00A65481" w:rsidRDefault="00BF1A3B" w:rsidP="00BF1A3B">
            <w:pPr>
              <w:widowControl w:val="0"/>
              <w:tabs>
                <w:tab w:val="decimal" w:pos="538"/>
              </w:tabs>
              <w:autoSpaceDE w:val="0"/>
              <w:autoSpaceDN w:val="0"/>
              <w:adjustRightInd w:val="0"/>
              <w:ind w:left="-97" w:right="-148"/>
              <w:rPr>
                <w:sz w:val="20"/>
                <w:szCs w:val="20"/>
              </w:rPr>
            </w:pPr>
          </w:p>
        </w:tc>
        <w:tc>
          <w:tcPr>
            <w:tcW w:w="1350" w:type="dxa"/>
            <w:vAlign w:val="center"/>
          </w:tcPr>
          <w:p w:rsidR="00BF1A3B" w:rsidRPr="0092607D" w:rsidRDefault="00BF1A3B" w:rsidP="00BF1A3B">
            <w:pPr>
              <w:widowControl w:val="0"/>
              <w:tabs>
                <w:tab w:val="decimal" w:pos="400"/>
              </w:tabs>
              <w:autoSpaceDE w:val="0"/>
              <w:autoSpaceDN w:val="0"/>
              <w:adjustRightInd w:val="0"/>
              <w:ind w:left="-140" w:right="-105"/>
              <w:rPr>
                <w:color w:val="000000"/>
                <w:sz w:val="20"/>
                <w:szCs w:val="20"/>
              </w:rPr>
            </w:pPr>
            <w:r w:rsidRPr="00A65481">
              <w:rPr>
                <w:color w:val="000000"/>
                <w:sz w:val="20"/>
                <w:szCs w:val="20"/>
              </w:rPr>
              <w:t>0.12~</w:t>
            </w:r>
          </w:p>
        </w:tc>
        <w:tc>
          <w:tcPr>
            <w:tcW w:w="1350" w:type="dxa"/>
            <w:vAlign w:val="center"/>
          </w:tcPr>
          <w:p w:rsidR="00BF1A3B" w:rsidRPr="00A65481" w:rsidRDefault="00BF1A3B" w:rsidP="00BF1A3B">
            <w:pPr>
              <w:widowControl w:val="0"/>
              <w:tabs>
                <w:tab w:val="decimal" w:pos="369"/>
              </w:tabs>
              <w:autoSpaceDE w:val="0"/>
              <w:autoSpaceDN w:val="0"/>
              <w:adjustRightInd w:val="0"/>
              <w:ind w:left="-3" w:firstLine="3"/>
              <w:rPr>
                <w:sz w:val="20"/>
                <w:szCs w:val="20"/>
              </w:rPr>
            </w:pPr>
          </w:p>
        </w:tc>
        <w:tc>
          <w:tcPr>
            <w:tcW w:w="1350" w:type="dxa"/>
            <w:vAlign w:val="center"/>
          </w:tcPr>
          <w:p w:rsidR="00BF1A3B" w:rsidRPr="00A65481" w:rsidRDefault="00BF1A3B" w:rsidP="00BF1A3B">
            <w:pPr>
              <w:widowControl w:val="0"/>
              <w:tabs>
                <w:tab w:val="decimal" w:pos="538"/>
              </w:tabs>
              <w:autoSpaceDE w:val="0"/>
              <w:autoSpaceDN w:val="0"/>
              <w:adjustRightInd w:val="0"/>
              <w:ind w:left="-136" w:right="-108" w:firstLine="136"/>
              <w:rPr>
                <w:sz w:val="20"/>
                <w:szCs w:val="20"/>
              </w:rPr>
            </w:pPr>
          </w:p>
        </w:tc>
      </w:tr>
      <w:tr w:rsidR="00BF1A3B" w:rsidRPr="00A65481" w:rsidTr="00BF1A3B">
        <w:trPr>
          <w:trHeight w:val="432"/>
        </w:trPr>
        <w:tc>
          <w:tcPr>
            <w:tcW w:w="3330" w:type="dxa"/>
            <w:vAlign w:val="center"/>
          </w:tcPr>
          <w:p w:rsidR="00BF1A3B" w:rsidRPr="00A65481" w:rsidRDefault="00BF1A3B" w:rsidP="00BF1A3B">
            <w:pPr>
              <w:widowControl w:val="0"/>
              <w:autoSpaceDE w:val="0"/>
              <w:autoSpaceDN w:val="0"/>
              <w:adjustRightInd w:val="0"/>
              <w:ind w:left="270" w:hanging="270"/>
              <w:rPr>
                <w:i/>
                <w:sz w:val="20"/>
                <w:szCs w:val="20"/>
              </w:rPr>
            </w:pPr>
            <w:r w:rsidRPr="00A65481">
              <w:rPr>
                <w:i/>
                <w:sz w:val="20"/>
                <w:szCs w:val="20"/>
              </w:rPr>
              <w:t>District is ‘Town’</w:t>
            </w:r>
          </w:p>
        </w:tc>
        <w:tc>
          <w:tcPr>
            <w:tcW w:w="1350" w:type="dxa"/>
            <w:vAlign w:val="center"/>
          </w:tcPr>
          <w:p w:rsidR="00BF1A3B" w:rsidRPr="00A65481" w:rsidRDefault="00BF1A3B" w:rsidP="00BF1A3B">
            <w:pPr>
              <w:widowControl w:val="0"/>
              <w:tabs>
                <w:tab w:val="decimal" w:pos="538"/>
              </w:tabs>
              <w:autoSpaceDE w:val="0"/>
              <w:autoSpaceDN w:val="0"/>
              <w:adjustRightInd w:val="0"/>
              <w:ind w:left="-144" w:right="-101"/>
              <w:rPr>
                <w:sz w:val="20"/>
                <w:szCs w:val="20"/>
              </w:rPr>
            </w:pPr>
          </w:p>
        </w:tc>
        <w:tc>
          <w:tcPr>
            <w:tcW w:w="1350" w:type="dxa"/>
            <w:vAlign w:val="center"/>
          </w:tcPr>
          <w:p w:rsidR="00BF1A3B" w:rsidRPr="00A65481" w:rsidRDefault="00BF1A3B" w:rsidP="00BF1A3B">
            <w:pPr>
              <w:widowControl w:val="0"/>
              <w:tabs>
                <w:tab w:val="decimal" w:pos="538"/>
              </w:tabs>
              <w:autoSpaceDE w:val="0"/>
              <w:autoSpaceDN w:val="0"/>
              <w:adjustRightInd w:val="0"/>
              <w:ind w:left="-97" w:right="-148"/>
              <w:rPr>
                <w:sz w:val="20"/>
                <w:szCs w:val="20"/>
              </w:rPr>
            </w:pPr>
          </w:p>
        </w:tc>
        <w:tc>
          <w:tcPr>
            <w:tcW w:w="1350" w:type="dxa"/>
            <w:vAlign w:val="center"/>
          </w:tcPr>
          <w:p w:rsidR="00BF1A3B" w:rsidRPr="0092607D" w:rsidRDefault="00BF1A3B" w:rsidP="00BF1A3B">
            <w:pPr>
              <w:widowControl w:val="0"/>
              <w:tabs>
                <w:tab w:val="decimal" w:pos="400"/>
              </w:tabs>
              <w:autoSpaceDE w:val="0"/>
              <w:autoSpaceDN w:val="0"/>
              <w:adjustRightInd w:val="0"/>
              <w:ind w:left="-140" w:right="-105"/>
              <w:rPr>
                <w:color w:val="000000"/>
                <w:sz w:val="20"/>
                <w:szCs w:val="20"/>
              </w:rPr>
            </w:pPr>
            <w:r w:rsidRPr="00A65481">
              <w:rPr>
                <w:color w:val="000000"/>
                <w:sz w:val="20"/>
                <w:szCs w:val="20"/>
              </w:rPr>
              <w:t>0.15</w:t>
            </w:r>
          </w:p>
        </w:tc>
        <w:tc>
          <w:tcPr>
            <w:tcW w:w="1350" w:type="dxa"/>
            <w:vAlign w:val="center"/>
          </w:tcPr>
          <w:p w:rsidR="00BF1A3B" w:rsidRPr="00A65481" w:rsidRDefault="00BF1A3B" w:rsidP="00BF1A3B">
            <w:pPr>
              <w:widowControl w:val="0"/>
              <w:tabs>
                <w:tab w:val="decimal" w:pos="369"/>
              </w:tabs>
              <w:autoSpaceDE w:val="0"/>
              <w:autoSpaceDN w:val="0"/>
              <w:adjustRightInd w:val="0"/>
              <w:ind w:left="-3" w:firstLine="3"/>
              <w:rPr>
                <w:sz w:val="20"/>
                <w:szCs w:val="20"/>
              </w:rPr>
            </w:pPr>
          </w:p>
        </w:tc>
        <w:tc>
          <w:tcPr>
            <w:tcW w:w="1350" w:type="dxa"/>
            <w:vAlign w:val="center"/>
          </w:tcPr>
          <w:p w:rsidR="00BF1A3B" w:rsidRPr="00A65481" w:rsidRDefault="00BF1A3B" w:rsidP="00BF1A3B">
            <w:pPr>
              <w:widowControl w:val="0"/>
              <w:tabs>
                <w:tab w:val="decimal" w:pos="538"/>
              </w:tabs>
              <w:autoSpaceDE w:val="0"/>
              <w:autoSpaceDN w:val="0"/>
              <w:adjustRightInd w:val="0"/>
              <w:ind w:left="-136" w:right="-108" w:firstLine="136"/>
              <w:rPr>
                <w:sz w:val="20"/>
                <w:szCs w:val="20"/>
              </w:rPr>
            </w:pPr>
          </w:p>
        </w:tc>
      </w:tr>
      <w:tr w:rsidR="00BF1A3B" w:rsidRPr="00A65481" w:rsidTr="00BF1A3B">
        <w:trPr>
          <w:trHeight w:val="432"/>
        </w:trPr>
        <w:tc>
          <w:tcPr>
            <w:tcW w:w="3330" w:type="dxa"/>
            <w:vAlign w:val="center"/>
          </w:tcPr>
          <w:p w:rsidR="00BF1A3B" w:rsidRPr="00A65481" w:rsidRDefault="00BF1A3B" w:rsidP="00BF1A3B">
            <w:pPr>
              <w:widowControl w:val="0"/>
              <w:autoSpaceDE w:val="0"/>
              <w:autoSpaceDN w:val="0"/>
              <w:adjustRightInd w:val="0"/>
              <w:ind w:left="270" w:hanging="270"/>
              <w:rPr>
                <w:i/>
                <w:sz w:val="20"/>
                <w:szCs w:val="20"/>
              </w:rPr>
            </w:pPr>
            <w:r w:rsidRPr="00A65481">
              <w:rPr>
                <w:i/>
                <w:sz w:val="20"/>
                <w:szCs w:val="20"/>
              </w:rPr>
              <w:t>District is ‘City’</w:t>
            </w:r>
          </w:p>
        </w:tc>
        <w:tc>
          <w:tcPr>
            <w:tcW w:w="1350" w:type="dxa"/>
            <w:vAlign w:val="center"/>
          </w:tcPr>
          <w:p w:rsidR="00BF1A3B" w:rsidRPr="00A65481" w:rsidRDefault="00BF1A3B" w:rsidP="00BF1A3B">
            <w:pPr>
              <w:widowControl w:val="0"/>
              <w:tabs>
                <w:tab w:val="decimal" w:pos="538"/>
              </w:tabs>
              <w:autoSpaceDE w:val="0"/>
              <w:autoSpaceDN w:val="0"/>
              <w:adjustRightInd w:val="0"/>
              <w:ind w:left="-144" w:right="-101"/>
              <w:rPr>
                <w:sz w:val="20"/>
                <w:szCs w:val="20"/>
              </w:rPr>
            </w:pPr>
          </w:p>
        </w:tc>
        <w:tc>
          <w:tcPr>
            <w:tcW w:w="1350" w:type="dxa"/>
            <w:vAlign w:val="center"/>
          </w:tcPr>
          <w:p w:rsidR="00BF1A3B" w:rsidRPr="00A65481" w:rsidRDefault="00BF1A3B" w:rsidP="00BF1A3B">
            <w:pPr>
              <w:widowControl w:val="0"/>
              <w:tabs>
                <w:tab w:val="decimal" w:pos="538"/>
              </w:tabs>
              <w:autoSpaceDE w:val="0"/>
              <w:autoSpaceDN w:val="0"/>
              <w:adjustRightInd w:val="0"/>
              <w:ind w:left="-97" w:right="-148"/>
              <w:rPr>
                <w:sz w:val="20"/>
                <w:szCs w:val="20"/>
              </w:rPr>
            </w:pPr>
          </w:p>
        </w:tc>
        <w:tc>
          <w:tcPr>
            <w:tcW w:w="1350" w:type="dxa"/>
            <w:vAlign w:val="center"/>
          </w:tcPr>
          <w:p w:rsidR="00BF1A3B" w:rsidRPr="0092607D" w:rsidRDefault="00BF1A3B" w:rsidP="00BF1A3B">
            <w:pPr>
              <w:widowControl w:val="0"/>
              <w:tabs>
                <w:tab w:val="decimal" w:pos="400"/>
              </w:tabs>
              <w:autoSpaceDE w:val="0"/>
              <w:autoSpaceDN w:val="0"/>
              <w:adjustRightInd w:val="0"/>
              <w:ind w:left="-140" w:right="-105"/>
              <w:rPr>
                <w:color w:val="000000"/>
                <w:sz w:val="20"/>
                <w:szCs w:val="20"/>
              </w:rPr>
            </w:pPr>
            <w:r w:rsidRPr="00A65481">
              <w:rPr>
                <w:color w:val="000000"/>
                <w:sz w:val="20"/>
                <w:szCs w:val="20"/>
              </w:rPr>
              <w:t>0.17</w:t>
            </w:r>
          </w:p>
        </w:tc>
        <w:tc>
          <w:tcPr>
            <w:tcW w:w="1350" w:type="dxa"/>
            <w:vAlign w:val="center"/>
          </w:tcPr>
          <w:p w:rsidR="00BF1A3B" w:rsidRPr="00A65481" w:rsidRDefault="00BF1A3B" w:rsidP="00BF1A3B">
            <w:pPr>
              <w:widowControl w:val="0"/>
              <w:tabs>
                <w:tab w:val="decimal" w:pos="369"/>
              </w:tabs>
              <w:autoSpaceDE w:val="0"/>
              <w:autoSpaceDN w:val="0"/>
              <w:adjustRightInd w:val="0"/>
              <w:ind w:left="-3" w:firstLine="3"/>
              <w:rPr>
                <w:sz w:val="20"/>
                <w:szCs w:val="20"/>
              </w:rPr>
            </w:pPr>
          </w:p>
        </w:tc>
        <w:tc>
          <w:tcPr>
            <w:tcW w:w="1350" w:type="dxa"/>
            <w:vAlign w:val="center"/>
          </w:tcPr>
          <w:p w:rsidR="00BF1A3B" w:rsidRPr="00A65481" w:rsidRDefault="00BF1A3B" w:rsidP="00BF1A3B">
            <w:pPr>
              <w:widowControl w:val="0"/>
              <w:tabs>
                <w:tab w:val="decimal" w:pos="538"/>
              </w:tabs>
              <w:autoSpaceDE w:val="0"/>
              <w:autoSpaceDN w:val="0"/>
              <w:adjustRightInd w:val="0"/>
              <w:ind w:left="-136" w:right="-108" w:firstLine="136"/>
              <w:rPr>
                <w:sz w:val="20"/>
                <w:szCs w:val="20"/>
              </w:rPr>
            </w:pPr>
          </w:p>
        </w:tc>
      </w:tr>
      <w:tr w:rsidR="00BF1A3B" w:rsidRPr="00A65481" w:rsidTr="00BF1A3B">
        <w:trPr>
          <w:trHeight w:val="432"/>
        </w:trPr>
        <w:tc>
          <w:tcPr>
            <w:tcW w:w="3330" w:type="dxa"/>
            <w:vAlign w:val="center"/>
          </w:tcPr>
          <w:p w:rsidR="00BF1A3B" w:rsidRPr="00A65481" w:rsidRDefault="00BF1A3B" w:rsidP="00BF1A3B">
            <w:pPr>
              <w:widowControl w:val="0"/>
              <w:autoSpaceDE w:val="0"/>
              <w:autoSpaceDN w:val="0"/>
              <w:adjustRightInd w:val="0"/>
              <w:ind w:left="270" w:hanging="270"/>
              <w:rPr>
                <w:i/>
                <w:sz w:val="20"/>
                <w:szCs w:val="20"/>
              </w:rPr>
            </w:pPr>
            <w:r w:rsidRPr="00A65481">
              <w:rPr>
                <w:i/>
                <w:iCs/>
                <w:sz w:val="20"/>
                <w:szCs w:val="20"/>
              </w:rPr>
              <w:t>District Participates in METCO Program</w:t>
            </w:r>
          </w:p>
        </w:tc>
        <w:tc>
          <w:tcPr>
            <w:tcW w:w="1350" w:type="dxa"/>
            <w:vAlign w:val="center"/>
          </w:tcPr>
          <w:p w:rsidR="00BF1A3B" w:rsidRPr="00A65481" w:rsidRDefault="00BF1A3B" w:rsidP="00BF1A3B">
            <w:pPr>
              <w:widowControl w:val="0"/>
              <w:tabs>
                <w:tab w:val="decimal" w:pos="538"/>
              </w:tabs>
              <w:autoSpaceDE w:val="0"/>
              <w:autoSpaceDN w:val="0"/>
              <w:adjustRightInd w:val="0"/>
              <w:ind w:left="-144" w:right="-101"/>
              <w:rPr>
                <w:sz w:val="20"/>
                <w:szCs w:val="20"/>
              </w:rPr>
            </w:pPr>
          </w:p>
        </w:tc>
        <w:tc>
          <w:tcPr>
            <w:tcW w:w="1350" w:type="dxa"/>
            <w:vAlign w:val="center"/>
          </w:tcPr>
          <w:p w:rsidR="00BF1A3B" w:rsidRPr="00A65481" w:rsidRDefault="00BF1A3B" w:rsidP="00BF1A3B">
            <w:pPr>
              <w:widowControl w:val="0"/>
              <w:tabs>
                <w:tab w:val="decimal" w:pos="538"/>
              </w:tabs>
              <w:autoSpaceDE w:val="0"/>
              <w:autoSpaceDN w:val="0"/>
              <w:adjustRightInd w:val="0"/>
              <w:ind w:left="-97" w:right="-148"/>
              <w:rPr>
                <w:sz w:val="20"/>
                <w:szCs w:val="20"/>
              </w:rPr>
            </w:pPr>
          </w:p>
        </w:tc>
        <w:tc>
          <w:tcPr>
            <w:tcW w:w="1350" w:type="dxa"/>
            <w:vAlign w:val="center"/>
          </w:tcPr>
          <w:p w:rsidR="00BF1A3B" w:rsidRPr="00A65481" w:rsidRDefault="00BF1A3B" w:rsidP="00BF1A3B">
            <w:pPr>
              <w:widowControl w:val="0"/>
              <w:tabs>
                <w:tab w:val="decimal" w:pos="400"/>
              </w:tabs>
              <w:autoSpaceDE w:val="0"/>
              <w:autoSpaceDN w:val="0"/>
              <w:adjustRightInd w:val="0"/>
              <w:ind w:left="-140" w:right="-105"/>
              <w:rPr>
                <w:sz w:val="20"/>
                <w:szCs w:val="20"/>
              </w:rPr>
            </w:pPr>
          </w:p>
        </w:tc>
        <w:tc>
          <w:tcPr>
            <w:tcW w:w="1350" w:type="dxa"/>
            <w:vAlign w:val="center"/>
          </w:tcPr>
          <w:p w:rsidR="00BF1A3B" w:rsidRPr="0092607D" w:rsidRDefault="00BF1A3B" w:rsidP="00BF1A3B">
            <w:pPr>
              <w:widowControl w:val="0"/>
              <w:tabs>
                <w:tab w:val="decimal" w:pos="369"/>
              </w:tabs>
              <w:autoSpaceDE w:val="0"/>
              <w:autoSpaceDN w:val="0"/>
              <w:adjustRightInd w:val="0"/>
              <w:ind w:left="-3" w:firstLine="3"/>
              <w:rPr>
                <w:color w:val="000000"/>
                <w:sz w:val="20"/>
                <w:szCs w:val="20"/>
              </w:rPr>
            </w:pPr>
            <w:r w:rsidRPr="00A65481">
              <w:rPr>
                <w:color w:val="000000"/>
                <w:sz w:val="20"/>
                <w:szCs w:val="20"/>
              </w:rPr>
              <w:t>0.08</w:t>
            </w:r>
          </w:p>
        </w:tc>
        <w:tc>
          <w:tcPr>
            <w:tcW w:w="1350" w:type="dxa"/>
            <w:vAlign w:val="center"/>
          </w:tcPr>
          <w:p w:rsidR="00BF1A3B" w:rsidRPr="0092607D" w:rsidRDefault="00BF1A3B" w:rsidP="00BF1A3B">
            <w:pPr>
              <w:widowControl w:val="0"/>
              <w:tabs>
                <w:tab w:val="decimal" w:pos="538"/>
              </w:tabs>
              <w:autoSpaceDE w:val="0"/>
              <w:autoSpaceDN w:val="0"/>
              <w:adjustRightInd w:val="0"/>
              <w:ind w:left="-136" w:right="-108" w:firstLine="136"/>
              <w:rPr>
                <w:color w:val="000000"/>
                <w:sz w:val="20"/>
                <w:szCs w:val="20"/>
              </w:rPr>
            </w:pPr>
            <w:r w:rsidRPr="00A65481">
              <w:rPr>
                <w:color w:val="000000"/>
                <w:sz w:val="20"/>
                <w:szCs w:val="20"/>
              </w:rPr>
              <w:t>0.09</w:t>
            </w:r>
          </w:p>
        </w:tc>
      </w:tr>
      <w:tr w:rsidR="00BF1A3B" w:rsidRPr="00A65481" w:rsidTr="00BF1A3B">
        <w:trPr>
          <w:trHeight w:val="432"/>
        </w:trPr>
        <w:tc>
          <w:tcPr>
            <w:tcW w:w="3330" w:type="dxa"/>
            <w:vAlign w:val="center"/>
          </w:tcPr>
          <w:p w:rsidR="00BF1A3B" w:rsidRPr="00A65481" w:rsidRDefault="00BF1A3B" w:rsidP="00BF1A3B">
            <w:pPr>
              <w:widowControl w:val="0"/>
              <w:tabs>
                <w:tab w:val="decimal" w:pos="538"/>
              </w:tabs>
              <w:autoSpaceDE w:val="0"/>
              <w:autoSpaceDN w:val="0"/>
              <w:adjustRightInd w:val="0"/>
              <w:ind w:left="270" w:hanging="270"/>
              <w:rPr>
                <w:i/>
                <w:sz w:val="20"/>
                <w:szCs w:val="20"/>
              </w:rPr>
            </w:pPr>
            <w:r w:rsidRPr="00937419">
              <w:rPr>
                <w:sz w:val="20"/>
                <w:szCs w:val="20"/>
              </w:rPr>
              <w:t xml:space="preserve">Interaction: </w:t>
            </w:r>
            <w:r w:rsidRPr="00A65481">
              <w:rPr>
                <w:i/>
                <w:sz w:val="20"/>
                <w:szCs w:val="20"/>
              </w:rPr>
              <w:t xml:space="preserve">Child Eligible for FRPL x District % FRPL </w:t>
            </w:r>
            <w:r w:rsidRPr="00A65481">
              <w:rPr>
                <w:i/>
                <w:iCs/>
                <w:sz w:val="20"/>
                <w:szCs w:val="20"/>
              </w:rPr>
              <w:t>(log</w:t>
            </w:r>
            <w:r w:rsidRPr="00A65481">
              <w:rPr>
                <w:i/>
                <w:iCs/>
                <w:sz w:val="20"/>
                <w:szCs w:val="20"/>
                <w:vertAlign w:val="subscript"/>
              </w:rPr>
              <w:t>2</w:t>
            </w:r>
            <w:r w:rsidRPr="00A65481">
              <w:rPr>
                <w:i/>
                <w:iCs/>
                <w:sz w:val="20"/>
                <w:szCs w:val="20"/>
              </w:rPr>
              <w:t>)</w:t>
            </w:r>
          </w:p>
        </w:tc>
        <w:tc>
          <w:tcPr>
            <w:tcW w:w="1350" w:type="dxa"/>
            <w:vAlign w:val="center"/>
          </w:tcPr>
          <w:p w:rsidR="00BF1A3B" w:rsidRPr="00A65481" w:rsidRDefault="00BF1A3B" w:rsidP="00BF1A3B">
            <w:pPr>
              <w:widowControl w:val="0"/>
              <w:tabs>
                <w:tab w:val="decimal" w:pos="538"/>
              </w:tabs>
              <w:autoSpaceDE w:val="0"/>
              <w:autoSpaceDN w:val="0"/>
              <w:adjustRightInd w:val="0"/>
              <w:ind w:left="-144" w:right="-101"/>
              <w:rPr>
                <w:sz w:val="20"/>
                <w:szCs w:val="20"/>
              </w:rPr>
            </w:pPr>
          </w:p>
        </w:tc>
        <w:tc>
          <w:tcPr>
            <w:tcW w:w="1350" w:type="dxa"/>
            <w:vAlign w:val="center"/>
          </w:tcPr>
          <w:p w:rsidR="00BF1A3B" w:rsidRPr="00A65481" w:rsidRDefault="00BF1A3B" w:rsidP="00BF1A3B">
            <w:pPr>
              <w:widowControl w:val="0"/>
              <w:tabs>
                <w:tab w:val="decimal" w:pos="538"/>
              </w:tabs>
              <w:autoSpaceDE w:val="0"/>
              <w:autoSpaceDN w:val="0"/>
              <w:adjustRightInd w:val="0"/>
              <w:ind w:left="-97" w:right="-148"/>
              <w:rPr>
                <w:sz w:val="20"/>
                <w:szCs w:val="20"/>
              </w:rPr>
            </w:pPr>
          </w:p>
        </w:tc>
        <w:tc>
          <w:tcPr>
            <w:tcW w:w="1350" w:type="dxa"/>
            <w:vAlign w:val="center"/>
          </w:tcPr>
          <w:p w:rsidR="00BF1A3B" w:rsidRPr="00A65481" w:rsidRDefault="00BF1A3B" w:rsidP="00BF1A3B">
            <w:pPr>
              <w:widowControl w:val="0"/>
              <w:tabs>
                <w:tab w:val="decimal" w:pos="538"/>
              </w:tabs>
              <w:autoSpaceDE w:val="0"/>
              <w:autoSpaceDN w:val="0"/>
              <w:adjustRightInd w:val="0"/>
              <w:ind w:left="-140" w:right="-105"/>
              <w:rPr>
                <w:sz w:val="20"/>
                <w:szCs w:val="20"/>
              </w:rPr>
            </w:pPr>
          </w:p>
        </w:tc>
        <w:tc>
          <w:tcPr>
            <w:tcW w:w="1350" w:type="dxa"/>
            <w:vAlign w:val="center"/>
          </w:tcPr>
          <w:p w:rsidR="00BF1A3B" w:rsidRPr="0092607D" w:rsidRDefault="00BF1A3B" w:rsidP="00BF1A3B">
            <w:pPr>
              <w:widowControl w:val="0"/>
              <w:tabs>
                <w:tab w:val="decimal" w:pos="369"/>
              </w:tabs>
              <w:autoSpaceDE w:val="0"/>
              <w:autoSpaceDN w:val="0"/>
              <w:adjustRightInd w:val="0"/>
              <w:ind w:left="-3" w:firstLine="3"/>
              <w:rPr>
                <w:color w:val="000000"/>
                <w:sz w:val="20"/>
                <w:szCs w:val="20"/>
              </w:rPr>
            </w:pPr>
            <w:r w:rsidRPr="00A65481">
              <w:rPr>
                <w:color w:val="000000"/>
                <w:sz w:val="20"/>
                <w:szCs w:val="20"/>
              </w:rPr>
              <w:t>-0.10***</w:t>
            </w:r>
          </w:p>
        </w:tc>
        <w:tc>
          <w:tcPr>
            <w:tcW w:w="1350" w:type="dxa"/>
            <w:vAlign w:val="center"/>
          </w:tcPr>
          <w:p w:rsidR="00BF1A3B" w:rsidRPr="0092607D" w:rsidRDefault="00BF1A3B" w:rsidP="00BF1A3B">
            <w:pPr>
              <w:widowControl w:val="0"/>
              <w:tabs>
                <w:tab w:val="decimal" w:pos="538"/>
              </w:tabs>
              <w:autoSpaceDE w:val="0"/>
              <w:autoSpaceDN w:val="0"/>
              <w:adjustRightInd w:val="0"/>
              <w:ind w:left="-136" w:right="-108" w:firstLine="136"/>
              <w:rPr>
                <w:color w:val="000000"/>
                <w:sz w:val="20"/>
                <w:szCs w:val="20"/>
              </w:rPr>
            </w:pPr>
            <w:r w:rsidRPr="00A65481">
              <w:rPr>
                <w:color w:val="000000"/>
                <w:sz w:val="20"/>
                <w:szCs w:val="20"/>
              </w:rPr>
              <w:t>-0.09***</w:t>
            </w:r>
          </w:p>
        </w:tc>
      </w:tr>
      <w:tr w:rsidR="00BF1A3B" w:rsidRPr="00A65481" w:rsidTr="00BF1A3B">
        <w:trPr>
          <w:trHeight w:val="432"/>
        </w:trPr>
        <w:tc>
          <w:tcPr>
            <w:tcW w:w="3330" w:type="dxa"/>
            <w:vAlign w:val="center"/>
          </w:tcPr>
          <w:p w:rsidR="00BF1A3B" w:rsidRPr="00A65481" w:rsidRDefault="00BF1A3B" w:rsidP="00BF1A3B">
            <w:pPr>
              <w:widowControl w:val="0"/>
              <w:autoSpaceDE w:val="0"/>
              <w:autoSpaceDN w:val="0"/>
              <w:adjustRightInd w:val="0"/>
              <w:ind w:left="270" w:hanging="270"/>
              <w:rPr>
                <w:i/>
                <w:sz w:val="20"/>
                <w:szCs w:val="20"/>
              </w:rPr>
            </w:pPr>
            <w:r w:rsidRPr="00937419">
              <w:rPr>
                <w:sz w:val="20"/>
                <w:szCs w:val="20"/>
              </w:rPr>
              <w:t xml:space="preserve">Interaction: </w:t>
            </w:r>
            <w:r w:rsidRPr="00A65481">
              <w:rPr>
                <w:i/>
                <w:sz w:val="20"/>
                <w:szCs w:val="20"/>
              </w:rPr>
              <w:t>Child is Hispanic x District % White Students</w:t>
            </w:r>
          </w:p>
        </w:tc>
        <w:tc>
          <w:tcPr>
            <w:tcW w:w="1350" w:type="dxa"/>
            <w:vAlign w:val="center"/>
          </w:tcPr>
          <w:p w:rsidR="00BF1A3B" w:rsidRPr="00A65481" w:rsidRDefault="00BF1A3B" w:rsidP="00BF1A3B">
            <w:pPr>
              <w:widowControl w:val="0"/>
              <w:tabs>
                <w:tab w:val="decimal" w:pos="538"/>
              </w:tabs>
              <w:autoSpaceDE w:val="0"/>
              <w:autoSpaceDN w:val="0"/>
              <w:adjustRightInd w:val="0"/>
              <w:ind w:left="-144" w:right="-101"/>
              <w:rPr>
                <w:sz w:val="20"/>
                <w:szCs w:val="20"/>
              </w:rPr>
            </w:pPr>
          </w:p>
        </w:tc>
        <w:tc>
          <w:tcPr>
            <w:tcW w:w="1350" w:type="dxa"/>
            <w:vAlign w:val="center"/>
          </w:tcPr>
          <w:p w:rsidR="00BF1A3B" w:rsidRPr="00A65481" w:rsidRDefault="00BF1A3B" w:rsidP="00BF1A3B">
            <w:pPr>
              <w:widowControl w:val="0"/>
              <w:tabs>
                <w:tab w:val="decimal" w:pos="538"/>
              </w:tabs>
              <w:autoSpaceDE w:val="0"/>
              <w:autoSpaceDN w:val="0"/>
              <w:adjustRightInd w:val="0"/>
              <w:ind w:left="-97" w:right="-148"/>
              <w:rPr>
                <w:sz w:val="20"/>
                <w:szCs w:val="20"/>
              </w:rPr>
            </w:pPr>
          </w:p>
        </w:tc>
        <w:tc>
          <w:tcPr>
            <w:tcW w:w="1350" w:type="dxa"/>
            <w:vAlign w:val="center"/>
          </w:tcPr>
          <w:p w:rsidR="00BF1A3B" w:rsidRPr="00A65481" w:rsidRDefault="00BF1A3B" w:rsidP="00BF1A3B">
            <w:pPr>
              <w:widowControl w:val="0"/>
              <w:tabs>
                <w:tab w:val="decimal" w:pos="538"/>
              </w:tabs>
              <w:autoSpaceDE w:val="0"/>
              <w:autoSpaceDN w:val="0"/>
              <w:adjustRightInd w:val="0"/>
              <w:ind w:left="-140" w:right="-105"/>
              <w:rPr>
                <w:sz w:val="20"/>
                <w:szCs w:val="20"/>
              </w:rPr>
            </w:pPr>
          </w:p>
        </w:tc>
        <w:tc>
          <w:tcPr>
            <w:tcW w:w="1350" w:type="dxa"/>
            <w:vAlign w:val="center"/>
          </w:tcPr>
          <w:p w:rsidR="00BF1A3B" w:rsidRPr="0092607D" w:rsidRDefault="00BF1A3B" w:rsidP="00BF1A3B">
            <w:pPr>
              <w:widowControl w:val="0"/>
              <w:tabs>
                <w:tab w:val="decimal" w:pos="369"/>
              </w:tabs>
              <w:autoSpaceDE w:val="0"/>
              <w:autoSpaceDN w:val="0"/>
              <w:adjustRightInd w:val="0"/>
              <w:ind w:left="-3" w:firstLine="3"/>
              <w:rPr>
                <w:color w:val="000000"/>
                <w:sz w:val="20"/>
                <w:szCs w:val="20"/>
              </w:rPr>
            </w:pPr>
            <w:r w:rsidRPr="00A65481">
              <w:rPr>
                <w:color w:val="000000"/>
                <w:sz w:val="20"/>
                <w:szCs w:val="20"/>
              </w:rPr>
              <w:t>0.001</w:t>
            </w:r>
          </w:p>
        </w:tc>
        <w:tc>
          <w:tcPr>
            <w:tcW w:w="1350" w:type="dxa"/>
            <w:vAlign w:val="center"/>
          </w:tcPr>
          <w:p w:rsidR="00BF1A3B" w:rsidRPr="00A65481" w:rsidRDefault="00BF1A3B" w:rsidP="00BF1A3B">
            <w:pPr>
              <w:widowControl w:val="0"/>
              <w:tabs>
                <w:tab w:val="decimal" w:pos="538"/>
              </w:tabs>
              <w:autoSpaceDE w:val="0"/>
              <w:autoSpaceDN w:val="0"/>
              <w:adjustRightInd w:val="0"/>
              <w:ind w:left="-136" w:right="-108" w:firstLine="136"/>
              <w:rPr>
                <w:sz w:val="20"/>
                <w:szCs w:val="20"/>
              </w:rPr>
            </w:pPr>
          </w:p>
        </w:tc>
      </w:tr>
      <w:tr w:rsidR="00BF1A3B" w:rsidRPr="00A65481" w:rsidTr="00BF1A3B">
        <w:trPr>
          <w:trHeight w:val="432"/>
        </w:trPr>
        <w:tc>
          <w:tcPr>
            <w:tcW w:w="3330" w:type="dxa"/>
            <w:vAlign w:val="center"/>
          </w:tcPr>
          <w:p w:rsidR="00BF1A3B" w:rsidRPr="00A65481" w:rsidRDefault="00BF1A3B" w:rsidP="00BF1A3B">
            <w:pPr>
              <w:widowControl w:val="0"/>
              <w:tabs>
                <w:tab w:val="decimal" w:pos="538"/>
              </w:tabs>
              <w:autoSpaceDE w:val="0"/>
              <w:autoSpaceDN w:val="0"/>
              <w:adjustRightInd w:val="0"/>
              <w:ind w:left="270" w:hanging="270"/>
              <w:rPr>
                <w:i/>
                <w:sz w:val="20"/>
                <w:szCs w:val="20"/>
              </w:rPr>
            </w:pPr>
            <w:r w:rsidRPr="00937419">
              <w:rPr>
                <w:sz w:val="20"/>
                <w:szCs w:val="20"/>
              </w:rPr>
              <w:t xml:space="preserve">Interaction: </w:t>
            </w:r>
            <w:r w:rsidRPr="00A65481">
              <w:rPr>
                <w:i/>
                <w:sz w:val="20"/>
                <w:szCs w:val="20"/>
              </w:rPr>
              <w:t>Child is Black x District % White Students</w:t>
            </w:r>
          </w:p>
        </w:tc>
        <w:tc>
          <w:tcPr>
            <w:tcW w:w="1350" w:type="dxa"/>
            <w:vAlign w:val="center"/>
          </w:tcPr>
          <w:p w:rsidR="00BF1A3B" w:rsidRPr="00A65481" w:rsidRDefault="00BF1A3B" w:rsidP="00BF1A3B">
            <w:pPr>
              <w:widowControl w:val="0"/>
              <w:tabs>
                <w:tab w:val="decimal" w:pos="538"/>
              </w:tabs>
              <w:autoSpaceDE w:val="0"/>
              <w:autoSpaceDN w:val="0"/>
              <w:adjustRightInd w:val="0"/>
              <w:ind w:left="-144" w:right="-101"/>
              <w:rPr>
                <w:sz w:val="20"/>
                <w:szCs w:val="20"/>
              </w:rPr>
            </w:pPr>
          </w:p>
        </w:tc>
        <w:tc>
          <w:tcPr>
            <w:tcW w:w="1350" w:type="dxa"/>
            <w:vAlign w:val="center"/>
          </w:tcPr>
          <w:p w:rsidR="00BF1A3B" w:rsidRPr="00A65481" w:rsidRDefault="00BF1A3B" w:rsidP="00BF1A3B">
            <w:pPr>
              <w:widowControl w:val="0"/>
              <w:tabs>
                <w:tab w:val="decimal" w:pos="538"/>
              </w:tabs>
              <w:autoSpaceDE w:val="0"/>
              <w:autoSpaceDN w:val="0"/>
              <w:adjustRightInd w:val="0"/>
              <w:ind w:left="-97" w:right="-148"/>
              <w:rPr>
                <w:sz w:val="20"/>
                <w:szCs w:val="20"/>
              </w:rPr>
            </w:pPr>
          </w:p>
        </w:tc>
        <w:tc>
          <w:tcPr>
            <w:tcW w:w="1350" w:type="dxa"/>
            <w:vAlign w:val="center"/>
          </w:tcPr>
          <w:p w:rsidR="00BF1A3B" w:rsidRPr="00A65481" w:rsidRDefault="00BF1A3B" w:rsidP="00BF1A3B">
            <w:pPr>
              <w:widowControl w:val="0"/>
              <w:tabs>
                <w:tab w:val="decimal" w:pos="538"/>
              </w:tabs>
              <w:autoSpaceDE w:val="0"/>
              <w:autoSpaceDN w:val="0"/>
              <w:adjustRightInd w:val="0"/>
              <w:ind w:left="-140" w:right="-105"/>
              <w:rPr>
                <w:sz w:val="20"/>
                <w:szCs w:val="20"/>
              </w:rPr>
            </w:pPr>
          </w:p>
        </w:tc>
        <w:tc>
          <w:tcPr>
            <w:tcW w:w="1350" w:type="dxa"/>
            <w:vAlign w:val="center"/>
          </w:tcPr>
          <w:p w:rsidR="00BF1A3B" w:rsidRPr="0092607D" w:rsidRDefault="00BF1A3B" w:rsidP="00BF1A3B">
            <w:pPr>
              <w:widowControl w:val="0"/>
              <w:tabs>
                <w:tab w:val="decimal" w:pos="369"/>
              </w:tabs>
              <w:autoSpaceDE w:val="0"/>
              <w:autoSpaceDN w:val="0"/>
              <w:adjustRightInd w:val="0"/>
              <w:ind w:left="-3" w:firstLine="3"/>
              <w:rPr>
                <w:color w:val="000000"/>
                <w:sz w:val="20"/>
                <w:szCs w:val="20"/>
              </w:rPr>
            </w:pPr>
            <w:r w:rsidRPr="00A65481">
              <w:rPr>
                <w:color w:val="000000"/>
                <w:sz w:val="20"/>
                <w:szCs w:val="20"/>
              </w:rPr>
              <w:t>-0.001</w:t>
            </w:r>
          </w:p>
        </w:tc>
        <w:tc>
          <w:tcPr>
            <w:tcW w:w="1350" w:type="dxa"/>
            <w:vAlign w:val="center"/>
          </w:tcPr>
          <w:p w:rsidR="00BF1A3B" w:rsidRPr="00A65481" w:rsidRDefault="00BF1A3B" w:rsidP="00BF1A3B">
            <w:pPr>
              <w:widowControl w:val="0"/>
              <w:tabs>
                <w:tab w:val="decimal" w:pos="538"/>
              </w:tabs>
              <w:autoSpaceDE w:val="0"/>
              <w:autoSpaceDN w:val="0"/>
              <w:adjustRightInd w:val="0"/>
              <w:ind w:left="-136" w:right="-108" w:firstLine="136"/>
              <w:rPr>
                <w:sz w:val="20"/>
                <w:szCs w:val="20"/>
              </w:rPr>
            </w:pPr>
          </w:p>
        </w:tc>
      </w:tr>
      <w:tr w:rsidR="00BF1A3B" w:rsidRPr="00A65481" w:rsidTr="00BF1A3B">
        <w:trPr>
          <w:trHeight w:val="432"/>
        </w:trPr>
        <w:tc>
          <w:tcPr>
            <w:tcW w:w="3330" w:type="dxa"/>
            <w:vAlign w:val="center"/>
          </w:tcPr>
          <w:p w:rsidR="00BF1A3B" w:rsidRPr="00A65481" w:rsidRDefault="00BF1A3B" w:rsidP="00BF1A3B">
            <w:pPr>
              <w:widowControl w:val="0"/>
              <w:tabs>
                <w:tab w:val="decimal" w:pos="538"/>
              </w:tabs>
              <w:autoSpaceDE w:val="0"/>
              <w:autoSpaceDN w:val="0"/>
              <w:adjustRightInd w:val="0"/>
              <w:ind w:left="270" w:hanging="270"/>
              <w:rPr>
                <w:i/>
                <w:sz w:val="20"/>
                <w:szCs w:val="20"/>
              </w:rPr>
            </w:pPr>
            <w:r w:rsidRPr="00937419">
              <w:rPr>
                <w:sz w:val="20"/>
                <w:szCs w:val="20"/>
              </w:rPr>
              <w:t xml:space="preserve">Interaction: </w:t>
            </w:r>
            <w:r w:rsidRPr="00A65481">
              <w:rPr>
                <w:i/>
                <w:sz w:val="20"/>
                <w:szCs w:val="20"/>
              </w:rPr>
              <w:t>Child is Asian x District % White Students</w:t>
            </w:r>
          </w:p>
        </w:tc>
        <w:tc>
          <w:tcPr>
            <w:tcW w:w="1350" w:type="dxa"/>
            <w:vAlign w:val="center"/>
          </w:tcPr>
          <w:p w:rsidR="00BF1A3B" w:rsidRPr="00A65481" w:rsidRDefault="00BF1A3B" w:rsidP="00BF1A3B">
            <w:pPr>
              <w:widowControl w:val="0"/>
              <w:tabs>
                <w:tab w:val="decimal" w:pos="538"/>
              </w:tabs>
              <w:autoSpaceDE w:val="0"/>
              <w:autoSpaceDN w:val="0"/>
              <w:adjustRightInd w:val="0"/>
              <w:ind w:left="-144" w:right="-101"/>
              <w:rPr>
                <w:sz w:val="20"/>
                <w:szCs w:val="20"/>
              </w:rPr>
            </w:pPr>
          </w:p>
        </w:tc>
        <w:tc>
          <w:tcPr>
            <w:tcW w:w="1350" w:type="dxa"/>
            <w:vAlign w:val="center"/>
          </w:tcPr>
          <w:p w:rsidR="00BF1A3B" w:rsidRPr="00A65481" w:rsidRDefault="00BF1A3B" w:rsidP="00BF1A3B">
            <w:pPr>
              <w:widowControl w:val="0"/>
              <w:tabs>
                <w:tab w:val="decimal" w:pos="538"/>
              </w:tabs>
              <w:autoSpaceDE w:val="0"/>
              <w:autoSpaceDN w:val="0"/>
              <w:adjustRightInd w:val="0"/>
              <w:ind w:left="-97" w:right="-148"/>
              <w:rPr>
                <w:sz w:val="20"/>
                <w:szCs w:val="20"/>
              </w:rPr>
            </w:pPr>
          </w:p>
        </w:tc>
        <w:tc>
          <w:tcPr>
            <w:tcW w:w="1350" w:type="dxa"/>
            <w:vAlign w:val="center"/>
          </w:tcPr>
          <w:p w:rsidR="00BF1A3B" w:rsidRPr="00A65481" w:rsidRDefault="00BF1A3B" w:rsidP="00BF1A3B">
            <w:pPr>
              <w:widowControl w:val="0"/>
              <w:tabs>
                <w:tab w:val="decimal" w:pos="538"/>
              </w:tabs>
              <w:autoSpaceDE w:val="0"/>
              <w:autoSpaceDN w:val="0"/>
              <w:adjustRightInd w:val="0"/>
              <w:ind w:left="-140" w:right="-105"/>
              <w:rPr>
                <w:sz w:val="20"/>
                <w:szCs w:val="20"/>
              </w:rPr>
            </w:pPr>
          </w:p>
        </w:tc>
        <w:tc>
          <w:tcPr>
            <w:tcW w:w="1350" w:type="dxa"/>
            <w:vAlign w:val="center"/>
          </w:tcPr>
          <w:p w:rsidR="00BF1A3B" w:rsidRPr="0092607D" w:rsidRDefault="00BF1A3B" w:rsidP="00BF1A3B">
            <w:pPr>
              <w:widowControl w:val="0"/>
              <w:tabs>
                <w:tab w:val="decimal" w:pos="369"/>
              </w:tabs>
              <w:autoSpaceDE w:val="0"/>
              <w:autoSpaceDN w:val="0"/>
              <w:adjustRightInd w:val="0"/>
              <w:ind w:left="-3" w:firstLine="3"/>
              <w:rPr>
                <w:color w:val="000000"/>
                <w:sz w:val="20"/>
                <w:szCs w:val="20"/>
              </w:rPr>
            </w:pPr>
            <w:r w:rsidRPr="00A65481">
              <w:rPr>
                <w:color w:val="000000"/>
                <w:sz w:val="20"/>
                <w:szCs w:val="20"/>
              </w:rPr>
              <w:t>0.001</w:t>
            </w:r>
          </w:p>
        </w:tc>
        <w:tc>
          <w:tcPr>
            <w:tcW w:w="1350" w:type="dxa"/>
            <w:vAlign w:val="center"/>
          </w:tcPr>
          <w:p w:rsidR="00BF1A3B" w:rsidRPr="00A65481" w:rsidRDefault="00BF1A3B" w:rsidP="00BF1A3B">
            <w:pPr>
              <w:widowControl w:val="0"/>
              <w:tabs>
                <w:tab w:val="decimal" w:pos="538"/>
              </w:tabs>
              <w:autoSpaceDE w:val="0"/>
              <w:autoSpaceDN w:val="0"/>
              <w:adjustRightInd w:val="0"/>
              <w:ind w:left="-136" w:right="-108" w:firstLine="136"/>
              <w:rPr>
                <w:sz w:val="20"/>
                <w:szCs w:val="20"/>
              </w:rPr>
            </w:pPr>
          </w:p>
        </w:tc>
      </w:tr>
      <w:tr w:rsidR="00BF1A3B" w:rsidRPr="00A65481" w:rsidTr="00BF1A3B">
        <w:trPr>
          <w:trHeight w:val="432"/>
        </w:trPr>
        <w:tc>
          <w:tcPr>
            <w:tcW w:w="3330" w:type="dxa"/>
            <w:vAlign w:val="center"/>
          </w:tcPr>
          <w:p w:rsidR="00BF1A3B" w:rsidRPr="00A65481" w:rsidRDefault="00BF1A3B" w:rsidP="00BF1A3B">
            <w:pPr>
              <w:widowControl w:val="0"/>
              <w:tabs>
                <w:tab w:val="decimal" w:pos="538"/>
              </w:tabs>
              <w:autoSpaceDE w:val="0"/>
              <w:autoSpaceDN w:val="0"/>
              <w:adjustRightInd w:val="0"/>
              <w:ind w:left="270" w:hanging="270"/>
              <w:rPr>
                <w:i/>
                <w:sz w:val="20"/>
                <w:szCs w:val="20"/>
              </w:rPr>
            </w:pPr>
            <w:r w:rsidRPr="00937419">
              <w:rPr>
                <w:sz w:val="20"/>
                <w:szCs w:val="20"/>
              </w:rPr>
              <w:t xml:space="preserve">Interaction: </w:t>
            </w:r>
            <w:r w:rsidRPr="00A65481">
              <w:rPr>
                <w:i/>
                <w:sz w:val="20"/>
                <w:szCs w:val="20"/>
              </w:rPr>
              <w:t>Child is ‘Other’ x District % White Students</w:t>
            </w:r>
          </w:p>
        </w:tc>
        <w:tc>
          <w:tcPr>
            <w:tcW w:w="1350" w:type="dxa"/>
            <w:vAlign w:val="center"/>
          </w:tcPr>
          <w:p w:rsidR="00BF1A3B" w:rsidRPr="00A65481" w:rsidRDefault="00BF1A3B" w:rsidP="00BF1A3B">
            <w:pPr>
              <w:widowControl w:val="0"/>
              <w:tabs>
                <w:tab w:val="decimal" w:pos="538"/>
              </w:tabs>
              <w:autoSpaceDE w:val="0"/>
              <w:autoSpaceDN w:val="0"/>
              <w:adjustRightInd w:val="0"/>
              <w:ind w:left="-144" w:right="-101"/>
              <w:rPr>
                <w:sz w:val="20"/>
                <w:szCs w:val="20"/>
              </w:rPr>
            </w:pPr>
          </w:p>
        </w:tc>
        <w:tc>
          <w:tcPr>
            <w:tcW w:w="1350" w:type="dxa"/>
            <w:vAlign w:val="center"/>
          </w:tcPr>
          <w:p w:rsidR="00BF1A3B" w:rsidRPr="00A65481" w:rsidRDefault="00BF1A3B" w:rsidP="00BF1A3B">
            <w:pPr>
              <w:widowControl w:val="0"/>
              <w:tabs>
                <w:tab w:val="decimal" w:pos="538"/>
              </w:tabs>
              <w:autoSpaceDE w:val="0"/>
              <w:autoSpaceDN w:val="0"/>
              <w:adjustRightInd w:val="0"/>
              <w:ind w:left="-97" w:right="-148"/>
              <w:rPr>
                <w:sz w:val="20"/>
                <w:szCs w:val="20"/>
              </w:rPr>
            </w:pPr>
          </w:p>
        </w:tc>
        <w:tc>
          <w:tcPr>
            <w:tcW w:w="1350" w:type="dxa"/>
            <w:vAlign w:val="center"/>
          </w:tcPr>
          <w:p w:rsidR="00BF1A3B" w:rsidRPr="00A65481" w:rsidRDefault="00BF1A3B" w:rsidP="00BF1A3B">
            <w:pPr>
              <w:widowControl w:val="0"/>
              <w:tabs>
                <w:tab w:val="decimal" w:pos="538"/>
              </w:tabs>
              <w:autoSpaceDE w:val="0"/>
              <w:autoSpaceDN w:val="0"/>
              <w:adjustRightInd w:val="0"/>
              <w:ind w:left="-140" w:right="-105"/>
              <w:rPr>
                <w:sz w:val="20"/>
                <w:szCs w:val="20"/>
              </w:rPr>
            </w:pPr>
          </w:p>
        </w:tc>
        <w:tc>
          <w:tcPr>
            <w:tcW w:w="1350" w:type="dxa"/>
            <w:vAlign w:val="center"/>
          </w:tcPr>
          <w:p w:rsidR="00BF1A3B" w:rsidRPr="0092607D" w:rsidRDefault="00BF1A3B" w:rsidP="00BF1A3B">
            <w:pPr>
              <w:widowControl w:val="0"/>
              <w:tabs>
                <w:tab w:val="decimal" w:pos="369"/>
              </w:tabs>
              <w:autoSpaceDE w:val="0"/>
              <w:autoSpaceDN w:val="0"/>
              <w:adjustRightInd w:val="0"/>
              <w:ind w:left="-3" w:firstLine="3"/>
              <w:rPr>
                <w:color w:val="000000"/>
                <w:sz w:val="20"/>
                <w:szCs w:val="20"/>
              </w:rPr>
            </w:pPr>
            <w:r w:rsidRPr="00A65481">
              <w:rPr>
                <w:color w:val="000000"/>
                <w:sz w:val="20"/>
                <w:szCs w:val="20"/>
              </w:rPr>
              <w:t>-0.003*</w:t>
            </w:r>
          </w:p>
        </w:tc>
        <w:tc>
          <w:tcPr>
            <w:tcW w:w="1350" w:type="dxa"/>
            <w:vAlign w:val="center"/>
          </w:tcPr>
          <w:p w:rsidR="00BF1A3B" w:rsidRPr="00A65481" w:rsidRDefault="00BF1A3B" w:rsidP="00BF1A3B">
            <w:pPr>
              <w:widowControl w:val="0"/>
              <w:tabs>
                <w:tab w:val="decimal" w:pos="538"/>
              </w:tabs>
              <w:autoSpaceDE w:val="0"/>
              <w:autoSpaceDN w:val="0"/>
              <w:adjustRightInd w:val="0"/>
              <w:ind w:left="-136" w:right="-108" w:firstLine="136"/>
              <w:rPr>
                <w:sz w:val="20"/>
                <w:szCs w:val="20"/>
              </w:rPr>
            </w:pPr>
          </w:p>
        </w:tc>
      </w:tr>
      <w:tr w:rsidR="00BF1A3B" w:rsidRPr="00A65481" w:rsidTr="00BF1A3B">
        <w:trPr>
          <w:trHeight w:val="432"/>
        </w:trPr>
        <w:tc>
          <w:tcPr>
            <w:tcW w:w="3330" w:type="dxa"/>
            <w:vAlign w:val="center"/>
          </w:tcPr>
          <w:p w:rsidR="00BF1A3B" w:rsidRPr="00A65481" w:rsidRDefault="00BF1A3B" w:rsidP="00BF1A3B">
            <w:pPr>
              <w:widowControl w:val="0"/>
              <w:tabs>
                <w:tab w:val="decimal" w:pos="538"/>
              </w:tabs>
              <w:autoSpaceDE w:val="0"/>
              <w:autoSpaceDN w:val="0"/>
              <w:adjustRightInd w:val="0"/>
              <w:ind w:left="270" w:hanging="270"/>
              <w:rPr>
                <w:i/>
                <w:sz w:val="20"/>
                <w:szCs w:val="20"/>
              </w:rPr>
            </w:pPr>
            <w:r w:rsidRPr="00937419">
              <w:rPr>
                <w:sz w:val="20"/>
                <w:szCs w:val="20"/>
              </w:rPr>
              <w:t xml:space="preserve">Interaction: </w:t>
            </w:r>
            <w:r w:rsidRPr="00A65481">
              <w:rPr>
                <w:i/>
                <w:sz w:val="20"/>
                <w:szCs w:val="20"/>
              </w:rPr>
              <w:t xml:space="preserve">Child is Hispanic x </w:t>
            </w:r>
            <w:r w:rsidRPr="00A65481">
              <w:rPr>
                <w:i/>
                <w:iCs/>
                <w:sz w:val="20"/>
                <w:szCs w:val="20"/>
              </w:rPr>
              <w:t xml:space="preserve">District Participates in METCO </w:t>
            </w:r>
          </w:p>
        </w:tc>
        <w:tc>
          <w:tcPr>
            <w:tcW w:w="1350" w:type="dxa"/>
            <w:vAlign w:val="center"/>
          </w:tcPr>
          <w:p w:rsidR="00BF1A3B" w:rsidRPr="00A65481" w:rsidRDefault="00BF1A3B" w:rsidP="00BF1A3B">
            <w:pPr>
              <w:widowControl w:val="0"/>
              <w:tabs>
                <w:tab w:val="decimal" w:pos="538"/>
              </w:tabs>
              <w:autoSpaceDE w:val="0"/>
              <w:autoSpaceDN w:val="0"/>
              <w:adjustRightInd w:val="0"/>
              <w:ind w:left="-144" w:right="-101"/>
              <w:rPr>
                <w:sz w:val="20"/>
                <w:szCs w:val="20"/>
              </w:rPr>
            </w:pPr>
          </w:p>
        </w:tc>
        <w:tc>
          <w:tcPr>
            <w:tcW w:w="1350" w:type="dxa"/>
            <w:vAlign w:val="center"/>
          </w:tcPr>
          <w:p w:rsidR="00BF1A3B" w:rsidRPr="00A65481" w:rsidRDefault="00BF1A3B" w:rsidP="00BF1A3B">
            <w:pPr>
              <w:widowControl w:val="0"/>
              <w:tabs>
                <w:tab w:val="decimal" w:pos="538"/>
              </w:tabs>
              <w:autoSpaceDE w:val="0"/>
              <w:autoSpaceDN w:val="0"/>
              <w:adjustRightInd w:val="0"/>
              <w:ind w:left="-97" w:right="-148"/>
              <w:rPr>
                <w:sz w:val="20"/>
                <w:szCs w:val="20"/>
              </w:rPr>
            </w:pPr>
          </w:p>
        </w:tc>
        <w:tc>
          <w:tcPr>
            <w:tcW w:w="1350" w:type="dxa"/>
            <w:vAlign w:val="center"/>
          </w:tcPr>
          <w:p w:rsidR="00BF1A3B" w:rsidRPr="00A65481" w:rsidRDefault="00BF1A3B" w:rsidP="00BF1A3B">
            <w:pPr>
              <w:widowControl w:val="0"/>
              <w:tabs>
                <w:tab w:val="decimal" w:pos="538"/>
              </w:tabs>
              <w:autoSpaceDE w:val="0"/>
              <w:autoSpaceDN w:val="0"/>
              <w:adjustRightInd w:val="0"/>
              <w:ind w:left="-140" w:right="-105"/>
              <w:rPr>
                <w:sz w:val="20"/>
                <w:szCs w:val="20"/>
              </w:rPr>
            </w:pPr>
          </w:p>
        </w:tc>
        <w:tc>
          <w:tcPr>
            <w:tcW w:w="1350" w:type="dxa"/>
            <w:vAlign w:val="center"/>
          </w:tcPr>
          <w:p w:rsidR="00BF1A3B" w:rsidRPr="00A65481" w:rsidRDefault="00BF1A3B" w:rsidP="00BF1A3B">
            <w:pPr>
              <w:widowControl w:val="0"/>
              <w:tabs>
                <w:tab w:val="decimal" w:pos="538"/>
                <w:tab w:val="left" w:pos="1077"/>
              </w:tabs>
              <w:autoSpaceDE w:val="0"/>
              <w:autoSpaceDN w:val="0"/>
              <w:adjustRightInd w:val="0"/>
              <w:ind w:left="-3" w:firstLine="3"/>
              <w:rPr>
                <w:sz w:val="20"/>
                <w:szCs w:val="20"/>
              </w:rPr>
            </w:pPr>
          </w:p>
        </w:tc>
        <w:tc>
          <w:tcPr>
            <w:tcW w:w="1350" w:type="dxa"/>
            <w:vAlign w:val="center"/>
          </w:tcPr>
          <w:p w:rsidR="00BF1A3B" w:rsidRPr="0092607D" w:rsidRDefault="00BF1A3B" w:rsidP="00BF1A3B">
            <w:pPr>
              <w:widowControl w:val="0"/>
              <w:tabs>
                <w:tab w:val="decimal" w:pos="538"/>
              </w:tabs>
              <w:autoSpaceDE w:val="0"/>
              <w:autoSpaceDN w:val="0"/>
              <w:adjustRightInd w:val="0"/>
              <w:ind w:left="-136" w:right="-108" w:firstLine="136"/>
              <w:rPr>
                <w:color w:val="000000"/>
                <w:sz w:val="20"/>
                <w:szCs w:val="20"/>
              </w:rPr>
            </w:pPr>
            <w:r w:rsidRPr="00A65481">
              <w:rPr>
                <w:color w:val="000000"/>
                <w:sz w:val="20"/>
                <w:szCs w:val="20"/>
              </w:rPr>
              <w:t>0.12</w:t>
            </w:r>
          </w:p>
        </w:tc>
      </w:tr>
      <w:tr w:rsidR="00BF1A3B" w:rsidRPr="00A65481" w:rsidTr="00BF1A3B">
        <w:trPr>
          <w:trHeight w:val="432"/>
        </w:trPr>
        <w:tc>
          <w:tcPr>
            <w:tcW w:w="3330" w:type="dxa"/>
            <w:vAlign w:val="center"/>
          </w:tcPr>
          <w:p w:rsidR="00BF1A3B" w:rsidRPr="00A65481" w:rsidRDefault="00BF1A3B" w:rsidP="00BF1A3B">
            <w:pPr>
              <w:widowControl w:val="0"/>
              <w:tabs>
                <w:tab w:val="decimal" w:pos="538"/>
              </w:tabs>
              <w:autoSpaceDE w:val="0"/>
              <w:autoSpaceDN w:val="0"/>
              <w:adjustRightInd w:val="0"/>
              <w:ind w:left="270" w:hanging="270"/>
              <w:rPr>
                <w:i/>
                <w:sz w:val="20"/>
                <w:szCs w:val="20"/>
              </w:rPr>
            </w:pPr>
            <w:r w:rsidRPr="00937419">
              <w:rPr>
                <w:sz w:val="20"/>
                <w:szCs w:val="20"/>
              </w:rPr>
              <w:t xml:space="preserve">Interaction: </w:t>
            </w:r>
            <w:r w:rsidRPr="00A65481">
              <w:rPr>
                <w:i/>
                <w:sz w:val="20"/>
                <w:szCs w:val="20"/>
              </w:rPr>
              <w:t xml:space="preserve">Child is Black x </w:t>
            </w:r>
            <w:r w:rsidRPr="00A65481">
              <w:rPr>
                <w:i/>
                <w:iCs/>
                <w:sz w:val="20"/>
                <w:szCs w:val="20"/>
              </w:rPr>
              <w:t>District Participates in METCO</w:t>
            </w:r>
          </w:p>
        </w:tc>
        <w:tc>
          <w:tcPr>
            <w:tcW w:w="1350" w:type="dxa"/>
            <w:vAlign w:val="center"/>
          </w:tcPr>
          <w:p w:rsidR="00BF1A3B" w:rsidRPr="00A65481" w:rsidRDefault="00BF1A3B" w:rsidP="00BF1A3B">
            <w:pPr>
              <w:widowControl w:val="0"/>
              <w:tabs>
                <w:tab w:val="decimal" w:pos="538"/>
              </w:tabs>
              <w:autoSpaceDE w:val="0"/>
              <w:autoSpaceDN w:val="0"/>
              <w:adjustRightInd w:val="0"/>
              <w:ind w:left="-144" w:right="-101"/>
              <w:rPr>
                <w:sz w:val="20"/>
                <w:szCs w:val="20"/>
              </w:rPr>
            </w:pPr>
          </w:p>
        </w:tc>
        <w:tc>
          <w:tcPr>
            <w:tcW w:w="1350" w:type="dxa"/>
            <w:vAlign w:val="center"/>
          </w:tcPr>
          <w:p w:rsidR="00BF1A3B" w:rsidRPr="00A65481" w:rsidRDefault="00BF1A3B" w:rsidP="00BF1A3B">
            <w:pPr>
              <w:widowControl w:val="0"/>
              <w:tabs>
                <w:tab w:val="decimal" w:pos="538"/>
              </w:tabs>
              <w:autoSpaceDE w:val="0"/>
              <w:autoSpaceDN w:val="0"/>
              <w:adjustRightInd w:val="0"/>
              <w:ind w:left="-97" w:right="-148"/>
              <w:rPr>
                <w:sz w:val="20"/>
                <w:szCs w:val="20"/>
              </w:rPr>
            </w:pPr>
          </w:p>
        </w:tc>
        <w:tc>
          <w:tcPr>
            <w:tcW w:w="1350" w:type="dxa"/>
            <w:vAlign w:val="center"/>
          </w:tcPr>
          <w:p w:rsidR="00BF1A3B" w:rsidRPr="00A65481" w:rsidRDefault="00BF1A3B" w:rsidP="00BF1A3B">
            <w:pPr>
              <w:widowControl w:val="0"/>
              <w:tabs>
                <w:tab w:val="decimal" w:pos="538"/>
              </w:tabs>
              <w:autoSpaceDE w:val="0"/>
              <w:autoSpaceDN w:val="0"/>
              <w:adjustRightInd w:val="0"/>
              <w:ind w:left="-140" w:right="-105"/>
              <w:rPr>
                <w:sz w:val="20"/>
                <w:szCs w:val="20"/>
              </w:rPr>
            </w:pPr>
          </w:p>
        </w:tc>
        <w:tc>
          <w:tcPr>
            <w:tcW w:w="1350" w:type="dxa"/>
            <w:vAlign w:val="center"/>
          </w:tcPr>
          <w:p w:rsidR="00BF1A3B" w:rsidRPr="00A65481" w:rsidRDefault="00BF1A3B" w:rsidP="00BF1A3B">
            <w:pPr>
              <w:widowControl w:val="0"/>
              <w:tabs>
                <w:tab w:val="decimal" w:pos="538"/>
                <w:tab w:val="left" w:pos="1077"/>
              </w:tabs>
              <w:autoSpaceDE w:val="0"/>
              <w:autoSpaceDN w:val="0"/>
              <w:adjustRightInd w:val="0"/>
              <w:ind w:left="-3" w:firstLine="3"/>
              <w:rPr>
                <w:sz w:val="20"/>
                <w:szCs w:val="20"/>
              </w:rPr>
            </w:pPr>
          </w:p>
        </w:tc>
        <w:tc>
          <w:tcPr>
            <w:tcW w:w="1350" w:type="dxa"/>
            <w:vAlign w:val="center"/>
          </w:tcPr>
          <w:p w:rsidR="00BF1A3B" w:rsidRPr="0092607D" w:rsidRDefault="00BF1A3B" w:rsidP="00BF1A3B">
            <w:pPr>
              <w:widowControl w:val="0"/>
              <w:tabs>
                <w:tab w:val="decimal" w:pos="538"/>
              </w:tabs>
              <w:autoSpaceDE w:val="0"/>
              <w:autoSpaceDN w:val="0"/>
              <w:adjustRightInd w:val="0"/>
              <w:ind w:left="-136" w:right="-108" w:firstLine="136"/>
              <w:rPr>
                <w:color w:val="000000"/>
                <w:sz w:val="20"/>
                <w:szCs w:val="20"/>
              </w:rPr>
            </w:pPr>
            <w:r w:rsidRPr="00A65481">
              <w:rPr>
                <w:color w:val="000000"/>
                <w:sz w:val="20"/>
                <w:szCs w:val="20"/>
              </w:rPr>
              <w:t>0.26**</w:t>
            </w:r>
          </w:p>
        </w:tc>
      </w:tr>
      <w:tr w:rsidR="00BF1A3B" w:rsidRPr="00A65481" w:rsidTr="00BF1A3B">
        <w:trPr>
          <w:trHeight w:val="432"/>
        </w:trPr>
        <w:tc>
          <w:tcPr>
            <w:tcW w:w="3330" w:type="dxa"/>
            <w:vAlign w:val="center"/>
          </w:tcPr>
          <w:p w:rsidR="00BF1A3B" w:rsidRPr="00A65481" w:rsidRDefault="00BF1A3B" w:rsidP="00BF1A3B">
            <w:pPr>
              <w:widowControl w:val="0"/>
              <w:tabs>
                <w:tab w:val="decimal" w:pos="538"/>
              </w:tabs>
              <w:autoSpaceDE w:val="0"/>
              <w:autoSpaceDN w:val="0"/>
              <w:adjustRightInd w:val="0"/>
              <w:ind w:left="270" w:hanging="270"/>
              <w:rPr>
                <w:i/>
                <w:sz w:val="20"/>
                <w:szCs w:val="20"/>
              </w:rPr>
            </w:pPr>
            <w:r w:rsidRPr="00937419">
              <w:rPr>
                <w:sz w:val="20"/>
                <w:szCs w:val="20"/>
              </w:rPr>
              <w:t xml:space="preserve">Interaction: </w:t>
            </w:r>
            <w:r w:rsidRPr="00A65481">
              <w:rPr>
                <w:i/>
                <w:sz w:val="20"/>
                <w:szCs w:val="20"/>
              </w:rPr>
              <w:t xml:space="preserve">Child is Asian x </w:t>
            </w:r>
            <w:r w:rsidRPr="00A65481">
              <w:rPr>
                <w:i/>
                <w:iCs/>
                <w:sz w:val="20"/>
                <w:szCs w:val="20"/>
              </w:rPr>
              <w:t>District Participates in METCO</w:t>
            </w:r>
          </w:p>
        </w:tc>
        <w:tc>
          <w:tcPr>
            <w:tcW w:w="1350" w:type="dxa"/>
            <w:vAlign w:val="center"/>
          </w:tcPr>
          <w:p w:rsidR="00BF1A3B" w:rsidRPr="00A65481" w:rsidRDefault="00BF1A3B" w:rsidP="00BF1A3B">
            <w:pPr>
              <w:widowControl w:val="0"/>
              <w:tabs>
                <w:tab w:val="decimal" w:pos="538"/>
              </w:tabs>
              <w:autoSpaceDE w:val="0"/>
              <w:autoSpaceDN w:val="0"/>
              <w:adjustRightInd w:val="0"/>
              <w:ind w:left="-144" w:right="-101"/>
              <w:rPr>
                <w:sz w:val="20"/>
                <w:szCs w:val="20"/>
              </w:rPr>
            </w:pPr>
          </w:p>
        </w:tc>
        <w:tc>
          <w:tcPr>
            <w:tcW w:w="1350" w:type="dxa"/>
            <w:vAlign w:val="center"/>
          </w:tcPr>
          <w:p w:rsidR="00BF1A3B" w:rsidRPr="00A65481" w:rsidRDefault="00BF1A3B" w:rsidP="00BF1A3B">
            <w:pPr>
              <w:widowControl w:val="0"/>
              <w:tabs>
                <w:tab w:val="decimal" w:pos="538"/>
              </w:tabs>
              <w:autoSpaceDE w:val="0"/>
              <w:autoSpaceDN w:val="0"/>
              <w:adjustRightInd w:val="0"/>
              <w:ind w:left="-97" w:right="-148"/>
              <w:rPr>
                <w:sz w:val="20"/>
                <w:szCs w:val="20"/>
              </w:rPr>
            </w:pPr>
          </w:p>
        </w:tc>
        <w:tc>
          <w:tcPr>
            <w:tcW w:w="1350" w:type="dxa"/>
            <w:vAlign w:val="center"/>
          </w:tcPr>
          <w:p w:rsidR="00BF1A3B" w:rsidRPr="00A65481" w:rsidRDefault="00BF1A3B" w:rsidP="00BF1A3B">
            <w:pPr>
              <w:widowControl w:val="0"/>
              <w:tabs>
                <w:tab w:val="decimal" w:pos="538"/>
              </w:tabs>
              <w:autoSpaceDE w:val="0"/>
              <w:autoSpaceDN w:val="0"/>
              <w:adjustRightInd w:val="0"/>
              <w:ind w:left="-140" w:right="-105"/>
              <w:rPr>
                <w:sz w:val="20"/>
                <w:szCs w:val="20"/>
              </w:rPr>
            </w:pPr>
          </w:p>
        </w:tc>
        <w:tc>
          <w:tcPr>
            <w:tcW w:w="1350" w:type="dxa"/>
            <w:vAlign w:val="center"/>
          </w:tcPr>
          <w:p w:rsidR="00BF1A3B" w:rsidRPr="00A65481" w:rsidRDefault="00BF1A3B" w:rsidP="00BF1A3B">
            <w:pPr>
              <w:widowControl w:val="0"/>
              <w:tabs>
                <w:tab w:val="decimal" w:pos="538"/>
                <w:tab w:val="left" w:pos="1077"/>
              </w:tabs>
              <w:autoSpaceDE w:val="0"/>
              <w:autoSpaceDN w:val="0"/>
              <w:adjustRightInd w:val="0"/>
              <w:ind w:left="-3" w:firstLine="3"/>
              <w:rPr>
                <w:sz w:val="20"/>
                <w:szCs w:val="20"/>
              </w:rPr>
            </w:pPr>
          </w:p>
        </w:tc>
        <w:tc>
          <w:tcPr>
            <w:tcW w:w="1350" w:type="dxa"/>
            <w:vAlign w:val="center"/>
          </w:tcPr>
          <w:p w:rsidR="00BF1A3B" w:rsidRPr="0092607D" w:rsidRDefault="00BF1A3B" w:rsidP="00BF1A3B">
            <w:pPr>
              <w:widowControl w:val="0"/>
              <w:tabs>
                <w:tab w:val="decimal" w:pos="538"/>
              </w:tabs>
              <w:autoSpaceDE w:val="0"/>
              <w:autoSpaceDN w:val="0"/>
              <w:adjustRightInd w:val="0"/>
              <w:ind w:left="-136" w:right="-108" w:firstLine="136"/>
              <w:rPr>
                <w:color w:val="000000"/>
                <w:sz w:val="20"/>
                <w:szCs w:val="20"/>
              </w:rPr>
            </w:pPr>
            <w:r w:rsidRPr="00A65481">
              <w:rPr>
                <w:color w:val="000000"/>
                <w:sz w:val="20"/>
                <w:szCs w:val="20"/>
              </w:rPr>
              <w:t>0.07</w:t>
            </w:r>
          </w:p>
        </w:tc>
      </w:tr>
      <w:tr w:rsidR="00BF1A3B" w:rsidRPr="00A65481" w:rsidTr="00BF1A3B">
        <w:trPr>
          <w:trHeight w:val="432"/>
        </w:trPr>
        <w:tc>
          <w:tcPr>
            <w:tcW w:w="3330" w:type="dxa"/>
            <w:vAlign w:val="center"/>
          </w:tcPr>
          <w:p w:rsidR="00BF1A3B" w:rsidRPr="00A65481" w:rsidRDefault="00BF1A3B" w:rsidP="00BF1A3B">
            <w:pPr>
              <w:widowControl w:val="0"/>
              <w:tabs>
                <w:tab w:val="decimal" w:pos="538"/>
              </w:tabs>
              <w:autoSpaceDE w:val="0"/>
              <w:autoSpaceDN w:val="0"/>
              <w:adjustRightInd w:val="0"/>
              <w:ind w:left="270" w:hanging="270"/>
              <w:rPr>
                <w:i/>
                <w:sz w:val="20"/>
                <w:szCs w:val="20"/>
              </w:rPr>
            </w:pPr>
            <w:r w:rsidRPr="00937419">
              <w:rPr>
                <w:sz w:val="20"/>
                <w:szCs w:val="20"/>
              </w:rPr>
              <w:t xml:space="preserve">Interaction: </w:t>
            </w:r>
            <w:r w:rsidRPr="00A65481">
              <w:rPr>
                <w:i/>
                <w:sz w:val="20"/>
                <w:szCs w:val="20"/>
              </w:rPr>
              <w:t xml:space="preserve">Child is ‘Other’ x </w:t>
            </w:r>
            <w:r w:rsidRPr="00A65481">
              <w:rPr>
                <w:i/>
                <w:iCs/>
                <w:sz w:val="20"/>
                <w:szCs w:val="20"/>
              </w:rPr>
              <w:t>District Participates in METCO</w:t>
            </w:r>
          </w:p>
        </w:tc>
        <w:tc>
          <w:tcPr>
            <w:tcW w:w="1350" w:type="dxa"/>
            <w:vAlign w:val="center"/>
          </w:tcPr>
          <w:p w:rsidR="00BF1A3B" w:rsidRPr="00A65481" w:rsidRDefault="00BF1A3B" w:rsidP="00BF1A3B">
            <w:pPr>
              <w:widowControl w:val="0"/>
              <w:tabs>
                <w:tab w:val="decimal" w:pos="538"/>
              </w:tabs>
              <w:autoSpaceDE w:val="0"/>
              <w:autoSpaceDN w:val="0"/>
              <w:adjustRightInd w:val="0"/>
              <w:ind w:left="-144" w:right="-101"/>
              <w:rPr>
                <w:sz w:val="20"/>
                <w:szCs w:val="20"/>
              </w:rPr>
            </w:pPr>
          </w:p>
        </w:tc>
        <w:tc>
          <w:tcPr>
            <w:tcW w:w="1350" w:type="dxa"/>
            <w:vAlign w:val="center"/>
          </w:tcPr>
          <w:p w:rsidR="00BF1A3B" w:rsidRPr="00A65481" w:rsidRDefault="00BF1A3B" w:rsidP="00BF1A3B">
            <w:pPr>
              <w:widowControl w:val="0"/>
              <w:tabs>
                <w:tab w:val="decimal" w:pos="538"/>
              </w:tabs>
              <w:autoSpaceDE w:val="0"/>
              <w:autoSpaceDN w:val="0"/>
              <w:adjustRightInd w:val="0"/>
              <w:ind w:left="-97" w:right="-148"/>
              <w:rPr>
                <w:sz w:val="20"/>
                <w:szCs w:val="20"/>
              </w:rPr>
            </w:pPr>
          </w:p>
        </w:tc>
        <w:tc>
          <w:tcPr>
            <w:tcW w:w="1350" w:type="dxa"/>
            <w:vAlign w:val="center"/>
          </w:tcPr>
          <w:p w:rsidR="00BF1A3B" w:rsidRPr="00A65481" w:rsidRDefault="00BF1A3B" w:rsidP="00BF1A3B">
            <w:pPr>
              <w:widowControl w:val="0"/>
              <w:tabs>
                <w:tab w:val="decimal" w:pos="538"/>
              </w:tabs>
              <w:autoSpaceDE w:val="0"/>
              <w:autoSpaceDN w:val="0"/>
              <w:adjustRightInd w:val="0"/>
              <w:ind w:left="-140" w:right="-105"/>
              <w:rPr>
                <w:sz w:val="20"/>
                <w:szCs w:val="20"/>
              </w:rPr>
            </w:pPr>
          </w:p>
        </w:tc>
        <w:tc>
          <w:tcPr>
            <w:tcW w:w="1350" w:type="dxa"/>
            <w:vAlign w:val="center"/>
          </w:tcPr>
          <w:p w:rsidR="00BF1A3B" w:rsidRPr="00A65481" w:rsidRDefault="00BF1A3B" w:rsidP="00BF1A3B">
            <w:pPr>
              <w:widowControl w:val="0"/>
              <w:tabs>
                <w:tab w:val="decimal" w:pos="538"/>
                <w:tab w:val="left" w:pos="1077"/>
              </w:tabs>
              <w:autoSpaceDE w:val="0"/>
              <w:autoSpaceDN w:val="0"/>
              <w:adjustRightInd w:val="0"/>
              <w:ind w:left="-3" w:firstLine="3"/>
              <w:rPr>
                <w:sz w:val="20"/>
                <w:szCs w:val="20"/>
              </w:rPr>
            </w:pPr>
          </w:p>
        </w:tc>
        <w:tc>
          <w:tcPr>
            <w:tcW w:w="1350" w:type="dxa"/>
            <w:vAlign w:val="center"/>
          </w:tcPr>
          <w:p w:rsidR="00BF1A3B" w:rsidRPr="0092607D" w:rsidRDefault="00BF1A3B" w:rsidP="00BF1A3B">
            <w:pPr>
              <w:widowControl w:val="0"/>
              <w:tabs>
                <w:tab w:val="decimal" w:pos="538"/>
              </w:tabs>
              <w:autoSpaceDE w:val="0"/>
              <w:autoSpaceDN w:val="0"/>
              <w:adjustRightInd w:val="0"/>
              <w:ind w:left="-136" w:right="-108" w:firstLine="136"/>
              <w:rPr>
                <w:color w:val="000000"/>
                <w:sz w:val="20"/>
                <w:szCs w:val="20"/>
              </w:rPr>
            </w:pPr>
            <w:r w:rsidRPr="00A65481">
              <w:rPr>
                <w:color w:val="000000"/>
                <w:sz w:val="20"/>
                <w:szCs w:val="20"/>
              </w:rPr>
              <w:t>-0.23</w:t>
            </w:r>
          </w:p>
        </w:tc>
      </w:tr>
      <w:tr w:rsidR="00BF1A3B" w:rsidRPr="00A65481" w:rsidTr="00BF1A3B">
        <w:tc>
          <w:tcPr>
            <w:tcW w:w="3330" w:type="dxa"/>
            <w:vAlign w:val="center"/>
          </w:tcPr>
          <w:p w:rsidR="00BF1A3B" w:rsidRPr="00A65481" w:rsidRDefault="00BF1A3B" w:rsidP="00BF1A3B">
            <w:pPr>
              <w:widowControl w:val="0"/>
              <w:autoSpaceDE w:val="0"/>
              <w:autoSpaceDN w:val="0"/>
              <w:adjustRightInd w:val="0"/>
              <w:ind w:left="270" w:hanging="270"/>
              <w:rPr>
                <w:i/>
                <w:sz w:val="10"/>
                <w:szCs w:val="10"/>
              </w:rPr>
            </w:pPr>
          </w:p>
        </w:tc>
        <w:tc>
          <w:tcPr>
            <w:tcW w:w="1350" w:type="dxa"/>
            <w:vAlign w:val="center"/>
          </w:tcPr>
          <w:p w:rsidR="00BF1A3B" w:rsidRPr="00A65481" w:rsidRDefault="00BF1A3B" w:rsidP="00BF1A3B">
            <w:pPr>
              <w:widowControl w:val="0"/>
              <w:tabs>
                <w:tab w:val="decimal" w:pos="538"/>
              </w:tabs>
              <w:autoSpaceDE w:val="0"/>
              <w:autoSpaceDN w:val="0"/>
              <w:adjustRightInd w:val="0"/>
              <w:ind w:left="-144" w:right="-101"/>
              <w:rPr>
                <w:sz w:val="10"/>
                <w:szCs w:val="10"/>
              </w:rPr>
            </w:pPr>
          </w:p>
        </w:tc>
        <w:tc>
          <w:tcPr>
            <w:tcW w:w="1350" w:type="dxa"/>
            <w:vAlign w:val="center"/>
          </w:tcPr>
          <w:p w:rsidR="00BF1A3B" w:rsidRPr="00A65481" w:rsidRDefault="00BF1A3B" w:rsidP="00BF1A3B">
            <w:pPr>
              <w:widowControl w:val="0"/>
              <w:tabs>
                <w:tab w:val="decimal" w:pos="538"/>
              </w:tabs>
              <w:autoSpaceDE w:val="0"/>
              <w:autoSpaceDN w:val="0"/>
              <w:adjustRightInd w:val="0"/>
              <w:ind w:left="-97" w:right="-148"/>
              <w:rPr>
                <w:sz w:val="10"/>
                <w:szCs w:val="10"/>
              </w:rPr>
            </w:pPr>
          </w:p>
        </w:tc>
        <w:tc>
          <w:tcPr>
            <w:tcW w:w="1350" w:type="dxa"/>
            <w:vAlign w:val="center"/>
          </w:tcPr>
          <w:p w:rsidR="00BF1A3B" w:rsidRPr="00A65481" w:rsidRDefault="00BF1A3B" w:rsidP="00BF1A3B">
            <w:pPr>
              <w:widowControl w:val="0"/>
              <w:tabs>
                <w:tab w:val="decimal" w:pos="538"/>
              </w:tabs>
              <w:autoSpaceDE w:val="0"/>
              <w:autoSpaceDN w:val="0"/>
              <w:adjustRightInd w:val="0"/>
              <w:ind w:left="-140" w:right="-105"/>
              <w:rPr>
                <w:sz w:val="10"/>
                <w:szCs w:val="10"/>
              </w:rPr>
            </w:pPr>
          </w:p>
        </w:tc>
        <w:tc>
          <w:tcPr>
            <w:tcW w:w="1350" w:type="dxa"/>
            <w:vAlign w:val="center"/>
          </w:tcPr>
          <w:p w:rsidR="00BF1A3B" w:rsidRPr="00A65481" w:rsidRDefault="00BF1A3B" w:rsidP="00BF1A3B">
            <w:pPr>
              <w:widowControl w:val="0"/>
              <w:tabs>
                <w:tab w:val="decimal" w:pos="538"/>
                <w:tab w:val="left" w:pos="1077"/>
              </w:tabs>
              <w:autoSpaceDE w:val="0"/>
              <w:autoSpaceDN w:val="0"/>
              <w:adjustRightInd w:val="0"/>
              <w:ind w:left="-3" w:firstLine="3"/>
              <w:rPr>
                <w:sz w:val="10"/>
                <w:szCs w:val="10"/>
              </w:rPr>
            </w:pPr>
          </w:p>
        </w:tc>
        <w:tc>
          <w:tcPr>
            <w:tcW w:w="1350" w:type="dxa"/>
            <w:vAlign w:val="center"/>
          </w:tcPr>
          <w:p w:rsidR="00BF1A3B" w:rsidRPr="00A65481" w:rsidRDefault="00BF1A3B" w:rsidP="00BF1A3B">
            <w:pPr>
              <w:widowControl w:val="0"/>
              <w:tabs>
                <w:tab w:val="decimal" w:pos="538"/>
              </w:tabs>
              <w:autoSpaceDE w:val="0"/>
              <w:autoSpaceDN w:val="0"/>
              <w:adjustRightInd w:val="0"/>
              <w:ind w:left="-136" w:right="-108" w:firstLine="136"/>
              <w:rPr>
                <w:sz w:val="10"/>
                <w:szCs w:val="10"/>
              </w:rPr>
            </w:pPr>
          </w:p>
        </w:tc>
      </w:tr>
      <w:tr w:rsidR="00BF1A3B" w:rsidRPr="00A65481" w:rsidTr="00BF1A3B">
        <w:tc>
          <w:tcPr>
            <w:tcW w:w="3330" w:type="dxa"/>
            <w:tcBorders>
              <w:bottom w:val="single" w:sz="4" w:space="0" w:color="auto"/>
            </w:tcBorders>
            <w:vAlign w:val="center"/>
          </w:tcPr>
          <w:p w:rsidR="00BF1A3B" w:rsidRPr="00A65481" w:rsidRDefault="00BF1A3B" w:rsidP="00BF1A3B">
            <w:pPr>
              <w:widowControl w:val="0"/>
              <w:autoSpaceDE w:val="0"/>
              <w:autoSpaceDN w:val="0"/>
              <w:adjustRightInd w:val="0"/>
              <w:ind w:left="270" w:hanging="270"/>
              <w:rPr>
                <w:i/>
                <w:sz w:val="20"/>
                <w:szCs w:val="20"/>
              </w:rPr>
            </w:pPr>
            <w:r w:rsidRPr="00A65481">
              <w:rPr>
                <w:i/>
                <w:sz w:val="20"/>
                <w:szCs w:val="20"/>
              </w:rPr>
              <w:t>Goodness of fit (-2LL)</w:t>
            </w:r>
          </w:p>
        </w:tc>
        <w:tc>
          <w:tcPr>
            <w:tcW w:w="1350" w:type="dxa"/>
            <w:tcBorders>
              <w:bottom w:val="single" w:sz="4" w:space="0" w:color="auto"/>
            </w:tcBorders>
            <w:vAlign w:val="center"/>
          </w:tcPr>
          <w:p w:rsidR="00BF1A3B" w:rsidRPr="00A65481" w:rsidRDefault="00BF1A3B" w:rsidP="00BF1A3B">
            <w:pPr>
              <w:widowControl w:val="0"/>
              <w:tabs>
                <w:tab w:val="decimal" w:pos="538"/>
              </w:tabs>
              <w:autoSpaceDE w:val="0"/>
              <w:autoSpaceDN w:val="0"/>
              <w:adjustRightInd w:val="0"/>
              <w:ind w:left="-144" w:right="-101"/>
              <w:jc w:val="center"/>
              <w:rPr>
                <w:sz w:val="20"/>
                <w:szCs w:val="20"/>
              </w:rPr>
            </w:pPr>
            <w:r w:rsidRPr="00A65481">
              <w:rPr>
                <w:sz w:val="20"/>
                <w:szCs w:val="20"/>
              </w:rPr>
              <w:t>85371.7</w:t>
            </w:r>
          </w:p>
        </w:tc>
        <w:tc>
          <w:tcPr>
            <w:tcW w:w="1350" w:type="dxa"/>
            <w:tcBorders>
              <w:bottom w:val="single" w:sz="4" w:space="0" w:color="auto"/>
            </w:tcBorders>
            <w:vAlign w:val="center"/>
          </w:tcPr>
          <w:p w:rsidR="00BF1A3B" w:rsidRPr="00A65481" w:rsidRDefault="00BF1A3B" w:rsidP="00BF1A3B">
            <w:pPr>
              <w:widowControl w:val="0"/>
              <w:tabs>
                <w:tab w:val="decimal" w:pos="538"/>
              </w:tabs>
              <w:autoSpaceDE w:val="0"/>
              <w:autoSpaceDN w:val="0"/>
              <w:adjustRightInd w:val="0"/>
              <w:ind w:left="-97" w:right="-148"/>
              <w:jc w:val="center"/>
              <w:rPr>
                <w:sz w:val="20"/>
                <w:szCs w:val="20"/>
              </w:rPr>
            </w:pPr>
            <w:r w:rsidRPr="00A65481">
              <w:rPr>
                <w:sz w:val="20"/>
                <w:szCs w:val="20"/>
              </w:rPr>
              <w:t>83742.9</w:t>
            </w:r>
          </w:p>
        </w:tc>
        <w:tc>
          <w:tcPr>
            <w:tcW w:w="1350" w:type="dxa"/>
            <w:tcBorders>
              <w:bottom w:val="single" w:sz="4" w:space="0" w:color="auto"/>
            </w:tcBorders>
            <w:vAlign w:val="center"/>
          </w:tcPr>
          <w:p w:rsidR="00BF1A3B" w:rsidRPr="00A65481" w:rsidRDefault="00BF1A3B" w:rsidP="00BF1A3B">
            <w:pPr>
              <w:widowControl w:val="0"/>
              <w:tabs>
                <w:tab w:val="decimal" w:pos="538"/>
              </w:tabs>
              <w:autoSpaceDE w:val="0"/>
              <w:autoSpaceDN w:val="0"/>
              <w:adjustRightInd w:val="0"/>
              <w:ind w:left="-140" w:right="-105"/>
              <w:jc w:val="center"/>
              <w:rPr>
                <w:sz w:val="20"/>
                <w:szCs w:val="20"/>
              </w:rPr>
            </w:pPr>
            <w:r w:rsidRPr="00A65481">
              <w:rPr>
                <w:sz w:val="20"/>
                <w:szCs w:val="20"/>
              </w:rPr>
              <w:t>82374.7</w:t>
            </w:r>
          </w:p>
        </w:tc>
        <w:tc>
          <w:tcPr>
            <w:tcW w:w="1350" w:type="dxa"/>
            <w:tcBorders>
              <w:bottom w:val="single" w:sz="4" w:space="0" w:color="auto"/>
            </w:tcBorders>
            <w:vAlign w:val="center"/>
          </w:tcPr>
          <w:p w:rsidR="00BF1A3B" w:rsidRPr="00A65481" w:rsidRDefault="00BF1A3B" w:rsidP="00BF1A3B">
            <w:pPr>
              <w:widowControl w:val="0"/>
              <w:tabs>
                <w:tab w:val="decimal" w:pos="538"/>
                <w:tab w:val="left" w:pos="1077"/>
              </w:tabs>
              <w:autoSpaceDE w:val="0"/>
              <w:autoSpaceDN w:val="0"/>
              <w:adjustRightInd w:val="0"/>
              <w:ind w:left="-3" w:firstLine="3"/>
              <w:jc w:val="center"/>
              <w:rPr>
                <w:sz w:val="20"/>
                <w:szCs w:val="20"/>
              </w:rPr>
            </w:pPr>
            <w:r w:rsidRPr="00A65481">
              <w:rPr>
                <w:sz w:val="20"/>
                <w:szCs w:val="20"/>
              </w:rPr>
              <w:t>82350.2</w:t>
            </w:r>
          </w:p>
        </w:tc>
        <w:tc>
          <w:tcPr>
            <w:tcW w:w="1350" w:type="dxa"/>
            <w:tcBorders>
              <w:bottom w:val="single" w:sz="4" w:space="0" w:color="auto"/>
            </w:tcBorders>
            <w:vAlign w:val="center"/>
          </w:tcPr>
          <w:p w:rsidR="00BF1A3B" w:rsidRPr="00A65481" w:rsidRDefault="00BF1A3B" w:rsidP="00BF1A3B">
            <w:pPr>
              <w:widowControl w:val="0"/>
              <w:tabs>
                <w:tab w:val="decimal" w:pos="538"/>
              </w:tabs>
              <w:autoSpaceDE w:val="0"/>
              <w:autoSpaceDN w:val="0"/>
              <w:adjustRightInd w:val="0"/>
              <w:ind w:left="-136" w:right="-108" w:firstLine="136"/>
              <w:jc w:val="center"/>
              <w:rPr>
                <w:sz w:val="20"/>
                <w:szCs w:val="20"/>
              </w:rPr>
            </w:pPr>
            <w:r w:rsidRPr="00A65481">
              <w:rPr>
                <w:sz w:val="20"/>
                <w:szCs w:val="20"/>
              </w:rPr>
              <w:t>82349.2</w:t>
            </w:r>
          </w:p>
        </w:tc>
      </w:tr>
      <w:tr w:rsidR="00BF1A3B" w:rsidRPr="00A65481" w:rsidTr="00BF1A3B">
        <w:tc>
          <w:tcPr>
            <w:tcW w:w="10080" w:type="dxa"/>
            <w:gridSpan w:val="6"/>
            <w:tcBorders>
              <w:top w:val="single" w:sz="4" w:space="0" w:color="auto"/>
              <w:bottom w:val="nil"/>
            </w:tcBorders>
            <w:vAlign w:val="center"/>
          </w:tcPr>
          <w:p w:rsidR="00BF1A3B" w:rsidRPr="0092607D" w:rsidRDefault="00BF1A3B" w:rsidP="00BF1A3B">
            <w:pPr>
              <w:widowControl w:val="0"/>
              <w:autoSpaceDE w:val="0"/>
              <w:autoSpaceDN w:val="0"/>
              <w:adjustRightInd w:val="0"/>
              <w:ind w:left="-90" w:right="-108"/>
              <w:rPr>
                <w:sz w:val="20"/>
                <w:szCs w:val="20"/>
              </w:rPr>
            </w:pPr>
            <w:r w:rsidRPr="002B0B42">
              <w:rPr>
                <w:sz w:val="16"/>
                <w:szCs w:val="16"/>
              </w:rPr>
              <w:t xml:space="preserve">* </w:t>
            </w:r>
            <w:r w:rsidRPr="002B0B42">
              <w:rPr>
                <w:i/>
                <w:iCs/>
                <w:sz w:val="16"/>
                <w:szCs w:val="16"/>
              </w:rPr>
              <w:t>p</w:t>
            </w:r>
            <w:r w:rsidRPr="002B0B42">
              <w:rPr>
                <w:sz w:val="16"/>
                <w:szCs w:val="16"/>
              </w:rPr>
              <w:t xml:space="preserve">&lt;0.05; ** </w:t>
            </w:r>
            <w:r w:rsidRPr="002B0B42">
              <w:rPr>
                <w:i/>
                <w:iCs/>
                <w:sz w:val="16"/>
                <w:szCs w:val="16"/>
              </w:rPr>
              <w:t>p</w:t>
            </w:r>
            <w:r w:rsidRPr="002B0B42">
              <w:rPr>
                <w:sz w:val="16"/>
                <w:szCs w:val="16"/>
              </w:rPr>
              <w:t>&lt;0.01</w:t>
            </w:r>
            <w:r>
              <w:rPr>
                <w:sz w:val="16"/>
                <w:szCs w:val="16"/>
              </w:rPr>
              <w:t xml:space="preserve">; *** </w:t>
            </w:r>
            <w:r>
              <w:rPr>
                <w:i/>
                <w:sz w:val="16"/>
                <w:szCs w:val="16"/>
              </w:rPr>
              <w:t>p</w:t>
            </w:r>
            <w:r>
              <w:rPr>
                <w:sz w:val="16"/>
                <w:szCs w:val="16"/>
              </w:rPr>
              <w:t>&lt;0.001</w:t>
            </w:r>
          </w:p>
        </w:tc>
      </w:tr>
    </w:tbl>
    <w:p w:rsidR="00BF1A3B" w:rsidRPr="00A65481" w:rsidRDefault="00BF1A3B" w:rsidP="00BF1A3B">
      <w:pPr>
        <w:rPr>
          <w:sz w:val="20"/>
          <w:szCs w:val="20"/>
        </w:rPr>
      </w:pPr>
    </w:p>
    <w:p w:rsidR="00BF1A3B" w:rsidRDefault="00BF1A3B" w:rsidP="00BF1A3B">
      <w:r>
        <w:rPr>
          <w:rFonts w:cs="Cambria"/>
          <w:b/>
          <w:color w:val="000000"/>
        </w:rPr>
        <w:br w:type="page"/>
      </w:r>
    </w:p>
    <w:tbl>
      <w:tblPr>
        <w:tblW w:w="10080" w:type="dxa"/>
        <w:jc w:val="center"/>
        <w:tblBorders>
          <w:top w:val="single" w:sz="6" w:space="0" w:color="BFBFBF"/>
          <w:left w:val="single" w:sz="6" w:space="0" w:color="BFBFBF"/>
          <w:right w:val="single" w:sz="6" w:space="0" w:color="BFBFBF"/>
        </w:tblBorders>
        <w:tblLayout w:type="fixed"/>
        <w:tblLook w:val="0000"/>
      </w:tblPr>
      <w:tblGrid>
        <w:gridCol w:w="3240"/>
        <w:gridCol w:w="1368"/>
        <w:gridCol w:w="1368"/>
        <w:gridCol w:w="1368"/>
        <w:gridCol w:w="1368"/>
        <w:gridCol w:w="1368"/>
      </w:tblGrid>
      <w:tr w:rsidR="00BF1A3B" w:rsidRPr="006E78E0" w:rsidTr="00BF1A3B">
        <w:trPr>
          <w:jc w:val="center"/>
        </w:trPr>
        <w:tc>
          <w:tcPr>
            <w:tcW w:w="10080" w:type="dxa"/>
            <w:gridSpan w:val="6"/>
            <w:tcBorders>
              <w:top w:val="nil"/>
              <w:left w:val="nil"/>
              <w:bottom w:val="single" w:sz="8" w:space="0" w:color="auto"/>
              <w:right w:val="nil"/>
            </w:tcBorders>
            <w:vAlign w:val="center"/>
          </w:tcPr>
          <w:p w:rsidR="00BF1A3B" w:rsidRPr="00E9156A" w:rsidRDefault="00BF1A3B" w:rsidP="00BF1A3B">
            <w:pPr>
              <w:rPr>
                <w:rFonts w:cs="Cambria"/>
                <w:b/>
                <w:color w:val="000000"/>
                <w:sz w:val="18"/>
                <w:szCs w:val="18"/>
              </w:rPr>
            </w:pPr>
            <w:r w:rsidRPr="00EC3197">
              <w:rPr>
                <w:rFonts w:cs="Cambria"/>
                <w:i/>
                <w:iCs/>
                <w:color w:val="000000"/>
                <w:sz w:val="20"/>
                <w:szCs w:val="20"/>
              </w:rPr>
              <w:lastRenderedPageBreak/>
              <w:t>Table 4a.</w:t>
            </w:r>
            <w:r w:rsidRPr="006E78E0">
              <w:rPr>
                <w:rFonts w:cs="Cambria"/>
                <w:color w:val="000000"/>
                <w:sz w:val="20"/>
                <w:szCs w:val="20"/>
              </w:rPr>
              <w:t xml:space="preserve">  </w:t>
            </w:r>
            <w:r w:rsidRPr="005469AF">
              <w:rPr>
                <w:rFonts w:cs="Cambria"/>
                <w:b/>
                <w:color w:val="000000"/>
                <w:sz w:val="20"/>
                <w:szCs w:val="20"/>
              </w:rPr>
              <w:t>Child-level</w:t>
            </w:r>
            <w:r>
              <w:rPr>
                <w:rFonts w:cs="Cambria"/>
                <w:color w:val="000000"/>
                <w:sz w:val="20"/>
                <w:szCs w:val="20"/>
              </w:rPr>
              <w:t xml:space="preserve"> coefficients and level of statistical significance in a</w:t>
            </w:r>
            <w:r w:rsidRPr="006E78E0">
              <w:rPr>
                <w:rFonts w:cs="Cambria"/>
                <w:color w:val="000000"/>
                <w:sz w:val="20"/>
                <w:szCs w:val="20"/>
              </w:rPr>
              <w:t xml:space="preserve"> taxonomy of </w:t>
            </w:r>
            <w:r w:rsidRPr="00324B69">
              <w:rPr>
                <w:sz w:val="20"/>
                <w:szCs w:val="20"/>
              </w:rPr>
              <w:t>select</w:t>
            </w:r>
            <w:r>
              <w:rPr>
                <w:sz w:val="20"/>
                <w:szCs w:val="20"/>
              </w:rPr>
              <w:t>ed</w:t>
            </w:r>
            <w:r w:rsidRPr="00324B69">
              <w:rPr>
                <w:sz w:val="20"/>
                <w:szCs w:val="20"/>
              </w:rPr>
              <w:t xml:space="preserve"> fitted multilevel</w:t>
            </w:r>
            <w:r w:rsidRPr="006E78E0">
              <w:rPr>
                <w:rFonts w:cs="Cambria"/>
                <w:color w:val="000000"/>
                <w:sz w:val="20"/>
                <w:szCs w:val="20"/>
              </w:rPr>
              <w:t xml:space="preserve"> </w:t>
            </w:r>
            <w:r>
              <w:rPr>
                <w:rFonts w:cs="Cambria"/>
                <w:color w:val="000000"/>
                <w:sz w:val="20"/>
                <w:szCs w:val="20"/>
              </w:rPr>
              <w:t xml:space="preserve">regression </w:t>
            </w:r>
            <w:r w:rsidRPr="006E78E0">
              <w:rPr>
                <w:rFonts w:cs="Cambria"/>
                <w:color w:val="000000"/>
                <w:sz w:val="20"/>
                <w:szCs w:val="20"/>
              </w:rPr>
              <w:t xml:space="preserve">models predicting performance on the MCAS English Language Arts </w:t>
            </w:r>
            <w:r>
              <w:rPr>
                <w:rFonts w:cs="Cambria"/>
                <w:color w:val="000000"/>
                <w:sz w:val="20"/>
                <w:szCs w:val="20"/>
              </w:rPr>
              <w:t>assessment for 8</w:t>
            </w:r>
            <w:r w:rsidRPr="004310DA">
              <w:rPr>
                <w:rFonts w:cs="Cambria"/>
                <w:color w:val="000000"/>
                <w:sz w:val="20"/>
                <w:szCs w:val="20"/>
                <w:vertAlign w:val="superscript"/>
              </w:rPr>
              <w:t>th</w:t>
            </w:r>
            <w:r>
              <w:rPr>
                <w:rFonts w:cs="Cambria"/>
                <w:color w:val="000000"/>
                <w:sz w:val="20"/>
                <w:szCs w:val="20"/>
              </w:rPr>
              <w:t xml:space="preserve"> grade students, nested in traditional school districts</w:t>
            </w:r>
            <w:r>
              <w:rPr>
                <w:rStyle w:val="FootnoteReference"/>
                <w:color w:val="000000"/>
                <w:sz w:val="20"/>
                <w:szCs w:val="20"/>
              </w:rPr>
              <w:footnoteReference w:id="28"/>
            </w:r>
            <w:r>
              <w:rPr>
                <w:rFonts w:cs="Cambria"/>
                <w:color w:val="000000"/>
                <w:sz w:val="20"/>
                <w:szCs w:val="20"/>
              </w:rPr>
              <w:t xml:space="preserve">, </w:t>
            </w:r>
            <w:r w:rsidRPr="00324B69">
              <w:rPr>
                <w:i/>
                <w:sz w:val="20"/>
                <w:szCs w:val="20"/>
              </w:rPr>
              <w:t>n</w:t>
            </w:r>
            <w:r w:rsidRPr="00324B69">
              <w:rPr>
                <w:sz w:val="20"/>
                <w:szCs w:val="20"/>
              </w:rPr>
              <w:t>=</w:t>
            </w:r>
            <w:r>
              <w:rPr>
                <w:sz w:val="20"/>
                <w:szCs w:val="20"/>
              </w:rPr>
              <w:t>68,622</w:t>
            </w:r>
            <w:r w:rsidRPr="00324B69">
              <w:rPr>
                <w:sz w:val="20"/>
                <w:szCs w:val="20"/>
              </w:rPr>
              <w:t xml:space="preserve"> </w:t>
            </w:r>
            <w:r>
              <w:rPr>
                <w:sz w:val="20"/>
                <w:szCs w:val="20"/>
              </w:rPr>
              <w:t>8</w:t>
            </w:r>
            <w:r w:rsidRPr="004310DA">
              <w:rPr>
                <w:sz w:val="20"/>
                <w:szCs w:val="20"/>
                <w:vertAlign w:val="superscript"/>
              </w:rPr>
              <w:t>th</w:t>
            </w:r>
            <w:r>
              <w:rPr>
                <w:sz w:val="20"/>
                <w:szCs w:val="20"/>
              </w:rPr>
              <w:t xml:space="preserve"> grade students </w:t>
            </w:r>
            <w:r w:rsidRPr="00324B69">
              <w:rPr>
                <w:sz w:val="20"/>
                <w:szCs w:val="20"/>
              </w:rPr>
              <w:t xml:space="preserve">nested in </w:t>
            </w:r>
            <w:r>
              <w:rPr>
                <w:sz w:val="20"/>
                <w:szCs w:val="20"/>
              </w:rPr>
              <w:t>239 school districts</w:t>
            </w:r>
            <w:r w:rsidRPr="00324B69">
              <w:rPr>
                <w:sz w:val="20"/>
                <w:szCs w:val="20"/>
              </w:rPr>
              <w:t xml:space="preserve"> </w:t>
            </w:r>
            <w:r>
              <w:rPr>
                <w:sz w:val="20"/>
                <w:szCs w:val="20"/>
              </w:rPr>
              <w:t>(random effects at the district level).</w:t>
            </w:r>
            <w:r>
              <w:rPr>
                <w:rStyle w:val="FootnoteReference"/>
                <w:sz w:val="20"/>
                <w:szCs w:val="20"/>
              </w:rPr>
              <w:t xml:space="preserve"> </w:t>
            </w:r>
            <w:r>
              <w:rPr>
                <w:rStyle w:val="FootnoteReference"/>
                <w:sz w:val="20"/>
                <w:szCs w:val="20"/>
              </w:rPr>
              <w:footnoteReference w:id="29"/>
            </w:r>
          </w:p>
        </w:tc>
      </w:tr>
      <w:tr w:rsidR="00BF1A3B" w:rsidRPr="006E78E0" w:rsidTr="00BF1A3B">
        <w:trPr>
          <w:jc w:val="center"/>
        </w:trPr>
        <w:tc>
          <w:tcPr>
            <w:tcW w:w="3240" w:type="dxa"/>
            <w:tcBorders>
              <w:top w:val="single" w:sz="8" w:space="0" w:color="auto"/>
              <w:left w:val="nil"/>
              <w:bottom w:val="nil"/>
              <w:right w:val="nil"/>
            </w:tcBorders>
            <w:vAlign w:val="center"/>
          </w:tcPr>
          <w:p w:rsidR="00BF1A3B" w:rsidRPr="006E78E0" w:rsidRDefault="00BF1A3B" w:rsidP="00BF1A3B">
            <w:pPr>
              <w:rPr>
                <w:rFonts w:cs="Cambria"/>
                <w:b/>
                <w:color w:val="000000"/>
                <w:sz w:val="20"/>
                <w:szCs w:val="20"/>
              </w:rPr>
            </w:pPr>
          </w:p>
        </w:tc>
        <w:tc>
          <w:tcPr>
            <w:tcW w:w="1368" w:type="dxa"/>
            <w:tcBorders>
              <w:top w:val="single" w:sz="8" w:space="0" w:color="auto"/>
              <w:left w:val="nil"/>
              <w:bottom w:val="nil"/>
              <w:right w:val="nil"/>
            </w:tcBorders>
            <w:vAlign w:val="center"/>
          </w:tcPr>
          <w:p w:rsidR="00BF1A3B" w:rsidRPr="00E9156A" w:rsidRDefault="00BF1A3B" w:rsidP="00BF1A3B">
            <w:pPr>
              <w:jc w:val="center"/>
              <w:rPr>
                <w:rFonts w:cs="Cambria"/>
                <w:b/>
                <w:color w:val="000000"/>
                <w:sz w:val="18"/>
                <w:szCs w:val="18"/>
              </w:rPr>
            </w:pPr>
            <w:r w:rsidRPr="00E9156A">
              <w:rPr>
                <w:rFonts w:cs="Cambria"/>
                <w:b/>
                <w:color w:val="000000"/>
                <w:sz w:val="18"/>
                <w:szCs w:val="18"/>
              </w:rPr>
              <w:t>M</w:t>
            </w:r>
            <w:r>
              <w:rPr>
                <w:rFonts w:cs="Cambria"/>
                <w:b/>
                <w:color w:val="000000"/>
                <w:sz w:val="18"/>
                <w:szCs w:val="18"/>
              </w:rPr>
              <w:t>odel 4.</w:t>
            </w:r>
            <w:r w:rsidRPr="00E9156A">
              <w:rPr>
                <w:rFonts w:cs="Cambria"/>
                <w:b/>
                <w:color w:val="000000"/>
                <w:sz w:val="18"/>
                <w:szCs w:val="18"/>
              </w:rPr>
              <w:t>1</w:t>
            </w:r>
          </w:p>
        </w:tc>
        <w:tc>
          <w:tcPr>
            <w:tcW w:w="1368" w:type="dxa"/>
            <w:tcBorders>
              <w:top w:val="single" w:sz="8" w:space="0" w:color="auto"/>
              <w:left w:val="nil"/>
              <w:bottom w:val="nil"/>
              <w:right w:val="nil"/>
            </w:tcBorders>
            <w:vAlign w:val="center"/>
          </w:tcPr>
          <w:p w:rsidR="00BF1A3B" w:rsidRPr="00E9156A" w:rsidRDefault="00BF1A3B" w:rsidP="00BF1A3B">
            <w:pPr>
              <w:jc w:val="center"/>
              <w:rPr>
                <w:rFonts w:cs="Cambria"/>
                <w:b/>
                <w:color w:val="000000"/>
                <w:sz w:val="18"/>
                <w:szCs w:val="18"/>
              </w:rPr>
            </w:pPr>
            <w:r w:rsidRPr="00E9156A">
              <w:rPr>
                <w:rFonts w:cs="Cambria"/>
                <w:b/>
                <w:color w:val="000000"/>
                <w:sz w:val="18"/>
                <w:szCs w:val="18"/>
              </w:rPr>
              <w:t>M</w:t>
            </w:r>
            <w:r>
              <w:rPr>
                <w:rFonts w:cs="Cambria"/>
                <w:b/>
                <w:color w:val="000000"/>
                <w:sz w:val="18"/>
                <w:szCs w:val="18"/>
              </w:rPr>
              <w:t>odel 4.</w:t>
            </w:r>
            <w:r w:rsidRPr="00E9156A">
              <w:rPr>
                <w:rFonts w:cs="Cambria"/>
                <w:b/>
                <w:color w:val="000000"/>
                <w:sz w:val="18"/>
                <w:szCs w:val="18"/>
              </w:rPr>
              <w:t>2</w:t>
            </w:r>
          </w:p>
        </w:tc>
        <w:tc>
          <w:tcPr>
            <w:tcW w:w="1368" w:type="dxa"/>
            <w:tcBorders>
              <w:top w:val="single" w:sz="8" w:space="0" w:color="auto"/>
              <w:left w:val="nil"/>
              <w:bottom w:val="nil"/>
              <w:right w:val="nil"/>
            </w:tcBorders>
            <w:vAlign w:val="center"/>
          </w:tcPr>
          <w:p w:rsidR="00BF1A3B" w:rsidRPr="00E9156A" w:rsidRDefault="00BF1A3B" w:rsidP="00BF1A3B">
            <w:pPr>
              <w:jc w:val="center"/>
              <w:rPr>
                <w:rFonts w:cs="Cambria"/>
                <w:b/>
                <w:color w:val="000000"/>
                <w:sz w:val="18"/>
                <w:szCs w:val="18"/>
              </w:rPr>
            </w:pPr>
            <w:r w:rsidRPr="00E9156A">
              <w:rPr>
                <w:rFonts w:cs="Cambria"/>
                <w:b/>
                <w:color w:val="000000"/>
                <w:sz w:val="18"/>
                <w:szCs w:val="18"/>
              </w:rPr>
              <w:t>M</w:t>
            </w:r>
            <w:r>
              <w:rPr>
                <w:rFonts w:cs="Cambria"/>
                <w:b/>
                <w:color w:val="000000"/>
                <w:sz w:val="18"/>
                <w:szCs w:val="18"/>
              </w:rPr>
              <w:t>odel 4.</w:t>
            </w:r>
            <w:r w:rsidRPr="00E9156A">
              <w:rPr>
                <w:rFonts w:cs="Cambria"/>
                <w:b/>
                <w:color w:val="000000"/>
                <w:sz w:val="18"/>
                <w:szCs w:val="18"/>
              </w:rPr>
              <w:t>3</w:t>
            </w:r>
          </w:p>
        </w:tc>
        <w:tc>
          <w:tcPr>
            <w:tcW w:w="1368" w:type="dxa"/>
            <w:tcBorders>
              <w:top w:val="single" w:sz="8" w:space="0" w:color="auto"/>
              <w:left w:val="nil"/>
              <w:bottom w:val="nil"/>
              <w:right w:val="nil"/>
            </w:tcBorders>
            <w:vAlign w:val="center"/>
          </w:tcPr>
          <w:p w:rsidR="00BF1A3B" w:rsidRPr="00E9156A" w:rsidRDefault="00BF1A3B" w:rsidP="00BF1A3B">
            <w:pPr>
              <w:jc w:val="center"/>
              <w:rPr>
                <w:rFonts w:cs="Cambria"/>
                <w:b/>
                <w:color w:val="000000"/>
                <w:sz w:val="18"/>
                <w:szCs w:val="18"/>
              </w:rPr>
            </w:pPr>
            <w:r w:rsidRPr="00E9156A">
              <w:rPr>
                <w:rFonts w:cs="Cambria"/>
                <w:b/>
                <w:color w:val="000000"/>
                <w:sz w:val="18"/>
                <w:szCs w:val="18"/>
              </w:rPr>
              <w:t>M</w:t>
            </w:r>
            <w:r>
              <w:rPr>
                <w:rFonts w:cs="Cambria"/>
                <w:b/>
                <w:color w:val="000000"/>
                <w:sz w:val="18"/>
                <w:szCs w:val="18"/>
              </w:rPr>
              <w:t>odel 4.</w:t>
            </w:r>
            <w:r w:rsidRPr="00E9156A">
              <w:rPr>
                <w:rFonts w:cs="Cambria"/>
                <w:b/>
                <w:color w:val="000000"/>
                <w:sz w:val="18"/>
                <w:szCs w:val="18"/>
              </w:rPr>
              <w:t>4</w:t>
            </w:r>
          </w:p>
        </w:tc>
        <w:tc>
          <w:tcPr>
            <w:tcW w:w="1368" w:type="dxa"/>
            <w:tcBorders>
              <w:top w:val="single" w:sz="8" w:space="0" w:color="auto"/>
              <w:left w:val="nil"/>
              <w:bottom w:val="nil"/>
              <w:right w:val="nil"/>
            </w:tcBorders>
            <w:vAlign w:val="center"/>
          </w:tcPr>
          <w:p w:rsidR="00BF1A3B" w:rsidRPr="00E9156A" w:rsidRDefault="00BF1A3B" w:rsidP="00BF1A3B">
            <w:pPr>
              <w:jc w:val="center"/>
              <w:rPr>
                <w:rFonts w:cs="Cambria"/>
                <w:b/>
                <w:color w:val="000000"/>
                <w:sz w:val="18"/>
                <w:szCs w:val="18"/>
              </w:rPr>
            </w:pPr>
            <w:r w:rsidRPr="00E9156A">
              <w:rPr>
                <w:rFonts w:cs="Cambria"/>
                <w:b/>
                <w:color w:val="000000"/>
                <w:sz w:val="18"/>
                <w:szCs w:val="18"/>
              </w:rPr>
              <w:t>M</w:t>
            </w:r>
            <w:r>
              <w:rPr>
                <w:rFonts w:cs="Cambria"/>
                <w:b/>
                <w:color w:val="000000"/>
                <w:sz w:val="18"/>
                <w:szCs w:val="18"/>
              </w:rPr>
              <w:t>odel 4.</w:t>
            </w:r>
            <w:r w:rsidRPr="00E9156A">
              <w:rPr>
                <w:rFonts w:cs="Cambria"/>
                <w:b/>
                <w:color w:val="000000"/>
                <w:sz w:val="18"/>
                <w:szCs w:val="18"/>
              </w:rPr>
              <w:t>5</w:t>
            </w: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491F05" w:rsidRDefault="00BF1A3B" w:rsidP="00BF1A3B">
            <w:pPr>
              <w:ind w:left="252" w:hanging="252"/>
              <w:rPr>
                <w:rFonts w:cs="Cambria"/>
                <w:i/>
                <w:color w:val="000000"/>
                <w:sz w:val="20"/>
                <w:szCs w:val="20"/>
              </w:rPr>
            </w:pPr>
            <w:r w:rsidRPr="00491F05">
              <w:rPr>
                <w:rFonts w:cs="Cambria"/>
                <w:i/>
                <w:color w:val="000000"/>
                <w:sz w:val="20"/>
                <w:szCs w:val="20"/>
              </w:rPr>
              <w:t>Intercept</w:t>
            </w: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r w:rsidRPr="006E78E0">
              <w:rPr>
                <w:rFonts w:cs="Cambria"/>
                <w:color w:val="000000"/>
                <w:sz w:val="20"/>
                <w:szCs w:val="20"/>
              </w:rPr>
              <w:t>1.95**</w:t>
            </w:r>
          </w:p>
        </w:tc>
        <w:tc>
          <w:tcPr>
            <w:tcW w:w="1368" w:type="dxa"/>
            <w:tcBorders>
              <w:top w:val="nil"/>
              <w:left w:val="nil"/>
              <w:bottom w:val="nil"/>
              <w:right w:val="nil"/>
            </w:tcBorders>
            <w:vAlign w:val="center"/>
          </w:tcPr>
          <w:p w:rsidR="00BF1A3B" w:rsidRPr="006E78E0" w:rsidRDefault="00BF1A3B" w:rsidP="00BF1A3B">
            <w:pPr>
              <w:tabs>
                <w:tab w:val="decimal" w:pos="414"/>
              </w:tabs>
              <w:rPr>
                <w:rFonts w:cs="Cambria"/>
                <w:color w:val="000000"/>
                <w:sz w:val="20"/>
                <w:szCs w:val="20"/>
              </w:rPr>
            </w:pPr>
            <w:r w:rsidRPr="006E78E0">
              <w:rPr>
                <w:rFonts w:cs="Cambria"/>
                <w:color w:val="000000"/>
                <w:sz w:val="20"/>
                <w:szCs w:val="20"/>
              </w:rPr>
              <w:t>1.87**</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r w:rsidRPr="006E78E0">
              <w:rPr>
                <w:rFonts w:cs="Cambria"/>
                <w:color w:val="000000"/>
                <w:sz w:val="20"/>
                <w:szCs w:val="20"/>
              </w:rPr>
              <w:t>1.87**</w:t>
            </w:r>
          </w:p>
        </w:tc>
        <w:tc>
          <w:tcPr>
            <w:tcW w:w="1368" w:type="dxa"/>
            <w:tcBorders>
              <w:top w:val="nil"/>
              <w:left w:val="nil"/>
              <w:bottom w:val="nil"/>
              <w:right w:val="single" w:sz="8" w:space="0" w:color="BFBFBF"/>
            </w:tcBorders>
            <w:vAlign w:val="center"/>
          </w:tcPr>
          <w:p w:rsidR="00BF1A3B" w:rsidRPr="006E78E0" w:rsidRDefault="00BF1A3B" w:rsidP="00BF1A3B">
            <w:pPr>
              <w:tabs>
                <w:tab w:val="decimal" w:pos="420"/>
              </w:tabs>
              <w:rPr>
                <w:rFonts w:cs="Cambria"/>
                <w:color w:val="000000"/>
                <w:sz w:val="20"/>
                <w:szCs w:val="20"/>
              </w:rPr>
            </w:pPr>
            <w:r w:rsidRPr="006E78E0">
              <w:rPr>
                <w:rFonts w:cs="Cambria"/>
                <w:color w:val="000000"/>
                <w:sz w:val="20"/>
                <w:szCs w:val="20"/>
              </w:rPr>
              <w:t>1.86**</w:t>
            </w:r>
          </w:p>
        </w:tc>
        <w:tc>
          <w:tcPr>
            <w:tcW w:w="1368" w:type="dxa"/>
            <w:tcBorders>
              <w:top w:val="nil"/>
              <w:left w:val="single" w:sz="8" w:space="0" w:color="BFBFBF"/>
              <w:bottom w:val="nil"/>
              <w:right w:val="nil"/>
            </w:tcBorders>
            <w:vAlign w:val="center"/>
          </w:tcPr>
          <w:p w:rsidR="00BF1A3B" w:rsidRPr="006E78E0" w:rsidRDefault="00BF1A3B" w:rsidP="00BF1A3B">
            <w:pPr>
              <w:tabs>
                <w:tab w:val="decimal" w:pos="450"/>
              </w:tabs>
              <w:rPr>
                <w:rFonts w:cs="Cambria"/>
                <w:color w:val="000000"/>
                <w:sz w:val="20"/>
                <w:szCs w:val="20"/>
              </w:rPr>
            </w:pPr>
            <w:r w:rsidRPr="006E78E0">
              <w:rPr>
                <w:rFonts w:cs="Cambria"/>
                <w:color w:val="000000"/>
                <w:sz w:val="20"/>
                <w:szCs w:val="20"/>
              </w:rPr>
              <w:t>1.86**</w:t>
            </w:r>
          </w:p>
        </w:tc>
      </w:tr>
      <w:tr w:rsidR="00BF1A3B" w:rsidRPr="00D55373" w:rsidTr="00BF1A3B">
        <w:tblPrEx>
          <w:tblBorders>
            <w:top w:val="none" w:sz="0" w:space="0" w:color="auto"/>
          </w:tblBorders>
        </w:tblPrEx>
        <w:trPr>
          <w:trHeight w:val="144"/>
          <w:jc w:val="center"/>
        </w:trPr>
        <w:tc>
          <w:tcPr>
            <w:tcW w:w="3240" w:type="dxa"/>
            <w:tcBorders>
              <w:top w:val="nil"/>
              <w:left w:val="nil"/>
              <w:bottom w:val="nil"/>
              <w:right w:val="nil"/>
            </w:tcBorders>
            <w:vAlign w:val="center"/>
          </w:tcPr>
          <w:p w:rsidR="00BF1A3B" w:rsidRPr="00D55373" w:rsidRDefault="00BF1A3B" w:rsidP="00BF1A3B">
            <w:pPr>
              <w:ind w:left="252" w:hanging="252"/>
              <w:rPr>
                <w:rFonts w:cs="Cambria"/>
                <w:color w:val="000000"/>
                <w:sz w:val="14"/>
                <w:szCs w:val="14"/>
                <w:u w:val="single"/>
              </w:rPr>
            </w:pPr>
          </w:p>
        </w:tc>
        <w:tc>
          <w:tcPr>
            <w:tcW w:w="1368" w:type="dxa"/>
            <w:tcBorders>
              <w:top w:val="nil"/>
              <w:left w:val="nil"/>
              <w:bottom w:val="nil"/>
              <w:right w:val="nil"/>
            </w:tcBorders>
            <w:vAlign w:val="center"/>
          </w:tcPr>
          <w:p w:rsidR="00BF1A3B" w:rsidRPr="00D55373" w:rsidRDefault="00BF1A3B" w:rsidP="00BF1A3B">
            <w:pPr>
              <w:tabs>
                <w:tab w:val="decimal" w:pos="420"/>
              </w:tabs>
              <w:rPr>
                <w:rFonts w:cs="Cambria"/>
                <w:color w:val="000000"/>
                <w:sz w:val="14"/>
                <w:szCs w:val="14"/>
              </w:rPr>
            </w:pPr>
          </w:p>
        </w:tc>
        <w:tc>
          <w:tcPr>
            <w:tcW w:w="1368" w:type="dxa"/>
            <w:tcBorders>
              <w:top w:val="nil"/>
              <w:left w:val="nil"/>
              <w:bottom w:val="nil"/>
              <w:right w:val="nil"/>
            </w:tcBorders>
            <w:vAlign w:val="center"/>
          </w:tcPr>
          <w:p w:rsidR="00BF1A3B" w:rsidRPr="00D55373" w:rsidRDefault="00BF1A3B" w:rsidP="00BF1A3B">
            <w:pPr>
              <w:tabs>
                <w:tab w:val="decimal" w:pos="414"/>
              </w:tabs>
              <w:rPr>
                <w:rFonts w:cs="Cambria"/>
                <w:color w:val="000000"/>
                <w:sz w:val="14"/>
                <w:szCs w:val="14"/>
              </w:rPr>
            </w:pPr>
          </w:p>
        </w:tc>
        <w:tc>
          <w:tcPr>
            <w:tcW w:w="1368" w:type="dxa"/>
            <w:tcBorders>
              <w:top w:val="nil"/>
              <w:left w:val="nil"/>
              <w:bottom w:val="nil"/>
              <w:right w:val="nil"/>
            </w:tcBorders>
            <w:vAlign w:val="center"/>
          </w:tcPr>
          <w:p w:rsidR="00BF1A3B" w:rsidRPr="00D55373" w:rsidRDefault="00BF1A3B" w:rsidP="00BF1A3B">
            <w:pPr>
              <w:tabs>
                <w:tab w:val="decimal" w:pos="396"/>
              </w:tabs>
              <w:rPr>
                <w:rFonts w:cs="Cambria"/>
                <w:color w:val="000000"/>
                <w:sz w:val="14"/>
                <w:szCs w:val="14"/>
              </w:rPr>
            </w:pPr>
          </w:p>
        </w:tc>
        <w:tc>
          <w:tcPr>
            <w:tcW w:w="1368" w:type="dxa"/>
            <w:tcBorders>
              <w:top w:val="nil"/>
              <w:left w:val="nil"/>
              <w:bottom w:val="nil"/>
              <w:right w:val="single" w:sz="8" w:space="0" w:color="BFBFBF"/>
            </w:tcBorders>
            <w:vAlign w:val="center"/>
          </w:tcPr>
          <w:p w:rsidR="00BF1A3B" w:rsidRPr="00D55373" w:rsidRDefault="00BF1A3B" w:rsidP="00BF1A3B">
            <w:pPr>
              <w:tabs>
                <w:tab w:val="decimal" w:pos="420"/>
              </w:tabs>
              <w:rPr>
                <w:rFonts w:cs="Cambria"/>
                <w:color w:val="000000"/>
                <w:sz w:val="14"/>
                <w:szCs w:val="14"/>
              </w:rPr>
            </w:pPr>
          </w:p>
        </w:tc>
        <w:tc>
          <w:tcPr>
            <w:tcW w:w="1368" w:type="dxa"/>
            <w:tcBorders>
              <w:top w:val="nil"/>
              <w:left w:val="single" w:sz="8" w:space="0" w:color="BFBFBF"/>
              <w:bottom w:val="nil"/>
              <w:right w:val="nil"/>
            </w:tcBorders>
            <w:vAlign w:val="center"/>
          </w:tcPr>
          <w:p w:rsidR="00BF1A3B" w:rsidRPr="00D55373" w:rsidRDefault="00BF1A3B" w:rsidP="00BF1A3B">
            <w:pPr>
              <w:tabs>
                <w:tab w:val="decimal" w:pos="450"/>
              </w:tabs>
              <w:rPr>
                <w:rFonts w:cs="Cambria"/>
                <w:color w:val="000000"/>
                <w:sz w:val="14"/>
                <w:szCs w:val="14"/>
              </w:rPr>
            </w:pP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796936" w:rsidRDefault="00BF1A3B" w:rsidP="00BF1A3B">
            <w:pPr>
              <w:ind w:left="252" w:hanging="252"/>
              <w:rPr>
                <w:rFonts w:cs="Cambria"/>
                <w:color w:val="000000"/>
                <w:sz w:val="20"/>
                <w:szCs w:val="20"/>
                <w:u w:val="single"/>
              </w:rPr>
            </w:pPr>
            <w:r>
              <w:rPr>
                <w:rFonts w:cs="Cambria"/>
                <w:color w:val="000000"/>
                <w:sz w:val="20"/>
                <w:szCs w:val="20"/>
                <w:u w:val="single"/>
              </w:rPr>
              <w:t>Child-Level Main Effects</w:t>
            </w: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14"/>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p>
        </w:tc>
        <w:tc>
          <w:tcPr>
            <w:tcW w:w="1368" w:type="dxa"/>
            <w:tcBorders>
              <w:top w:val="nil"/>
              <w:left w:val="nil"/>
              <w:bottom w:val="nil"/>
              <w:right w:val="single" w:sz="8" w:space="0" w:color="BFBFBF"/>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single" w:sz="8" w:space="0" w:color="BFBFBF"/>
              <w:bottom w:val="nil"/>
              <w:right w:val="nil"/>
            </w:tcBorders>
            <w:vAlign w:val="center"/>
          </w:tcPr>
          <w:p w:rsidR="00BF1A3B" w:rsidRPr="006E78E0" w:rsidRDefault="00BF1A3B" w:rsidP="00BF1A3B">
            <w:pPr>
              <w:tabs>
                <w:tab w:val="decimal" w:pos="450"/>
              </w:tabs>
              <w:rPr>
                <w:rFonts w:cs="Cambria"/>
                <w:color w:val="000000"/>
                <w:sz w:val="20"/>
                <w:szCs w:val="20"/>
              </w:rPr>
            </w:pP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EA28F1" w:rsidRDefault="00BF1A3B" w:rsidP="00BF1A3B">
            <w:pPr>
              <w:ind w:left="252" w:hanging="252"/>
              <w:rPr>
                <w:rFonts w:cs="Cambria"/>
                <w:i/>
                <w:color w:val="000000"/>
                <w:sz w:val="20"/>
                <w:szCs w:val="20"/>
              </w:rPr>
            </w:pPr>
            <w:r>
              <w:rPr>
                <w:rFonts w:cs="Cambria"/>
                <w:i/>
                <w:color w:val="000000"/>
                <w:sz w:val="20"/>
                <w:szCs w:val="20"/>
              </w:rPr>
              <w:t>Child has ‘High Incidence’ Disability Designation</w:t>
            </w: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r w:rsidRPr="006E78E0">
              <w:rPr>
                <w:rFonts w:cs="Cambria"/>
                <w:color w:val="000000"/>
                <w:sz w:val="20"/>
                <w:szCs w:val="20"/>
              </w:rPr>
              <w:t>-9.67**</w:t>
            </w:r>
          </w:p>
        </w:tc>
        <w:tc>
          <w:tcPr>
            <w:tcW w:w="1368" w:type="dxa"/>
            <w:tcBorders>
              <w:top w:val="nil"/>
              <w:left w:val="nil"/>
              <w:bottom w:val="nil"/>
              <w:right w:val="nil"/>
            </w:tcBorders>
            <w:vAlign w:val="center"/>
          </w:tcPr>
          <w:p w:rsidR="00BF1A3B" w:rsidRPr="006E78E0" w:rsidRDefault="00BF1A3B" w:rsidP="00BF1A3B">
            <w:pPr>
              <w:tabs>
                <w:tab w:val="decimal" w:pos="414"/>
              </w:tabs>
              <w:rPr>
                <w:rFonts w:cs="Cambria"/>
                <w:color w:val="000000"/>
                <w:sz w:val="20"/>
                <w:szCs w:val="20"/>
              </w:rPr>
            </w:pPr>
            <w:r w:rsidRPr="006E78E0">
              <w:rPr>
                <w:rFonts w:cs="Cambria"/>
                <w:color w:val="000000"/>
                <w:sz w:val="20"/>
                <w:szCs w:val="20"/>
              </w:rPr>
              <w:t>-9.98**</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r w:rsidRPr="006E78E0">
              <w:rPr>
                <w:rFonts w:cs="Cambria"/>
                <w:color w:val="000000"/>
                <w:sz w:val="20"/>
                <w:szCs w:val="20"/>
              </w:rPr>
              <w:t>-10.23**</w:t>
            </w:r>
          </w:p>
        </w:tc>
        <w:tc>
          <w:tcPr>
            <w:tcW w:w="1368" w:type="dxa"/>
            <w:tcBorders>
              <w:top w:val="nil"/>
              <w:left w:val="nil"/>
              <w:bottom w:val="nil"/>
              <w:right w:val="single" w:sz="8" w:space="0" w:color="BFBFBF"/>
            </w:tcBorders>
            <w:vAlign w:val="center"/>
          </w:tcPr>
          <w:p w:rsidR="00BF1A3B" w:rsidRPr="006E78E0" w:rsidRDefault="00BF1A3B" w:rsidP="00BF1A3B">
            <w:pPr>
              <w:tabs>
                <w:tab w:val="decimal" w:pos="420"/>
              </w:tabs>
              <w:rPr>
                <w:rFonts w:cs="Cambria"/>
                <w:color w:val="000000"/>
                <w:sz w:val="20"/>
                <w:szCs w:val="20"/>
              </w:rPr>
            </w:pPr>
            <w:r w:rsidRPr="006E78E0">
              <w:rPr>
                <w:rFonts w:cs="Cambria"/>
                <w:color w:val="000000"/>
                <w:sz w:val="20"/>
                <w:szCs w:val="20"/>
              </w:rPr>
              <w:t>-11.25**</w:t>
            </w:r>
          </w:p>
        </w:tc>
        <w:tc>
          <w:tcPr>
            <w:tcW w:w="1368" w:type="dxa"/>
            <w:tcBorders>
              <w:top w:val="nil"/>
              <w:left w:val="single" w:sz="8" w:space="0" w:color="BFBFBF"/>
              <w:bottom w:val="nil"/>
              <w:right w:val="nil"/>
            </w:tcBorders>
            <w:vAlign w:val="center"/>
          </w:tcPr>
          <w:p w:rsidR="00BF1A3B" w:rsidRPr="006E78E0" w:rsidRDefault="00BF1A3B" w:rsidP="00BF1A3B">
            <w:pPr>
              <w:tabs>
                <w:tab w:val="decimal" w:pos="450"/>
              </w:tabs>
              <w:rPr>
                <w:rFonts w:cs="Cambria"/>
                <w:color w:val="000000"/>
                <w:sz w:val="20"/>
                <w:szCs w:val="20"/>
              </w:rPr>
            </w:pPr>
            <w:r w:rsidRPr="006E78E0">
              <w:rPr>
                <w:rFonts w:cs="Cambria"/>
                <w:color w:val="000000"/>
                <w:sz w:val="20"/>
                <w:szCs w:val="20"/>
              </w:rPr>
              <w:t>-11.21**</w:t>
            </w: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Pr>
                <w:rFonts w:cs="Cambria"/>
                <w:i/>
                <w:color w:val="000000"/>
                <w:sz w:val="20"/>
                <w:szCs w:val="20"/>
              </w:rPr>
              <w:t>Child has another Disability Designation</w:t>
            </w: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r w:rsidRPr="006E78E0">
              <w:rPr>
                <w:rFonts w:cs="Cambria"/>
                <w:color w:val="000000"/>
                <w:sz w:val="20"/>
                <w:szCs w:val="20"/>
              </w:rPr>
              <w:t>-10.84**</w:t>
            </w:r>
          </w:p>
        </w:tc>
        <w:tc>
          <w:tcPr>
            <w:tcW w:w="1368" w:type="dxa"/>
            <w:tcBorders>
              <w:top w:val="nil"/>
              <w:left w:val="nil"/>
              <w:bottom w:val="nil"/>
              <w:right w:val="nil"/>
            </w:tcBorders>
            <w:vAlign w:val="center"/>
          </w:tcPr>
          <w:p w:rsidR="00BF1A3B" w:rsidRPr="006E78E0" w:rsidRDefault="00BF1A3B" w:rsidP="00BF1A3B">
            <w:pPr>
              <w:tabs>
                <w:tab w:val="decimal" w:pos="414"/>
              </w:tabs>
              <w:rPr>
                <w:rFonts w:cs="Cambria"/>
                <w:color w:val="000000"/>
                <w:sz w:val="20"/>
                <w:szCs w:val="20"/>
              </w:rPr>
            </w:pPr>
            <w:r w:rsidRPr="006E78E0">
              <w:rPr>
                <w:rFonts w:cs="Cambria"/>
                <w:color w:val="000000"/>
                <w:sz w:val="20"/>
                <w:szCs w:val="20"/>
              </w:rPr>
              <w:t>-9.60**</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r w:rsidRPr="006E78E0">
              <w:rPr>
                <w:rFonts w:cs="Cambria"/>
                <w:color w:val="000000"/>
                <w:sz w:val="20"/>
                <w:szCs w:val="20"/>
              </w:rPr>
              <w:t>-9.95**</w:t>
            </w:r>
          </w:p>
        </w:tc>
        <w:tc>
          <w:tcPr>
            <w:tcW w:w="1368" w:type="dxa"/>
            <w:tcBorders>
              <w:top w:val="nil"/>
              <w:left w:val="nil"/>
              <w:bottom w:val="nil"/>
              <w:right w:val="single" w:sz="8" w:space="0" w:color="BFBFBF"/>
            </w:tcBorders>
            <w:vAlign w:val="center"/>
          </w:tcPr>
          <w:p w:rsidR="00BF1A3B" w:rsidRPr="006E78E0" w:rsidRDefault="00BF1A3B" w:rsidP="00BF1A3B">
            <w:pPr>
              <w:tabs>
                <w:tab w:val="decimal" w:pos="420"/>
              </w:tabs>
              <w:rPr>
                <w:rFonts w:cs="Cambria"/>
                <w:color w:val="000000"/>
                <w:sz w:val="20"/>
                <w:szCs w:val="20"/>
              </w:rPr>
            </w:pPr>
            <w:r w:rsidRPr="006E78E0">
              <w:rPr>
                <w:rFonts w:cs="Cambria"/>
                <w:color w:val="000000"/>
                <w:sz w:val="20"/>
                <w:szCs w:val="20"/>
              </w:rPr>
              <w:t>-9.16**</w:t>
            </w:r>
          </w:p>
        </w:tc>
        <w:tc>
          <w:tcPr>
            <w:tcW w:w="1368" w:type="dxa"/>
            <w:tcBorders>
              <w:top w:val="nil"/>
              <w:left w:val="single" w:sz="8" w:space="0" w:color="BFBFBF"/>
              <w:bottom w:val="nil"/>
              <w:right w:val="nil"/>
            </w:tcBorders>
            <w:vAlign w:val="center"/>
          </w:tcPr>
          <w:p w:rsidR="00BF1A3B" w:rsidRPr="006E78E0" w:rsidRDefault="00BF1A3B" w:rsidP="00BF1A3B">
            <w:pPr>
              <w:tabs>
                <w:tab w:val="decimal" w:pos="450"/>
              </w:tabs>
              <w:rPr>
                <w:rFonts w:cs="Cambria"/>
                <w:color w:val="000000"/>
                <w:sz w:val="20"/>
                <w:szCs w:val="20"/>
              </w:rPr>
            </w:pPr>
            <w:r w:rsidRPr="006E78E0">
              <w:rPr>
                <w:rFonts w:cs="Cambria"/>
                <w:color w:val="000000"/>
                <w:sz w:val="20"/>
                <w:szCs w:val="20"/>
              </w:rPr>
              <w:t>-9.16**</w:t>
            </w: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sidRPr="00861D01">
              <w:rPr>
                <w:i/>
                <w:sz w:val="20"/>
                <w:szCs w:val="20"/>
              </w:rPr>
              <w:t>Child is Female</w:t>
            </w: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14"/>
              </w:tabs>
              <w:rPr>
                <w:rFonts w:cs="Cambria"/>
                <w:color w:val="000000"/>
                <w:sz w:val="20"/>
                <w:szCs w:val="20"/>
              </w:rPr>
            </w:pPr>
            <w:r w:rsidRPr="006E78E0">
              <w:rPr>
                <w:rFonts w:cs="Cambria"/>
                <w:color w:val="000000"/>
                <w:sz w:val="20"/>
                <w:szCs w:val="20"/>
              </w:rPr>
              <w:t>1.78**</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r w:rsidRPr="006E78E0">
              <w:rPr>
                <w:rFonts w:cs="Cambria"/>
                <w:color w:val="000000"/>
                <w:sz w:val="20"/>
                <w:szCs w:val="20"/>
              </w:rPr>
              <w:t>1.79**</w:t>
            </w:r>
          </w:p>
        </w:tc>
        <w:tc>
          <w:tcPr>
            <w:tcW w:w="1368" w:type="dxa"/>
            <w:tcBorders>
              <w:top w:val="nil"/>
              <w:left w:val="nil"/>
              <w:bottom w:val="nil"/>
              <w:right w:val="single" w:sz="8" w:space="0" w:color="BFBFBF"/>
            </w:tcBorders>
            <w:vAlign w:val="center"/>
          </w:tcPr>
          <w:p w:rsidR="00BF1A3B" w:rsidRPr="006E78E0" w:rsidRDefault="00BF1A3B" w:rsidP="00BF1A3B">
            <w:pPr>
              <w:tabs>
                <w:tab w:val="decimal" w:pos="420"/>
              </w:tabs>
              <w:rPr>
                <w:rFonts w:cs="Cambria"/>
                <w:color w:val="000000"/>
                <w:sz w:val="20"/>
                <w:szCs w:val="20"/>
              </w:rPr>
            </w:pPr>
            <w:r w:rsidRPr="006E78E0">
              <w:rPr>
                <w:rFonts w:cs="Cambria"/>
                <w:color w:val="000000"/>
                <w:sz w:val="20"/>
                <w:szCs w:val="20"/>
              </w:rPr>
              <w:t>1.91**</w:t>
            </w:r>
          </w:p>
        </w:tc>
        <w:tc>
          <w:tcPr>
            <w:tcW w:w="1368" w:type="dxa"/>
            <w:tcBorders>
              <w:top w:val="nil"/>
              <w:left w:val="single" w:sz="8" w:space="0" w:color="BFBFBF"/>
              <w:bottom w:val="nil"/>
              <w:right w:val="nil"/>
            </w:tcBorders>
            <w:vAlign w:val="center"/>
          </w:tcPr>
          <w:p w:rsidR="00BF1A3B" w:rsidRPr="006E78E0" w:rsidRDefault="00BF1A3B" w:rsidP="00BF1A3B">
            <w:pPr>
              <w:tabs>
                <w:tab w:val="decimal" w:pos="450"/>
              </w:tabs>
              <w:rPr>
                <w:rFonts w:cs="Cambria"/>
                <w:color w:val="000000"/>
                <w:sz w:val="20"/>
                <w:szCs w:val="20"/>
              </w:rPr>
            </w:pPr>
            <w:r w:rsidRPr="006E78E0">
              <w:rPr>
                <w:rFonts w:cs="Cambria"/>
                <w:color w:val="000000"/>
                <w:sz w:val="20"/>
                <w:szCs w:val="20"/>
              </w:rPr>
              <w:t>1.91**</w:t>
            </w: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sidRPr="00A65481">
              <w:rPr>
                <w:i/>
                <w:sz w:val="20"/>
                <w:szCs w:val="20"/>
              </w:rPr>
              <w:t xml:space="preserve">Child </w:t>
            </w:r>
            <w:r w:rsidRPr="00A65481">
              <w:rPr>
                <w:i/>
                <w:iCs/>
                <w:sz w:val="20"/>
                <w:szCs w:val="20"/>
              </w:rPr>
              <w:t>eligible for Free/ Reduced Price Lunch (FRPL)</w:t>
            </w: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14"/>
              </w:tabs>
              <w:rPr>
                <w:rFonts w:cs="Cambria"/>
                <w:color w:val="000000"/>
                <w:sz w:val="20"/>
                <w:szCs w:val="20"/>
              </w:rPr>
            </w:pPr>
            <w:r w:rsidRPr="006E78E0">
              <w:rPr>
                <w:rFonts w:cs="Cambria"/>
                <w:color w:val="000000"/>
                <w:sz w:val="20"/>
                <w:szCs w:val="20"/>
              </w:rPr>
              <w:t>-2.86**</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r w:rsidRPr="006E78E0">
              <w:rPr>
                <w:rFonts w:cs="Cambria"/>
                <w:color w:val="000000"/>
                <w:sz w:val="20"/>
                <w:szCs w:val="20"/>
              </w:rPr>
              <w:t>-2.91**</w:t>
            </w:r>
          </w:p>
        </w:tc>
        <w:tc>
          <w:tcPr>
            <w:tcW w:w="1368" w:type="dxa"/>
            <w:tcBorders>
              <w:top w:val="nil"/>
              <w:left w:val="nil"/>
              <w:bottom w:val="nil"/>
              <w:right w:val="single" w:sz="8" w:space="0" w:color="BFBFBF"/>
            </w:tcBorders>
            <w:vAlign w:val="center"/>
          </w:tcPr>
          <w:p w:rsidR="00BF1A3B" w:rsidRPr="006E78E0" w:rsidRDefault="00BF1A3B" w:rsidP="00BF1A3B">
            <w:pPr>
              <w:tabs>
                <w:tab w:val="decimal" w:pos="420"/>
              </w:tabs>
              <w:rPr>
                <w:rFonts w:cs="Cambria"/>
                <w:color w:val="000000"/>
                <w:sz w:val="20"/>
                <w:szCs w:val="20"/>
              </w:rPr>
            </w:pPr>
            <w:r w:rsidRPr="006E78E0">
              <w:rPr>
                <w:rFonts w:cs="Cambria"/>
                <w:color w:val="000000"/>
                <w:sz w:val="20"/>
                <w:szCs w:val="20"/>
              </w:rPr>
              <w:t>-3.07**</w:t>
            </w:r>
          </w:p>
        </w:tc>
        <w:tc>
          <w:tcPr>
            <w:tcW w:w="1368" w:type="dxa"/>
            <w:tcBorders>
              <w:top w:val="nil"/>
              <w:left w:val="single" w:sz="8" w:space="0" w:color="BFBFBF"/>
              <w:bottom w:val="nil"/>
              <w:right w:val="nil"/>
            </w:tcBorders>
            <w:vAlign w:val="center"/>
          </w:tcPr>
          <w:p w:rsidR="00BF1A3B" w:rsidRPr="006E78E0" w:rsidRDefault="00BF1A3B" w:rsidP="00BF1A3B">
            <w:pPr>
              <w:tabs>
                <w:tab w:val="decimal" w:pos="450"/>
              </w:tabs>
              <w:rPr>
                <w:rFonts w:cs="Cambria"/>
                <w:color w:val="000000"/>
                <w:sz w:val="20"/>
                <w:szCs w:val="20"/>
              </w:rPr>
            </w:pPr>
            <w:r w:rsidRPr="006E78E0">
              <w:rPr>
                <w:rFonts w:cs="Cambria"/>
                <w:color w:val="000000"/>
                <w:sz w:val="20"/>
                <w:szCs w:val="20"/>
              </w:rPr>
              <w:t>-3.07**</w:t>
            </w: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sidRPr="00861D01">
              <w:rPr>
                <w:i/>
                <w:sz w:val="20"/>
                <w:szCs w:val="20"/>
              </w:rPr>
              <w:t>Child has Limited English Proficiency</w:t>
            </w: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14"/>
              </w:tabs>
              <w:rPr>
                <w:rFonts w:cs="Cambria"/>
                <w:color w:val="000000"/>
                <w:sz w:val="20"/>
                <w:szCs w:val="20"/>
              </w:rPr>
            </w:pPr>
            <w:r w:rsidRPr="006E78E0">
              <w:rPr>
                <w:rFonts w:cs="Cambria"/>
                <w:color w:val="000000"/>
                <w:sz w:val="20"/>
                <w:szCs w:val="20"/>
              </w:rPr>
              <w:t>-10.87**</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r w:rsidRPr="006E78E0">
              <w:rPr>
                <w:rFonts w:cs="Cambria"/>
                <w:color w:val="000000"/>
                <w:sz w:val="20"/>
                <w:szCs w:val="20"/>
              </w:rPr>
              <w:t>-10.96**</w:t>
            </w:r>
          </w:p>
        </w:tc>
        <w:tc>
          <w:tcPr>
            <w:tcW w:w="1368" w:type="dxa"/>
            <w:tcBorders>
              <w:top w:val="nil"/>
              <w:left w:val="nil"/>
              <w:bottom w:val="nil"/>
              <w:right w:val="single" w:sz="8" w:space="0" w:color="BFBFBF"/>
            </w:tcBorders>
            <w:vAlign w:val="center"/>
          </w:tcPr>
          <w:p w:rsidR="00BF1A3B" w:rsidRPr="006E78E0" w:rsidRDefault="00BF1A3B" w:rsidP="00BF1A3B">
            <w:pPr>
              <w:tabs>
                <w:tab w:val="decimal" w:pos="420"/>
              </w:tabs>
              <w:rPr>
                <w:rFonts w:cs="Cambria"/>
                <w:color w:val="000000"/>
                <w:sz w:val="20"/>
                <w:szCs w:val="20"/>
              </w:rPr>
            </w:pPr>
            <w:r w:rsidRPr="006E78E0">
              <w:rPr>
                <w:rFonts w:cs="Cambria"/>
                <w:color w:val="000000"/>
                <w:sz w:val="20"/>
                <w:szCs w:val="20"/>
              </w:rPr>
              <w:t>-11.33**</w:t>
            </w:r>
          </w:p>
        </w:tc>
        <w:tc>
          <w:tcPr>
            <w:tcW w:w="1368" w:type="dxa"/>
            <w:tcBorders>
              <w:top w:val="nil"/>
              <w:left w:val="single" w:sz="8" w:space="0" w:color="BFBFBF"/>
              <w:bottom w:val="nil"/>
              <w:right w:val="nil"/>
            </w:tcBorders>
            <w:vAlign w:val="center"/>
          </w:tcPr>
          <w:p w:rsidR="00BF1A3B" w:rsidRPr="006E78E0" w:rsidRDefault="00BF1A3B" w:rsidP="00BF1A3B">
            <w:pPr>
              <w:tabs>
                <w:tab w:val="decimal" w:pos="450"/>
              </w:tabs>
              <w:rPr>
                <w:rFonts w:cs="Cambria"/>
                <w:color w:val="000000"/>
                <w:sz w:val="20"/>
                <w:szCs w:val="20"/>
              </w:rPr>
            </w:pPr>
            <w:r w:rsidRPr="006E78E0">
              <w:rPr>
                <w:rFonts w:cs="Cambria"/>
                <w:color w:val="000000"/>
                <w:sz w:val="20"/>
                <w:szCs w:val="20"/>
              </w:rPr>
              <w:t>-11.32**</w:t>
            </w: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sidRPr="00861D01">
              <w:rPr>
                <w:i/>
                <w:sz w:val="20"/>
                <w:szCs w:val="20"/>
              </w:rPr>
              <w:t>Child is Black</w:t>
            </w: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14"/>
              </w:tabs>
              <w:rPr>
                <w:rFonts w:cs="Cambria"/>
                <w:color w:val="000000"/>
                <w:sz w:val="20"/>
                <w:szCs w:val="20"/>
              </w:rPr>
            </w:pPr>
            <w:r w:rsidRPr="006E78E0">
              <w:rPr>
                <w:rFonts w:cs="Cambria"/>
                <w:color w:val="000000"/>
                <w:sz w:val="20"/>
                <w:szCs w:val="20"/>
              </w:rPr>
              <w:t>-1.82**</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r w:rsidRPr="006E78E0">
              <w:rPr>
                <w:rFonts w:cs="Cambria"/>
                <w:color w:val="000000"/>
                <w:sz w:val="20"/>
                <w:szCs w:val="20"/>
              </w:rPr>
              <w:t>-1.82**</w:t>
            </w:r>
          </w:p>
        </w:tc>
        <w:tc>
          <w:tcPr>
            <w:tcW w:w="1368" w:type="dxa"/>
            <w:tcBorders>
              <w:top w:val="nil"/>
              <w:left w:val="nil"/>
              <w:bottom w:val="nil"/>
              <w:right w:val="single" w:sz="8" w:space="0" w:color="BFBFBF"/>
            </w:tcBorders>
            <w:vAlign w:val="center"/>
          </w:tcPr>
          <w:p w:rsidR="00BF1A3B" w:rsidRPr="006E78E0" w:rsidRDefault="00BF1A3B" w:rsidP="00BF1A3B">
            <w:pPr>
              <w:tabs>
                <w:tab w:val="decimal" w:pos="420"/>
              </w:tabs>
              <w:rPr>
                <w:rFonts w:cs="Cambria"/>
                <w:color w:val="000000"/>
                <w:sz w:val="20"/>
                <w:szCs w:val="20"/>
              </w:rPr>
            </w:pPr>
            <w:r w:rsidRPr="006E78E0">
              <w:rPr>
                <w:rFonts w:cs="Cambria"/>
                <w:color w:val="000000"/>
                <w:sz w:val="20"/>
                <w:szCs w:val="20"/>
              </w:rPr>
              <w:t>-1.68**</w:t>
            </w:r>
          </w:p>
        </w:tc>
        <w:tc>
          <w:tcPr>
            <w:tcW w:w="1368" w:type="dxa"/>
            <w:tcBorders>
              <w:top w:val="nil"/>
              <w:left w:val="single" w:sz="8" w:space="0" w:color="BFBFBF"/>
              <w:bottom w:val="nil"/>
              <w:right w:val="nil"/>
            </w:tcBorders>
            <w:vAlign w:val="center"/>
          </w:tcPr>
          <w:p w:rsidR="00BF1A3B" w:rsidRPr="006E78E0" w:rsidRDefault="00BF1A3B" w:rsidP="00BF1A3B">
            <w:pPr>
              <w:tabs>
                <w:tab w:val="decimal" w:pos="450"/>
              </w:tabs>
              <w:rPr>
                <w:rFonts w:cs="Cambria"/>
                <w:color w:val="000000"/>
                <w:sz w:val="20"/>
                <w:szCs w:val="20"/>
              </w:rPr>
            </w:pPr>
            <w:r w:rsidRPr="006E78E0">
              <w:rPr>
                <w:rFonts w:cs="Cambria"/>
                <w:color w:val="000000"/>
                <w:sz w:val="20"/>
                <w:szCs w:val="20"/>
              </w:rPr>
              <w:t>-1.69**</w:t>
            </w: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sidRPr="00861D01">
              <w:rPr>
                <w:i/>
                <w:sz w:val="20"/>
                <w:szCs w:val="20"/>
              </w:rPr>
              <w:t>Child is Hispanic</w:t>
            </w: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14"/>
              </w:tabs>
              <w:rPr>
                <w:rFonts w:cs="Cambria"/>
                <w:color w:val="000000"/>
                <w:sz w:val="20"/>
                <w:szCs w:val="20"/>
              </w:rPr>
            </w:pPr>
            <w:r w:rsidRPr="006E78E0">
              <w:rPr>
                <w:rFonts w:cs="Cambria"/>
                <w:color w:val="000000"/>
                <w:sz w:val="20"/>
                <w:szCs w:val="20"/>
              </w:rPr>
              <w:t>-1.77**</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r w:rsidRPr="006E78E0">
              <w:rPr>
                <w:rFonts w:cs="Cambria"/>
                <w:color w:val="000000"/>
                <w:sz w:val="20"/>
                <w:szCs w:val="20"/>
              </w:rPr>
              <w:t>-1.75**</w:t>
            </w:r>
          </w:p>
        </w:tc>
        <w:tc>
          <w:tcPr>
            <w:tcW w:w="1368" w:type="dxa"/>
            <w:tcBorders>
              <w:top w:val="nil"/>
              <w:left w:val="nil"/>
              <w:bottom w:val="nil"/>
              <w:right w:val="single" w:sz="8" w:space="0" w:color="BFBFBF"/>
            </w:tcBorders>
            <w:vAlign w:val="center"/>
          </w:tcPr>
          <w:p w:rsidR="00BF1A3B" w:rsidRPr="006E78E0" w:rsidRDefault="00BF1A3B" w:rsidP="00BF1A3B">
            <w:pPr>
              <w:tabs>
                <w:tab w:val="decimal" w:pos="420"/>
              </w:tabs>
              <w:rPr>
                <w:rFonts w:cs="Cambria"/>
                <w:color w:val="000000"/>
                <w:sz w:val="20"/>
                <w:szCs w:val="20"/>
              </w:rPr>
            </w:pPr>
            <w:r w:rsidRPr="006E78E0">
              <w:rPr>
                <w:rFonts w:cs="Cambria"/>
                <w:color w:val="000000"/>
                <w:sz w:val="20"/>
                <w:szCs w:val="20"/>
              </w:rPr>
              <w:t>-1.74**</w:t>
            </w:r>
          </w:p>
        </w:tc>
        <w:tc>
          <w:tcPr>
            <w:tcW w:w="1368" w:type="dxa"/>
            <w:tcBorders>
              <w:top w:val="nil"/>
              <w:left w:val="single" w:sz="8" w:space="0" w:color="BFBFBF"/>
              <w:bottom w:val="nil"/>
              <w:right w:val="nil"/>
            </w:tcBorders>
            <w:vAlign w:val="center"/>
          </w:tcPr>
          <w:p w:rsidR="00BF1A3B" w:rsidRPr="006E78E0" w:rsidRDefault="00BF1A3B" w:rsidP="00BF1A3B">
            <w:pPr>
              <w:tabs>
                <w:tab w:val="decimal" w:pos="450"/>
              </w:tabs>
              <w:rPr>
                <w:rFonts w:cs="Cambria"/>
                <w:color w:val="000000"/>
                <w:sz w:val="20"/>
                <w:szCs w:val="20"/>
              </w:rPr>
            </w:pPr>
            <w:r w:rsidRPr="006E78E0">
              <w:rPr>
                <w:rFonts w:cs="Cambria"/>
                <w:color w:val="000000"/>
                <w:sz w:val="20"/>
                <w:szCs w:val="20"/>
              </w:rPr>
              <w:t>-1.74**</w:t>
            </w: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sidRPr="00861D01">
              <w:rPr>
                <w:i/>
                <w:sz w:val="20"/>
                <w:szCs w:val="20"/>
              </w:rPr>
              <w:t>Child is Asian</w:t>
            </w: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14"/>
              </w:tabs>
              <w:rPr>
                <w:rFonts w:cs="Cambria"/>
                <w:color w:val="000000"/>
                <w:sz w:val="20"/>
                <w:szCs w:val="20"/>
              </w:rPr>
            </w:pPr>
            <w:r w:rsidRPr="006E78E0">
              <w:rPr>
                <w:rFonts w:cs="Cambria"/>
                <w:color w:val="000000"/>
                <w:sz w:val="20"/>
                <w:szCs w:val="20"/>
              </w:rPr>
              <w:t>1.64**</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r w:rsidRPr="006E78E0">
              <w:rPr>
                <w:rFonts w:cs="Cambria"/>
                <w:color w:val="000000"/>
                <w:sz w:val="20"/>
                <w:szCs w:val="20"/>
              </w:rPr>
              <w:t>1.68**</w:t>
            </w:r>
          </w:p>
        </w:tc>
        <w:tc>
          <w:tcPr>
            <w:tcW w:w="1368" w:type="dxa"/>
            <w:tcBorders>
              <w:top w:val="nil"/>
              <w:left w:val="nil"/>
              <w:bottom w:val="nil"/>
              <w:right w:val="single" w:sz="8" w:space="0" w:color="BFBFBF"/>
            </w:tcBorders>
            <w:vAlign w:val="center"/>
          </w:tcPr>
          <w:p w:rsidR="00BF1A3B" w:rsidRPr="006E78E0" w:rsidRDefault="00BF1A3B" w:rsidP="00BF1A3B">
            <w:pPr>
              <w:tabs>
                <w:tab w:val="decimal" w:pos="420"/>
              </w:tabs>
              <w:rPr>
                <w:rFonts w:cs="Cambria"/>
                <w:color w:val="000000"/>
                <w:sz w:val="20"/>
                <w:szCs w:val="20"/>
              </w:rPr>
            </w:pPr>
            <w:r w:rsidRPr="006E78E0">
              <w:rPr>
                <w:rFonts w:cs="Cambria"/>
                <w:color w:val="000000"/>
                <w:sz w:val="20"/>
                <w:szCs w:val="20"/>
              </w:rPr>
              <w:t>1.74**</w:t>
            </w:r>
          </w:p>
        </w:tc>
        <w:tc>
          <w:tcPr>
            <w:tcW w:w="1368" w:type="dxa"/>
            <w:tcBorders>
              <w:top w:val="nil"/>
              <w:left w:val="single" w:sz="8" w:space="0" w:color="BFBFBF"/>
              <w:bottom w:val="nil"/>
              <w:right w:val="nil"/>
            </w:tcBorders>
            <w:vAlign w:val="center"/>
          </w:tcPr>
          <w:p w:rsidR="00BF1A3B" w:rsidRPr="006E78E0" w:rsidRDefault="00BF1A3B" w:rsidP="00BF1A3B">
            <w:pPr>
              <w:tabs>
                <w:tab w:val="decimal" w:pos="450"/>
              </w:tabs>
              <w:rPr>
                <w:rFonts w:cs="Cambria"/>
                <w:color w:val="000000"/>
                <w:sz w:val="20"/>
                <w:szCs w:val="20"/>
              </w:rPr>
            </w:pPr>
            <w:r w:rsidRPr="006E78E0">
              <w:rPr>
                <w:rFonts w:cs="Cambria"/>
                <w:color w:val="000000"/>
                <w:sz w:val="20"/>
                <w:szCs w:val="20"/>
              </w:rPr>
              <w:t>1.74**</w:t>
            </w: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sidRPr="00861D01">
              <w:rPr>
                <w:i/>
                <w:sz w:val="20"/>
                <w:szCs w:val="20"/>
              </w:rPr>
              <w:t>Child is American Indian</w:t>
            </w: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14"/>
              </w:tabs>
              <w:rPr>
                <w:rFonts w:cs="Cambria"/>
                <w:color w:val="000000"/>
                <w:sz w:val="20"/>
                <w:szCs w:val="20"/>
              </w:rPr>
            </w:pPr>
            <w:r w:rsidRPr="006E78E0">
              <w:rPr>
                <w:rFonts w:cs="Cambria"/>
                <w:color w:val="000000"/>
                <w:sz w:val="20"/>
                <w:szCs w:val="20"/>
              </w:rPr>
              <w:t>-1.80**</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r w:rsidRPr="006E78E0">
              <w:rPr>
                <w:rFonts w:cs="Cambria"/>
                <w:color w:val="000000"/>
                <w:sz w:val="20"/>
                <w:szCs w:val="20"/>
              </w:rPr>
              <w:t>-1.85**</w:t>
            </w:r>
          </w:p>
        </w:tc>
        <w:tc>
          <w:tcPr>
            <w:tcW w:w="1368" w:type="dxa"/>
            <w:tcBorders>
              <w:top w:val="nil"/>
              <w:left w:val="nil"/>
              <w:bottom w:val="nil"/>
              <w:right w:val="single" w:sz="8" w:space="0" w:color="BFBFBF"/>
            </w:tcBorders>
            <w:vAlign w:val="center"/>
          </w:tcPr>
          <w:p w:rsidR="00BF1A3B" w:rsidRPr="006E78E0" w:rsidRDefault="00BF1A3B" w:rsidP="00BF1A3B">
            <w:pPr>
              <w:tabs>
                <w:tab w:val="decimal" w:pos="420"/>
              </w:tabs>
              <w:rPr>
                <w:rFonts w:cs="Cambria"/>
                <w:color w:val="000000"/>
                <w:sz w:val="20"/>
                <w:szCs w:val="20"/>
              </w:rPr>
            </w:pPr>
            <w:r w:rsidRPr="006E78E0">
              <w:rPr>
                <w:rFonts w:cs="Cambria"/>
                <w:color w:val="000000"/>
                <w:sz w:val="20"/>
                <w:szCs w:val="20"/>
              </w:rPr>
              <w:t>-1.67**</w:t>
            </w:r>
          </w:p>
        </w:tc>
        <w:tc>
          <w:tcPr>
            <w:tcW w:w="1368" w:type="dxa"/>
            <w:tcBorders>
              <w:top w:val="nil"/>
              <w:left w:val="single" w:sz="8" w:space="0" w:color="BFBFBF"/>
              <w:bottom w:val="nil"/>
              <w:right w:val="nil"/>
            </w:tcBorders>
            <w:vAlign w:val="center"/>
          </w:tcPr>
          <w:p w:rsidR="00BF1A3B" w:rsidRPr="006E78E0" w:rsidRDefault="00BF1A3B" w:rsidP="00BF1A3B">
            <w:pPr>
              <w:tabs>
                <w:tab w:val="decimal" w:pos="450"/>
              </w:tabs>
              <w:rPr>
                <w:rFonts w:cs="Cambria"/>
                <w:color w:val="000000"/>
                <w:sz w:val="20"/>
                <w:szCs w:val="20"/>
              </w:rPr>
            </w:pPr>
            <w:r w:rsidRPr="006E78E0">
              <w:rPr>
                <w:rFonts w:cs="Cambria"/>
                <w:color w:val="000000"/>
                <w:sz w:val="20"/>
                <w:szCs w:val="20"/>
              </w:rPr>
              <w:t>-1.67**</w:t>
            </w: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sidRPr="00861D01">
              <w:rPr>
                <w:i/>
                <w:sz w:val="20"/>
                <w:szCs w:val="20"/>
              </w:rPr>
              <w:t>Child is ‘Other’</w:t>
            </w: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14"/>
              </w:tabs>
              <w:rPr>
                <w:rFonts w:cs="Cambria"/>
                <w:color w:val="000000"/>
                <w:sz w:val="20"/>
                <w:szCs w:val="20"/>
              </w:rPr>
            </w:pPr>
            <w:r w:rsidRPr="006E78E0">
              <w:rPr>
                <w:rFonts w:cs="Cambria"/>
                <w:color w:val="000000"/>
                <w:sz w:val="20"/>
                <w:szCs w:val="20"/>
              </w:rPr>
              <w:t>0.39*</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r w:rsidRPr="006E78E0">
              <w:rPr>
                <w:rFonts w:cs="Cambria"/>
                <w:color w:val="000000"/>
                <w:sz w:val="20"/>
                <w:szCs w:val="20"/>
              </w:rPr>
              <w:t>0.42**</w:t>
            </w:r>
          </w:p>
        </w:tc>
        <w:tc>
          <w:tcPr>
            <w:tcW w:w="1368" w:type="dxa"/>
            <w:tcBorders>
              <w:top w:val="nil"/>
              <w:left w:val="nil"/>
              <w:bottom w:val="nil"/>
              <w:right w:val="single" w:sz="8" w:space="0" w:color="BFBFBF"/>
            </w:tcBorders>
            <w:vAlign w:val="center"/>
          </w:tcPr>
          <w:p w:rsidR="00BF1A3B" w:rsidRPr="006E78E0" w:rsidRDefault="00BF1A3B" w:rsidP="00BF1A3B">
            <w:pPr>
              <w:tabs>
                <w:tab w:val="decimal" w:pos="420"/>
              </w:tabs>
              <w:rPr>
                <w:rFonts w:cs="Cambria"/>
                <w:color w:val="000000"/>
                <w:sz w:val="20"/>
                <w:szCs w:val="20"/>
              </w:rPr>
            </w:pPr>
            <w:r w:rsidRPr="006E78E0">
              <w:rPr>
                <w:rFonts w:cs="Cambria"/>
                <w:color w:val="000000"/>
                <w:sz w:val="20"/>
                <w:szCs w:val="20"/>
              </w:rPr>
              <w:t>0.50**</w:t>
            </w:r>
          </w:p>
        </w:tc>
        <w:tc>
          <w:tcPr>
            <w:tcW w:w="1368" w:type="dxa"/>
            <w:tcBorders>
              <w:top w:val="nil"/>
              <w:left w:val="single" w:sz="8" w:space="0" w:color="BFBFBF"/>
              <w:bottom w:val="nil"/>
              <w:right w:val="nil"/>
            </w:tcBorders>
            <w:vAlign w:val="center"/>
          </w:tcPr>
          <w:p w:rsidR="00BF1A3B" w:rsidRPr="006E78E0" w:rsidRDefault="00BF1A3B" w:rsidP="00BF1A3B">
            <w:pPr>
              <w:tabs>
                <w:tab w:val="decimal" w:pos="450"/>
              </w:tabs>
              <w:rPr>
                <w:rFonts w:cs="Cambria"/>
                <w:color w:val="000000"/>
                <w:sz w:val="20"/>
                <w:szCs w:val="20"/>
              </w:rPr>
            </w:pPr>
            <w:r w:rsidRPr="006E78E0">
              <w:rPr>
                <w:rFonts w:cs="Cambria"/>
                <w:color w:val="000000"/>
                <w:sz w:val="20"/>
                <w:szCs w:val="20"/>
              </w:rPr>
              <w:t>0.49**</w:t>
            </w: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C11F15" w:rsidRDefault="00BF1A3B" w:rsidP="00BF1A3B">
            <w:pPr>
              <w:ind w:left="252" w:hanging="252"/>
              <w:rPr>
                <w:rFonts w:cs="Cambria"/>
                <w:i/>
                <w:color w:val="000000"/>
                <w:sz w:val="20"/>
                <w:szCs w:val="20"/>
              </w:rPr>
            </w:pPr>
            <w:r>
              <w:rPr>
                <w:rFonts w:cs="Cambria"/>
                <w:i/>
                <w:color w:val="000000"/>
                <w:sz w:val="20"/>
                <w:szCs w:val="20"/>
              </w:rPr>
              <w:t>Child is in METCO Program</w:t>
            </w: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14"/>
              </w:tabs>
              <w:rPr>
                <w:rFonts w:cs="Cambria"/>
                <w:color w:val="000000"/>
                <w:sz w:val="20"/>
                <w:szCs w:val="20"/>
              </w:rPr>
            </w:pPr>
            <w:r w:rsidRPr="006E78E0">
              <w:rPr>
                <w:rFonts w:cs="Cambria"/>
                <w:color w:val="000000"/>
                <w:sz w:val="20"/>
                <w:szCs w:val="20"/>
              </w:rPr>
              <w:t>-0.69</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r w:rsidRPr="006E78E0">
              <w:rPr>
                <w:rFonts w:cs="Cambria"/>
                <w:color w:val="000000"/>
                <w:sz w:val="20"/>
                <w:szCs w:val="20"/>
              </w:rPr>
              <w:t>-0.74</w:t>
            </w:r>
          </w:p>
        </w:tc>
        <w:tc>
          <w:tcPr>
            <w:tcW w:w="1368" w:type="dxa"/>
            <w:tcBorders>
              <w:top w:val="nil"/>
              <w:left w:val="nil"/>
              <w:bottom w:val="nil"/>
              <w:right w:val="single" w:sz="8" w:space="0" w:color="BFBFBF"/>
            </w:tcBorders>
            <w:vAlign w:val="center"/>
          </w:tcPr>
          <w:p w:rsidR="00BF1A3B" w:rsidRPr="006E78E0" w:rsidRDefault="00BF1A3B" w:rsidP="00BF1A3B">
            <w:pPr>
              <w:tabs>
                <w:tab w:val="decimal" w:pos="420"/>
              </w:tabs>
              <w:rPr>
                <w:rFonts w:cs="Cambria"/>
                <w:color w:val="000000"/>
                <w:sz w:val="20"/>
                <w:szCs w:val="20"/>
              </w:rPr>
            </w:pPr>
            <w:r w:rsidRPr="006E78E0">
              <w:rPr>
                <w:rFonts w:cs="Cambria"/>
                <w:color w:val="000000"/>
                <w:sz w:val="20"/>
                <w:szCs w:val="20"/>
              </w:rPr>
              <w:t>-0.96*</w:t>
            </w:r>
          </w:p>
        </w:tc>
        <w:tc>
          <w:tcPr>
            <w:tcW w:w="1368" w:type="dxa"/>
            <w:tcBorders>
              <w:top w:val="nil"/>
              <w:left w:val="single" w:sz="8" w:space="0" w:color="BFBFBF"/>
              <w:bottom w:val="nil"/>
              <w:right w:val="nil"/>
            </w:tcBorders>
            <w:vAlign w:val="center"/>
          </w:tcPr>
          <w:p w:rsidR="00BF1A3B" w:rsidRPr="006E78E0" w:rsidRDefault="00BF1A3B" w:rsidP="00BF1A3B">
            <w:pPr>
              <w:tabs>
                <w:tab w:val="decimal" w:pos="450"/>
              </w:tabs>
              <w:rPr>
                <w:rFonts w:cs="Cambria"/>
                <w:color w:val="000000"/>
                <w:sz w:val="20"/>
                <w:szCs w:val="20"/>
              </w:rPr>
            </w:pPr>
            <w:r w:rsidRPr="006E78E0">
              <w:rPr>
                <w:rFonts w:cs="Cambria"/>
                <w:color w:val="000000"/>
                <w:sz w:val="20"/>
                <w:szCs w:val="20"/>
              </w:rPr>
              <w:t>-0.94*</w:t>
            </w: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C11F15" w:rsidRDefault="00BF1A3B" w:rsidP="00BF1A3B">
            <w:pPr>
              <w:ind w:left="252" w:hanging="252"/>
              <w:rPr>
                <w:rFonts w:cs="Cambria"/>
                <w:i/>
                <w:color w:val="000000"/>
                <w:sz w:val="20"/>
                <w:szCs w:val="20"/>
              </w:rPr>
            </w:pPr>
            <w:r>
              <w:rPr>
                <w:rFonts w:cs="Cambria"/>
                <w:i/>
                <w:color w:val="000000"/>
                <w:sz w:val="20"/>
                <w:szCs w:val="20"/>
              </w:rPr>
              <w:t>Child is Included in Mainstream Classes 40-79% of School Day</w:t>
            </w: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14"/>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p>
        </w:tc>
        <w:tc>
          <w:tcPr>
            <w:tcW w:w="1368" w:type="dxa"/>
            <w:tcBorders>
              <w:top w:val="nil"/>
              <w:left w:val="nil"/>
              <w:bottom w:val="nil"/>
              <w:right w:val="single" w:sz="8" w:space="0" w:color="BFBFBF"/>
            </w:tcBorders>
            <w:vAlign w:val="center"/>
          </w:tcPr>
          <w:p w:rsidR="00BF1A3B" w:rsidRPr="006E78E0" w:rsidRDefault="00BF1A3B" w:rsidP="00BF1A3B">
            <w:pPr>
              <w:tabs>
                <w:tab w:val="decimal" w:pos="420"/>
              </w:tabs>
              <w:rPr>
                <w:rFonts w:cs="Cambria"/>
                <w:color w:val="000000"/>
                <w:sz w:val="20"/>
                <w:szCs w:val="20"/>
              </w:rPr>
            </w:pPr>
            <w:r w:rsidRPr="006E78E0">
              <w:rPr>
                <w:rFonts w:cs="Cambria"/>
                <w:color w:val="000000"/>
                <w:sz w:val="20"/>
                <w:szCs w:val="20"/>
              </w:rPr>
              <w:t>-7.26**</w:t>
            </w:r>
          </w:p>
        </w:tc>
        <w:tc>
          <w:tcPr>
            <w:tcW w:w="1368" w:type="dxa"/>
            <w:tcBorders>
              <w:top w:val="nil"/>
              <w:left w:val="single" w:sz="8" w:space="0" w:color="BFBFBF"/>
              <w:bottom w:val="nil"/>
              <w:right w:val="nil"/>
            </w:tcBorders>
            <w:vAlign w:val="center"/>
          </w:tcPr>
          <w:p w:rsidR="00BF1A3B" w:rsidRPr="006E78E0" w:rsidRDefault="00BF1A3B" w:rsidP="00BF1A3B">
            <w:pPr>
              <w:tabs>
                <w:tab w:val="decimal" w:pos="450"/>
              </w:tabs>
              <w:rPr>
                <w:rFonts w:cs="Cambria"/>
                <w:color w:val="000000"/>
                <w:sz w:val="20"/>
                <w:szCs w:val="20"/>
              </w:rPr>
            </w:pPr>
            <w:r w:rsidRPr="006E78E0">
              <w:rPr>
                <w:rFonts w:cs="Cambria"/>
                <w:color w:val="000000"/>
                <w:sz w:val="20"/>
                <w:szCs w:val="20"/>
              </w:rPr>
              <w:t>-7.29**</w:t>
            </w: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Pr>
                <w:rFonts w:cs="Cambria"/>
                <w:i/>
                <w:color w:val="000000"/>
                <w:sz w:val="20"/>
                <w:szCs w:val="20"/>
              </w:rPr>
              <w:t>Child is Included in Mainstream Classes 0-40% of School Day</w:t>
            </w: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14"/>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p>
        </w:tc>
        <w:tc>
          <w:tcPr>
            <w:tcW w:w="1368" w:type="dxa"/>
            <w:tcBorders>
              <w:top w:val="nil"/>
              <w:left w:val="nil"/>
              <w:bottom w:val="nil"/>
              <w:right w:val="single" w:sz="8" w:space="0" w:color="BFBFBF"/>
            </w:tcBorders>
            <w:vAlign w:val="center"/>
          </w:tcPr>
          <w:p w:rsidR="00BF1A3B" w:rsidRPr="006E78E0" w:rsidRDefault="00BF1A3B" w:rsidP="00BF1A3B">
            <w:pPr>
              <w:tabs>
                <w:tab w:val="decimal" w:pos="420"/>
              </w:tabs>
              <w:rPr>
                <w:rFonts w:cs="Cambria"/>
                <w:color w:val="000000"/>
                <w:sz w:val="20"/>
                <w:szCs w:val="20"/>
              </w:rPr>
            </w:pPr>
            <w:r w:rsidRPr="006E78E0">
              <w:rPr>
                <w:rFonts w:cs="Cambria"/>
                <w:color w:val="000000"/>
                <w:sz w:val="20"/>
                <w:szCs w:val="20"/>
              </w:rPr>
              <w:t>-8.18**</w:t>
            </w:r>
          </w:p>
        </w:tc>
        <w:tc>
          <w:tcPr>
            <w:tcW w:w="1368" w:type="dxa"/>
            <w:tcBorders>
              <w:top w:val="nil"/>
              <w:left w:val="single" w:sz="8" w:space="0" w:color="BFBFBF"/>
              <w:bottom w:val="nil"/>
              <w:right w:val="nil"/>
            </w:tcBorders>
            <w:vAlign w:val="center"/>
          </w:tcPr>
          <w:p w:rsidR="00BF1A3B" w:rsidRPr="006E78E0" w:rsidRDefault="00BF1A3B" w:rsidP="00BF1A3B">
            <w:pPr>
              <w:tabs>
                <w:tab w:val="decimal" w:pos="450"/>
              </w:tabs>
              <w:rPr>
                <w:rFonts w:cs="Cambria"/>
                <w:color w:val="000000"/>
                <w:sz w:val="20"/>
                <w:szCs w:val="20"/>
              </w:rPr>
            </w:pPr>
            <w:r w:rsidRPr="006E78E0">
              <w:rPr>
                <w:rFonts w:cs="Cambria"/>
                <w:color w:val="000000"/>
                <w:sz w:val="20"/>
                <w:szCs w:val="20"/>
              </w:rPr>
              <w:t>-8.20**</w:t>
            </w:r>
          </w:p>
        </w:tc>
      </w:tr>
      <w:tr w:rsidR="00BF1A3B" w:rsidRPr="00D55373" w:rsidTr="00BF1A3B">
        <w:tblPrEx>
          <w:tblBorders>
            <w:top w:val="none" w:sz="0" w:space="0" w:color="auto"/>
          </w:tblBorders>
        </w:tblPrEx>
        <w:trPr>
          <w:trHeight w:val="144"/>
          <w:jc w:val="center"/>
        </w:trPr>
        <w:tc>
          <w:tcPr>
            <w:tcW w:w="3240" w:type="dxa"/>
            <w:tcBorders>
              <w:top w:val="nil"/>
              <w:left w:val="nil"/>
              <w:bottom w:val="nil"/>
              <w:right w:val="nil"/>
            </w:tcBorders>
            <w:vAlign w:val="center"/>
          </w:tcPr>
          <w:p w:rsidR="00BF1A3B" w:rsidRPr="00D55373" w:rsidRDefault="00BF1A3B" w:rsidP="00BF1A3B">
            <w:pPr>
              <w:ind w:left="252" w:hanging="252"/>
              <w:rPr>
                <w:rFonts w:cs="Cambria"/>
                <w:color w:val="000000"/>
                <w:sz w:val="14"/>
                <w:szCs w:val="14"/>
                <w:u w:val="single"/>
              </w:rPr>
            </w:pPr>
          </w:p>
        </w:tc>
        <w:tc>
          <w:tcPr>
            <w:tcW w:w="1368" w:type="dxa"/>
            <w:tcBorders>
              <w:top w:val="nil"/>
              <w:left w:val="nil"/>
              <w:bottom w:val="nil"/>
              <w:right w:val="nil"/>
            </w:tcBorders>
            <w:vAlign w:val="center"/>
          </w:tcPr>
          <w:p w:rsidR="00BF1A3B" w:rsidRPr="00D55373" w:rsidRDefault="00BF1A3B" w:rsidP="00BF1A3B">
            <w:pPr>
              <w:tabs>
                <w:tab w:val="decimal" w:pos="420"/>
              </w:tabs>
              <w:rPr>
                <w:rFonts w:cs="Cambria"/>
                <w:color w:val="000000"/>
                <w:sz w:val="14"/>
                <w:szCs w:val="14"/>
              </w:rPr>
            </w:pPr>
          </w:p>
        </w:tc>
        <w:tc>
          <w:tcPr>
            <w:tcW w:w="1368" w:type="dxa"/>
            <w:tcBorders>
              <w:top w:val="nil"/>
              <w:left w:val="nil"/>
              <w:bottom w:val="nil"/>
              <w:right w:val="nil"/>
            </w:tcBorders>
            <w:vAlign w:val="center"/>
          </w:tcPr>
          <w:p w:rsidR="00BF1A3B" w:rsidRPr="00D55373" w:rsidRDefault="00BF1A3B" w:rsidP="00BF1A3B">
            <w:pPr>
              <w:tabs>
                <w:tab w:val="decimal" w:pos="414"/>
              </w:tabs>
              <w:rPr>
                <w:rFonts w:cs="Cambria"/>
                <w:color w:val="000000"/>
                <w:sz w:val="14"/>
                <w:szCs w:val="14"/>
              </w:rPr>
            </w:pPr>
          </w:p>
        </w:tc>
        <w:tc>
          <w:tcPr>
            <w:tcW w:w="1368" w:type="dxa"/>
            <w:tcBorders>
              <w:top w:val="nil"/>
              <w:left w:val="nil"/>
              <w:bottom w:val="nil"/>
              <w:right w:val="nil"/>
            </w:tcBorders>
            <w:vAlign w:val="center"/>
          </w:tcPr>
          <w:p w:rsidR="00BF1A3B" w:rsidRPr="00D55373" w:rsidRDefault="00BF1A3B" w:rsidP="00BF1A3B">
            <w:pPr>
              <w:tabs>
                <w:tab w:val="decimal" w:pos="396"/>
              </w:tabs>
              <w:rPr>
                <w:rFonts w:cs="Cambria"/>
                <w:color w:val="000000"/>
                <w:sz w:val="14"/>
                <w:szCs w:val="14"/>
              </w:rPr>
            </w:pPr>
          </w:p>
        </w:tc>
        <w:tc>
          <w:tcPr>
            <w:tcW w:w="1368" w:type="dxa"/>
            <w:tcBorders>
              <w:top w:val="nil"/>
              <w:left w:val="nil"/>
              <w:bottom w:val="nil"/>
              <w:right w:val="single" w:sz="8" w:space="0" w:color="BFBFBF"/>
            </w:tcBorders>
            <w:vAlign w:val="center"/>
          </w:tcPr>
          <w:p w:rsidR="00BF1A3B" w:rsidRPr="00D55373" w:rsidRDefault="00BF1A3B" w:rsidP="00BF1A3B">
            <w:pPr>
              <w:tabs>
                <w:tab w:val="decimal" w:pos="420"/>
              </w:tabs>
              <w:rPr>
                <w:rFonts w:cs="Cambria"/>
                <w:color w:val="000000"/>
                <w:sz w:val="14"/>
                <w:szCs w:val="14"/>
              </w:rPr>
            </w:pPr>
          </w:p>
        </w:tc>
        <w:tc>
          <w:tcPr>
            <w:tcW w:w="1368" w:type="dxa"/>
            <w:tcBorders>
              <w:top w:val="nil"/>
              <w:left w:val="single" w:sz="8" w:space="0" w:color="BFBFBF"/>
              <w:bottom w:val="nil"/>
              <w:right w:val="nil"/>
            </w:tcBorders>
            <w:vAlign w:val="center"/>
          </w:tcPr>
          <w:p w:rsidR="00BF1A3B" w:rsidRPr="00D55373" w:rsidRDefault="00BF1A3B" w:rsidP="00BF1A3B">
            <w:pPr>
              <w:tabs>
                <w:tab w:val="decimal" w:pos="450"/>
              </w:tabs>
              <w:rPr>
                <w:rFonts w:cs="Cambria"/>
                <w:color w:val="000000"/>
                <w:sz w:val="14"/>
                <w:szCs w:val="14"/>
              </w:rPr>
            </w:pP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Default="00BF1A3B" w:rsidP="00BF1A3B">
            <w:pPr>
              <w:ind w:left="252" w:hanging="252"/>
              <w:rPr>
                <w:rFonts w:cs="Cambria"/>
                <w:color w:val="000000"/>
                <w:sz w:val="20"/>
                <w:szCs w:val="20"/>
              </w:rPr>
            </w:pPr>
            <w:r>
              <w:rPr>
                <w:rFonts w:cs="Cambria"/>
                <w:color w:val="000000"/>
                <w:sz w:val="20"/>
                <w:szCs w:val="20"/>
                <w:u w:val="single"/>
              </w:rPr>
              <w:t>Child-Level Interactions</w:t>
            </w: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14"/>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p>
        </w:tc>
        <w:tc>
          <w:tcPr>
            <w:tcW w:w="1368" w:type="dxa"/>
            <w:tcBorders>
              <w:top w:val="nil"/>
              <w:left w:val="nil"/>
              <w:bottom w:val="nil"/>
              <w:right w:val="single" w:sz="8" w:space="0" w:color="BFBFBF"/>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single" w:sz="8" w:space="0" w:color="BFBFBF"/>
              <w:bottom w:val="nil"/>
              <w:right w:val="nil"/>
            </w:tcBorders>
            <w:vAlign w:val="center"/>
          </w:tcPr>
          <w:p w:rsidR="00BF1A3B" w:rsidRPr="006E78E0" w:rsidRDefault="00BF1A3B" w:rsidP="00BF1A3B">
            <w:pPr>
              <w:tabs>
                <w:tab w:val="decimal" w:pos="450"/>
              </w:tabs>
              <w:rPr>
                <w:rFonts w:cs="Cambria"/>
                <w:color w:val="000000"/>
                <w:sz w:val="20"/>
                <w:szCs w:val="20"/>
              </w:rPr>
            </w:pP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Pr>
                <w:rFonts w:cs="Cambria"/>
                <w:i/>
                <w:color w:val="000000"/>
                <w:sz w:val="20"/>
                <w:szCs w:val="20"/>
              </w:rPr>
              <w:t xml:space="preserve">Child ‘High Incidence’ Designation </w:t>
            </w:r>
            <w:r>
              <w:rPr>
                <w:rFonts w:cs="Cambria"/>
                <w:i/>
                <w:color w:val="000000"/>
                <w:sz w:val="20"/>
                <w:szCs w:val="20"/>
              </w:rPr>
              <w:br/>
              <w:t>x Included 40-79% of Day</w:t>
            </w: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14"/>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p>
        </w:tc>
        <w:tc>
          <w:tcPr>
            <w:tcW w:w="1368" w:type="dxa"/>
            <w:tcBorders>
              <w:top w:val="nil"/>
              <w:left w:val="nil"/>
              <w:bottom w:val="nil"/>
              <w:right w:val="single" w:sz="8" w:space="0" w:color="BFBFBF"/>
            </w:tcBorders>
            <w:vAlign w:val="center"/>
          </w:tcPr>
          <w:p w:rsidR="00BF1A3B" w:rsidRPr="006E78E0" w:rsidRDefault="00BF1A3B" w:rsidP="00BF1A3B">
            <w:pPr>
              <w:tabs>
                <w:tab w:val="decimal" w:pos="420"/>
              </w:tabs>
              <w:rPr>
                <w:rFonts w:cs="Cambria"/>
                <w:color w:val="000000"/>
                <w:sz w:val="20"/>
                <w:szCs w:val="20"/>
              </w:rPr>
            </w:pPr>
            <w:r w:rsidRPr="006E78E0">
              <w:rPr>
                <w:rFonts w:cs="Cambria"/>
                <w:color w:val="000000"/>
                <w:sz w:val="20"/>
                <w:szCs w:val="20"/>
              </w:rPr>
              <w:t>2.06**</w:t>
            </w:r>
          </w:p>
        </w:tc>
        <w:tc>
          <w:tcPr>
            <w:tcW w:w="1368" w:type="dxa"/>
            <w:tcBorders>
              <w:top w:val="nil"/>
              <w:left w:val="single" w:sz="8" w:space="0" w:color="BFBFBF"/>
              <w:bottom w:val="nil"/>
              <w:right w:val="nil"/>
            </w:tcBorders>
            <w:vAlign w:val="center"/>
          </w:tcPr>
          <w:p w:rsidR="00BF1A3B" w:rsidRPr="006E78E0" w:rsidRDefault="00BF1A3B" w:rsidP="00BF1A3B">
            <w:pPr>
              <w:tabs>
                <w:tab w:val="decimal" w:pos="450"/>
              </w:tabs>
              <w:rPr>
                <w:rFonts w:cs="Cambria"/>
                <w:color w:val="000000"/>
                <w:sz w:val="20"/>
                <w:szCs w:val="20"/>
              </w:rPr>
            </w:pPr>
            <w:r w:rsidRPr="006E78E0">
              <w:rPr>
                <w:rFonts w:cs="Cambria"/>
                <w:color w:val="000000"/>
                <w:sz w:val="20"/>
                <w:szCs w:val="20"/>
              </w:rPr>
              <w:t>2.06**</w:t>
            </w: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Pr>
                <w:rFonts w:cs="Cambria"/>
                <w:i/>
                <w:color w:val="000000"/>
                <w:sz w:val="20"/>
                <w:szCs w:val="20"/>
              </w:rPr>
              <w:t>Child ‘High Incidence’ Designation</w:t>
            </w:r>
            <w:r>
              <w:rPr>
                <w:rFonts w:cs="Cambria"/>
                <w:i/>
                <w:color w:val="000000"/>
                <w:sz w:val="20"/>
                <w:szCs w:val="20"/>
              </w:rPr>
              <w:br/>
              <w:t xml:space="preserve"> x Included 0-40% of Day</w:t>
            </w: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14"/>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p>
        </w:tc>
        <w:tc>
          <w:tcPr>
            <w:tcW w:w="1368" w:type="dxa"/>
            <w:tcBorders>
              <w:top w:val="nil"/>
              <w:left w:val="nil"/>
              <w:bottom w:val="nil"/>
              <w:right w:val="single" w:sz="8" w:space="0" w:color="BFBFBF"/>
            </w:tcBorders>
            <w:vAlign w:val="center"/>
          </w:tcPr>
          <w:p w:rsidR="00BF1A3B" w:rsidRPr="006E78E0" w:rsidRDefault="00BF1A3B" w:rsidP="00BF1A3B">
            <w:pPr>
              <w:tabs>
                <w:tab w:val="decimal" w:pos="420"/>
              </w:tabs>
              <w:rPr>
                <w:rFonts w:cs="Cambria"/>
                <w:color w:val="000000"/>
                <w:sz w:val="20"/>
                <w:szCs w:val="20"/>
              </w:rPr>
            </w:pPr>
            <w:r w:rsidRPr="006E78E0">
              <w:rPr>
                <w:rFonts w:cs="Cambria"/>
                <w:color w:val="000000"/>
                <w:sz w:val="20"/>
                <w:szCs w:val="20"/>
              </w:rPr>
              <w:t>0.46</w:t>
            </w:r>
          </w:p>
        </w:tc>
        <w:tc>
          <w:tcPr>
            <w:tcW w:w="1368" w:type="dxa"/>
            <w:tcBorders>
              <w:top w:val="nil"/>
              <w:left w:val="single" w:sz="8" w:space="0" w:color="BFBFBF"/>
              <w:bottom w:val="nil"/>
              <w:right w:val="nil"/>
            </w:tcBorders>
            <w:vAlign w:val="center"/>
          </w:tcPr>
          <w:p w:rsidR="00BF1A3B" w:rsidRPr="006E78E0" w:rsidRDefault="00BF1A3B" w:rsidP="00BF1A3B">
            <w:pPr>
              <w:tabs>
                <w:tab w:val="decimal" w:pos="450"/>
              </w:tabs>
              <w:rPr>
                <w:rFonts w:cs="Cambria"/>
                <w:color w:val="000000"/>
                <w:sz w:val="20"/>
                <w:szCs w:val="20"/>
              </w:rPr>
            </w:pPr>
            <w:r w:rsidRPr="006E78E0">
              <w:rPr>
                <w:rFonts w:cs="Cambria"/>
                <w:color w:val="000000"/>
                <w:sz w:val="20"/>
                <w:szCs w:val="20"/>
              </w:rPr>
              <w:t>0.45</w:t>
            </w: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Pr>
                <w:rFonts w:cs="Cambria"/>
                <w:i/>
                <w:color w:val="000000"/>
                <w:sz w:val="20"/>
                <w:szCs w:val="20"/>
              </w:rPr>
              <w:t>Child is Hispanic x has Limited English Proficiency</w:t>
            </w: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14"/>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p>
        </w:tc>
        <w:tc>
          <w:tcPr>
            <w:tcW w:w="1368" w:type="dxa"/>
            <w:tcBorders>
              <w:top w:val="nil"/>
              <w:left w:val="nil"/>
              <w:bottom w:val="nil"/>
              <w:right w:val="single" w:sz="8" w:space="0" w:color="BFBFBF"/>
            </w:tcBorders>
            <w:vAlign w:val="center"/>
          </w:tcPr>
          <w:p w:rsidR="00BF1A3B" w:rsidRPr="006E78E0" w:rsidRDefault="00BF1A3B" w:rsidP="00BF1A3B">
            <w:pPr>
              <w:tabs>
                <w:tab w:val="decimal" w:pos="420"/>
              </w:tabs>
              <w:rPr>
                <w:rFonts w:cs="Cambria"/>
                <w:color w:val="000000"/>
                <w:sz w:val="20"/>
                <w:szCs w:val="20"/>
              </w:rPr>
            </w:pPr>
            <w:r w:rsidRPr="006E78E0">
              <w:rPr>
                <w:rFonts w:cs="Cambria"/>
                <w:color w:val="000000"/>
                <w:sz w:val="20"/>
                <w:szCs w:val="20"/>
              </w:rPr>
              <w:t>0.94**</w:t>
            </w:r>
          </w:p>
        </w:tc>
        <w:tc>
          <w:tcPr>
            <w:tcW w:w="1368" w:type="dxa"/>
            <w:tcBorders>
              <w:top w:val="nil"/>
              <w:left w:val="single" w:sz="8" w:space="0" w:color="BFBFBF"/>
              <w:bottom w:val="nil"/>
              <w:right w:val="nil"/>
            </w:tcBorders>
            <w:vAlign w:val="center"/>
          </w:tcPr>
          <w:p w:rsidR="00BF1A3B" w:rsidRPr="006E78E0" w:rsidRDefault="00BF1A3B" w:rsidP="00BF1A3B">
            <w:pPr>
              <w:tabs>
                <w:tab w:val="decimal" w:pos="450"/>
              </w:tabs>
              <w:rPr>
                <w:rFonts w:cs="Cambria"/>
                <w:color w:val="000000"/>
                <w:sz w:val="20"/>
                <w:szCs w:val="20"/>
              </w:rPr>
            </w:pPr>
            <w:r w:rsidRPr="006E78E0">
              <w:rPr>
                <w:rFonts w:cs="Cambria"/>
                <w:color w:val="000000"/>
                <w:sz w:val="20"/>
                <w:szCs w:val="20"/>
              </w:rPr>
              <w:t>0.94**</w:t>
            </w: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Pr>
                <w:rFonts w:cs="Cambria"/>
                <w:i/>
                <w:color w:val="000000"/>
                <w:sz w:val="20"/>
                <w:szCs w:val="20"/>
              </w:rPr>
              <w:t xml:space="preserve">Child ‘High Incidence’ Designation </w:t>
            </w:r>
            <w:r>
              <w:rPr>
                <w:rFonts w:cs="Cambria"/>
                <w:i/>
                <w:color w:val="000000"/>
                <w:sz w:val="20"/>
                <w:szCs w:val="20"/>
              </w:rPr>
              <w:br/>
            </w:r>
            <w:r w:rsidRPr="0049575A">
              <w:rPr>
                <w:rFonts w:cs="Cambria"/>
                <w:i/>
                <w:color w:val="000000"/>
                <w:sz w:val="20"/>
                <w:szCs w:val="20"/>
              </w:rPr>
              <w:t>x eligible for FRPL</w:t>
            </w: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14"/>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p>
        </w:tc>
        <w:tc>
          <w:tcPr>
            <w:tcW w:w="1368" w:type="dxa"/>
            <w:tcBorders>
              <w:top w:val="nil"/>
              <w:left w:val="nil"/>
              <w:bottom w:val="nil"/>
              <w:right w:val="single" w:sz="8" w:space="0" w:color="BFBFBF"/>
            </w:tcBorders>
            <w:vAlign w:val="center"/>
          </w:tcPr>
          <w:p w:rsidR="00BF1A3B" w:rsidRPr="006E78E0" w:rsidRDefault="00BF1A3B" w:rsidP="00BF1A3B">
            <w:pPr>
              <w:tabs>
                <w:tab w:val="decimal" w:pos="420"/>
              </w:tabs>
              <w:rPr>
                <w:rFonts w:cs="Cambria"/>
                <w:color w:val="000000"/>
                <w:sz w:val="20"/>
                <w:szCs w:val="20"/>
              </w:rPr>
            </w:pPr>
            <w:r w:rsidRPr="006E78E0">
              <w:rPr>
                <w:rFonts w:cs="Cambria"/>
                <w:color w:val="000000"/>
                <w:sz w:val="20"/>
                <w:szCs w:val="20"/>
              </w:rPr>
              <w:t>1.44**</w:t>
            </w:r>
          </w:p>
        </w:tc>
        <w:tc>
          <w:tcPr>
            <w:tcW w:w="1368" w:type="dxa"/>
            <w:tcBorders>
              <w:top w:val="nil"/>
              <w:left w:val="single" w:sz="8" w:space="0" w:color="BFBFBF"/>
              <w:bottom w:val="nil"/>
              <w:right w:val="nil"/>
            </w:tcBorders>
            <w:vAlign w:val="center"/>
          </w:tcPr>
          <w:p w:rsidR="00BF1A3B" w:rsidRPr="006E78E0" w:rsidRDefault="00BF1A3B" w:rsidP="00BF1A3B">
            <w:pPr>
              <w:tabs>
                <w:tab w:val="decimal" w:pos="450"/>
              </w:tabs>
              <w:rPr>
                <w:rFonts w:cs="Cambria"/>
                <w:color w:val="000000"/>
                <w:sz w:val="20"/>
                <w:szCs w:val="20"/>
              </w:rPr>
            </w:pPr>
            <w:r w:rsidRPr="006E78E0">
              <w:rPr>
                <w:rFonts w:cs="Cambria"/>
                <w:color w:val="000000"/>
                <w:sz w:val="20"/>
                <w:szCs w:val="20"/>
              </w:rPr>
              <w:t>1.44**</w:t>
            </w: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Pr>
                <w:rFonts w:cs="Cambria"/>
                <w:i/>
                <w:color w:val="000000"/>
                <w:sz w:val="20"/>
                <w:szCs w:val="20"/>
              </w:rPr>
              <w:t>Child another</w:t>
            </w:r>
            <w:r w:rsidRPr="0049575A">
              <w:rPr>
                <w:rFonts w:cs="Cambria"/>
                <w:i/>
                <w:color w:val="000000"/>
                <w:sz w:val="20"/>
                <w:szCs w:val="20"/>
              </w:rPr>
              <w:t xml:space="preserve"> </w:t>
            </w:r>
            <w:r>
              <w:rPr>
                <w:rFonts w:cs="Cambria"/>
                <w:i/>
                <w:color w:val="000000"/>
                <w:sz w:val="20"/>
                <w:szCs w:val="20"/>
              </w:rPr>
              <w:t>Disability Designation</w:t>
            </w:r>
            <w:r w:rsidRPr="0049575A">
              <w:rPr>
                <w:rFonts w:cs="Cambria"/>
                <w:i/>
                <w:color w:val="000000"/>
                <w:sz w:val="20"/>
                <w:szCs w:val="20"/>
              </w:rPr>
              <w:t xml:space="preserve"> x eligible for FRPL</w:t>
            </w: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14"/>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p>
        </w:tc>
        <w:tc>
          <w:tcPr>
            <w:tcW w:w="1368" w:type="dxa"/>
            <w:tcBorders>
              <w:top w:val="nil"/>
              <w:left w:val="nil"/>
              <w:bottom w:val="nil"/>
              <w:right w:val="single" w:sz="8" w:space="0" w:color="BFBFBF"/>
            </w:tcBorders>
            <w:vAlign w:val="center"/>
          </w:tcPr>
          <w:p w:rsidR="00BF1A3B" w:rsidRPr="006E78E0" w:rsidRDefault="00BF1A3B" w:rsidP="00BF1A3B">
            <w:pPr>
              <w:tabs>
                <w:tab w:val="decimal" w:pos="420"/>
              </w:tabs>
              <w:rPr>
                <w:rFonts w:cs="Cambria"/>
                <w:color w:val="000000"/>
                <w:sz w:val="20"/>
                <w:szCs w:val="20"/>
              </w:rPr>
            </w:pPr>
            <w:r w:rsidRPr="006E78E0">
              <w:rPr>
                <w:rFonts w:cs="Cambria"/>
                <w:color w:val="000000"/>
                <w:sz w:val="20"/>
                <w:szCs w:val="20"/>
              </w:rPr>
              <w:t>0.73*</w:t>
            </w:r>
          </w:p>
        </w:tc>
        <w:tc>
          <w:tcPr>
            <w:tcW w:w="1368" w:type="dxa"/>
            <w:tcBorders>
              <w:top w:val="nil"/>
              <w:left w:val="single" w:sz="8" w:space="0" w:color="BFBFBF"/>
              <w:bottom w:val="nil"/>
              <w:right w:val="nil"/>
            </w:tcBorders>
            <w:vAlign w:val="center"/>
          </w:tcPr>
          <w:p w:rsidR="00BF1A3B" w:rsidRPr="006E78E0" w:rsidRDefault="00BF1A3B" w:rsidP="00BF1A3B">
            <w:pPr>
              <w:tabs>
                <w:tab w:val="decimal" w:pos="450"/>
              </w:tabs>
              <w:rPr>
                <w:rFonts w:cs="Cambria"/>
                <w:color w:val="000000"/>
                <w:sz w:val="20"/>
                <w:szCs w:val="20"/>
              </w:rPr>
            </w:pPr>
            <w:r w:rsidRPr="006E78E0">
              <w:rPr>
                <w:rFonts w:cs="Cambria"/>
                <w:color w:val="000000"/>
                <w:sz w:val="20"/>
                <w:szCs w:val="20"/>
              </w:rPr>
              <w:t>0.73*</w:t>
            </w: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Pr>
                <w:rFonts w:cs="Cambria"/>
                <w:i/>
                <w:color w:val="000000"/>
                <w:sz w:val="20"/>
                <w:szCs w:val="20"/>
              </w:rPr>
              <w:t>Child ‘High Incidence’ Designation</w:t>
            </w:r>
            <w:r w:rsidRPr="0049575A">
              <w:rPr>
                <w:rFonts w:cs="Cambria"/>
                <w:i/>
                <w:color w:val="000000"/>
                <w:sz w:val="20"/>
                <w:szCs w:val="20"/>
              </w:rPr>
              <w:t xml:space="preserve"> </w:t>
            </w:r>
            <w:r>
              <w:rPr>
                <w:rFonts w:cs="Cambria"/>
                <w:i/>
                <w:color w:val="000000"/>
                <w:sz w:val="20"/>
                <w:szCs w:val="20"/>
              </w:rPr>
              <w:br/>
            </w:r>
            <w:r w:rsidRPr="0049575A">
              <w:rPr>
                <w:rFonts w:cs="Cambria"/>
                <w:i/>
                <w:color w:val="000000"/>
                <w:sz w:val="20"/>
                <w:szCs w:val="20"/>
              </w:rPr>
              <w:t xml:space="preserve">x </w:t>
            </w:r>
            <w:r>
              <w:rPr>
                <w:rFonts w:cs="Cambria"/>
                <w:i/>
                <w:color w:val="000000"/>
                <w:sz w:val="20"/>
                <w:szCs w:val="20"/>
              </w:rPr>
              <w:t>Child is Female</w:t>
            </w: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14"/>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p>
        </w:tc>
        <w:tc>
          <w:tcPr>
            <w:tcW w:w="1368" w:type="dxa"/>
            <w:tcBorders>
              <w:top w:val="nil"/>
              <w:left w:val="nil"/>
              <w:bottom w:val="nil"/>
              <w:right w:val="single" w:sz="8" w:space="0" w:color="BFBFBF"/>
            </w:tcBorders>
            <w:vAlign w:val="center"/>
          </w:tcPr>
          <w:p w:rsidR="00BF1A3B" w:rsidRPr="006E78E0" w:rsidRDefault="00BF1A3B" w:rsidP="00BF1A3B">
            <w:pPr>
              <w:tabs>
                <w:tab w:val="decimal" w:pos="420"/>
              </w:tabs>
              <w:rPr>
                <w:rFonts w:cs="Cambria"/>
                <w:color w:val="000000"/>
                <w:sz w:val="20"/>
                <w:szCs w:val="20"/>
              </w:rPr>
            </w:pPr>
            <w:r w:rsidRPr="006E78E0">
              <w:rPr>
                <w:rFonts w:cs="Cambria"/>
                <w:color w:val="000000"/>
                <w:sz w:val="20"/>
                <w:szCs w:val="20"/>
              </w:rPr>
              <w:t>-0.76**</w:t>
            </w:r>
          </w:p>
        </w:tc>
        <w:tc>
          <w:tcPr>
            <w:tcW w:w="1368" w:type="dxa"/>
            <w:tcBorders>
              <w:top w:val="nil"/>
              <w:left w:val="single" w:sz="8" w:space="0" w:color="BFBFBF"/>
              <w:bottom w:val="nil"/>
              <w:right w:val="nil"/>
            </w:tcBorders>
            <w:vAlign w:val="center"/>
          </w:tcPr>
          <w:p w:rsidR="00BF1A3B" w:rsidRPr="006E78E0" w:rsidRDefault="00BF1A3B" w:rsidP="00BF1A3B">
            <w:pPr>
              <w:tabs>
                <w:tab w:val="decimal" w:pos="450"/>
              </w:tabs>
              <w:rPr>
                <w:rFonts w:cs="Cambria"/>
                <w:color w:val="000000"/>
                <w:sz w:val="20"/>
                <w:szCs w:val="20"/>
              </w:rPr>
            </w:pPr>
            <w:r w:rsidRPr="006E78E0">
              <w:rPr>
                <w:rFonts w:cs="Cambria"/>
                <w:color w:val="000000"/>
                <w:sz w:val="20"/>
                <w:szCs w:val="20"/>
              </w:rPr>
              <w:t>-0.76**</w:t>
            </w:r>
          </w:p>
        </w:tc>
      </w:tr>
      <w:tr w:rsidR="00BF1A3B" w:rsidRPr="006E78E0" w:rsidTr="00BF1A3B">
        <w:tblPrEx>
          <w:tblBorders>
            <w:top w:val="none" w:sz="0" w:space="0" w:color="auto"/>
          </w:tblBorders>
        </w:tblPrEx>
        <w:trPr>
          <w:trHeight w:val="432"/>
          <w:jc w:val="center"/>
        </w:trPr>
        <w:tc>
          <w:tcPr>
            <w:tcW w:w="3240" w:type="dxa"/>
            <w:tcBorders>
              <w:top w:val="nil"/>
              <w:left w:val="nil"/>
              <w:bottom w:val="single" w:sz="6" w:space="0" w:color="auto"/>
              <w:right w:val="nil"/>
            </w:tcBorders>
            <w:vAlign w:val="center"/>
          </w:tcPr>
          <w:p w:rsidR="00BF1A3B" w:rsidRPr="006E78E0" w:rsidRDefault="00BF1A3B" w:rsidP="00BF1A3B">
            <w:pPr>
              <w:ind w:left="252" w:hanging="252"/>
              <w:rPr>
                <w:rFonts w:cs="Cambria"/>
                <w:color w:val="000000"/>
                <w:sz w:val="20"/>
                <w:szCs w:val="20"/>
              </w:rPr>
            </w:pPr>
            <w:r>
              <w:rPr>
                <w:rFonts w:cs="Cambria"/>
                <w:i/>
                <w:color w:val="000000"/>
                <w:sz w:val="20"/>
                <w:szCs w:val="20"/>
              </w:rPr>
              <w:t>Child another</w:t>
            </w:r>
            <w:r w:rsidRPr="0049575A">
              <w:rPr>
                <w:rFonts w:cs="Cambria"/>
                <w:i/>
                <w:color w:val="000000"/>
                <w:sz w:val="20"/>
                <w:szCs w:val="20"/>
              </w:rPr>
              <w:t xml:space="preserve"> </w:t>
            </w:r>
            <w:r>
              <w:rPr>
                <w:rFonts w:cs="Cambria"/>
                <w:i/>
                <w:color w:val="000000"/>
                <w:sz w:val="20"/>
                <w:szCs w:val="20"/>
              </w:rPr>
              <w:t>Disability Designation</w:t>
            </w:r>
            <w:r w:rsidRPr="0049575A">
              <w:rPr>
                <w:rFonts w:cs="Cambria"/>
                <w:i/>
                <w:color w:val="000000"/>
                <w:sz w:val="20"/>
                <w:szCs w:val="20"/>
              </w:rPr>
              <w:t xml:space="preserve"> x </w:t>
            </w:r>
            <w:r>
              <w:rPr>
                <w:rFonts w:cs="Cambria"/>
                <w:i/>
                <w:color w:val="000000"/>
                <w:sz w:val="20"/>
                <w:szCs w:val="20"/>
              </w:rPr>
              <w:t>Child is Female</w:t>
            </w:r>
          </w:p>
        </w:tc>
        <w:tc>
          <w:tcPr>
            <w:tcW w:w="1368" w:type="dxa"/>
            <w:tcBorders>
              <w:top w:val="nil"/>
              <w:left w:val="nil"/>
              <w:bottom w:val="single" w:sz="6" w:space="0" w:color="auto"/>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single" w:sz="6" w:space="0" w:color="auto"/>
              <w:right w:val="nil"/>
            </w:tcBorders>
            <w:vAlign w:val="center"/>
          </w:tcPr>
          <w:p w:rsidR="00BF1A3B" w:rsidRPr="006E78E0" w:rsidRDefault="00BF1A3B" w:rsidP="00BF1A3B">
            <w:pPr>
              <w:tabs>
                <w:tab w:val="decimal" w:pos="414"/>
              </w:tabs>
              <w:rPr>
                <w:rFonts w:cs="Cambria"/>
                <w:color w:val="000000"/>
                <w:sz w:val="20"/>
                <w:szCs w:val="20"/>
              </w:rPr>
            </w:pPr>
          </w:p>
        </w:tc>
        <w:tc>
          <w:tcPr>
            <w:tcW w:w="1368" w:type="dxa"/>
            <w:tcBorders>
              <w:top w:val="nil"/>
              <w:left w:val="nil"/>
              <w:bottom w:val="single" w:sz="6" w:space="0" w:color="auto"/>
              <w:right w:val="nil"/>
            </w:tcBorders>
            <w:vAlign w:val="center"/>
          </w:tcPr>
          <w:p w:rsidR="00BF1A3B" w:rsidRPr="006E78E0" w:rsidRDefault="00BF1A3B" w:rsidP="00BF1A3B">
            <w:pPr>
              <w:tabs>
                <w:tab w:val="decimal" w:pos="396"/>
              </w:tabs>
              <w:rPr>
                <w:rFonts w:cs="Cambria"/>
                <w:color w:val="000000"/>
                <w:sz w:val="20"/>
                <w:szCs w:val="20"/>
              </w:rPr>
            </w:pPr>
          </w:p>
        </w:tc>
        <w:tc>
          <w:tcPr>
            <w:tcW w:w="1368" w:type="dxa"/>
            <w:tcBorders>
              <w:top w:val="nil"/>
              <w:left w:val="nil"/>
              <w:bottom w:val="single" w:sz="6" w:space="0" w:color="auto"/>
              <w:right w:val="single" w:sz="8" w:space="0" w:color="BFBFBF"/>
            </w:tcBorders>
            <w:vAlign w:val="center"/>
          </w:tcPr>
          <w:p w:rsidR="00BF1A3B" w:rsidRPr="006E78E0" w:rsidRDefault="00BF1A3B" w:rsidP="00BF1A3B">
            <w:pPr>
              <w:tabs>
                <w:tab w:val="decimal" w:pos="420"/>
              </w:tabs>
              <w:rPr>
                <w:rFonts w:cs="Cambria"/>
                <w:color w:val="000000"/>
                <w:sz w:val="20"/>
                <w:szCs w:val="20"/>
              </w:rPr>
            </w:pPr>
            <w:r w:rsidRPr="006E78E0">
              <w:rPr>
                <w:rFonts w:cs="Cambria"/>
                <w:color w:val="000000"/>
                <w:sz w:val="20"/>
                <w:szCs w:val="20"/>
              </w:rPr>
              <w:t>-1.23**</w:t>
            </w:r>
          </w:p>
        </w:tc>
        <w:tc>
          <w:tcPr>
            <w:tcW w:w="1368" w:type="dxa"/>
            <w:tcBorders>
              <w:top w:val="nil"/>
              <w:left w:val="single" w:sz="8" w:space="0" w:color="BFBFBF"/>
              <w:bottom w:val="single" w:sz="6" w:space="0" w:color="auto"/>
              <w:right w:val="nil"/>
            </w:tcBorders>
            <w:vAlign w:val="center"/>
          </w:tcPr>
          <w:p w:rsidR="00BF1A3B" w:rsidRPr="006E78E0" w:rsidRDefault="00BF1A3B" w:rsidP="00BF1A3B">
            <w:pPr>
              <w:tabs>
                <w:tab w:val="decimal" w:pos="450"/>
              </w:tabs>
              <w:rPr>
                <w:rFonts w:cs="Cambria"/>
                <w:color w:val="000000"/>
                <w:sz w:val="20"/>
                <w:szCs w:val="20"/>
              </w:rPr>
            </w:pPr>
            <w:r w:rsidRPr="006E78E0">
              <w:rPr>
                <w:rFonts w:cs="Cambria"/>
                <w:color w:val="000000"/>
                <w:sz w:val="20"/>
                <w:szCs w:val="20"/>
              </w:rPr>
              <w:t>-1.23**</w:t>
            </w:r>
          </w:p>
        </w:tc>
      </w:tr>
      <w:tr w:rsidR="00BF1A3B" w:rsidRPr="006E78E0" w:rsidTr="00BF1A3B">
        <w:tblPrEx>
          <w:tblBorders>
            <w:top w:val="none" w:sz="0" w:space="0" w:color="auto"/>
            <w:bottom w:val="single" w:sz="6" w:space="0" w:color="BFBFBF"/>
          </w:tblBorders>
        </w:tblPrEx>
        <w:trPr>
          <w:jc w:val="center"/>
        </w:trPr>
        <w:tc>
          <w:tcPr>
            <w:tcW w:w="10080" w:type="dxa"/>
            <w:gridSpan w:val="6"/>
            <w:tcBorders>
              <w:top w:val="single" w:sz="6" w:space="0" w:color="auto"/>
              <w:left w:val="nil"/>
              <w:bottom w:val="single" w:sz="6" w:space="0" w:color="BFBFBF"/>
              <w:right w:val="nil"/>
            </w:tcBorders>
            <w:vAlign w:val="center"/>
          </w:tcPr>
          <w:p w:rsidR="00BF1A3B" w:rsidRPr="006E78E0" w:rsidRDefault="00BF1A3B" w:rsidP="00BF1A3B">
            <w:pPr>
              <w:rPr>
                <w:rFonts w:cs="Cambria"/>
                <w:color w:val="000000"/>
                <w:sz w:val="20"/>
                <w:szCs w:val="20"/>
              </w:rPr>
            </w:pPr>
            <w:r w:rsidRPr="002B0B42">
              <w:rPr>
                <w:sz w:val="16"/>
                <w:szCs w:val="16"/>
              </w:rPr>
              <w:t xml:space="preserve">* </w:t>
            </w:r>
            <w:r w:rsidRPr="002B0B42">
              <w:rPr>
                <w:i/>
                <w:iCs/>
                <w:sz w:val="16"/>
                <w:szCs w:val="16"/>
              </w:rPr>
              <w:t>p</w:t>
            </w:r>
            <w:r w:rsidRPr="002B0B42">
              <w:rPr>
                <w:sz w:val="16"/>
                <w:szCs w:val="16"/>
              </w:rPr>
              <w:t xml:space="preserve">&lt;0.05; ** </w:t>
            </w:r>
            <w:r w:rsidRPr="002B0B42">
              <w:rPr>
                <w:i/>
                <w:iCs/>
                <w:sz w:val="16"/>
                <w:szCs w:val="16"/>
              </w:rPr>
              <w:t>p</w:t>
            </w:r>
            <w:r w:rsidRPr="002B0B42">
              <w:rPr>
                <w:sz w:val="16"/>
                <w:szCs w:val="16"/>
              </w:rPr>
              <w:t>&lt;0.01</w:t>
            </w:r>
            <w:r>
              <w:rPr>
                <w:sz w:val="16"/>
                <w:szCs w:val="16"/>
              </w:rPr>
              <w:t xml:space="preserve">; *** </w:t>
            </w:r>
            <w:r>
              <w:rPr>
                <w:i/>
                <w:sz w:val="16"/>
                <w:szCs w:val="16"/>
              </w:rPr>
              <w:t>p</w:t>
            </w:r>
            <w:r>
              <w:rPr>
                <w:sz w:val="16"/>
                <w:szCs w:val="16"/>
              </w:rPr>
              <w:t>&lt;0.001</w:t>
            </w:r>
          </w:p>
        </w:tc>
      </w:tr>
    </w:tbl>
    <w:p w:rsidR="00BF1A3B" w:rsidRDefault="00BF1A3B" w:rsidP="00BF1A3B">
      <w:pPr>
        <w:rPr>
          <w:rFonts w:cs="Cambria"/>
          <w:color w:val="000000"/>
          <w:sz w:val="20"/>
          <w:szCs w:val="20"/>
        </w:rPr>
      </w:pPr>
    </w:p>
    <w:p w:rsidR="00BF1A3B" w:rsidRPr="009F1CD9" w:rsidRDefault="00BF1A3B" w:rsidP="00BF1A3B">
      <w:pPr>
        <w:spacing w:after="200" w:line="276" w:lineRule="auto"/>
        <w:rPr>
          <w:rFonts w:cs="Cambria"/>
          <w:color w:val="000000"/>
          <w:sz w:val="20"/>
          <w:szCs w:val="20"/>
        </w:rPr>
      </w:pPr>
    </w:p>
    <w:p w:rsidR="00BF1A3B" w:rsidRDefault="00BF1A3B" w:rsidP="00BF1A3B">
      <w:r>
        <w:rPr>
          <w:rFonts w:cs="Cambria"/>
          <w:b/>
          <w:color w:val="000000"/>
        </w:rPr>
        <w:br w:type="page"/>
      </w:r>
    </w:p>
    <w:tbl>
      <w:tblPr>
        <w:tblW w:w="10080" w:type="dxa"/>
        <w:jc w:val="center"/>
        <w:tblBorders>
          <w:top w:val="single" w:sz="6" w:space="0" w:color="BFBFBF"/>
          <w:left w:val="single" w:sz="6" w:space="0" w:color="BFBFBF"/>
          <w:right w:val="single" w:sz="6" w:space="0" w:color="BFBFBF"/>
        </w:tblBorders>
        <w:tblLayout w:type="fixed"/>
        <w:tblLook w:val="0000"/>
      </w:tblPr>
      <w:tblGrid>
        <w:gridCol w:w="3240"/>
        <w:gridCol w:w="1368"/>
        <w:gridCol w:w="1368"/>
        <w:gridCol w:w="1368"/>
        <w:gridCol w:w="1368"/>
        <w:gridCol w:w="1368"/>
      </w:tblGrid>
      <w:tr w:rsidR="00BF1A3B" w:rsidRPr="006E78E0" w:rsidTr="00BF1A3B">
        <w:trPr>
          <w:jc w:val="center"/>
        </w:trPr>
        <w:tc>
          <w:tcPr>
            <w:tcW w:w="10080" w:type="dxa"/>
            <w:gridSpan w:val="6"/>
            <w:tcBorders>
              <w:top w:val="nil"/>
              <w:left w:val="nil"/>
              <w:bottom w:val="single" w:sz="6" w:space="0" w:color="auto"/>
              <w:right w:val="nil"/>
            </w:tcBorders>
            <w:vAlign w:val="center"/>
          </w:tcPr>
          <w:p w:rsidR="00BF1A3B" w:rsidRPr="00E9156A" w:rsidRDefault="00BF1A3B" w:rsidP="00BF1A3B">
            <w:pPr>
              <w:rPr>
                <w:rFonts w:cs="Cambria"/>
                <w:b/>
                <w:color w:val="000000"/>
                <w:sz w:val="18"/>
                <w:szCs w:val="18"/>
              </w:rPr>
            </w:pPr>
            <w:r w:rsidRPr="00EC3197">
              <w:rPr>
                <w:rFonts w:cs="Cambria"/>
                <w:i/>
                <w:iCs/>
                <w:color w:val="000000"/>
                <w:sz w:val="20"/>
                <w:szCs w:val="20"/>
              </w:rPr>
              <w:lastRenderedPageBreak/>
              <w:t>Table 4b.</w:t>
            </w:r>
            <w:r w:rsidRPr="006E78E0">
              <w:rPr>
                <w:rFonts w:cs="Cambria"/>
                <w:color w:val="000000"/>
                <w:sz w:val="20"/>
                <w:szCs w:val="20"/>
              </w:rPr>
              <w:t xml:space="preserve">  </w:t>
            </w:r>
            <w:r w:rsidRPr="005469AF">
              <w:rPr>
                <w:rFonts w:cs="Cambria"/>
                <w:b/>
                <w:color w:val="000000"/>
                <w:sz w:val="20"/>
                <w:szCs w:val="20"/>
              </w:rPr>
              <w:t>District-level</w:t>
            </w:r>
            <w:r>
              <w:rPr>
                <w:rFonts w:cs="Cambria"/>
                <w:color w:val="000000"/>
                <w:sz w:val="20"/>
                <w:szCs w:val="20"/>
              </w:rPr>
              <w:t xml:space="preserve"> and </w:t>
            </w:r>
            <w:r w:rsidRPr="005469AF">
              <w:rPr>
                <w:rFonts w:cs="Cambria"/>
                <w:b/>
                <w:color w:val="000000"/>
                <w:sz w:val="20"/>
                <w:szCs w:val="20"/>
              </w:rPr>
              <w:t>cross-level interaction</w:t>
            </w:r>
            <w:r>
              <w:rPr>
                <w:rFonts w:cs="Cambria"/>
                <w:color w:val="000000"/>
                <w:sz w:val="20"/>
                <w:szCs w:val="20"/>
              </w:rPr>
              <w:t xml:space="preserve"> coefficients and level of statistical significance in a</w:t>
            </w:r>
            <w:r w:rsidRPr="006E78E0">
              <w:rPr>
                <w:rFonts w:cs="Cambria"/>
                <w:color w:val="000000"/>
                <w:sz w:val="20"/>
                <w:szCs w:val="20"/>
              </w:rPr>
              <w:t xml:space="preserve"> taxonomy of </w:t>
            </w:r>
            <w:r w:rsidRPr="00324B69">
              <w:rPr>
                <w:sz w:val="20"/>
                <w:szCs w:val="20"/>
              </w:rPr>
              <w:t>select</w:t>
            </w:r>
            <w:r>
              <w:rPr>
                <w:sz w:val="20"/>
                <w:szCs w:val="20"/>
              </w:rPr>
              <w:t>ed</w:t>
            </w:r>
            <w:r w:rsidRPr="00324B69">
              <w:rPr>
                <w:sz w:val="20"/>
                <w:szCs w:val="20"/>
              </w:rPr>
              <w:t xml:space="preserve"> fitted multilevel</w:t>
            </w:r>
            <w:r w:rsidRPr="006E78E0">
              <w:rPr>
                <w:rFonts w:cs="Cambria"/>
                <w:color w:val="000000"/>
                <w:sz w:val="20"/>
                <w:szCs w:val="20"/>
              </w:rPr>
              <w:t xml:space="preserve"> </w:t>
            </w:r>
            <w:r>
              <w:rPr>
                <w:rFonts w:cs="Cambria"/>
                <w:color w:val="000000"/>
                <w:sz w:val="20"/>
                <w:szCs w:val="20"/>
              </w:rPr>
              <w:t xml:space="preserve">regression </w:t>
            </w:r>
            <w:r w:rsidRPr="006E78E0">
              <w:rPr>
                <w:rFonts w:cs="Cambria"/>
                <w:color w:val="000000"/>
                <w:sz w:val="20"/>
                <w:szCs w:val="20"/>
              </w:rPr>
              <w:t xml:space="preserve">models predicting performance on the MCAS English Language Arts </w:t>
            </w:r>
            <w:r>
              <w:rPr>
                <w:rFonts w:cs="Cambria"/>
                <w:color w:val="000000"/>
                <w:sz w:val="20"/>
                <w:szCs w:val="20"/>
              </w:rPr>
              <w:t>assessment for 8</w:t>
            </w:r>
            <w:r w:rsidRPr="004310DA">
              <w:rPr>
                <w:rFonts w:cs="Cambria"/>
                <w:color w:val="000000"/>
                <w:sz w:val="20"/>
                <w:szCs w:val="20"/>
                <w:vertAlign w:val="superscript"/>
              </w:rPr>
              <w:t>th</w:t>
            </w:r>
            <w:r>
              <w:rPr>
                <w:rFonts w:cs="Cambria"/>
                <w:color w:val="000000"/>
                <w:sz w:val="20"/>
                <w:szCs w:val="20"/>
              </w:rPr>
              <w:t xml:space="preserve"> grade students, nested in traditional school districts</w:t>
            </w:r>
            <w:r>
              <w:rPr>
                <w:rStyle w:val="FootnoteReference"/>
                <w:color w:val="000000"/>
                <w:sz w:val="20"/>
                <w:szCs w:val="20"/>
              </w:rPr>
              <w:footnoteReference w:id="30"/>
            </w:r>
            <w:r>
              <w:rPr>
                <w:rFonts w:cs="Cambria"/>
                <w:color w:val="000000"/>
                <w:sz w:val="20"/>
                <w:szCs w:val="20"/>
              </w:rPr>
              <w:t xml:space="preserve">, </w:t>
            </w:r>
            <w:r w:rsidRPr="00324B69">
              <w:rPr>
                <w:i/>
                <w:sz w:val="20"/>
                <w:szCs w:val="20"/>
              </w:rPr>
              <w:t>n</w:t>
            </w:r>
            <w:r w:rsidRPr="00324B69">
              <w:rPr>
                <w:sz w:val="20"/>
                <w:szCs w:val="20"/>
              </w:rPr>
              <w:t>=</w:t>
            </w:r>
            <w:r>
              <w:rPr>
                <w:sz w:val="20"/>
                <w:szCs w:val="20"/>
              </w:rPr>
              <w:t>68,622</w:t>
            </w:r>
            <w:r w:rsidRPr="00324B69">
              <w:rPr>
                <w:sz w:val="20"/>
                <w:szCs w:val="20"/>
              </w:rPr>
              <w:t xml:space="preserve"> </w:t>
            </w:r>
            <w:r>
              <w:rPr>
                <w:sz w:val="20"/>
                <w:szCs w:val="20"/>
              </w:rPr>
              <w:t>8</w:t>
            </w:r>
            <w:r w:rsidRPr="004310DA">
              <w:rPr>
                <w:sz w:val="20"/>
                <w:szCs w:val="20"/>
                <w:vertAlign w:val="superscript"/>
              </w:rPr>
              <w:t>th</w:t>
            </w:r>
            <w:r>
              <w:rPr>
                <w:sz w:val="20"/>
                <w:szCs w:val="20"/>
              </w:rPr>
              <w:t xml:space="preserve"> grade students </w:t>
            </w:r>
            <w:r w:rsidRPr="00324B69">
              <w:rPr>
                <w:sz w:val="20"/>
                <w:szCs w:val="20"/>
              </w:rPr>
              <w:t xml:space="preserve">nested in </w:t>
            </w:r>
            <w:r>
              <w:rPr>
                <w:sz w:val="20"/>
                <w:szCs w:val="20"/>
              </w:rPr>
              <w:t>239 school districts</w:t>
            </w:r>
            <w:r w:rsidRPr="00324B69">
              <w:rPr>
                <w:sz w:val="20"/>
                <w:szCs w:val="20"/>
              </w:rPr>
              <w:t xml:space="preserve"> </w:t>
            </w:r>
            <w:r>
              <w:rPr>
                <w:sz w:val="20"/>
                <w:szCs w:val="20"/>
              </w:rPr>
              <w:t>(random effects at the district level).</w:t>
            </w:r>
            <w:r>
              <w:rPr>
                <w:rStyle w:val="FootnoteReference"/>
                <w:sz w:val="20"/>
                <w:szCs w:val="20"/>
              </w:rPr>
              <w:t xml:space="preserve"> </w:t>
            </w:r>
            <w:r>
              <w:rPr>
                <w:rStyle w:val="FootnoteReference"/>
                <w:sz w:val="20"/>
                <w:szCs w:val="20"/>
              </w:rPr>
              <w:footnoteReference w:id="31"/>
            </w:r>
            <w:r>
              <w:rPr>
                <w:sz w:val="20"/>
                <w:szCs w:val="20"/>
              </w:rPr>
              <w:t xml:space="preserve"> </w:t>
            </w:r>
          </w:p>
        </w:tc>
      </w:tr>
      <w:tr w:rsidR="00BF1A3B" w:rsidRPr="006E78E0" w:rsidTr="00BF1A3B">
        <w:trPr>
          <w:jc w:val="center"/>
        </w:trPr>
        <w:tc>
          <w:tcPr>
            <w:tcW w:w="3240" w:type="dxa"/>
            <w:tcBorders>
              <w:top w:val="single" w:sz="6" w:space="0" w:color="auto"/>
              <w:left w:val="nil"/>
              <w:bottom w:val="nil"/>
              <w:right w:val="nil"/>
            </w:tcBorders>
            <w:vAlign w:val="center"/>
          </w:tcPr>
          <w:p w:rsidR="00BF1A3B" w:rsidRPr="006E78E0" w:rsidRDefault="00BF1A3B" w:rsidP="00BF1A3B">
            <w:pPr>
              <w:rPr>
                <w:rFonts w:cs="Cambria"/>
                <w:b/>
                <w:color w:val="000000"/>
                <w:sz w:val="20"/>
                <w:szCs w:val="20"/>
              </w:rPr>
            </w:pPr>
          </w:p>
        </w:tc>
        <w:tc>
          <w:tcPr>
            <w:tcW w:w="1368" w:type="dxa"/>
            <w:tcBorders>
              <w:top w:val="single" w:sz="6" w:space="0" w:color="auto"/>
              <w:left w:val="nil"/>
              <w:bottom w:val="nil"/>
              <w:right w:val="nil"/>
            </w:tcBorders>
            <w:vAlign w:val="center"/>
          </w:tcPr>
          <w:p w:rsidR="00BF1A3B" w:rsidRPr="00E9156A" w:rsidRDefault="00BF1A3B" w:rsidP="00BF1A3B">
            <w:pPr>
              <w:jc w:val="center"/>
              <w:rPr>
                <w:rFonts w:cs="Cambria"/>
                <w:b/>
                <w:color w:val="000000"/>
                <w:sz w:val="18"/>
                <w:szCs w:val="18"/>
              </w:rPr>
            </w:pPr>
            <w:r w:rsidRPr="00E9156A">
              <w:rPr>
                <w:rFonts w:cs="Cambria"/>
                <w:b/>
                <w:color w:val="000000"/>
                <w:sz w:val="18"/>
                <w:szCs w:val="18"/>
              </w:rPr>
              <w:t>M</w:t>
            </w:r>
            <w:r>
              <w:rPr>
                <w:rFonts w:cs="Cambria"/>
                <w:b/>
                <w:color w:val="000000"/>
                <w:sz w:val="18"/>
                <w:szCs w:val="18"/>
              </w:rPr>
              <w:t>odel 4.</w:t>
            </w:r>
            <w:r w:rsidRPr="00E9156A">
              <w:rPr>
                <w:rFonts w:cs="Cambria"/>
                <w:b/>
                <w:color w:val="000000"/>
                <w:sz w:val="18"/>
                <w:szCs w:val="18"/>
              </w:rPr>
              <w:t>1</w:t>
            </w:r>
          </w:p>
        </w:tc>
        <w:tc>
          <w:tcPr>
            <w:tcW w:w="1368" w:type="dxa"/>
            <w:tcBorders>
              <w:top w:val="single" w:sz="6" w:space="0" w:color="auto"/>
              <w:left w:val="nil"/>
              <w:bottom w:val="nil"/>
              <w:right w:val="nil"/>
            </w:tcBorders>
            <w:vAlign w:val="center"/>
          </w:tcPr>
          <w:p w:rsidR="00BF1A3B" w:rsidRPr="00E9156A" w:rsidRDefault="00BF1A3B" w:rsidP="00BF1A3B">
            <w:pPr>
              <w:jc w:val="center"/>
              <w:rPr>
                <w:rFonts w:cs="Cambria"/>
                <w:b/>
                <w:color w:val="000000"/>
                <w:sz w:val="18"/>
                <w:szCs w:val="18"/>
              </w:rPr>
            </w:pPr>
            <w:r w:rsidRPr="00E9156A">
              <w:rPr>
                <w:rFonts w:cs="Cambria"/>
                <w:b/>
                <w:color w:val="000000"/>
                <w:sz w:val="18"/>
                <w:szCs w:val="18"/>
              </w:rPr>
              <w:t>M</w:t>
            </w:r>
            <w:r>
              <w:rPr>
                <w:rFonts w:cs="Cambria"/>
                <w:b/>
                <w:color w:val="000000"/>
                <w:sz w:val="18"/>
                <w:szCs w:val="18"/>
              </w:rPr>
              <w:t>odel 4.</w:t>
            </w:r>
            <w:r w:rsidRPr="00E9156A">
              <w:rPr>
                <w:rFonts w:cs="Cambria"/>
                <w:b/>
                <w:color w:val="000000"/>
                <w:sz w:val="18"/>
                <w:szCs w:val="18"/>
              </w:rPr>
              <w:t>2</w:t>
            </w:r>
          </w:p>
        </w:tc>
        <w:tc>
          <w:tcPr>
            <w:tcW w:w="1368" w:type="dxa"/>
            <w:tcBorders>
              <w:top w:val="single" w:sz="6" w:space="0" w:color="auto"/>
              <w:left w:val="nil"/>
              <w:bottom w:val="nil"/>
              <w:right w:val="nil"/>
            </w:tcBorders>
            <w:vAlign w:val="center"/>
          </w:tcPr>
          <w:p w:rsidR="00BF1A3B" w:rsidRPr="00E9156A" w:rsidRDefault="00BF1A3B" w:rsidP="00BF1A3B">
            <w:pPr>
              <w:jc w:val="center"/>
              <w:rPr>
                <w:rFonts w:cs="Cambria"/>
                <w:b/>
                <w:color w:val="000000"/>
                <w:sz w:val="18"/>
                <w:szCs w:val="18"/>
              </w:rPr>
            </w:pPr>
            <w:r w:rsidRPr="00E9156A">
              <w:rPr>
                <w:rFonts w:cs="Cambria"/>
                <w:b/>
                <w:color w:val="000000"/>
                <w:sz w:val="18"/>
                <w:szCs w:val="18"/>
              </w:rPr>
              <w:t>M</w:t>
            </w:r>
            <w:r>
              <w:rPr>
                <w:rFonts w:cs="Cambria"/>
                <w:b/>
                <w:color w:val="000000"/>
                <w:sz w:val="18"/>
                <w:szCs w:val="18"/>
              </w:rPr>
              <w:t>odel 4.</w:t>
            </w:r>
            <w:r w:rsidRPr="00E9156A">
              <w:rPr>
                <w:rFonts w:cs="Cambria"/>
                <w:b/>
                <w:color w:val="000000"/>
                <w:sz w:val="18"/>
                <w:szCs w:val="18"/>
              </w:rPr>
              <w:t>3</w:t>
            </w:r>
          </w:p>
        </w:tc>
        <w:tc>
          <w:tcPr>
            <w:tcW w:w="1368" w:type="dxa"/>
            <w:tcBorders>
              <w:top w:val="single" w:sz="6" w:space="0" w:color="auto"/>
              <w:left w:val="nil"/>
              <w:bottom w:val="nil"/>
              <w:right w:val="nil"/>
            </w:tcBorders>
            <w:vAlign w:val="center"/>
          </w:tcPr>
          <w:p w:rsidR="00BF1A3B" w:rsidRPr="00E9156A" w:rsidRDefault="00BF1A3B" w:rsidP="00BF1A3B">
            <w:pPr>
              <w:jc w:val="center"/>
              <w:rPr>
                <w:rFonts w:cs="Cambria"/>
                <w:b/>
                <w:color w:val="000000"/>
                <w:sz w:val="18"/>
                <w:szCs w:val="18"/>
              </w:rPr>
            </w:pPr>
            <w:r w:rsidRPr="00E9156A">
              <w:rPr>
                <w:rFonts w:cs="Cambria"/>
                <w:b/>
                <w:color w:val="000000"/>
                <w:sz w:val="18"/>
                <w:szCs w:val="18"/>
              </w:rPr>
              <w:t>M</w:t>
            </w:r>
            <w:r>
              <w:rPr>
                <w:rFonts w:cs="Cambria"/>
                <w:b/>
                <w:color w:val="000000"/>
                <w:sz w:val="18"/>
                <w:szCs w:val="18"/>
              </w:rPr>
              <w:t>odel 4.</w:t>
            </w:r>
            <w:r w:rsidRPr="00E9156A">
              <w:rPr>
                <w:rFonts w:cs="Cambria"/>
                <w:b/>
                <w:color w:val="000000"/>
                <w:sz w:val="18"/>
                <w:szCs w:val="18"/>
              </w:rPr>
              <w:t>4</w:t>
            </w:r>
          </w:p>
        </w:tc>
        <w:tc>
          <w:tcPr>
            <w:tcW w:w="1368" w:type="dxa"/>
            <w:tcBorders>
              <w:top w:val="single" w:sz="6" w:space="0" w:color="auto"/>
              <w:left w:val="nil"/>
              <w:bottom w:val="nil"/>
              <w:right w:val="nil"/>
            </w:tcBorders>
            <w:vAlign w:val="center"/>
          </w:tcPr>
          <w:p w:rsidR="00BF1A3B" w:rsidRPr="00E9156A" w:rsidRDefault="00BF1A3B" w:rsidP="00BF1A3B">
            <w:pPr>
              <w:jc w:val="center"/>
              <w:rPr>
                <w:rFonts w:cs="Cambria"/>
                <w:b/>
                <w:color w:val="000000"/>
                <w:sz w:val="18"/>
                <w:szCs w:val="18"/>
              </w:rPr>
            </w:pPr>
            <w:r w:rsidRPr="00E9156A">
              <w:rPr>
                <w:rFonts w:cs="Cambria"/>
                <w:b/>
                <w:color w:val="000000"/>
                <w:sz w:val="18"/>
                <w:szCs w:val="18"/>
              </w:rPr>
              <w:t>M</w:t>
            </w:r>
            <w:r>
              <w:rPr>
                <w:rFonts w:cs="Cambria"/>
                <w:b/>
                <w:color w:val="000000"/>
                <w:sz w:val="18"/>
                <w:szCs w:val="18"/>
              </w:rPr>
              <w:t>odel 4.</w:t>
            </w:r>
            <w:r w:rsidRPr="00E9156A">
              <w:rPr>
                <w:rFonts w:cs="Cambria"/>
                <w:b/>
                <w:color w:val="000000"/>
                <w:sz w:val="18"/>
                <w:szCs w:val="18"/>
              </w:rPr>
              <w:t>5</w:t>
            </w:r>
          </w:p>
        </w:tc>
      </w:tr>
      <w:tr w:rsidR="00BF1A3B" w:rsidRPr="00A35892" w:rsidTr="00BF1A3B">
        <w:tblPrEx>
          <w:tblBorders>
            <w:top w:val="none" w:sz="0" w:space="0" w:color="auto"/>
          </w:tblBorders>
        </w:tblPrEx>
        <w:trPr>
          <w:trHeight w:val="144"/>
          <w:jc w:val="center"/>
        </w:trPr>
        <w:tc>
          <w:tcPr>
            <w:tcW w:w="3240" w:type="dxa"/>
            <w:tcBorders>
              <w:top w:val="nil"/>
              <w:left w:val="nil"/>
              <w:bottom w:val="nil"/>
              <w:right w:val="nil"/>
            </w:tcBorders>
            <w:vAlign w:val="center"/>
          </w:tcPr>
          <w:p w:rsidR="00BF1A3B" w:rsidRPr="00A35892" w:rsidRDefault="00BF1A3B" w:rsidP="00BF1A3B">
            <w:pPr>
              <w:ind w:left="252" w:hanging="252"/>
              <w:rPr>
                <w:rFonts w:cs="Cambria"/>
                <w:color w:val="000000"/>
                <w:sz w:val="14"/>
                <w:szCs w:val="14"/>
                <w:u w:val="single"/>
              </w:rPr>
            </w:pPr>
          </w:p>
        </w:tc>
        <w:tc>
          <w:tcPr>
            <w:tcW w:w="1368" w:type="dxa"/>
            <w:tcBorders>
              <w:top w:val="nil"/>
              <w:left w:val="nil"/>
              <w:bottom w:val="nil"/>
              <w:right w:val="nil"/>
            </w:tcBorders>
          </w:tcPr>
          <w:p w:rsidR="00BF1A3B" w:rsidRPr="00A35892" w:rsidRDefault="00BF1A3B" w:rsidP="00BF1A3B">
            <w:pPr>
              <w:rPr>
                <w:rFonts w:cs="Cambria"/>
                <w:color w:val="000000"/>
                <w:sz w:val="14"/>
                <w:szCs w:val="14"/>
              </w:rPr>
            </w:pPr>
          </w:p>
        </w:tc>
        <w:tc>
          <w:tcPr>
            <w:tcW w:w="1368" w:type="dxa"/>
            <w:tcBorders>
              <w:top w:val="nil"/>
              <w:left w:val="nil"/>
              <w:bottom w:val="nil"/>
              <w:right w:val="nil"/>
            </w:tcBorders>
          </w:tcPr>
          <w:p w:rsidR="00BF1A3B" w:rsidRPr="00A35892" w:rsidRDefault="00BF1A3B" w:rsidP="00BF1A3B">
            <w:pPr>
              <w:rPr>
                <w:rFonts w:cs="Cambria"/>
                <w:color w:val="000000"/>
                <w:sz w:val="14"/>
                <w:szCs w:val="14"/>
              </w:rPr>
            </w:pPr>
          </w:p>
        </w:tc>
        <w:tc>
          <w:tcPr>
            <w:tcW w:w="1368" w:type="dxa"/>
            <w:tcBorders>
              <w:top w:val="nil"/>
              <w:left w:val="nil"/>
              <w:bottom w:val="nil"/>
              <w:right w:val="nil"/>
            </w:tcBorders>
          </w:tcPr>
          <w:p w:rsidR="00BF1A3B" w:rsidRPr="00A35892" w:rsidRDefault="00BF1A3B" w:rsidP="00BF1A3B">
            <w:pPr>
              <w:rPr>
                <w:rFonts w:cs="Cambria"/>
                <w:color w:val="000000"/>
                <w:sz w:val="14"/>
                <w:szCs w:val="14"/>
              </w:rPr>
            </w:pPr>
          </w:p>
        </w:tc>
        <w:tc>
          <w:tcPr>
            <w:tcW w:w="1368" w:type="dxa"/>
            <w:tcBorders>
              <w:top w:val="nil"/>
              <w:left w:val="nil"/>
              <w:bottom w:val="nil"/>
              <w:right w:val="single" w:sz="8" w:space="0" w:color="BFBFBF"/>
            </w:tcBorders>
          </w:tcPr>
          <w:p w:rsidR="00BF1A3B" w:rsidRPr="00A35892" w:rsidRDefault="00BF1A3B" w:rsidP="00BF1A3B">
            <w:pPr>
              <w:rPr>
                <w:rFonts w:cs="Cambria"/>
                <w:color w:val="000000"/>
                <w:sz w:val="14"/>
                <w:szCs w:val="14"/>
              </w:rPr>
            </w:pPr>
          </w:p>
        </w:tc>
        <w:tc>
          <w:tcPr>
            <w:tcW w:w="1368" w:type="dxa"/>
            <w:tcBorders>
              <w:top w:val="nil"/>
              <w:left w:val="single" w:sz="8" w:space="0" w:color="BFBFBF"/>
              <w:bottom w:val="nil"/>
              <w:right w:val="nil"/>
            </w:tcBorders>
          </w:tcPr>
          <w:p w:rsidR="00BF1A3B" w:rsidRPr="00A35892" w:rsidRDefault="00BF1A3B" w:rsidP="00BF1A3B">
            <w:pPr>
              <w:rPr>
                <w:rFonts w:cs="Cambria"/>
                <w:color w:val="000000"/>
                <w:sz w:val="14"/>
                <w:szCs w:val="14"/>
              </w:rPr>
            </w:pP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Default="00BF1A3B" w:rsidP="00BF1A3B">
            <w:pPr>
              <w:ind w:left="252" w:hanging="252"/>
              <w:rPr>
                <w:i/>
                <w:iCs/>
                <w:sz w:val="20"/>
                <w:szCs w:val="20"/>
              </w:rPr>
            </w:pPr>
            <w:r>
              <w:rPr>
                <w:rFonts w:cs="Cambria"/>
                <w:color w:val="000000"/>
                <w:sz w:val="20"/>
                <w:szCs w:val="20"/>
                <w:u w:val="single"/>
              </w:rPr>
              <w:t>District-Level Main Effects</w:t>
            </w:r>
          </w:p>
        </w:tc>
        <w:tc>
          <w:tcPr>
            <w:tcW w:w="1368" w:type="dxa"/>
            <w:tcBorders>
              <w:top w:val="nil"/>
              <w:left w:val="nil"/>
              <w:bottom w:val="nil"/>
              <w:right w:val="nil"/>
            </w:tcBorders>
          </w:tcPr>
          <w:p w:rsidR="00BF1A3B" w:rsidRPr="006E78E0" w:rsidRDefault="00BF1A3B" w:rsidP="00BF1A3B">
            <w:pPr>
              <w:rPr>
                <w:rFonts w:cs="Cambria"/>
                <w:color w:val="000000"/>
                <w:sz w:val="20"/>
                <w:szCs w:val="20"/>
              </w:rPr>
            </w:pPr>
          </w:p>
        </w:tc>
        <w:tc>
          <w:tcPr>
            <w:tcW w:w="1368" w:type="dxa"/>
            <w:tcBorders>
              <w:top w:val="nil"/>
              <w:left w:val="nil"/>
              <w:bottom w:val="nil"/>
              <w:right w:val="nil"/>
            </w:tcBorders>
          </w:tcPr>
          <w:p w:rsidR="00BF1A3B" w:rsidRPr="006E78E0" w:rsidRDefault="00BF1A3B" w:rsidP="00BF1A3B">
            <w:pPr>
              <w:rPr>
                <w:rFonts w:cs="Cambria"/>
                <w:color w:val="000000"/>
                <w:sz w:val="20"/>
                <w:szCs w:val="20"/>
              </w:rPr>
            </w:pPr>
          </w:p>
        </w:tc>
        <w:tc>
          <w:tcPr>
            <w:tcW w:w="1368" w:type="dxa"/>
            <w:tcBorders>
              <w:top w:val="nil"/>
              <w:left w:val="nil"/>
              <w:bottom w:val="nil"/>
              <w:right w:val="nil"/>
            </w:tcBorders>
          </w:tcPr>
          <w:p w:rsidR="00BF1A3B" w:rsidRPr="006E78E0" w:rsidRDefault="00BF1A3B" w:rsidP="00BF1A3B">
            <w:pPr>
              <w:rPr>
                <w:rFonts w:cs="Cambria"/>
                <w:color w:val="000000"/>
                <w:sz w:val="20"/>
                <w:szCs w:val="20"/>
              </w:rPr>
            </w:pPr>
          </w:p>
        </w:tc>
        <w:tc>
          <w:tcPr>
            <w:tcW w:w="1368" w:type="dxa"/>
            <w:tcBorders>
              <w:top w:val="nil"/>
              <w:left w:val="nil"/>
              <w:bottom w:val="nil"/>
              <w:right w:val="single" w:sz="8" w:space="0" w:color="BFBFBF"/>
            </w:tcBorders>
          </w:tcPr>
          <w:p w:rsidR="00BF1A3B" w:rsidRPr="006E78E0" w:rsidRDefault="00BF1A3B" w:rsidP="00BF1A3B">
            <w:pPr>
              <w:rPr>
                <w:rFonts w:cs="Cambria"/>
                <w:color w:val="000000"/>
                <w:sz w:val="20"/>
                <w:szCs w:val="20"/>
              </w:rPr>
            </w:pPr>
          </w:p>
        </w:tc>
        <w:tc>
          <w:tcPr>
            <w:tcW w:w="1368" w:type="dxa"/>
            <w:tcBorders>
              <w:top w:val="nil"/>
              <w:left w:val="single" w:sz="8" w:space="0" w:color="BFBFBF"/>
              <w:bottom w:val="nil"/>
              <w:right w:val="nil"/>
            </w:tcBorders>
          </w:tcPr>
          <w:p w:rsidR="00BF1A3B" w:rsidRPr="006E78E0" w:rsidRDefault="00BF1A3B" w:rsidP="00BF1A3B">
            <w:pPr>
              <w:rPr>
                <w:rFonts w:cs="Cambria"/>
                <w:color w:val="000000"/>
                <w:sz w:val="20"/>
                <w:szCs w:val="20"/>
              </w:rPr>
            </w:pP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Pr>
                <w:i/>
                <w:iCs/>
                <w:sz w:val="20"/>
                <w:szCs w:val="20"/>
              </w:rPr>
              <w:t>District Percent</w:t>
            </w:r>
            <w:r w:rsidRPr="00A65481">
              <w:rPr>
                <w:i/>
                <w:iCs/>
                <w:sz w:val="20"/>
                <w:szCs w:val="20"/>
              </w:rPr>
              <w:t xml:space="preserve"> Students </w:t>
            </w:r>
            <w:r>
              <w:rPr>
                <w:i/>
                <w:iCs/>
                <w:sz w:val="20"/>
                <w:szCs w:val="20"/>
              </w:rPr>
              <w:t>with ‘High Incidence’ Disability Designation</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r w:rsidRPr="006E78E0">
              <w:rPr>
                <w:rFonts w:cs="Cambria"/>
                <w:color w:val="000000"/>
                <w:sz w:val="20"/>
                <w:szCs w:val="20"/>
              </w:rPr>
              <w:t>0.07</w:t>
            </w: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r w:rsidRPr="006E78E0">
              <w:rPr>
                <w:rFonts w:cs="Cambria"/>
                <w:color w:val="000000"/>
                <w:sz w:val="20"/>
                <w:szCs w:val="20"/>
              </w:rPr>
              <w:t>-0.49</w:t>
            </w:r>
          </w:p>
        </w:tc>
        <w:tc>
          <w:tcPr>
            <w:tcW w:w="1368" w:type="dxa"/>
            <w:tcBorders>
              <w:top w:val="nil"/>
              <w:left w:val="nil"/>
              <w:bottom w:val="nil"/>
              <w:right w:val="nil"/>
            </w:tcBorders>
            <w:vAlign w:val="center"/>
          </w:tcPr>
          <w:p w:rsidR="00BF1A3B" w:rsidRPr="006E78E0" w:rsidRDefault="00BF1A3B" w:rsidP="00BF1A3B">
            <w:pPr>
              <w:tabs>
                <w:tab w:val="decimal" w:pos="444"/>
              </w:tabs>
              <w:rPr>
                <w:rFonts w:cs="Cambria"/>
                <w:color w:val="000000"/>
                <w:sz w:val="20"/>
                <w:szCs w:val="20"/>
              </w:rPr>
            </w:pPr>
            <w:r w:rsidRPr="006E78E0">
              <w:rPr>
                <w:rFonts w:cs="Cambria"/>
                <w:color w:val="000000"/>
                <w:sz w:val="20"/>
                <w:szCs w:val="20"/>
              </w:rPr>
              <w:t>-0.42</w:t>
            </w:r>
          </w:p>
        </w:tc>
        <w:tc>
          <w:tcPr>
            <w:tcW w:w="1368" w:type="dxa"/>
            <w:tcBorders>
              <w:top w:val="nil"/>
              <w:left w:val="nil"/>
              <w:bottom w:val="nil"/>
              <w:right w:val="single" w:sz="8" w:space="0" w:color="BFBFBF"/>
            </w:tcBorders>
            <w:vAlign w:val="center"/>
          </w:tcPr>
          <w:p w:rsidR="00BF1A3B" w:rsidRPr="006E78E0" w:rsidRDefault="00BF1A3B" w:rsidP="00BF1A3B">
            <w:pPr>
              <w:tabs>
                <w:tab w:val="decimal" w:pos="468"/>
              </w:tabs>
              <w:rPr>
                <w:rFonts w:cs="Cambria"/>
                <w:color w:val="000000"/>
                <w:sz w:val="20"/>
                <w:szCs w:val="20"/>
              </w:rPr>
            </w:pPr>
            <w:r w:rsidRPr="006E78E0">
              <w:rPr>
                <w:rFonts w:cs="Cambria"/>
                <w:color w:val="000000"/>
                <w:sz w:val="20"/>
                <w:szCs w:val="20"/>
              </w:rPr>
              <w:t>0.08**</w:t>
            </w:r>
          </w:p>
        </w:tc>
        <w:tc>
          <w:tcPr>
            <w:tcW w:w="1368" w:type="dxa"/>
            <w:tcBorders>
              <w:top w:val="nil"/>
              <w:left w:val="single" w:sz="8" w:space="0" w:color="BFBFBF"/>
              <w:bottom w:val="nil"/>
              <w:right w:val="nil"/>
            </w:tcBorders>
            <w:vAlign w:val="center"/>
          </w:tcPr>
          <w:p w:rsidR="00BF1A3B" w:rsidRPr="006E78E0" w:rsidRDefault="00BF1A3B" w:rsidP="00BF1A3B">
            <w:pPr>
              <w:tabs>
                <w:tab w:val="decimal" w:pos="396"/>
              </w:tabs>
              <w:rPr>
                <w:rFonts w:cs="Cambria"/>
                <w:color w:val="000000"/>
                <w:sz w:val="20"/>
                <w:szCs w:val="20"/>
              </w:rPr>
            </w:pPr>
            <w:r w:rsidRPr="006E78E0">
              <w:rPr>
                <w:rFonts w:cs="Cambria"/>
                <w:color w:val="000000"/>
                <w:sz w:val="20"/>
                <w:szCs w:val="20"/>
              </w:rPr>
              <w:t>0.55</w:t>
            </w: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Pr>
                <w:i/>
                <w:iCs/>
                <w:sz w:val="20"/>
                <w:szCs w:val="20"/>
              </w:rPr>
              <w:t>District %</w:t>
            </w:r>
            <w:r w:rsidRPr="00A65481">
              <w:rPr>
                <w:i/>
                <w:iCs/>
                <w:sz w:val="20"/>
                <w:szCs w:val="20"/>
              </w:rPr>
              <w:t xml:space="preserve"> Students </w:t>
            </w:r>
            <w:r>
              <w:rPr>
                <w:i/>
                <w:iCs/>
                <w:sz w:val="20"/>
                <w:szCs w:val="20"/>
              </w:rPr>
              <w:t>with ‘High Incidence’ Designation (Squared)</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44"/>
              </w:tabs>
              <w:rPr>
                <w:rFonts w:cs="Cambria"/>
                <w:color w:val="000000"/>
                <w:sz w:val="20"/>
                <w:szCs w:val="20"/>
              </w:rPr>
            </w:pPr>
          </w:p>
        </w:tc>
        <w:tc>
          <w:tcPr>
            <w:tcW w:w="1368" w:type="dxa"/>
            <w:tcBorders>
              <w:top w:val="nil"/>
              <w:left w:val="nil"/>
              <w:bottom w:val="nil"/>
              <w:right w:val="single" w:sz="8" w:space="0" w:color="BFBFBF"/>
            </w:tcBorders>
            <w:vAlign w:val="center"/>
          </w:tcPr>
          <w:p w:rsidR="00BF1A3B" w:rsidRPr="006E78E0" w:rsidRDefault="00BF1A3B" w:rsidP="00BF1A3B">
            <w:pPr>
              <w:tabs>
                <w:tab w:val="decimal" w:pos="468"/>
              </w:tabs>
              <w:rPr>
                <w:rFonts w:cs="Cambria"/>
                <w:color w:val="000000"/>
                <w:sz w:val="20"/>
                <w:szCs w:val="20"/>
              </w:rPr>
            </w:pPr>
          </w:p>
        </w:tc>
        <w:tc>
          <w:tcPr>
            <w:tcW w:w="1368" w:type="dxa"/>
            <w:tcBorders>
              <w:top w:val="nil"/>
              <w:left w:val="single" w:sz="8" w:space="0" w:color="BFBFBF"/>
              <w:bottom w:val="nil"/>
              <w:right w:val="nil"/>
            </w:tcBorders>
            <w:vAlign w:val="center"/>
          </w:tcPr>
          <w:p w:rsidR="00BF1A3B" w:rsidRPr="006E78E0" w:rsidRDefault="00BF1A3B" w:rsidP="00BF1A3B">
            <w:pPr>
              <w:tabs>
                <w:tab w:val="decimal" w:pos="396"/>
              </w:tabs>
              <w:rPr>
                <w:rFonts w:cs="Cambria"/>
                <w:color w:val="000000"/>
                <w:sz w:val="20"/>
                <w:szCs w:val="20"/>
              </w:rPr>
            </w:pPr>
            <w:r w:rsidRPr="006E78E0">
              <w:rPr>
                <w:rFonts w:cs="Cambria"/>
                <w:color w:val="000000"/>
                <w:sz w:val="20"/>
                <w:szCs w:val="20"/>
              </w:rPr>
              <w:t>-0.03</w:t>
            </w: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Pr>
                <w:i/>
                <w:iCs/>
                <w:sz w:val="20"/>
                <w:szCs w:val="20"/>
              </w:rPr>
              <w:t>District %</w:t>
            </w:r>
            <w:r w:rsidRPr="00A65481">
              <w:rPr>
                <w:i/>
                <w:iCs/>
                <w:sz w:val="20"/>
                <w:szCs w:val="20"/>
              </w:rPr>
              <w:t xml:space="preserve"> Students </w:t>
            </w:r>
            <w:r>
              <w:rPr>
                <w:i/>
                <w:iCs/>
                <w:sz w:val="20"/>
                <w:szCs w:val="20"/>
              </w:rPr>
              <w:t>with ‘High Incidence’ Designation (Cubed)</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44"/>
              </w:tabs>
              <w:rPr>
                <w:rFonts w:cs="Cambria"/>
                <w:color w:val="000000"/>
                <w:sz w:val="20"/>
                <w:szCs w:val="20"/>
              </w:rPr>
            </w:pPr>
          </w:p>
        </w:tc>
        <w:tc>
          <w:tcPr>
            <w:tcW w:w="1368" w:type="dxa"/>
            <w:tcBorders>
              <w:top w:val="nil"/>
              <w:left w:val="nil"/>
              <w:bottom w:val="nil"/>
              <w:right w:val="single" w:sz="8" w:space="0" w:color="BFBFBF"/>
            </w:tcBorders>
            <w:vAlign w:val="center"/>
          </w:tcPr>
          <w:p w:rsidR="00BF1A3B" w:rsidRPr="006E78E0" w:rsidRDefault="00BF1A3B" w:rsidP="00BF1A3B">
            <w:pPr>
              <w:tabs>
                <w:tab w:val="decimal" w:pos="468"/>
              </w:tabs>
              <w:rPr>
                <w:rFonts w:cs="Cambria"/>
                <w:color w:val="000000"/>
                <w:sz w:val="20"/>
                <w:szCs w:val="20"/>
              </w:rPr>
            </w:pPr>
          </w:p>
        </w:tc>
        <w:tc>
          <w:tcPr>
            <w:tcW w:w="1368" w:type="dxa"/>
            <w:tcBorders>
              <w:top w:val="nil"/>
              <w:left w:val="single" w:sz="8" w:space="0" w:color="BFBFBF"/>
              <w:bottom w:val="nil"/>
              <w:right w:val="nil"/>
            </w:tcBorders>
            <w:vAlign w:val="center"/>
          </w:tcPr>
          <w:p w:rsidR="00BF1A3B" w:rsidRPr="006E78E0" w:rsidRDefault="00BF1A3B" w:rsidP="00BF1A3B">
            <w:pPr>
              <w:tabs>
                <w:tab w:val="decimal" w:pos="396"/>
              </w:tabs>
              <w:rPr>
                <w:rFonts w:cs="Cambria"/>
                <w:color w:val="000000"/>
                <w:sz w:val="20"/>
                <w:szCs w:val="20"/>
              </w:rPr>
            </w:pPr>
            <w:r w:rsidRPr="006E78E0">
              <w:rPr>
                <w:rFonts w:cs="Cambria"/>
                <w:color w:val="000000"/>
                <w:sz w:val="20"/>
                <w:szCs w:val="20"/>
              </w:rPr>
              <w:t>0.00*</w:t>
            </w: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EA28F1" w:rsidRDefault="00BF1A3B" w:rsidP="00BF1A3B">
            <w:pPr>
              <w:ind w:left="252" w:hanging="252"/>
              <w:rPr>
                <w:rFonts w:cs="Cambria"/>
                <w:i/>
                <w:color w:val="000000"/>
                <w:sz w:val="20"/>
                <w:szCs w:val="20"/>
              </w:rPr>
            </w:pPr>
            <w:r w:rsidRPr="00EA28F1">
              <w:rPr>
                <w:rFonts w:cs="Cambria"/>
                <w:i/>
                <w:color w:val="000000"/>
                <w:sz w:val="20"/>
                <w:szCs w:val="20"/>
              </w:rPr>
              <w:t>District Level of Inclusion</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r w:rsidRPr="006E78E0">
              <w:rPr>
                <w:rFonts w:cs="Cambria"/>
                <w:color w:val="000000"/>
                <w:sz w:val="20"/>
                <w:szCs w:val="20"/>
              </w:rPr>
              <w:t>0.11**</w:t>
            </w: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r w:rsidRPr="006E78E0">
              <w:rPr>
                <w:rFonts w:cs="Cambria"/>
                <w:color w:val="000000"/>
                <w:sz w:val="20"/>
                <w:szCs w:val="20"/>
              </w:rPr>
              <w:t>0.00</w:t>
            </w:r>
          </w:p>
        </w:tc>
        <w:tc>
          <w:tcPr>
            <w:tcW w:w="1368" w:type="dxa"/>
            <w:tcBorders>
              <w:top w:val="nil"/>
              <w:left w:val="nil"/>
              <w:bottom w:val="nil"/>
              <w:right w:val="nil"/>
            </w:tcBorders>
            <w:vAlign w:val="center"/>
          </w:tcPr>
          <w:p w:rsidR="00BF1A3B" w:rsidRPr="006E78E0" w:rsidRDefault="00BF1A3B" w:rsidP="00BF1A3B">
            <w:pPr>
              <w:tabs>
                <w:tab w:val="decimal" w:pos="444"/>
              </w:tabs>
              <w:rPr>
                <w:rFonts w:cs="Cambria"/>
                <w:color w:val="000000"/>
                <w:sz w:val="20"/>
                <w:szCs w:val="20"/>
              </w:rPr>
            </w:pPr>
            <w:r w:rsidRPr="006E78E0">
              <w:rPr>
                <w:rFonts w:cs="Cambria"/>
                <w:color w:val="000000"/>
                <w:sz w:val="20"/>
                <w:szCs w:val="20"/>
              </w:rPr>
              <w:t>-0.07</w:t>
            </w:r>
          </w:p>
        </w:tc>
        <w:tc>
          <w:tcPr>
            <w:tcW w:w="1368" w:type="dxa"/>
            <w:tcBorders>
              <w:top w:val="nil"/>
              <w:left w:val="nil"/>
              <w:bottom w:val="nil"/>
              <w:right w:val="single" w:sz="8" w:space="0" w:color="BFBFBF"/>
            </w:tcBorders>
            <w:vAlign w:val="center"/>
          </w:tcPr>
          <w:p w:rsidR="00BF1A3B" w:rsidRPr="006E78E0" w:rsidRDefault="00BF1A3B" w:rsidP="00BF1A3B">
            <w:pPr>
              <w:tabs>
                <w:tab w:val="decimal" w:pos="468"/>
              </w:tabs>
              <w:rPr>
                <w:rFonts w:cs="Cambria"/>
                <w:color w:val="000000"/>
                <w:sz w:val="20"/>
                <w:szCs w:val="20"/>
              </w:rPr>
            </w:pPr>
            <w:r w:rsidRPr="006E78E0">
              <w:rPr>
                <w:rFonts w:cs="Cambria"/>
                <w:color w:val="000000"/>
                <w:sz w:val="20"/>
                <w:szCs w:val="20"/>
              </w:rPr>
              <w:t>-0.00</w:t>
            </w:r>
          </w:p>
        </w:tc>
        <w:tc>
          <w:tcPr>
            <w:tcW w:w="1368" w:type="dxa"/>
            <w:tcBorders>
              <w:top w:val="nil"/>
              <w:left w:val="single" w:sz="8" w:space="0" w:color="BFBFBF"/>
              <w:bottom w:val="nil"/>
              <w:right w:val="nil"/>
            </w:tcBorders>
            <w:vAlign w:val="center"/>
          </w:tcPr>
          <w:p w:rsidR="00BF1A3B" w:rsidRPr="006E78E0" w:rsidRDefault="00BF1A3B" w:rsidP="00BF1A3B">
            <w:pPr>
              <w:tabs>
                <w:tab w:val="decimal" w:pos="396"/>
              </w:tabs>
              <w:rPr>
                <w:rFonts w:cs="Cambria"/>
                <w:color w:val="000000"/>
                <w:sz w:val="20"/>
                <w:szCs w:val="20"/>
              </w:rPr>
            </w:pPr>
            <w:r w:rsidRPr="006E78E0">
              <w:rPr>
                <w:rFonts w:cs="Cambria"/>
                <w:color w:val="000000"/>
                <w:sz w:val="20"/>
                <w:szCs w:val="20"/>
              </w:rPr>
              <w:t>-0.01</w:t>
            </w: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CD689D" w:rsidRDefault="00BF1A3B" w:rsidP="00BF1A3B">
            <w:pPr>
              <w:ind w:left="252" w:hanging="252"/>
              <w:rPr>
                <w:rFonts w:cs="Cambria"/>
                <w:i/>
                <w:color w:val="000000"/>
                <w:sz w:val="20"/>
                <w:szCs w:val="20"/>
              </w:rPr>
            </w:pPr>
            <w:r>
              <w:rPr>
                <w:rFonts w:cs="Cambria"/>
                <w:i/>
                <w:color w:val="000000"/>
                <w:sz w:val="20"/>
                <w:szCs w:val="20"/>
              </w:rPr>
              <w:t>District Median Family Income (MFI), in units of $10,000</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44"/>
              </w:tabs>
              <w:rPr>
                <w:rFonts w:cs="Cambria"/>
                <w:color w:val="000000"/>
                <w:sz w:val="20"/>
                <w:szCs w:val="20"/>
              </w:rPr>
            </w:pPr>
            <w:r w:rsidRPr="006E78E0">
              <w:rPr>
                <w:rFonts w:cs="Cambria"/>
                <w:color w:val="000000"/>
                <w:sz w:val="20"/>
                <w:szCs w:val="20"/>
              </w:rPr>
              <w:t>0.45**</w:t>
            </w:r>
          </w:p>
        </w:tc>
        <w:tc>
          <w:tcPr>
            <w:tcW w:w="1368" w:type="dxa"/>
            <w:tcBorders>
              <w:top w:val="nil"/>
              <w:left w:val="nil"/>
              <w:bottom w:val="nil"/>
              <w:right w:val="single" w:sz="8" w:space="0" w:color="BFBFBF"/>
            </w:tcBorders>
            <w:vAlign w:val="center"/>
          </w:tcPr>
          <w:p w:rsidR="00BF1A3B" w:rsidRPr="006E78E0" w:rsidRDefault="00BF1A3B" w:rsidP="00BF1A3B">
            <w:pPr>
              <w:tabs>
                <w:tab w:val="decimal" w:pos="468"/>
              </w:tabs>
              <w:rPr>
                <w:rFonts w:cs="Cambria"/>
                <w:color w:val="000000"/>
                <w:sz w:val="20"/>
                <w:szCs w:val="20"/>
              </w:rPr>
            </w:pPr>
            <w:r w:rsidRPr="006E78E0">
              <w:rPr>
                <w:rFonts w:cs="Cambria"/>
                <w:color w:val="000000"/>
                <w:sz w:val="20"/>
                <w:szCs w:val="20"/>
              </w:rPr>
              <w:t>0.47**</w:t>
            </w:r>
          </w:p>
        </w:tc>
        <w:tc>
          <w:tcPr>
            <w:tcW w:w="1368" w:type="dxa"/>
            <w:tcBorders>
              <w:top w:val="nil"/>
              <w:left w:val="single" w:sz="8" w:space="0" w:color="BFBFBF"/>
              <w:bottom w:val="nil"/>
              <w:right w:val="nil"/>
            </w:tcBorders>
            <w:vAlign w:val="center"/>
          </w:tcPr>
          <w:p w:rsidR="00BF1A3B" w:rsidRPr="006E78E0" w:rsidRDefault="00BF1A3B" w:rsidP="00BF1A3B">
            <w:pPr>
              <w:tabs>
                <w:tab w:val="decimal" w:pos="396"/>
              </w:tabs>
              <w:rPr>
                <w:rFonts w:cs="Cambria"/>
                <w:color w:val="000000"/>
                <w:sz w:val="20"/>
                <w:szCs w:val="20"/>
              </w:rPr>
            </w:pPr>
            <w:r w:rsidRPr="006E78E0">
              <w:rPr>
                <w:rFonts w:cs="Cambria"/>
                <w:color w:val="000000"/>
                <w:sz w:val="20"/>
                <w:szCs w:val="20"/>
              </w:rPr>
              <w:t>1.83**</w:t>
            </w: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Pr>
                <w:rFonts w:cs="Cambria"/>
                <w:i/>
                <w:color w:val="000000"/>
                <w:sz w:val="20"/>
                <w:szCs w:val="20"/>
              </w:rPr>
              <w:t>District MFI, in units of $10,000 (Squared)</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44"/>
              </w:tabs>
              <w:rPr>
                <w:rFonts w:cs="Cambria"/>
                <w:color w:val="000000"/>
                <w:sz w:val="20"/>
                <w:szCs w:val="20"/>
              </w:rPr>
            </w:pPr>
          </w:p>
        </w:tc>
        <w:tc>
          <w:tcPr>
            <w:tcW w:w="1368" w:type="dxa"/>
            <w:tcBorders>
              <w:top w:val="nil"/>
              <w:left w:val="nil"/>
              <w:bottom w:val="nil"/>
              <w:right w:val="single" w:sz="8" w:space="0" w:color="BFBFBF"/>
            </w:tcBorders>
            <w:vAlign w:val="center"/>
          </w:tcPr>
          <w:p w:rsidR="00BF1A3B" w:rsidRPr="006E78E0" w:rsidRDefault="00BF1A3B" w:rsidP="00BF1A3B">
            <w:pPr>
              <w:tabs>
                <w:tab w:val="decimal" w:pos="468"/>
              </w:tabs>
              <w:rPr>
                <w:rFonts w:cs="Cambria"/>
                <w:color w:val="000000"/>
                <w:sz w:val="20"/>
                <w:szCs w:val="20"/>
              </w:rPr>
            </w:pPr>
          </w:p>
        </w:tc>
        <w:tc>
          <w:tcPr>
            <w:tcW w:w="1368" w:type="dxa"/>
            <w:tcBorders>
              <w:top w:val="nil"/>
              <w:left w:val="single" w:sz="8" w:space="0" w:color="BFBFBF"/>
              <w:bottom w:val="nil"/>
              <w:right w:val="nil"/>
            </w:tcBorders>
            <w:vAlign w:val="center"/>
          </w:tcPr>
          <w:p w:rsidR="00BF1A3B" w:rsidRPr="006E78E0" w:rsidRDefault="00BF1A3B" w:rsidP="00BF1A3B">
            <w:pPr>
              <w:tabs>
                <w:tab w:val="decimal" w:pos="396"/>
              </w:tabs>
              <w:rPr>
                <w:rFonts w:cs="Cambria"/>
                <w:color w:val="000000"/>
                <w:sz w:val="20"/>
                <w:szCs w:val="20"/>
              </w:rPr>
            </w:pPr>
            <w:r w:rsidRPr="006E78E0">
              <w:rPr>
                <w:rFonts w:cs="Cambria"/>
                <w:color w:val="000000"/>
                <w:sz w:val="20"/>
                <w:szCs w:val="20"/>
              </w:rPr>
              <w:t>-0.07**</w:t>
            </w: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CD689D" w:rsidRDefault="00BF1A3B" w:rsidP="00BF1A3B">
            <w:pPr>
              <w:ind w:left="252" w:hanging="252"/>
              <w:rPr>
                <w:rFonts w:cs="Cambria"/>
                <w:i/>
                <w:color w:val="000000"/>
                <w:sz w:val="20"/>
                <w:szCs w:val="20"/>
              </w:rPr>
            </w:pPr>
            <w:r>
              <w:rPr>
                <w:rFonts w:cs="Cambria"/>
                <w:i/>
                <w:color w:val="000000"/>
                <w:sz w:val="20"/>
                <w:szCs w:val="20"/>
              </w:rPr>
              <w:t>District Student-Teacher Ratio</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44"/>
              </w:tabs>
              <w:rPr>
                <w:rFonts w:cs="Cambria"/>
                <w:color w:val="000000"/>
                <w:sz w:val="20"/>
                <w:szCs w:val="20"/>
              </w:rPr>
            </w:pPr>
            <w:r w:rsidRPr="006E78E0">
              <w:rPr>
                <w:rFonts w:cs="Cambria"/>
                <w:color w:val="000000"/>
                <w:sz w:val="20"/>
                <w:szCs w:val="20"/>
              </w:rPr>
              <w:t>-0.09</w:t>
            </w:r>
          </w:p>
        </w:tc>
        <w:tc>
          <w:tcPr>
            <w:tcW w:w="1368" w:type="dxa"/>
            <w:tcBorders>
              <w:top w:val="nil"/>
              <w:left w:val="nil"/>
              <w:bottom w:val="nil"/>
              <w:right w:val="single" w:sz="8" w:space="0" w:color="BFBFBF"/>
            </w:tcBorders>
            <w:vAlign w:val="center"/>
          </w:tcPr>
          <w:p w:rsidR="00BF1A3B" w:rsidRPr="006E78E0" w:rsidRDefault="00BF1A3B" w:rsidP="00BF1A3B">
            <w:pPr>
              <w:tabs>
                <w:tab w:val="decimal" w:pos="468"/>
              </w:tabs>
              <w:rPr>
                <w:rFonts w:cs="Cambria"/>
                <w:color w:val="000000"/>
                <w:sz w:val="20"/>
                <w:szCs w:val="20"/>
              </w:rPr>
            </w:pPr>
          </w:p>
        </w:tc>
        <w:tc>
          <w:tcPr>
            <w:tcW w:w="1368" w:type="dxa"/>
            <w:tcBorders>
              <w:top w:val="nil"/>
              <w:left w:val="single" w:sz="8" w:space="0" w:color="BFBFBF"/>
              <w:bottom w:val="nil"/>
              <w:right w:val="nil"/>
            </w:tcBorders>
            <w:vAlign w:val="center"/>
          </w:tcPr>
          <w:p w:rsidR="00BF1A3B" w:rsidRPr="006E78E0" w:rsidRDefault="00BF1A3B" w:rsidP="00BF1A3B">
            <w:pPr>
              <w:tabs>
                <w:tab w:val="decimal" w:pos="396"/>
              </w:tabs>
              <w:rPr>
                <w:rFonts w:cs="Cambria"/>
                <w:color w:val="000000"/>
                <w:sz w:val="20"/>
                <w:szCs w:val="20"/>
              </w:rPr>
            </w:pP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sidRPr="00CD689D">
              <w:rPr>
                <w:rFonts w:cs="Cambria"/>
                <w:i/>
                <w:iCs/>
                <w:color w:val="000000"/>
                <w:sz w:val="20"/>
                <w:szCs w:val="20"/>
              </w:rPr>
              <w:t>District Participates in METCO Program</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44"/>
              </w:tabs>
              <w:rPr>
                <w:rFonts w:cs="Cambria"/>
                <w:color w:val="000000"/>
                <w:sz w:val="20"/>
                <w:szCs w:val="20"/>
              </w:rPr>
            </w:pPr>
            <w:r w:rsidRPr="006E78E0">
              <w:rPr>
                <w:rFonts w:cs="Cambria"/>
                <w:color w:val="000000"/>
                <w:sz w:val="20"/>
                <w:szCs w:val="20"/>
              </w:rPr>
              <w:t>0.59</w:t>
            </w:r>
          </w:p>
        </w:tc>
        <w:tc>
          <w:tcPr>
            <w:tcW w:w="1368" w:type="dxa"/>
            <w:tcBorders>
              <w:top w:val="nil"/>
              <w:left w:val="nil"/>
              <w:bottom w:val="nil"/>
              <w:right w:val="single" w:sz="8" w:space="0" w:color="BFBFBF"/>
            </w:tcBorders>
            <w:vAlign w:val="center"/>
          </w:tcPr>
          <w:p w:rsidR="00BF1A3B" w:rsidRPr="006E78E0" w:rsidRDefault="00BF1A3B" w:rsidP="00BF1A3B">
            <w:pPr>
              <w:tabs>
                <w:tab w:val="decimal" w:pos="468"/>
              </w:tabs>
              <w:rPr>
                <w:rFonts w:cs="Cambria"/>
                <w:color w:val="000000"/>
                <w:sz w:val="20"/>
                <w:szCs w:val="20"/>
              </w:rPr>
            </w:pPr>
          </w:p>
        </w:tc>
        <w:tc>
          <w:tcPr>
            <w:tcW w:w="1368" w:type="dxa"/>
            <w:tcBorders>
              <w:top w:val="nil"/>
              <w:left w:val="single" w:sz="8" w:space="0" w:color="BFBFBF"/>
              <w:bottom w:val="nil"/>
              <w:right w:val="nil"/>
            </w:tcBorders>
            <w:vAlign w:val="center"/>
          </w:tcPr>
          <w:p w:rsidR="00BF1A3B" w:rsidRPr="006E78E0" w:rsidRDefault="00BF1A3B" w:rsidP="00BF1A3B">
            <w:pPr>
              <w:tabs>
                <w:tab w:val="decimal" w:pos="396"/>
              </w:tabs>
              <w:rPr>
                <w:rFonts w:cs="Cambria"/>
                <w:color w:val="000000"/>
                <w:sz w:val="20"/>
                <w:szCs w:val="20"/>
              </w:rPr>
            </w:pP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Pr>
                <w:i/>
                <w:iCs/>
                <w:sz w:val="20"/>
                <w:szCs w:val="20"/>
              </w:rPr>
              <w:t>District Percent</w:t>
            </w:r>
            <w:r w:rsidRPr="00A65481">
              <w:rPr>
                <w:i/>
                <w:iCs/>
                <w:sz w:val="20"/>
                <w:szCs w:val="20"/>
              </w:rPr>
              <w:t xml:space="preserve"> Students </w:t>
            </w:r>
            <w:r>
              <w:rPr>
                <w:i/>
                <w:iCs/>
                <w:sz w:val="20"/>
                <w:szCs w:val="20"/>
              </w:rPr>
              <w:t>with Limited English Proficiency</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44"/>
              </w:tabs>
              <w:rPr>
                <w:rFonts w:cs="Cambria"/>
                <w:color w:val="000000"/>
                <w:sz w:val="20"/>
                <w:szCs w:val="20"/>
              </w:rPr>
            </w:pPr>
            <w:r w:rsidRPr="006E78E0">
              <w:rPr>
                <w:rFonts w:cs="Cambria"/>
                <w:color w:val="000000"/>
                <w:sz w:val="20"/>
                <w:szCs w:val="20"/>
              </w:rPr>
              <w:t>0.18**</w:t>
            </w:r>
          </w:p>
        </w:tc>
        <w:tc>
          <w:tcPr>
            <w:tcW w:w="1368" w:type="dxa"/>
            <w:tcBorders>
              <w:top w:val="nil"/>
              <w:left w:val="nil"/>
              <w:bottom w:val="nil"/>
              <w:right w:val="single" w:sz="8" w:space="0" w:color="BFBFBF"/>
            </w:tcBorders>
            <w:vAlign w:val="center"/>
          </w:tcPr>
          <w:p w:rsidR="00BF1A3B" w:rsidRPr="006E78E0" w:rsidRDefault="00BF1A3B" w:rsidP="00BF1A3B">
            <w:pPr>
              <w:tabs>
                <w:tab w:val="decimal" w:pos="468"/>
              </w:tabs>
              <w:rPr>
                <w:rFonts w:cs="Cambria"/>
                <w:color w:val="000000"/>
                <w:sz w:val="20"/>
                <w:szCs w:val="20"/>
              </w:rPr>
            </w:pPr>
            <w:r w:rsidRPr="006E78E0">
              <w:rPr>
                <w:rFonts w:cs="Cambria"/>
                <w:color w:val="000000"/>
                <w:sz w:val="20"/>
                <w:szCs w:val="20"/>
              </w:rPr>
              <w:t>0.19**</w:t>
            </w:r>
          </w:p>
        </w:tc>
        <w:tc>
          <w:tcPr>
            <w:tcW w:w="1368" w:type="dxa"/>
            <w:tcBorders>
              <w:top w:val="nil"/>
              <w:left w:val="single" w:sz="8" w:space="0" w:color="BFBFBF"/>
              <w:bottom w:val="nil"/>
              <w:right w:val="nil"/>
            </w:tcBorders>
            <w:vAlign w:val="center"/>
          </w:tcPr>
          <w:p w:rsidR="00BF1A3B" w:rsidRPr="006E78E0" w:rsidRDefault="00BF1A3B" w:rsidP="00BF1A3B">
            <w:pPr>
              <w:tabs>
                <w:tab w:val="decimal" w:pos="396"/>
              </w:tabs>
              <w:rPr>
                <w:rFonts w:cs="Cambria"/>
                <w:color w:val="000000"/>
                <w:sz w:val="20"/>
                <w:szCs w:val="20"/>
              </w:rPr>
            </w:pPr>
            <w:r w:rsidRPr="006E78E0">
              <w:rPr>
                <w:rFonts w:cs="Cambria"/>
                <w:color w:val="000000"/>
                <w:sz w:val="20"/>
                <w:szCs w:val="20"/>
              </w:rPr>
              <w:t>0.14**</w:t>
            </w: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Pr>
                <w:i/>
                <w:iCs/>
                <w:sz w:val="20"/>
                <w:szCs w:val="20"/>
              </w:rPr>
              <w:t>District Percent</w:t>
            </w:r>
            <w:r w:rsidRPr="00A65481">
              <w:rPr>
                <w:i/>
                <w:iCs/>
                <w:sz w:val="20"/>
                <w:szCs w:val="20"/>
              </w:rPr>
              <w:t xml:space="preserve"> Students eligible for FRPL (log</w:t>
            </w:r>
            <w:r w:rsidRPr="00A65481">
              <w:rPr>
                <w:i/>
                <w:iCs/>
                <w:sz w:val="20"/>
                <w:szCs w:val="20"/>
                <w:vertAlign w:val="subscript"/>
              </w:rPr>
              <w:t>2</w:t>
            </w:r>
            <w:r w:rsidRPr="00A65481">
              <w:rPr>
                <w:i/>
                <w:iCs/>
                <w:sz w:val="20"/>
                <w:szCs w:val="20"/>
              </w:rPr>
              <w:t>)</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44"/>
              </w:tabs>
              <w:rPr>
                <w:rFonts w:cs="Cambria"/>
                <w:color w:val="000000"/>
                <w:sz w:val="20"/>
                <w:szCs w:val="20"/>
              </w:rPr>
            </w:pPr>
            <w:r w:rsidRPr="006E78E0">
              <w:rPr>
                <w:rFonts w:cs="Cambria"/>
                <w:color w:val="000000"/>
                <w:sz w:val="20"/>
                <w:szCs w:val="20"/>
              </w:rPr>
              <w:t>-0.08**</w:t>
            </w:r>
          </w:p>
        </w:tc>
        <w:tc>
          <w:tcPr>
            <w:tcW w:w="1368" w:type="dxa"/>
            <w:tcBorders>
              <w:top w:val="nil"/>
              <w:left w:val="nil"/>
              <w:bottom w:val="nil"/>
              <w:right w:val="single" w:sz="8" w:space="0" w:color="BFBFBF"/>
            </w:tcBorders>
            <w:vAlign w:val="center"/>
          </w:tcPr>
          <w:p w:rsidR="00BF1A3B" w:rsidRPr="006E78E0" w:rsidRDefault="00BF1A3B" w:rsidP="00BF1A3B">
            <w:pPr>
              <w:tabs>
                <w:tab w:val="decimal" w:pos="468"/>
              </w:tabs>
              <w:rPr>
                <w:rFonts w:cs="Cambria"/>
                <w:color w:val="000000"/>
                <w:sz w:val="20"/>
                <w:szCs w:val="20"/>
              </w:rPr>
            </w:pPr>
            <w:r w:rsidRPr="006E78E0">
              <w:rPr>
                <w:rFonts w:cs="Cambria"/>
                <w:color w:val="000000"/>
                <w:sz w:val="20"/>
                <w:szCs w:val="20"/>
              </w:rPr>
              <w:t>-0.07**</w:t>
            </w:r>
          </w:p>
        </w:tc>
        <w:tc>
          <w:tcPr>
            <w:tcW w:w="1368" w:type="dxa"/>
            <w:tcBorders>
              <w:top w:val="nil"/>
              <w:left w:val="single" w:sz="8" w:space="0" w:color="BFBFBF"/>
              <w:bottom w:val="nil"/>
              <w:right w:val="nil"/>
            </w:tcBorders>
            <w:vAlign w:val="center"/>
          </w:tcPr>
          <w:p w:rsidR="00BF1A3B" w:rsidRPr="006E78E0" w:rsidRDefault="00BF1A3B" w:rsidP="00BF1A3B">
            <w:pPr>
              <w:tabs>
                <w:tab w:val="decimal" w:pos="396"/>
              </w:tabs>
              <w:rPr>
                <w:rFonts w:cs="Cambria"/>
                <w:color w:val="000000"/>
                <w:sz w:val="20"/>
                <w:szCs w:val="20"/>
              </w:rPr>
            </w:pPr>
            <w:r w:rsidRPr="006E78E0">
              <w:rPr>
                <w:rFonts w:cs="Cambria"/>
                <w:color w:val="000000"/>
                <w:sz w:val="20"/>
                <w:szCs w:val="20"/>
              </w:rPr>
              <w:t>-0.03</w:t>
            </w: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sidRPr="00A65481">
              <w:rPr>
                <w:i/>
                <w:sz w:val="20"/>
                <w:szCs w:val="20"/>
              </w:rPr>
              <w:t>District is ‘City’</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44"/>
              </w:tabs>
              <w:rPr>
                <w:rFonts w:cs="Cambria"/>
                <w:color w:val="000000"/>
                <w:sz w:val="20"/>
                <w:szCs w:val="20"/>
              </w:rPr>
            </w:pPr>
            <w:r w:rsidRPr="006E78E0">
              <w:rPr>
                <w:rFonts w:cs="Cambria"/>
                <w:color w:val="000000"/>
                <w:sz w:val="20"/>
                <w:szCs w:val="20"/>
              </w:rPr>
              <w:t>0.70</w:t>
            </w:r>
          </w:p>
        </w:tc>
        <w:tc>
          <w:tcPr>
            <w:tcW w:w="1368" w:type="dxa"/>
            <w:tcBorders>
              <w:top w:val="nil"/>
              <w:left w:val="nil"/>
              <w:bottom w:val="nil"/>
              <w:right w:val="single" w:sz="8" w:space="0" w:color="BFBFBF"/>
            </w:tcBorders>
            <w:vAlign w:val="center"/>
          </w:tcPr>
          <w:p w:rsidR="00BF1A3B" w:rsidRPr="006E78E0" w:rsidRDefault="00BF1A3B" w:rsidP="00BF1A3B">
            <w:pPr>
              <w:tabs>
                <w:tab w:val="decimal" w:pos="468"/>
              </w:tabs>
              <w:rPr>
                <w:rFonts w:cs="Cambria"/>
                <w:color w:val="000000"/>
                <w:sz w:val="20"/>
                <w:szCs w:val="20"/>
              </w:rPr>
            </w:pPr>
          </w:p>
        </w:tc>
        <w:tc>
          <w:tcPr>
            <w:tcW w:w="1368" w:type="dxa"/>
            <w:tcBorders>
              <w:top w:val="nil"/>
              <w:left w:val="single" w:sz="8" w:space="0" w:color="BFBFBF"/>
              <w:bottom w:val="nil"/>
              <w:right w:val="nil"/>
            </w:tcBorders>
            <w:vAlign w:val="center"/>
          </w:tcPr>
          <w:p w:rsidR="00BF1A3B" w:rsidRPr="006E78E0" w:rsidRDefault="00BF1A3B" w:rsidP="00BF1A3B">
            <w:pPr>
              <w:tabs>
                <w:tab w:val="decimal" w:pos="396"/>
              </w:tabs>
              <w:rPr>
                <w:rFonts w:cs="Cambria"/>
                <w:color w:val="000000"/>
                <w:sz w:val="20"/>
                <w:szCs w:val="20"/>
              </w:rPr>
            </w:pP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sidRPr="00A65481">
              <w:rPr>
                <w:i/>
                <w:sz w:val="20"/>
                <w:szCs w:val="20"/>
              </w:rPr>
              <w:t>District is ‘Town’</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44"/>
              </w:tabs>
              <w:rPr>
                <w:rFonts w:cs="Cambria"/>
                <w:color w:val="000000"/>
                <w:sz w:val="20"/>
                <w:szCs w:val="20"/>
              </w:rPr>
            </w:pPr>
            <w:r w:rsidRPr="006E78E0">
              <w:rPr>
                <w:rFonts w:cs="Cambria"/>
                <w:color w:val="000000"/>
                <w:sz w:val="20"/>
                <w:szCs w:val="20"/>
              </w:rPr>
              <w:t>0.16</w:t>
            </w:r>
          </w:p>
        </w:tc>
        <w:tc>
          <w:tcPr>
            <w:tcW w:w="1368" w:type="dxa"/>
            <w:tcBorders>
              <w:top w:val="nil"/>
              <w:left w:val="nil"/>
              <w:bottom w:val="nil"/>
              <w:right w:val="single" w:sz="8" w:space="0" w:color="BFBFBF"/>
            </w:tcBorders>
            <w:vAlign w:val="center"/>
          </w:tcPr>
          <w:p w:rsidR="00BF1A3B" w:rsidRPr="006E78E0" w:rsidRDefault="00BF1A3B" w:rsidP="00BF1A3B">
            <w:pPr>
              <w:tabs>
                <w:tab w:val="decimal" w:pos="468"/>
              </w:tabs>
              <w:rPr>
                <w:rFonts w:cs="Cambria"/>
                <w:color w:val="000000"/>
                <w:sz w:val="20"/>
                <w:szCs w:val="20"/>
              </w:rPr>
            </w:pPr>
          </w:p>
        </w:tc>
        <w:tc>
          <w:tcPr>
            <w:tcW w:w="1368" w:type="dxa"/>
            <w:tcBorders>
              <w:top w:val="nil"/>
              <w:left w:val="single" w:sz="8" w:space="0" w:color="BFBFBF"/>
              <w:bottom w:val="nil"/>
              <w:right w:val="nil"/>
            </w:tcBorders>
            <w:vAlign w:val="center"/>
          </w:tcPr>
          <w:p w:rsidR="00BF1A3B" w:rsidRPr="006E78E0" w:rsidRDefault="00BF1A3B" w:rsidP="00BF1A3B">
            <w:pPr>
              <w:tabs>
                <w:tab w:val="decimal" w:pos="396"/>
              </w:tabs>
              <w:rPr>
                <w:rFonts w:cs="Cambria"/>
                <w:color w:val="000000"/>
                <w:sz w:val="20"/>
                <w:szCs w:val="20"/>
              </w:rPr>
            </w:pP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sidRPr="00A65481">
              <w:rPr>
                <w:i/>
                <w:sz w:val="20"/>
                <w:szCs w:val="20"/>
              </w:rPr>
              <w:t>District is ‘Rural’</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44"/>
              </w:tabs>
              <w:rPr>
                <w:rFonts w:cs="Cambria"/>
                <w:color w:val="000000"/>
                <w:sz w:val="20"/>
                <w:szCs w:val="20"/>
              </w:rPr>
            </w:pPr>
            <w:r w:rsidRPr="006E78E0">
              <w:rPr>
                <w:rFonts w:cs="Cambria"/>
                <w:color w:val="000000"/>
                <w:sz w:val="20"/>
                <w:szCs w:val="20"/>
              </w:rPr>
              <w:t>-0.34</w:t>
            </w:r>
          </w:p>
        </w:tc>
        <w:tc>
          <w:tcPr>
            <w:tcW w:w="1368" w:type="dxa"/>
            <w:tcBorders>
              <w:top w:val="nil"/>
              <w:left w:val="nil"/>
              <w:bottom w:val="nil"/>
              <w:right w:val="single" w:sz="8" w:space="0" w:color="BFBFBF"/>
            </w:tcBorders>
            <w:vAlign w:val="center"/>
          </w:tcPr>
          <w:p w:rsidR="00BF1A3B" w:rsidRPr="006E78E0" w:rsidRDefault="00BF1A3B" w:rsidP="00BF1A3B">
            <w:pPr>
              <w:tabs>
                <w:tab w:val="decimal" w:pos="468"/>
              </w:tabs>
              <w:rPr>
                <w:rFonts w:cs="Cambria"/>
                <w:color w:val="000000"/>
                <w:sz w:val="20"/>
                <w:szCs w:val="20"/>
              </w:rPr>
            </w:pPr>
          </w:p>
        </w:tc>
        <w:tc>
          <w:tcPr>
            <w:tcW w:w="1368" w:type="dxa"/>
            <w:tcBorders>
              <w:top w:val="nil"/>
              <w:left w:val="single" w:sz="8" w:space="0" w:color="BFBFBF"/>
              <w:bottom w:val="nil"/>
              <w:right w:val="nil"/>
            </w:tcBorders>
            <w:vAlign w:val="center"/>
          </w:tcPr>
          <w:p w:rsidR="00BF1A3B" w:rsidRPr="006E78E0" w:rsidRDefault="00BF1A3B" w:rsidP="00BF1A3B">
            <w:pPr>
              <w:tabs>
                <w:tab w:val="decimal" w:pos="396"/>
              </w:tabs>
              <w:rPr>
                <w:rFonts w:cs="Cambria"/>
                <w:color w:val="000000"/>
                <w:sz w:val="20"/>
                <w:szCs w:val="20"/>
              </w:rPr>
            </w:pPr>
          </w:p>
        </w:tc>
      </w:tr>
      <w:tr w:rsidR="00BF1A3B" w:rsidRPr="00A35892" w:rsidTr="00BF1A3B">
        <w:tblPrEx>
          <w:tblBorders>
            <w:top w:val="none" w:sz="0" w:space="0" w:color="auto"/>
          </w:tblBorders>
        </w:tblPrEx>
        <w:trPr>
          <w:trHeight w:val="144"/>
          <w:jc w:val="center"/>
        </w:trPr>
        <w:tc>
          <w:tcPr>
            <w:tcW w:w="3240" w:type="dxa"/>
            <w:tcBorders>
              <w:top w:val="nil"/>
              <w:left w:val="nil"/>
              <w:bottom w:val="nil"/>
              <w:right w:val="nil"/>
            </w:tcBorders>
            <w:vAlign w:val="center"/>
          </w:tcPr>
          <w:p w:rsidR="00BF1A3B" w:rsidRPr="00A35892" w:rsidRDefault="00BF1A3B" w:rsidP="00BF1A3B">
            <w:pPr>
              <w:ind w:left="252" w:hanging="252"/>
              <w:rPr>
                <w:rFonts w:cs="Cambria"/>
                <w:color w:val="000000"/>
                <w:sz w:val="14"/>
                <w:szCs w:val="14"/>
                <w:u w:val="single"/>
              </w:rPr>
            </w:pPr>
          </w:p>
        </w:tc>
        <w:tc>
          <w:tcPr>
            <w:tcW w:w="1368" w:type="dxa"/>
            <w:tcBorders>
              <w:top w:val="nil"/>
              <w:left w:val="nil"/>
              <w:bottom w:val="nil"/>
              <w:right w:val="nil"/>
            </w:tcBorders>
            <w:vAlign w:val="center"/>
          </w:tcPr>
          <w:p w:rsidR="00BF1A3B" w:rsidRPr="00A35892" w:rsidRDefault="00BF1A3B" w:rsidP="00BF1A3B">
            <w:pPr>
              <w:tabs>
                <w:tab w:val="decimal" w:pos="396"/>
              </w:tabs>
              <w:rPr>
                <w:rFonts w:cs="Cambria"/>
                <w:color w:val="000000"/>
                <w:sz w:val="14"/>
                <w:szCs w:val="14"/>
              </w:rPr>
            </w:pPr>
          </w:p>
        </w:tc>
        <w:tc>
          <w:tcPr>
            <w:tcW w:w="1368" w:type="dxa"/>
            <w:tcBorders>
              <w:top w:val="nil"/>
              <w:left w:val="nil"/>
              <w:bottom w:val="nil"/>
              <w:right w:val="nil"/>
            </w:tcBorders>
            <w:vAlign w:val="center"/>
          </w:tcPr>
          <w:p w:rsidR="00BF1A3B" w:rsidRPr="00A35892" w:rsidRDefault="00BF1A3B" w:rsidP="00BF1A3B">
            <w:pPr>
              <w:tabs>
                <w:tab w:val="decimal" w:pos="420"/>
              </w:tabs>
              <w:rPr>
                <w:rFonts w:cs="Cambria"/>
                <w:color w:val="000000"/>
                <w:sz w:val="14"/>
                <w:szCs w:val="14"/>
              </w:rPr>
            </w:pPr>
          </w:p>
        </w:tc>
        <w:tc>
          <w:tcPr>
            <w:tcW w:w="1368" w:type="dxa"/>
            <w:tcBorders>
              <w:top w:val="nil"/>
              <w:left w:val="nil"/>
              <w:bottom w:val="nil"/>
              <w:right w:val="nil"/>
            </w:tcBorders>
            <w:vAlign w:val="center"/>
          </w:tcPr>
          <w:p w:rsidR="00BF1A3B" w:rsidRPr="00A35892" w:rsidRDefault="00BF1A3B" w:rsidP="00BF1A3B">
            <w:pPr>
              <w:tabs>
                <w:tab w:val="decimal" w:pos="444"/>
              </w:tabs>
              <w:rPr>
                <w:rFonts w:cs="Cambria"/>
                <w:color w:val="000000"/>
                <w:sz w:val="14"/>
                <w:szCs w:val="14"/>
              </w:rPr>
            </w:pPr>
          </w:p>
        </w:tc>
        <w:tc>
          <w:tcPr>
            <w:tcW w:w="1368" w:type="dxa"/>
            <w:tcBorders>
              <w:top w:val="nil"/>
              <w:left w:val="nil"/>
              <w:bottom w:val="nil"/>
              <w:right w:val="single" w:sz="8" w:space="0" w:color="BFBFBF"/>
            </w:tcBorders>
            <w:vAlign w:val="center"/>
          </w:tcPr>
          <w:p w:rsidR="00BF1A3B" w:rsidRPr="00A35892" w:rsidRDefault="00BF1A3B" w:rsidP="00BF1A3B">
            <w:pPr>
              <w:tabs>
                <w:tab w:val="decimal" w:pos="468"/>
              </w:tabs>
              <w:rPr>
                <w:rFonts w:cs="Cambria"/>
                <w:color w:val="000000"/>
                <w:sz w:val="14"/>
                <w:szCs w:val="14"/>
              </w:rPr>
            </w:pPr>
          </w:p>
        </w:tc>
        <w:tc>
          <w:tcPr>
            <w:tcW w:w="1368" w:type="dxa"/>
            <w:tcBorders>
              <w:top w:val="nil"/>
              <w:left w:val="single" w:sz="8" w:space="0" w:color="BFBFBF"/>
              <w:bottom w:val="nil"/>
              <w:right w:val="nil"/>
            </w:tcBorders>
            <w:vAlign w:val="center"/>
          </w:tcPr>
          <w:p w:rsidR="00BF1A3B" w:rsidRPr="00A35892" w:rsidRDefault="00BF1A3B" w:rsidP="00BF1A3B">
            <w:pPr>
              <w:tabs>
                <w:tab w:val="decimal" w:pos="396"/>
              </w:tabs>
              <w:rPr>
                <w:rFonts w:cs="Cambria"/>
                <w:color w:val="000000"/>
                <w:sz w:val="14"/>
                <w:szCs w:val="14"/>
              </w:rPr>
            </w:pP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Default="00BF1A3B" w:rsidP="00BF1A3B">
            <w:pPr>
              <w:ind w:left="252" w:hanging="252"/>
              <w:rPr>
                <w:rFonts w:cs="Cambria"/>
                <w:color w:val="000000"/>
                <w:sz w:val="20"/>
                <w:szCs w:val="20"/>
              </w:rPr>
            </w:pPr>
            <w:r>
              <w:rPr>
                <w:rFonts w:cs="Cambria"/>
                <w:color w:val="000000"/>
                <w:sz w:val="20"/>
                <w:szCs w:val="20"/>
                <w:u w:val="single"/>
              </w:rPr>
              <w:t>District-Level Interactions</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44"/>
              </w:tabs>
              <w:rPr>
                <w:rFonts w:cs="Cambria"/>
                <w:color w:val="000000"/>
                <w:sz w:val="20"/>
                <w:szCs w:val="20"/>
              </w:rPr>
            </w:pPr>
          </w:p>
        </w:tc>
        <w:tc>
          <w:tcPr>
            <w:tcW w:w="1368" w:type="dxa"/>
            <w:tcBorders>
              <w:top w:val="nil"/>
              <w:left w:val="nil"/>
              <w:bottom w:val="nil"/>
              <w:right w:val="single" w:sz="8" w:space="0" w:color="BFBFBF"/>
            </w:tcBorders>
            <w:vAlign w:val="center"/>
          </w:tcPr>
          <w:p w:rsidR="00BF1A3B" w:rsidRPr="006E78E0" w:rsidRDefault="00BF1A3B" w:rsidP="00BF1A3B">
            <w:pPr>
              <w:tabs>
                <w:tab w:val="decimal" w:pos="468"/>
              </w:tabs>
              <w:rPr>
                <w:rFonts w:cs="Cambria"/>
                <w:color w:val="000000"/>
                <w:sz w:val="20"/>
                <w:szCs w:val="20"/>
              </w:rPr>
            </w:pPr>
          </w:p>
        </w:tc>
        <w:tc>
          <w:tcPr>
            <w:tcW w:w="1368" w:type="dxa"/>
            <w:tcBorders>
              <w:top w:val="nil"/>
              <w:left w:val="single" w:sz="8" w:space="0" w:color="BFBFBF"/>
              <w:bottom w:val="nil"/>
              <w:right w:val="nil"/>
            </w:tcBorders>
            <w:vAlign w:val="center"/>
          </w:tcPr>
          <w:p w:rsidR="00BF1A3B" w:rsidRPr="006E78E0" w:rsidRDefault="00BF1A3B" w:rsidP="00BF1A3B">
            <w:pPr>
              <w:tabs>
                <w:tab w:val="decimal" w:pos="396"/>
              </w:tabs>
              <w:rPr>
                <w:rFonts w:cs="Cambria"/>
                <w:color w:val="000000"/>
                <w:sz w:val="20"/>
                <w:szCs w:val="20"/>
              </w:rPr>
            </w:pP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sidRPr="00EA28F1">
              <w:rPr>
                <w:rFonts w:cs="Cambria"/>
                <w:i/>
                <w:color w:val="000000"/>
                <w:sz w:val="20"/>
                <w:szCs w:val="20"/>
              </w:rPr>
              <w:t xml:space="preserve">District </w:t>
            </w:r>
            <w:r>
              <w:rPr>
                <w:i/>
                <w:iCs/>
                <w:sz w:val="20"/>
                <w:szCs w:val="20"/>
              </w:rPr>
              <w:t>%</w:t>
            </w:r>
            <w:r w:rsidRPr="00A65481">
              <w:rPr>
                <w:i/>
                <w:iCs/>
                <w:sz w:val="20"/>
                <w:szCs w:val="20"/>
              </w:rPr>
              <w:t xml:space="preserve"> Students </w:t>
            </w:r>
            <w:r>
              <w:rPr>
                <w:i/>
                <w:iCs/>
                <w:sz w:val="20"/>
                <w:szCs w:val="20"/>
              </w:rPr>
              <w:t xml:space="preserve">with ‘High Incidence’ Designation </w:t>
            </w:r>
            <w:r>
              <w:rPr>
                <w:rStyle w:val="CommentReference"/>
              </w:rPr>
              <w:t xml:space="preserve"> </w:t>
            </w:r>
            <w:r>
              <w:rPr>
                <w:rFonts w:cs="Cambria"/>
                <w:i/>
                <w:color w:val="000000"/>
                <w:sz w:val="20"/>
                <w:szCs w:val="20"/>
              </w:rPr>
              <w:t xml:space="preserve">x </w:t>
            </w:r>
            <w:r w:rsidRPr="00EA28F1">
              <w:rPr>
                <w:rFonts w:cs="Cambria"/>
                <w:i/>
                <w:color w:val="000000"/>
                <w:sz w:val="20"/>
                <w:szCs w:val="20"/>
              </w:rPr>
              <w:t>District Level of Inclusion</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r w:rsidRPr="006E78E0">
              <w:rPr>
                <w:rFonts w:cs="Cambria"/>
                <w:color w:val="000000"/>
                <w:sz w:val="20"/>
                <w:szCs w:val="20"/>
              </w:rPr>
              <w:t>0.01</w:t>
            </w:r>
          </w:p>
        </w:tc>
        <w:tc>
          <w:tcPr>
            <w:tcW w:w="1368" w:type="dxa"/>
            <w:tcBorders>
              <w:top w:val="nil"/>
              <w:left w:val="nil"/>
              <w:bottom w:val="nil"/>
              <w:right w:val="nil"/>
            </w:tcBorders>
            <w:vAlign w:val="center"/>
          </w:tcPr>
          <w:p w:rsidR="00BF1A3B" w:rsidRPr="006E78E0" w:rsidRDefault="00BF1A3B" w:rsidP="00BF1A3B">
            <w:pPr>
              <w:tabs>
                <w:tab w:val="decimal" w:pos="444"/>
              </w:tabs>
              <w:rPr>
                <w:rFonts w:cs="Cambria"/>
                <w:color w:val="000000"/>
                <w:sz w:val="20"/>
                <w:szCs w:val="20"/>
              </w:rPr>
            </w:pPr>
            <w:r w:rsidRPr="006E78E0">
              <w:rPr>
                <w:rFonts w:cs="Cambria"/>
                <w:color w:val="000000"/>
                <w:sz w:val="20"/>
                <w:szCs w:val="20"/>
              </w:rPr>
              <w:t>0.01</w:t>
            </w:r>
          </w:p>
        </w:tc>
        <w:tc>
          <w:tcPr>
            <w:tcW w:w="1368" w:type="dxa"/>
            <w:tcBorders>
              <w:top w:val="nil"/>
              <w:left w:val="nil"/>
              <w:bottom w:val="nil"/>
              <w:right w:val="single" w:sz="8" w:space="0" w:color="BFBFBF"/>
            </w:tcBorders>
            <w:vAlign w:val="center"/>
          </w:tcPr>
          <w:p w:rsidR="00BF1A3B" w:rsidRPr="006E78E0" w:rsidRDefault="00BF1A3B" w:rsidP="00BF1A3B">
            <w:pPr>
              <w:tabs>
                <w:tab w:val="decimal" w:pos="468"/>
              </w:tabs>
              <w:rPr>
                <w:rFonts w:cs="Cambria"/>
                <w:color w:val="000000"/>
                <w:sz w:val="20"/>
                <w:szCs w:val="20"/>
              </w:rPr>
            </w:pPr>
          </w:p>
        </w:tc>
        <w:tc>
          <w:tcPr>
            <w:tcW w:w="1368" w:type="dxa"/>
            <w:tcBorders>
              <w:top w:val="nil"/>
              <w:left w:val="single" w:sz="8" w:space="0" w:color="BFBFBF"/>
              <w:bottom w:val="nil"/>
              <w:right w:val="nil"/>
            </w:tcBorders>
            <w:vAlign w:val="center"/>
          </w:tcPr>
          <w:p w:rsidR="00BF1A3B" w:rsidRPr="006E78E0" w:rsidRDefault="00BF1A3B" w:rsidP="00BF1A3B">
            <w:pPr>
              <w:tabs>
                <w:tab w:val="decimal" w:pos="396"/>
              </w:tabs>
              <w:rPr>
                <w:rFonts w:cs="Cambria"/>
                <w:color w:val="000000"/>
                <w:sz w:val="20"/>
                <w:szCs w:val="20"/>
              </w:rPr>
            </w:pPr>
          </w:p>
        </w:tc>
      </w:tr>
      <w:tr w:rsidR="00BF1A3B" w:rsidRPr="00A35892" w:rsidTr="00BF1A3B">
        <w:tblPrEx>
          <w:tblBorders>
            <w:top w:val="none" w:sz="0" w:space="0" w:color="auto"/>
          </w:tblBorders>
        </w:tblPrEx>
        <w:trPr>
          <w:trHeight w:val="144"/>
          <w:jc w:val="center"/>
        </w:trPr>
        <w:tc>
          <w:tcPr>
            <w:tcW w:w="3240" w:type="dxa"/>
            <w:tcBorders>
              <w:top w:val="nil"/>
              <w:left w:val="nil"/>
              <w:bottom w:val="nil"/>
              <w:right w:val="nil"/>
            </w:tcBorders>
            <w:vAlign w:val="center"/>
          </w:tcPr>
          <w:p w:rsidR="00BF1A3B" w:rsidRPr="00A35892" w:rsidRDefault="00BF1A3B" w:rsidP="00BF1A3B">
            <w:pPr>
              <w:ind w:left="252" w:hanging="252"/>
              <w:rPr>
                <w:rFonts w:cs="Cambria"/>
                <w:color w:val="000000"/>
                <w:sz w:val="14"/>
                <w:szCs w:val="14"/>
                <w:u w:val="single"/>
              </w:rPr>
            </w:pPr>
          </w:p>
        </w:tc>
        <w:tc>
          <w:tcPr>
            <w:tcW w:w="1368" w:type="dxa"/>
            <w:tcBorders>
              <w:top w:val="nil"/>
              <w:left w:val="nil"/>
              <w:bottom w:val="nil"/>
              <w:right w:val="nil"/>
            </w:tcBorders>
            <w:vAlign w:val="center"/>
          </w:tcPr>
          <w:p w:rsidR="00BF1A3B" w:rsidRPr="00A35892" w:rsidRDefault="00BF1A3B" w:rsidP="00BF1A3B">
            <w:pPr>
              <w:tabs>
                <w:tab w:val="decimal" w:pos="396"/>
              </w:tabs>
              <w:rPr>
                <w:rFonts w:cs="Cambria"/>
                <w:color w:val="000000"/>
                <w:sz w:val="14"/>
                <w:szCs w:val="14"/>
              </w:rPr>
            </w:pPr>
          </w:p>
        </w:tc>
        <w:tc>
          <w:tcPr>
            <w:tcW w:w="1368" w:type="dxa"/>
            <w:tcBorders>
              <w:top w:val="nil"/>
              <w:left w:val="nil"/>
              <w:bottom w:val="nil"/>
              <w:right w:val="nil"/>
            </w:tcBorders>
            <w:vAlign w:val="center"/>
          </w:tcPr>
          <w:p w:rsidR="00BF1A3B" w:rsidRPr="00A35892" w:rsidRDefault="00BF1A3B" w:rsidP="00BF1A3B">
            <w:pPr>
              <w:tabs>
                <w:tab w:val="decimal" w:pos="420"/>
              </w:tabs>
              <w:rPr>
                <w:rFonts w:cs="Cambria"/>
                <w:color w:val="000000"/>
                <w:sz w:val="14"/>
                <w:szCs w:val="14"/>
              </w:rPr>
            </w:pPr>
          </w:p>
        </w:tc>
        <w:tc>
          <w:tcPr>
            <w:tcW w:w="1368" w:type="dxa"/>
            <w:tcBorders>
              <w:top w:val="nil"/>
              <w:left w:val="nil"/>
              <w:bottom w:val="nil"/>
              <w:right w:val="nil"/>
            </w:tcBorders>
            <w:vAlign w:val="center"/>
          </w:tcPr>
          <w:p w:rsidR="00BF1A3B" w:rsidRPr="00A35892" w:rsidRDefault="00BF1A3B" w:rsidP="00BF1A3B">
            <w:pPr>
              <w:tabs>
                <w:tab w:val="decimal" w:pos="444"/>
              </w:tabs>
              <w:rPr>
                <w:rFonts w:cs="Cambria"/>
                <w:color w:val="000000"/>
                <w:sz w:val="14"/>
                <w:szCs w:val="14"/>
              </w:rPr>
            </w:pPr>
          </w:p>
        </w:tc>
        <w:tc>
          <w:tcPr>
            <w:tcW w:w="1368" w:type="dxa"/>
            <w:tcBorders>
              <w:top w:val="nil"/>
              <w:left w:val="nil"/>
              <w:bottom w:val="nil"/>
              <w:right w:val="single" w:sz="8" w:space="0" w:color="BFBFBF"/>
            </w:tcBorders>
            <w:vAlign w:val="center"/>
          </w:tcPr>
          <w:p w:rsidR="00BF1A3B" w:rsidRPr="00A35892" w:rsidRDefault="00BF1A3B" w:rsidP="00BF1A3B">
            <w:pPr>
              <w:tabs>
                <w:tab w:val="decimal" w:pos="468"/>
              </w:tabs>
              <w:rPr>
                <w:rFonts w:cs="Cambria"/>
                <w:color w:val="000000"/>
                <w:sz w:val="14"/>
                <w:szCs w:val="14"/>
              </w:rPr>
            </w:pPr>
          </w:p>
        </w:tc>
        <w:tc>
          <w:tcPr>
            <w:tcW w:w="1368" w:type="dxa"/>
            <w:tcBorders>
              <w:top w:val="nil"/>
              <w:left w:val="single" w:sz="8" w:space="0" w:color="BFBFBF"/>
              <w:bottom w:val="nil"/>
              <w:right w:val="nil"/>
            </w:tcBorders>
            <w:vAlign w:val="center"/>
          </w:tcPr>
          <w:p w:rsidR="00BF1A3B" w:rsidRPr="00A35892" w:rsidRDefault="00BF1A3B" w:rsidP="00BF1A3B">
            <w:pPr>
              <w:tabs>
                <w:tab w:val="decimal" w:pos="396"/>
              </w:tabs>
              <w:rPr>
                <w:rFonts w:cs="Cambria"/>
                <w:color w:val="000000"/>
                <w:sz w:val="14"/>
                <w:szCs w:val="14"/>
              </w:rPr>
            </w:pP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Default="00BF1A3B" w:rsidP="00BF1A3B">
            <w:pPr>
              <w:ind w:left="252" w:hanging="252"/>
              <w:rPr>
                <w:rFonts w:cs="Cambria"/>
                <w:color w:val="000000"/>
                <w:sz w:val="20"/>
                <w:szCs w:val="20"/>
              </w:rPr>
            </w:pPr>
            <w:r>
              <w:rPr>
                <w:rFonts w:cs="Cambria"/>
                <w:color w:val="000000"/>
                <w:sz w:val="20"/>
                <w:szCs w:val="20"/>
                <w:u w:val="single"/>
              </w:rPr>
              <w:t>Cross-Level Interactions</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44"/>
              </w:tabs>
              <w:rPr>
                <w:rFonts w:cs="Cambria"/>
                <w:color w:val="000000"/>
                <w:sz w:val="20"/>
                <w:szCs w:val="20"/>
              </w:rPr>
            </w:pPr>
          </w:p>
        </w:tc>
        <w:tc>
          <w:tcPr>
            <w:tcW w:w="1368" w:type="dxa"/>
            <w:tcBorders>
              <w:top w:val="nil"/>
              <w:left w:val="nil"/>
              <w:bottom w:val="nil"/>
              <w:right w:val="single" w:sz="8" w:space="0" w:color="BFBFBF"/>
            </w:tcBorders>
            <w:vAlign w:val="center"/>
          </w:tcPr>
          <w:p w:rsidR="00BF1A3B" w:rsidRPr="006E78E0" w:rsidRDefault="00BF1A3B" w:rsidP="00BF1A3B">
            <w:pPr>
              <w:tabs>
                <w:tab w:val="decimal" w:pos="468"/>
              </w:tabs>
              <w:rPr>
                <w:rFonts w:cs="Cambria"/>
                <w:color w:val="000000"/>
                <w:sz w:val="20"/>
                <w:szCs w:val="20"/>
              </w:rPr>
            </w:pPr>
          </w:p>
        </w:tc>
        <w:tc>
          <w:tcPr>
            <w:tcW w:w="1368" w:type="dxa"/>
            <w:tcBorders>
              <w:top w:val="nil"/>
              <w:left w:val="single" w:sz="8" w:space="0" w:color="BFBFBF"/>
              <w:bottom w:val="nil"/>
              <w:right w:val="nil"/>
            </w:tcBorders>
            <w:vAlign w:val="center"/>
          </w:tcPr>
          <w:p w:rsidR="00BF1A3B" w:rsidRPr="006E78E0" w:rsidRDefault="00BF1A3B" w:rsidP="00BF1A3B">
            <w:pPr>
              <w:tabs>
                <w:tab w:val="decimal" w:pos="396"/>
              </w:tabs>
              <w:rPr>
                <w:rFonts w:cs="Cambria"/>
                <w:color w:val="000000"/>
                <w:sz w:val="20"/>
                <w:szCs w:val="20"/>
              </w:rPr>
            </w:pP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Pr>
                <w:rFonts w:cs="Cambria"/>
                <w:i/>
                <w:color w:val="000000"/>
                <w:sz w:val="20"/>
                <w:szCs w:val="20"/>
              </w:rPr>
              <w:t>Child ‘</w:t>
            </w:r>
            <w:r>
              <w:rPr>
                <w:i/>
                <w:iCs/>
                <w:sz w:val="20"/>
                <w:szCs w:val="20"/>
              </w:rPr>
              <w:t>High Incidence</w:t>
            </w:r>
            <w:r>
              <w:rPr>
                <w:rFonts w:cs="Cambria"/>
                <w:i/>
                <w:color w:val="000000"/>
                <w:sz w:val="20"/>
                <w:szCs w:val="20"/>
              </w:rPr>
              <w:t>’ Designation</w:t>
            </w:r>
            <w:r w:rsidRPr="00EA28F1">
              <w:rPr>
                <w:rFonts w:cs="Cambria"/>
                <w:i/>
                <w:color w:val="000000"/>
                <w:sz w:val="20"/>
                <w:szCs w:val="20"/>
              </w:rPr>
              <w:t xml:space="preserve"> </w:t>
            </w:r>
            <w:r>
              <w:rPr>
                <w:rFonts w:cs="Cambria"/>
                <w:i/>
                <w:color w:val="000000"/>
                <w:sz w:val="20"/>
                <w:szCs w:val="20"/>
              </w:rPr>
              <w:br/>
            </w:r>
            <w:r w:rsidRPr="00EA28F1">
              <w:rPr>
                <w:rFonts w:cs="Cambria"/>
                <w:i/>
                <w:color w:val="000000"/>
                <w:sz w:val="20"/>
                <w:szCs w:val="20"/>
              </w:rPr>
              <w:t>x District % ‘</w:t>
            </w:r>
            <w:r>
              <w:rPr>
                <w:i/>
                <w:iCs/>
                <w:sz w:val="20"/>
                <w:szCs w:val="20"/>
              </w:rPr>
              <w:t>High Incidence</w:t>
            </w:r>
            <w:r w:rsidRPr="00EA28F1">
              <w:rPr>
                <w:rFonts w:cs="Cambria"/>
                <w:i/>
                <w:color w:val="000000"/>
                <w:sz w:val="20"/>
                <w:szCs w:val="20"/>
              </w:rPr>
              <w:t xml:space="preserve">’ </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r w:rsidRPr="006E78E0">
              <w:rPr>
                <w:rFonts w:cs="Cambria"/>
                <w:color w:val="000000"/>
                <w:sz w:val="20"/>
                <w:szCs w:val="20"/>
              </w:rPr>
              <w:t>0.08**</w:t>
            </w:r>
          </w:p>
        </w:tc>
        <w:tc>
          <w:tcPr>
            <w:tcW w:w="1368" w:type="dxa"/>
            <w:tcBorders>
              <w:top w:val="nil"/>
              <w:left w:val="nil"/>
              <w:bottom w:val="nil"/>
              <w:right w:val="nil"/>
            </w:tcBorders>
            <w:vAlign w:val="center"/>
          </w:tcPr>
          <w:p w:rsidR="00BF1A3B" w:rsidRPr="006E78E0" w:rsidRDefault="00BF1A3B" w:rsidP="00BF1A3B">
            <w:pPr>
              <w:tabs>
                <w:tab w:val="decimal" w:pos="444"/>
              </w:tabs>
              <w:rPr>
                <w:rFonts w:cs="Cambria"/>
                <w:color w:val="000000"/>
                <w:sz w:val="20"/>
                <w:szCs w:val="20"/>
              </w:rPr>
            </w:pPr>
            <w:r w:rsidRPr="006E78E0">
              <w:rPr>
                <w:rFonts w:cs="Cambria"/>
                <w:color w:val="000000"/>
                <w:sz w:val="20"/>
                <w:szCs w:val="20"/>
              </w:rPr>
              <w:t>0.09**</w:t>
            </w:r>
          </w:p>
        </w:tc>
        <w:tc>
          <w:tcPr>
            <w:tcW w:w="1368" w:type="dxa"/>
            <w:tcBorders>
              <w:top w:val="nil"/>
              <w:left w:val="nil"/>
              <w:bottom w:val="nil"/>
              <w:right w:val="single" w:sz="8" w:space="0" w:color="BFBFBF"/>
            </w:tcBorders>
            <w:vAlign w:val="center"/>
          </w:tcPr>
          <w:p w:rsidR="00BF1A3B" w:rsidRPr="006E78E0" w:rsidRDefault="00BF1A3B" w:rsidP="00BF1A3B">
            <w:pPr>
              <w:tabs>
                <w:tab w:val="decimal" w:pos="468"/>
              </w:tabs>
              <w:rPr>
                <w:rFonts w:cs="Cambria"/>
                <w:color w:val="000000"/>
                <w:sz w:val="20"/>
                <w:szCs w:val="20"/>
              </w:rPr>
            </w:pPr>
            <w:r w:rsidRPr="006E78E0">
              <w:rPr>
                <w:rFonts w:cs="Cambria"/>
                <w:color w:val="000000"/>
                <w:sz w:val="20"/>
                <w:szCs w:val="20"/>
              </w:rPr>
              <w:t>0.12**</w:t>
            </w:r>
          </w:p>
        </w:tc>
        <w:tc>
          <w:tcPr>
            <w:tcW w:w="1368" w:type="dxa"/>
            <w:tcBorders>
              <w:top w:val="nil"/>
              <w:left w:val="single" w:sz="8" w:space="0" w:color="BFBFBF"/>
              <w:bottom w:val="nil"/>
              <w:right w:val="nil"/>
            </w:tcBorders>
            <w:vAlign w:val="center"/>
          </w:tcPr>
          <w:p w:rsidR="00BF1A3B" w:rsidRPr="006E78E0" w:rsidRDefault="00BF1A3B" w:rsidP="00BF1A3B">
            <w:pPr>
              <w:tabs>
                <w:tab w:val="decimal" w:pos="396"/>
              </w:tabs>
              <w:rPr>
                <w:rFonts w:cs="Cambria"/>
                <w:color w:val="000000"/>
                <w:sz w:val="20"/>
                <w:szCs w:val="20"/>
              </w:rPr>
            </w:pPr>
            <w:r w:rsidRPr="006E78E0">
              <w:rPr>
                <w:rFonts w:cs="Cambria"/>
                <w:color w:val="000000"/>
                <w:sz w:val="20"/>
                <w:szCs w:val="20"/>
              </w:rPr>
              <w:t>0.12**</w:t>
            </w: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Pr>
                <w:rFonts w:cs="Cambria"/>
                <w:i/>
                <w:color w:val="000000"/>
                <w:sz w:val="20"/>
                <w:szCs w:val="20"/>
              </w:rPr>
              <w:t>Child another Disability Designation</w:t>
            </w:r>
            <w:r w:rsidRPr="00EA28F1">
              <w:rPr>
                <w:rFonts w:cs="Cambria"/>
                <w:i/>
                <w:color w:val="000000"/>
                <w:sz w:val="20"/>
                <w:szCs w:val="20"/>
              </w:rPr>
              <w:t xml:space="preserve"> x District % ‘</w:t>
            </w:r>
            <w:r>
              <w:rPr>
                <w:i/>
                <w:iCs/>
                <w:sz w:val="20"/>
                <w:szCs w:val="20"/>
              </w:rPr>
              <w:t>High Incidence</w:t>
            </w:r>
            <w:r w:rsidRPr="00EA28F1">
              <w:rPr>
                <w:rFonts w:cs="Cambria"/>
                <w:i/>
                <w:color w:val="000000"/>
                <w:sz w:val="20"/>
                <w:szCs w:val="20"/>
              </w:rPr>
              <w:t>’</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r w:rsidRPr="006E78E0">
              <w:rPr>
                <w:rFonts w:cs="Cambria"/>
                <w:color w:val="000000"/>
                <w:sz w:val="20"/>
                <w:szCs w:val="20"/>
              </w:rPr>
              <w:t>-0.02</w:t>
            </w:r>
          </w:p>
        </w:tc>
        <w:tc>
          <w:tcPr>
            <w:tcW w:w="1368" w:type="dxa"/>
            <w:tcBorders>
              <w:top w:val="nil"/>
              <w:left w:val="nil"/>
              <w:bottom w:val="nil"/>
              <w:right w:val="nil"/>
            </w:tcBorders>
            <w:vAlign w:val="center"/>
          </w:tcPr>
          <w:p w:rsidR="00BF1A3B" w:rsidRPr="006E78E0" w:rsidRDefault="00BF1A3B" w:rsidP="00BF1A3B">
            <w:pPr>
              <w:tabs>
                <w:tab w:val="decimal" w:pos="444"/>
              </w:tabs>
              <w:rPr>
                <w:rFonts w:cs="Cambria"/>
                <w:color w:val="000000"/>
                <w:sz w:val="20"/>
                <w:szCs w:val="20"/>
              </w:rPr>
            </w:pPr>
            <w:r w:rsidRPr="006E78E0">
              <w:rPr>
                <w:rFonts w:cs="Cambria"/>
                <w:color w:val="000000"/>
                <w:sz w:val="20"/>
                <w:szCs w:val="20"/>
              </w:rPr>
              <w:t>0.00</w:t>
            </w:r>
          </w:p>
        </w:tc>
        <w:tc>
          <w:tcPr>
            <w:tcW w:w="1368" w:type="dxa"/>
            <w:tcBorders>
              <w:top w:val="nil"/>
              <w:left w:val="nil"/>
              <w:bottom w:val="nil"/>
              <w:right w:val="single" w:sz="8" w:space="0" w:color="BFBFBF"/>
            </w:tcBorders>
            <w:vAlign w:val="center"/>
          </w:tcPr>
          <w:p w:rsidR="00BF1A3B" w:rsidRPr="006E78E0" w:rsidRDefault="00BF1A3B" w:rsidP="00BF1A3B">
            <w:pPr>
              <w:tabs>
                <w:tab w:val="decimal" w:pos="468"/>
              </w:tabs>
              <w:rPr>
                <w:rFonts w:cs="Cambria"/>
                <w:color w:val="000000"/>
                <w:sz w:val="20"/>
                <w:szCs w:val="20"/>
              </w:rPr>
            </w:pPr>
            <w:r w:rsidRPr="006E78E0">
              <w:rPr>
                <w:rFonts w:cs="Cambria"/>
                <w:color w:val="000000"/>
                <w:sz w:val="20"/>
                <w:szCs w:val="20"/>
              </w:rPr>
              <w:t>0.07</w:t>
            </w:r>
          </w:p>
        </w:tc>
        <w:tc>
          <w:tcPr>
            <w:tcW w:w="1368" w:type="dxa"/>
            <w:tcBorders>
              <w:top w:val="nil"/>
              <w:left w:val="single" w:sz="8" w:space="0" w:color="BFBFBF"/>
              <w:bottom w:val="nil"/>
              <w:right w:val="nil"/>
            </w:tcBorders>
            <w:vAlign w:val="center"/>
          </w:tcPr>
          <w:p w:rsidR="00BF1A3B" w:rsidRPr="006E78E0" w:rsidRDefault="00BF1A3B" w:rsidP="00BF1A3B">
            <w:pPr>
              <w:tabs>
                <w:tab w:val="decimal" w:pos="396"/>
              </w:tabs>
              <w:rPr>
                <w:rFonts w:cs="Cambria"/>
                <w:color w:val="000000"/>
                <w:sz w:val="20"/>
                <w:szCs w:val="20"/>
              </w:rPr>
            </w:pPr>
            <w:r w:rsidRPr="006E78E0">
              <w:rPr>
                <w:rFonts w:cs="Cambria"/>
                <w:color w:val="000000"/>
                <w:sz w:val="20"/>
                <w:szCs w:val="20"/>
              </w:rPr>
              <w:t>0.07</w:t>
            </w: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Pr>
                <w:rFonts w:cs="Cambria"/>
                <w:i/>
                <w:color w:val="000000"/>
                <w:sz w:val="20"/>
                <w:szCs w:val="20"/>
              </w:rPr>
              <w:t xml:space="preserve">Child Included 40-79% of Day </w:t>
            </w:r>
            <w:r>
              <w:rPr>
                <w:rFonts w:cs="Cambria"/>
                <w:i/>
                <w:color w:val="000000"/>
                <w:sz w:val="20"/>
                <w:szCs w:val="20"/>
              </w:rPr>
              <w:br/>
              <w:t xml:space="preserve">x </w:t>
            </w:r>
            <w:r w:rsidRPr="00EA28F1">
              <w:rPr>
                <w:rFonts w:cs="Cambria"/>
                <w:i/>
                <w:color w:val="000000"/>
                <w:sz w:val="20"/>
                <w:szCs w:val="20"/>
              </w:rPr>
              <w:t>District % ‘</w:t>
            </w:r>
            <w:r>
              <w:rPr>
                <w:i/>
                <w:iCs/>
                <w:sz w:val="20"/>
                <w:szCs w:val="20"/>
              </w:rPr>
              <w:t>High Incidence</w:t>
            </w:r>
            <w:r w:rsidRPr="00EA28F1">
              <w:rPr>
                <w:rFonts w:cs="Cambria"/>
                <w:i/>
                <w:color w:val="000000"/>
                <w:sz w:val="20"/>
                <w:szCs w:val="20"/>
              </w:rPr>
              <w:t>’</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44"/>
              </w:tabs>
              <w:rPr>
                <w:rFonts w:cs="Cambria"/>
                <w:color w:val="000000"/>
                <w:sz w:val="20"/>
                <w:szCs w:val="20"/>
              </w:rPr>
            </w:pPr>
          </w:p>
        </w:tc>
        <w:tc>
          <w:tcPr>
            <w:tcW w:w="1368" w:type="dxa"/>
            <w:tcBorders>
              <w:top w:val="nil"/>
              <w:left w:val="nil"/>
              <w:bottom w:val="nil"/>
              <w:right w:val="single" w:sz="8" w:space="0" w:color="BFBFBF"/>
            </w:tcBorders>
            <w:vAlign w:val="center"/>
          </w:tcPr>
          <w:p w:rsidR="00BF1A3B" w:rsidRPr="006E78E0" w:rsidRDefault="00BF1A3B" w:rsidP="00BF1A3B">
            <w:pPr>
              <w:tabs>
                <w:tab w:val="decimal" w:pos="468"/>
              </w:tabs>
              <w:rPr>
                <w:rFonts w:cs="Cambria"/>
                <w:color w:val="000000"/>
                <w:sz w:val="20"/>
                <w:szCs w:val="20"/>
              </w:rPr>
            </w:pPr>
            <w:r w:rsidRPr="006E78E0">
              <w:rPr>
                <w:rFonts w:cs="Cambria"/>
                <w:color w:val="000000"/>
                <w:sz w:val="20"/>
                <w:szCs w:val="20"/>
              </w:rPr>
              <w:t>0.12**</w:t>
            </w:r>
          </w:p>
        </w:tc>
        <w:tc>
          <w:tcPr>
            <w:tcW w:w="1368" w:type="dxa"/>
            <w:tcBorders>
              <w:top w:val="nil"/>
              <w:left w:val="single" w:sz="8" w:space="0" w:color="BFBFBF"/>
              <w:bottom w:val="nil"/>
              <w:right w:val="nil"/>
            </w:tcBorders>
            <w:vAlign w:val="center"/>
          </w:tcPr>
          <w:p w:rsidR="00BF1A3B" w:rsidRPr="006E78E0" w:rsidRDefault="00BF1A3B" w:rsidP="00BF1A3B">
            <w:pPr>
              <w:tabs>
                <w:tab w:val="decimal" w:pos="396"/>
              </w:tabs>
              <w:rPr>
                <w:rFonts w:cs="Cambria"/>
                <w:color w:val="000000"/>
                <w:sz w:val="20"/>
                <w:szCs w:val="20"/>
              </w:rPr>
            </w:pPr>
            <w:r w:rsidRPr="006E78E0">
              <w:rPr>
                <w:rFonts w:cs="Cambria"/>
                <w:color w:val="000000"/>
                <w:sz w:val="20"/>
                <w:szCs w:val="20"/>
              </w:rPr>
              <w:t>0.12**</w:t>
            </w: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Pr>
                <w:rFonts w:cs="Cambria"/>
                <w:i/>
                <w:color w:val="000000"/>
                <w:sz w:val="20"/>
                <w:szCs w:val="20"/>
              </w:rPr>
              <w:t xml:space="preserve">Child Included 0-40% of Day </w:t>
            </w:r>
            <w:r>
              <w:rPr>
                <w:rFonts w:cs="Cambria"/>
                <w:i/>
                <w:color w:val="000000"/>
                <w:sz w:val="20"/>
                <w:szCs w:val="20"/>
              </w:rPr>
              <w:br/>
              <w:t>x</w:t>
            </w:r>
            <w:r w:rsidRPr="006E78E0">
              <w:rPr>
                <w:rFonts w:cs="Cambria"/>
                <w:color w:val="000000"/>
                <w:sz w:val="20"/>
                <w:szCs w:val="20"/>
              </w:rPr>
              <w:t xml:space="preserve"> </w:t>
            </w:r>
            <w:r w:rsidRPr="00EA28F1">
              <w:rPr>
                <w:rFonts w:cs="Cambria"/>
                <w:i/>
                <w:color w:val="000000"/>
                <w:sz w:val="20"/>
                <w:szCs w:val="20"/>
              </w:rPr>
              <w:t>District % ‘</w:t>
            </w:r>
            <w:r>
              <w:rPr>
                <w:i/>
                <w:iCs/>
                <w:sz w:val="20"/>
                <w:szCs w:val="20"/>
              </w:rPr>
              <w:t>High Incidence</w:t>
            </w:r>
            <w:r w:rsidRPr="00EA28F1">
              <w:rPr>
                <w:rFonts w:cs="Cambria"/>
                <w:i/>
                <w:color w:val="000000"/>
                <w:sz w:val="20"/>
                <w:szCs w:val="20"/>
              </w:rPr>
              <w:t>’</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44"/>
              </w:tabs>
              <w:rPr>
                <w:rFonts w:cs="Cambria"/>
                <w:color w:val="000000"/>
                <w:sz w:val="20"/>
                <w:szCs w:val="20"/>
              </w:rPr>
            </w:pPr>
          </w:p>
        </w:tc>
        <w:tc>
          <w:tcPr>
            <w:tcW w:w="1368" w:type="dxa"/>
            <w:tcBorders>
              <w:top w:val="nil"/>
              <w:left w:val="nil"/>
              <w:bottom w:val="nil"/>
              <w:right w:val="single" w:sz="8" w:space="0" w:color="BFBFBF"/>
            </w:tcBorders>
            <w:vAlign w:val="center"/>
          </w:tcPr>
          <w:p w:rsidR="00BF1A3B" w:rsidRPr="006E78E0" w:rsidRDefault="00BF1A3B" w:rsidP="00BF1A3B">
            <w:pPr>
              <w:tabs>
                <w:tab w:val="decimal" w:pos="468"/>
              </w:tabs>
              <w:rPr>
                <w:rFonts w:cs="Cambria"/>
                <w:color w:val="000000"/>
                <w:sz w:val="20"/>
                <w:szCs w:val="20"/>
              </w:rPr>
            </w:pPr>
            <w:r w:rsidRPr="006E78E0">
              <w:rPr>
                <w:rFonts w:cs="Cambria"/>
                <w:color w:val="000000"/>
                <w:sz w:val="20"/>
                <w:szCs w:val="20"/>
              </w:rPr>
              <w:t>0.08</w:t>
            </w:r>
          </w:p>
        </w:tc>
        <w:tc>
          <w:tcPr>
            <w:tcW w:w="1368" w:type="dxa"/>
            <w:tcBorders>
              <w:top w:val="nil"/>
              <w:left w:val="single" w:sz="8" w:space="0" w:color="BFBFBF"/>
              <w:bottom w:val="nil"/>
              <w:right w:val="nil"/>
            </w:tcBorders>
            <w:vAlign w:val="center"/>
          </w:tcPr>
          <w:p w:rsidR="00BF1A3B" w:rsidRPr="006E78E0" w:rsidRDefault="00BF1A3B" w:rsidP="00BF1A3B">
            <w:pPr>
              <w:tabs>
                <w:tab w:val="decimal" w:pos="396"/>
              </w:tabs>
              <w:rPr>
                <w:rFonts w:cs="Cambria"/>
                <w:color w:val="000000"/>
                <w:sz w:val="20"/>
                <w:szCs w:val="20"/>
              </w:rPr>
            </w:pPr>
            <w:r w:rsidRPr="006E78E0">
              <w:rPr>
                <w:rFonts w:cs="Cambria"/>
                <w:color w:val="000000"/>
                <w:sz w:val="20"/>
                <w:szCs w:val="20"/>
              </w:rPr>
              <w:t>0.08</w:t>
            </w:r>
          </w:p>
        </w:tc>
      </w:tr>
      <w:tr w:rsidR="00BF1A3B" w:rsidRPr="006E78E0" w:rsidTr="00BF1A3B">
        <w:tblPrEx>
          <w:tblBorders>
            <w:top w:val="none" w:sz="0" w:space="0" w:color="auto"/>
          </w:tblBorders>
        </w:tblPrEx>
        <w:trPr>
          <w:trHeight w:val="432"/>
          <w:jc w:val="center"/>
        </w:trPr>
        <w:tc>
          <w:tcPr>
            <w:tcW w:w="324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Pr>
                <w:rFonts w:cs="Cambria"/>
                <w:i/>
                <w:color w:val="000000"/>
                <w:sz w:val="20"/>
                <w:szCs w:val="20"/>
              </w:rPr>
              <w:t>Child ‘</w:t>
            </w:r>
            <w:r>
              <w:rPr>
                <w:i/>
                <w:iCs/>
                <w:sz w:val="20"/>
                <w:szCs w:val="20"/>
              </w:rPr>
              <w:t>High Incidence</w:t>
            </w:r>
            <w:r>
              <w:rPr>
                <w:rFonts w:cs="Cambria"/>
                <w:i/>
                <w:color w:val="000000"/>
                <w:sz w:val="20"/>
                <w:szCs w:val="20"/>
              </w:rPr>
              <w:t>’ Designation</w:t>
            </w:r>
            <w:r w:rsidRPr="00EA28F1">
              <w:rPr>
                <w:rFonts w:cs="Cambria"/>
                <w:i/>
                <w:color w:val="000000"/>
                <w:sz w:val="20"/>
                <w:szCs w:val="20"/>
              </w:rPr>
              <w:t xml:space="preserve"> </w:t>
            </w:r>
            <w:r>
              <w:rPr>
                <w:rFonts w:cs="Cambria"/>
                <w:i/>
                <w:color w:val="000000"/>
                <w:sz w:val="20"/>
                <w:szCs w:val="20"/>
              </w:rPr>
              <w:br/>
            </w:r>
            <w:r w:rsidRPr="00EA28F1">
              <w:rPr>
                <w:rFonts w:cs="Cambria"/>
                <w:i/>
                <w:color w:val="000000"/>
                <w:sz w:val="20"/>
                <w:szCs w:val="20"/>
              </w:rPr>
              <w:t xml:space="preserve">x </w:t>
            </w:r>
            <w:r>
              <w:rPr>
                <w:rFonts w:cs="Cambria"/>
                <w:i/>
                <w:color w:val="000000"/>
                <w:sz w:val="20"/>
                <w:szCs w:val="20"/>
              </w:rPr>
              <w:t>Dist. MFI, in $10K  units</w:t>
            </w:r>
          </w:p>
        </w:tc>
        <w:tc>
          <w:tcPr>
            <w:tcW w:w="1368" w:type="dxa"/>
            <w:tcBorders>
              <w:top w:val="nil"/>
              <w:left w:val="nil"/>
              <w:bottom w:val="nil"/>
              <w:right w:val="nil"/>
            </w:tcBorders>
            <w:vAlign w:val="center"/>
          </w:tcPr>
          <w:p w:rsidR="00BF1A3B" w:rsidRPr="006E78E0" w:rsidRDefault="00BF1A3B" w:rsidP="00BF1A3B">
            <w:pPr>
              <w:tabs>
                <w:tab w:val="decimal" w:pos="396"/>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nil"/>
              <w:right w:val="nil"/>
            </w:tcBorders>
            <w:vAlign w:val="center"/>
          </w:tcPr>
          <w:p w:rsidR="00BF1A3B" w:rsidRPr="006E78E0" w:rsidRDefault="00BF1A3B" w:rsidP="00BF1A3B">
            <w:pPr>
              <w:tabs>
                <w:tab w:val="decimal" w:pos="444"/>
              </w:tabs>
              <w:rPr>
                <w:rFonts w:cs="Cambria"/>
                <w:color w:val="000000"/>
                <w:sz w:val="20"/>
                <w:szCs w:val="20"/>
              </w:rPr>
            </w:pPr>
          </w:p>
        </w:tc>
        <w:tc>
          <w:tcPr>
            <w:tcW w:w="1368" w:type="dxa"/>
            <w:tcBorders>
              <w:top w:val="nil"/>
              <w:left w:val="nil"/>
              <w:bottom w:val="nil"/>
              <w:right w:val="single" w:sz="8" w:space="0" w:color="BFBFBF"/>
            </w:tcBorders>
            <w:vAlign w:val="center"/>
          </w:tcPr>
          <w:p w:rsidR="00BF1A3B" w:rsidRPr="006E78E0" w:rsidRDefault="00BF1A3B" w:rsidP="00BF1A3B">
            <w:pPr>
              <w:tabs>
                <w:tab w:val="decimal" w:pos="468"/>
              </w:tabs>
              <w:rPr>
                <w:rFonts w:cs="Cambria"/>
                <w:color w:val="000000"/>
                <w:sz w:val="20"/>
                <w:szCs w:val="20"/>
              </w:rPr>
            </w:pPr>
            <w:r w:rsidRPr="006E78E0">
              <w:rPr>
                <w:rFonts w:cs="Cambria"/>
                <w:color w:val="000000"/>
                <w:sz w:val="20"/>
                <w:szCs w:val="20"/>
              </w:rPr>
              <w:t>0.25**</w:t>
            </w:r>
          </w:p>
        </w:tc>
        <w:tc>
          <w:tcPr>
            <w:tcW w:w="1368" w:type="dxa"/>
            <w:tcBorders>
              <w:top w:val="nil"/>
              <w:left w:val="single" w:sz="8" w:space="0" w:color="BFBFBF"/>
              <w:bottom w:val="nil"/>
              <w:right w:val="nil"/>
            </w:tcBorders>
            <w:vAlign w:val="center"/>
          </w:tcPr>
          <w:p w:rsidR="00BF1A3B" w:rsidRPr="006E78E0" w:rsidRDefault="00BF1A3B" w:rsidP="00BF1A3B">
            <w:pPr>
              <w:tabs>
                <w:tab w:val="decimal" w:pos="396"/>
              </w:tabs>
              <w:rPr>
                <w:rFonts w:cs="Cambria"/>
                <w:color w:val="000000"/>
                <w:sz w:val="20"/>
                <w:szCs w:val="20"/>
              </w:rPr>
            </w:pPr>
            <w:r w:rsidRPr="006E78E0">
              <w:rPr>
                <w:rFonts w:cs="Cambria"/>
                <w:color w:val="000000"/>
                <w:sz w:val="20"/>
                <w:szCs w:val="20"/>
              </w:rPr>
              <w:t>0.25**</w:t>
            </w:r>
          </w:p>
        </w:tc>
      </w:tr>
      <w:tr w:rsidR="00BF1A3B" w:rsidRPr="006E78E0" w:rsidTr="00BF1A3B">
        <w:tblPrEx>
          <w:tblBorders>
            <w:top w:val="none" w:sz="0" w:space="0" w:color="auto"/>
          </w:tblBorders>
        </w:tblPrEx>
        <w:trPr>
          <w:trHeight w:val="432"/>
          <w:jc w:val="center"/>
        </w:trPr>
        <w:tc>
          <w:tcPr>
            <w:tcW w:w="3240" w:type="dxa"/>
            <w:tcBorders>
              <w:top w:val="nil"/>
              <w:left w:val="nil"/>
              <w:bottom w:val="single" w:sz="6" w:space="0" w:color="auto"/>
              <w:right w:val="nil"/>
            </w:tcBorders>
            <w:vAlign w:val="center"/>
          </w:tcPr>
          <w:p w:rsidR="00BF1A3B" w:rsidRPr="006E78E0" w:rsidRDefault="00BF1A3B" w:rsidP="00BF1A3B">
            <w:pPr>
              <w:ind w:left="252" w:hanging="252"/>
              <w:rPr>
                <w:rFonts w:cs="Cambria"/>
                <w:color w:val="000000"/>
                <w:sz w:val="20"/>
                <w:szCs w:val="20"/>
              </w:rPr>
            </w:pPr>
            <w:r>
              <w:rPr>
                <w:rFonts w:cs="Cambria"/>
                <w:i/>
                <w:color w:val="000000"/>
                <w:sz w:val="20"/>
                <w:szCs w:val="20"/>
              </w:rPr>
              <w:t>Child another Disability Designation</w:t>
            </w:r>
            <w:r w:rsidRPr="00EA28F1">
              <w:rPr>
                <w:rFonts w:cs="Cambria"/>
                <w:i/>
                <w:color w:val="000000"/>
                <w:sz w:val="20"/>
                <w:szCs w:val="20"/>
              </w:rPr>
              <w:t xml:space="preserve"> x </w:t>
            </w:r>
            <w:r>
              <w:rPr>
                <w:rFonts w:cs="Cambria"/>
                <w:i/>
                <w:color w:val="000000"/>
                <w:sz w:val="20"/>
                <w:szCs w:val="20"/>
              </w:rPr>
              <w:t>Dist. MFI, in $10K  units</w:t>
            </w:r>
          </w:p>
        </w:tc>
        <w:tc>
          <w:tcPr>
            <w:tcW w:w="1368" w:type="dxa"/>
            <w:tcBorders>
              <w:top w:val="nil"/>
              <w:left w:val="nil"/>
              <w:bottom w:val="single" w:sz="6" w:space="0" w:color="auto"/>
              <w:right w:val="nil"/>
            </w:tcBorders>
            <w:vAlign w:val="center"/>
          </w:tcPr>
          <w:p w:rsidR="00BF1A3B" w:rsidRPr="006E78E0" w:rsidRDefault="00BF1A3B" w:rsidP="00BF1A3B">
            <w:pPr>
              <w:tabs>
                <w:tab w:val="decimal" w:pos="396"/>
              </w:tabs>
              <w:rPr>
                <w:rFonts w:cs="Cambria"/>
                <w:color w:val="000000"/>
                <w:sz w:val="20"/>
                <w:szCs w:val="20"/>
              </w:rPr>
            </w:pPr>
          </w:p>
        </w:tc>
        <w:tc>
          <w:tcPr>
            <w:tcW w:w="1368" w:type="dxa"/>
            <w:tcBorders>
              <w:top w:val="nil"/>
              <w:left w:val="nil"/>
              <w:bottom w:val="single" w:sz="6" w:space="0" w:color="auto"/>
              <w:right w:val="nil"/>
            </w:tcBorders>
            <w:vAlign w:val="center"/>
          </w:tcPr>
          <w:p w:rsidR="00BF1A3B" w:rsidRPr="006E78E0" w:rsidRDefault="00BF1A3B" w:rsidP="00BF1A3B">
            <w:pPr>
              <w:tabs>
                <w:tab w:val="decimal" w:pos="420"/>
              </w:tabs>
              <w:rPr>
                <w:rFonts w:cs="Cambria"/>
                <w:color w:val="000000"/>
                <w:sz w:val="20"/>
                <w:szCs w:val="20"/>
              </w:rPr>
            </w:pPr>
          </w:p>
        </w:tc>
        <w:tc>
          <w:tcPr>
            <w:tcW w:w="1368" w:type="dxa"/>
            <w:tcBorders>
              <w:top w:val="nil"/>
              <w:left w:val="nil"/>
              <w:bottom w:val="single" w:sz="6" w:space="0" w:color="auto"/>
              <w:right w:val="nil"/>
            </w:tcBorders>
            <w:vAlign w:val="center"/>
          </w:tcPr>
          <w:p w:rsidR="00BF1A3B" w:rsidRPr="006E78E0" w:rsidRDefault="00BF1A3B" w:rsidP="00BF1A3B">
            <w:pPr>
              <w:tabs>
                <w:tab w:val="decimal" w:pos="444"/>
              </w:tabs>
              <w:rPr>
                <w:rFonts w:cs="Cambria"/>
                <w:color w:val="000000"/>
                <w:sz w:val="20"/>
                <w:szCs w:val="20"/>
              </w:rPr>
            </w:pPr>
          </w:p>
        </w:tc>
        <w:tc>
          <w:tcPr>
            <w:tcW w:w="1368" w:type="dxa"/>
            <w:tcBorders>
              <w:top w:val="nil"/>
              <w:left w:val="nil"/>
              <w:bottom w:val="single" w:sz="6" w:space="0" w:color="auto"/>
              <w:right w:val="single" w:sz="6" w:space="0" w:color="BFBFBF" w:themeColor="background1" w:themeShade="BF"/>
            </w:tcBorders>
            <w:vAlign w:val="center"/>
          </w:tcPr>
          <w:p w:rsidR="00BF1A3B" w:rsidRPr="006E78E0" w:rsidRDefault="00BF1A3B" w:rsidP="00BF1A3B">
            <w:pPr>
              <w:tabs>
                <w:tab w:val="decimal" w:pos="468"/>
              </w:tabs>
              <w:rPr>
                <w:rFonts w:cs="Cambria"/>
                <w:color w:val="000000"/>
                <w:sz w:val="20"/>
                <w:szCs w:val="20"/>
              </w:rPr>
            </w:pPr>
            <w:r w:rsidRPr="006E78E0">
              <w:rPr>
                <w:rFonts w:cs="Cambria"/>
                <w:color w:val="000000"/>
                <w:sz w:val="20"/>
                <w:szCs w:val="20"/>
              </w:rPr>
              <w:t>0.22**</w:t>
            </w:r>
          </w:p>
        </w:tc>
        <w:tc>
          <w:tcPr>
            <w:tcW w:w="1368" w:type="dxa"/>
            <w:tcBorders>
              <w:top w:val="nil"/>
              <w:left w:val="single" w:sz="6" w:space="0" w:color="BFBFBF" w:themeColor="background1" w:themeShade="BF"/>
              <w:bottom w:val="single" w:sz="6" w:space="0" w:color="auto"/>
              <w:right w:val="nil"/>
            </w:tcBorders>
            <w:vAlign w:val="center"/>
          </w:tcPr>
          <w:p w:rsidR="00BF1A3B" w:rsidRPr="006E78E0" w:rsidRDefault="00BF1A3B" w:rsidP="00BF1A3B">
            <w:pPr>
              <w:tabs>
                <w:tab w:val="decimal" w:pos="396"/>
              </w:tabs>
              <w:rPr>
                <w:rFonts w:cs="Cambria"/>
                <w:color w:val="000000"/>
                <w:sz w:val="20"/>
                <w:szCs w:val="20"/>
              </w:rPr>
            </w:pPr>
            <w:r w:rsidRPr="006E78E0">
              <w:rPr>
                <w:rFonts w:cs="Cambria"/>
                <w:color w:val="000000"/>
                <w:sz w:val="20"/>
                <w:szCs w:val="20"/>
              </w:rPr>
              <w:t>0.22**</w:t>
            </w:r>
          </w:p>
        </w:tc>
      </w:tr>
    </w:tbl>
    <w:p w:rsidR="00BF1A3B" w:rsidRDefault="00BF1A3B" w:rsidP="00BF1A3B">
      <w:pPr>
        <w:rPr>
          <w:rFonts w:cs="Cambria"/>
          <w:color w:val="000000"/>
          <w:sz w:val="20"/>
          <w:szCs w:val="20"/>
        </w:rPr>
      </w:pPr>
    </w:p>
    <w:p w:rsidR="00BF1A3B" w:rsidRDefault="00BF1A3B" w:rsidP="00BF1A3B">
      <w:pPr>
        <w:rPr>
          <w:rFonts w:cs="Cambria"/>
          <w:color w:val="000000"/>
          <w:sz w:val="20"/>
          <w:szCs w:val="20"/>
        </w:rPr>
      </w:pPr>
      <w:r>
        <w:rPr>
          <w:rFonts w:cs="Cambria"/>
          <w:b/>
          <w:color w:val="000000"/>
        </w:rPr>
        <w:br w:type="page"/>
      </w:r>
    </w:p>
    <w:tbl>
      <w:tblPr>
        <w:tblW w:w="10080" w:type="dxa"/>
        <w:jc w:val="center"/>
        <w:tblBorders>
          <w:bottom w:val="single" w:sz="6" w:space="0" w:color="BFBFBF"/>
        </w:tblBorders>
        <w:tblLayout w:type="fixed"/>
        <w:tblLook w:val="0000"/>
      </w:tblPr>
      <w:tblGrid>
        <w:gridCol w:w="3240"/>
        <w:gridCol w:w="1368"/>
        <w:gridCol w:w="1368"/>
        <w:gridCol w:w="1368"/>
        <w:gridCol w:w="1368"/>
        <w:gridCol w:w="1368"/>
      </w:tblGrid>
      <w:tr w:rsidR="00BF1A3B" w:rsidRPr="006E78E0" w:rsidTr="00BF1A3B">
        <w:trPr>
          <w:jc w:val="center"/>
        </w:trPr>
        <w:tc>
          <w:tcPr>
            <w:tcW w:w="10080" w:type="dxa"/>
            <w:gridSpan w:val="6"/>
            <w:tcBorders>
              <w:bottom w:val="single" w:sz="6" w:space="0" w:color="auto"/>
            </w:tcBorders>
            <w:vAlign w:val="center"/>
          </w:tcPr>
          <w:p w:rsidR="00BF1A3B" w:rsidRPr="00E9156A" w:rsidRDefault="00BF1A3B" w:rsidP="00BF1A3B">
            <w:pPr>
              <w:rPr>
                <w:rFonts w:cs="Cambria"/>
                <w:b/>
                <w:color w:val="000000"/>
                <w:sz w:val="18"/>
                <w:szCs w:val="18"/>
              </w:rPr>
            </w:pPr>
            <w:r w:rsidRPr="00EC3197">
              <w:rPr>
                <w:rFonts w:cs="Cambria"/>
                <w:i/>
                <w:iCs/>
                <w:color w:val="000000"/>
                <w:sz w:val="20"/>
                <w:szCs w:val="20"/>
              </w:rPr>
              <w:lastRenderedPageBreak/>
              <w:t>Table 4c.</w:t>
            </w:r>
            <w:r w:rsidRPr="006E78E0">
              <w:rPr>
                <w:rFonts w:cs="Cambria"/>
                <w:color w:val="000000"/>
                <w:sz w:val="20"/>
                <w:szCs w:val="20"/>
              </w:rPr>
              <w:t xml:space="preserve">  </w:t>
            </w:r>
            <w:r>
              <w:rPr>
                <w:rFonts w:cs="Cambria"/>
                <w:b/>
                <w:color w:val="000000"/>
                <w:sz w:val="20"/>
                <w:szCs w:val="20"/>
              </w:rPr>
              <w:t>Variance components</w:t>
            </w:r>
            <w:r>
              <w:rPr>
                <w:rFonts w:cs="Cambria"/>
                <w:color w:val="000000"/>
                <w:sz w:val="20"/>
                <w:szCs w:val="20"/>
              </w:rPr>
              <w:t xml:space="preserve"> and </w:t>
            </w:r>
            <w:r>
              <w:rPr>
                <w:rFonts w:cs="Cambria"/>
                <w:b/>
                <w:color w:val="000000"/>
                <w:sz w:val="20"/>
                <w:szCs w:val="20"/>
              </w:rPr>
              <w:t>goodness-of-fit</w:t>
            </w:r>
            <w:r>
              <w:rPr>
                <w:rFonts w:cs="Cambria"/>
                <w:color w:val="000000"/>
                <w:sz w:val="20"/>
                <w:szCs w:val="20"/>
              </w:rPr>
              <w:t xml:space="preserve"> estimates in a</w:t>
            </w:r>
            <w:r w:rsidRPr="006E78E0">
              <w:rPr>
                <w:rFonts w:cs="Cambria"/>
                <w:color w:val="000000"/>
                <w:sz w:val="20"/>
                <w:szCs w:val="20"/>
              </w:rPr>
              <w:t xml:space="preserve"> taxonomy of </w:t>
            </w:r>
            <w:r w:rsidRPr="00324B69">
              <w:rPr>
                <w:sz w:val="20"/>
                <w:szCs w:val="20"/>
              </w:rPr>
              <w:t>select</w:t>
            </w:r>
            <w:r>
              <w:rPr>
                <w:sz w:val="20"/>
                <w:szCs w:val="20"/>
              </w:rPr>
              <w:t>ed</w:t>
            </w:r>
            <w:r w:rsidRPr="00324B69">
              <w:rPr>
                <w:sz w:val="20"/>
                <w:szCs w:val="20"/>
              </w:rPr>
              <w:t xml:space="preserve"> fitted multilevel</w:t>
            </w:r>
            <w:r w:rsidRPr="006E78E0">
              <w:rPr>
                <w:rFonts w:cs="Cambria"/>
                <w:color w:val="000000"/>
                <w:sz w:val="20"/>
                <w:szCs w:val="20"/>
              </w:rPr>
              <w:t xml:space="preserve"> </w:t>
            </w:r>
            <w:r>
              <w:rPr>
                <w:rFonts w:cs="Cambria"/>
                <w:color w:val="000000"/>
                <w:sz w:val="20"/>
                <w:szCs w:val="20"/>
              </w:rPr>
              <w:t xml:space="preserve">regression </w:t>
            </w:r>
            <w:r w:rsidRPr="006E78E0">
              <w:rPr>
                <w:rFonts w:cs="Cambria"/>
                <w:color w:val="000000"/>
                <w:sz w:val="20"/>
                <w:szCs w:val="20"/>
              </w:rPr>
              <w:t xml:space="preserve">models predicting performance on the MCAS English Language Arts </w:t>
            </w:r>
            <w:r>
              <w:rPr>
                <w:rFonts w:cs="Cambria"/>
                <w:color w:val="000000"/>
                <w:sz w:val="20"/>
                <w:szCs w:val="20"/>
              </w:rPr>
              <w:t>assessment for 8</w:t>
            </w:r>
            <w:r w:rsidRPr="004310DA">
              <w:rPr>
                <w:rFonts w:cs="Cambria"/>
                <w:color w:val="000000"/>
                <w:sz w:val="20"/>
                <w:szCs w:val="20"/>
                <w:vertAlign w:val="superscript"/>
              </w:rPr>
              <w:t>th</w:t>
            </w:r>
            <w:r>
              <w:rPr>
                <w:rFonts w:cs="Cambria"/>
                <w:color w:val="000000"/>
                <w:sz w:val="20"/>
                <w:szCs w:val="20"/>
              </w:rPr>
              <w:t xml:space="preserve"> grade students, nested in traditional school districts</w:t>
            </w:r>
            <w:r>
              <w:rPr>
                <w:rStyle w:val="FootnoteReference"/>
                <w:color w:val="000000"/>
                <w:sz w:val="20"/>
                <w:szCs w:val="20"/>
              </w:rPr>
              <w:footnoteReference w:id="32"/>
            </w:r>
            <w:r>
              <w:rPr>
                <w:rFonts w:cs="Cambria"/>
                <w:color w:val="000000"/>
                <w:sz w:val="20"/>
                <w:szCs w:val="20"/>
              </w:rPr>
              <w:t xml:space="preserve">, </w:t>
            </w:r>
            <w:r w:rsidRPr="00324B69">
              <w:rPr>
                <w:i/>
                <w:sz w:val="20"/>
                <w:szCs w:val="20"/>
              </w:rPr>
              <w:t>n</w:t>
            </w:r>
            <w:r w:rsidRPr="00324B69">
              <w:rPr>
                <w:sz w:val="20"/>
                <w:szCs w:val="20"/>
              </w:rPr>
              <w:t>=</w:t>
            </w:r>
            <w:r>
              <w:rPr>
                <w:sz w:val="20"/>
                <w:szCs w:val="20"/>
              </w:rPr>
              <w:t>68,622</w:t>
            </w:r>
            <w:r w:rsidRPr="00324B69">
              <w:rPr>
                <w:sz w:val="20"/>
                <w:szCs w:val="20"/>
              </w:rPr>
              <w:t xml:space="preserve"> </w:t>
            </w:r>
            <w:r>
              <w:rPr>
                <w:sz w:val="20"/>
                <w:szCs w:val="20"/>
              </w:rPr>
              <w:t>8</w:t>
            </w:r>
            <w:r w:rsidRPr="004310DA">
              <w:rPr>
                <w:sz w:val="20"/>
                <w:szCs w:val="20"/>
                <w:vertAlign w:val="superscript"/>
              </w:rPr>
              <w:t>th</w:t>
            </w:r>
            <w:r>
              <w:rPr>
                <w:sz w:val="20"/>
                <w:szCs w:val="20"/>
              </w:rPr>
              <w:t xml:space="preserve"> grade students </w:t>
            </w:r>
            <w:r w:rsidRPr="00324B69">
              <w:rPr>
                <w:sz w:val="20"/>
                <w:szCs w:val="20"/>
              </w:rPr>
              <w:t xml:space="preserve">nested in </w:t>
            </w:r>
            <w:r>
              <w:rPr>
                <w:sz w:val="20"/>
                <w:szCs w:val="20"/>
              </w:rPr>
              <w:t>239 school districts</w:t>
            </w:r>
            <w:r w:rsidRPr="00324B69">
              <w:rPr>
                <w:sz w:val="20"/>
                <w:szCs w:val="20"/>
              </w:rPr>
              <w:t xml:space="preserve"> </w:t>
            </w:r>
            <w:r>
              <w:rPr>
                <w:sz w:val="20"/>
                <w:szCs w:val="20"/>
              </w:rPr>
              <w:t>(random effects at the district level)</w:t>
            </w:r>
            <w:r>
              <w:rPr>
                <w:rStyle w:val="FootnoteReference"/>
                <w:sz w:val="20"/>
                <w:szCs w:val="20"/>
              </w:rPr>
              <w:t xml:space="preserve"> </w:t>
            </w:r>
            <w:r>
              <w:rPr>
                <w:rStyle w:val="FootnoteReference"/>
                <w:sz w:val="20"/>
                <w:szCs w:val="20"/>
              </w:rPr>
              <w:footnoteReference w:id="33"/>
            </w:r>
            <w:r w:rsidRPr="006E78E0">
              <w:rPr>
                <w:rFonts w:cs="Cambria"/>
                <w:color w:val="000000"/>
                <w:sz w:val="20"/>
                <w:szCs w:val="20"/>
              </w:rPr>
              <w:t>.</w:t>
            </w:r>
          </w:p>
        </w:tc>
      </w:tr>
      <w:tr w:rsidR="00BF1A3B" w:rsidRPr="006E78E0" w:rsidTr="00BF1A3B">
        <w:trPr>
          <w:jc w:val="center"/>
        </w:trPr>
        <w:tc>
          <w:tcPr>
            <w:tcW w:w="3240" w:type="dxa"/>
            <w:tcBorders>
              <w:top w:val="single" w:sz="6" w:space="0" w:color="auto"/>
            </w:tcBorders>
            <w:vAlign w:val="center"/>
          </w:tcPr>
          <w:p w:rsidR="00BF1A3B" w:rsidRPr="006E78E0" w:rsidRDefault="00BF1A3B" w:rsidP="00BF1A3B">
            <w:pPr>
              <w:rPr>
                <w:rFonts w:cs="Cambria"/>
                <w:b/>
                <w:color w:val="000000"/>
                <w:sz w:val="20"/>
                <w:szCs w:val="20"/>
              </w:rPr>
            </w:pPr>
          </w:p>
        </w:tc>
        <w:tc>
          <w:tcPr>
            <w:tcW w:w="1368" w:type="dxa"/>
            <w:tcBorders>
              <w:top w:val="single" w:sz="6" w:space="0" w:color="auto"/>
            </w:tcBorders>
            <w:vAlign w:val="center"/>
          </w:tcPr>
          <w:p w:rsidR="00BF1A3B" w:rsidRPr="00E9156A" w:rsidRDefault="00BF1A3B" w:rsidP="00BF1A3B">
            <w:pPr>
              <w:jc w:val="center"/>
              <w:rPr>
                <w:rFonts w:cs="Cambria"/>
                <w:b/>
                <w:color w:val="000000"/>
                <w:sz w:val="18"/>
                <w:szCs w:val="18"/>
              </w:rPr>
            </w:pPr>
            <w:r w:rsidRPr="00E9156A">
              <w:rPr>
                <w:rFonts w:cs="Cambria"/>
                <w:b/>
                <w:color w:val="000000"/>
                <w:sz w:val="18"/>
                <w:szCs w:val="18"/>
              </w:rPr>
              <w:t>M</w:t>
            </w:r>
            <w:r>
              <w:rPr>
                <w:rFonts w:cs="Cambria"/>
                <w:b/>
                <w:color w:val="000000"/>
                <w:sz w:val="18"/>
                <w:szCs w:val="18"/>
              </w:rPr>
              <w:t>odel 4.</w:t>
            </w:r>
            <w:r w:rsidRPr="00E9156A">
              <w:rPr>
                <w:rFonts w:cs="Cambria"/>
                <w:b/>
                <w:color w:val="000000"/>
                <w:sz w:val="18"/>
                <w:szCs w:val="18"/>
              </w:rPr>
              <w:t>1</w:t>
            </w:r>
          </w:p>
        </w:tc>
        <w:tc>
          <w:tcPr>
            <w:tcW w:w="1368" w:type="dxa"/>
            <w:tcBorders>
              <w:top w:val="single" w:sz="6" w:space="0" w:color="auto"/>
            </w:tcBorders>
            <w:vAlign w:val="center"/>
          </w:tcPr>
          <w:p w:rsidR="00BF1A3B" w:rsidRPr="00E9156A" w:rsidRDefault="00BF1A3B" w:rsidP="00BF1A3B">
            <w:pPr>
              <w:jc w:val="center"/>
              <w:rPr>
                <w:rFonts w:cs="Cambria"/>
                <w:b/>
                <w:color w:val="000000"/>
                <w:sz w:val="18"/>
                <w:szCs w:val="18"/>
              </w:rPr>
            </w:pPr>
            <w:r w:rsidRPr="00E9156A">
              <w:rPr>
                <w:rFonts w:cs="Cambria"/>
                <w:b/>
                <w:color w:val="000000"/>
                <w:sz w:val="18"/>
                <w:szCs w:val="18"/>
              </w:rPr>
              <w:t>M</w:t>
            </w:r>
            <w:r>
              <w:rPr>
                <w:rFonts w:cs="Cambria"/>
                <w:b/>
                <w:color w:val="000000"/>
                <w:sz w:val="18"/>
                <w:szCs w:val="18"/>
              </w:rPr>
              <w:t>odel 4.</w:t>
            </w:r>
            <w:r w:rsidRPr="00E9156A">
              <w:rPr>
                <w:rFonts w:cs="Cambria"/>
                <w:b/>
                <w:color w:val="000000"/>
                <w:sz w:val="18"/>
                <w:szCs w:val="18"/>
              </w:rPr>
              <w:t>2</w:t>
            </w:r>
          </w:p>
        </w:tc>
        <w:tc>
          <w:tcPr>
            <w:tcW w:w="1368" w:type="dxa"/>
            <w:tcBorders>
              <w:top w:val="single" w:sz="6" w:space="0" w:color="auto"/>
            </w:tcBorders>
            <w:vAlign w:val="center"/>
          </w:tcPr>
          <w:p w:rsidR="00BF1A3B" w:rsidRPr="00E9156A" w:rsidRDefault="00BF1A3B" w:rsidP="00BF1A3B">
            <w:pPr>
              <w:jc w:val="center"/>
              <w:rPr>
                <w:rFonts w:cs="Cambria"/>
                <w:b/>
                <w:color w:val="000000"/>
                <w:sz w:val="18"/>
                <w:szCs w:val="18"/>
              </w:rPr>
            </w:pPr>
            <w:r w:rsidRPr="00E9156A">
              <w:rPr>
                <w:rFonts w:cs="Cambria"/>
                <w:b/>
                <w:color w:val="000000"/>
                <w:sz w:val="18"/>
                <w:szCs w:val="18"/>
              </w:rPr>
              <w:t>M</w:t>
            </w:r>
            <w:r>
              <w:rPr>
                <w:rFonts w:cs="Cambria"/>
                <w:b/>
                <w:color w:val="000000"/>
                <w:sz w:val="18"/>
                <w:szCs w:val="18"/>
              </w:rPr>
              <w:t>odel 4.</w:t>
            </w:r>
            <w:r w:rsidRPr="00E9156A">
              <w:rPr>
                <w:rFonts w:cs="Cambria"/>
                <w:b/>
                <w:color w:val="000000"/>
                <w:sz w:val="18"/>
                <w:szCs w:val="18"/>
              </w:rPr>
              <w:t>3</w:t>
            </w:r>
          </w:p>
        </w:tc>
        <w:tc>
          <w:tcPr>
            <w:tcW w:w="1368" w:type="dxa"/>
            <w:tcBorders>
              <w:top w:val="single" w:sz="6" w:space="0" w:color="auto"/>
            </w:tcBorders>
            <w:vAlign w:val="center"/>
          </w:tcPr>
          <w:p w:rsidR="00BF1A3B" w:rsidRPr="00E9156A" w:rsidRDefault="00BF1A3B" w:rsidP="00BF1A3B">
            <w:pPr>
              <w:jc w:val="center"/>
              <w:rPr>
                <w:rFonts w:cs="Cambria"/>
                <w:b/>
                <w:color w:val="000000"/>
                <w:sz w:val="18"/>
                <w:szCs w:val="18"/>
              </w:rPr>
            </w:pPr>
            <w:r w:rsidRPr="00E9156A">
              <w:rPr>
                <w:rFonts w:cs="Cambria"/>
                <w:b/>
                <w:color w:val="000000"/>
                <w:sz w:val="18"/>
                <w:szCs w:val="18"/>
              </w:rPr>
              <w:t>M</w:t>
            </w:r>
            <w:r>
              <w:rPr>
                <w:rFonts w:cs="Cambria"/>
                <w:b/>
                <w:color w:val="000000"/>
                <w:sz w:val="18"/>
                <w:szCs w:val="18"/>
              </w:rPr>
              <w:t>odel 4.</w:t>
            </w:r>
            <w:r w:rsidRPr="00E9156A">
              <w:rPr>
                <w:rFonts w:cs="Cambria"/>
                <w:b/>
                <w:color w:val="000000"/>
                <w:sz w:val="18"/>
                <w:szCs w:val="18"/>
              </w:rPr>
              <w:t>4</w:t>
            </w:r>
          </w:p>
        </w:tc>
        <w:tc>
          <w:tcPr>
            <w:tcW w:w="1368" w:type="dxa"/>
            <w:tcBorders>
              <w:top w:val="single" w:sz="6" w:space="0" w:color="auto"/>
              <w:bottom w:val="nil"/>
            </w:tcBorders>
            <w:vAlign w:val="center"/>
          </w:tcPr>
          <w:p w:rsidR="00BF1A3B" w:rsidRPr="00E9156A" w:rsidRDefault="00BF1A3B" w:rsidP="00BF1A3B">
            <w:pPr>
              <w:jc w:val="center"/>
              <w:rPr>
                <w:rFonts w:cs="Cambria"/>
                <w:b/>
                <w:color w:val="000000"/>
                <w:sz w:val="18"/>
                <w:szCs w:val="18"/>
              </w:rPr>
            </w:pPr>
            <w:r w:rsidRPr="00E9156A">
              <w:rPr>
                <w:rFonts w:cs="Cambria"/>
                <w:b/>
                <w:color w:val="000000"/>
                <w:sz w:val="18"/>
                <w:szCs w:val="18"/>
              </w:rPr>
              <w:t>M</w:t>
            </w:r>
            <w:r>
              <w:rPr>
                <w:rFonts w:cs="Cambria"/>
                <w:b/>
                <w:color w:val="000000"/>
                <w:sz w:val="18"/>
                <w:szCs w:val="18"/>
              </w:rPr>
              <w:t>odel 4.</w:t>
            </w:r>
            <w:r w:rsidRPr="00E9156A">
              <w:rPr>
                <w:rFonts w:cs="Cambria"/>
                <w:b/>
                <w:color w:val="000000"/>
                <w:sz w:val="18"/>
                <w:szCs w:val="18"/>
              </w:rPr>
              <w:t>5</w:t>
            </w:r>
          </w:p>
        </w:tc>
      </w:tr>
      <w:tr w:rsidR="00BF1A3B" w:rsidRPr="006E78E0" w:rsidTr="00BF1A3B">
        <w:trPr>
          <w:trHeight w:val="432"/>
          <w:jc w:val="center"/>
        </w:trPr>
        <w:tc>
          <w:tcPr>
            <w:tcW w:w="3240" w:type="dxa"/>
            <w:vAlign w:val="center"/>
          </w:tcPr>
          <w:p w:rsidR="00BF1A3B" w:rsidRDefault="00BF1A3B" w:rsidP="00BF1A3B">
            <w:pPr>
              <w:ind w:left="252" w:hanging="252"/>
              <w:rPr>
                <w:i/>
                <w:iCs/>
                <w:sz w:val="20"/>
                <w:szCs w:val="20"/>
              </w:rPr>
            </w:pPr>
            <w:r>
              <w:rPr>
                <w:rFonts w:cs="Cambria"/>
                <w:color w:val="000000"/>
                <w:sz w:val="20"/>
                <w:szCs w:val="20"/>
                <w:u w:val="single"/>
              </w:rPr>
              <w:t>Variance Components</w:t>
            </w:r>
          </w:p>
        </w:tc>
        <w:tc>
          <w:tcPr>
            <w:tcW w:w="1368" w:type="dxa"/>
          </w:tcPr>
          <w:p w:rsidR="00BF1A3B" w:rsidRPr="006E78E0" w:rsidRDefault="00BF1A3B" w:rsidP="00BF1A3B">
            <w:pPr>
              <w:rPr>
                <w:rFonts w:cs="Cambria"/>
                <w:color w:val="000000"/>
                <w:sz w:val="20"/>
                <w:szCs w:val="20"/>
              </w:rPr>
            </w:pPr>
          </w:p>
        </w:tc>
        <w:tc>
          <w:tcPr>
            <w:tcW w:w="1368" w:type="dxa"/>
          </w:tcPr>
          <w:p w:rsidR="00BF1A3B" w:rsidRPr="006E78E0" w:rsidRDefault="00BF1A3B" w:rsidP="00BF1A3B">
            <w:pPr>
              <w:rPr>
                <w:rFonts w:cs="Cambria"/>
                <w:color w:val="000000"/>
                <w:sz w:val="20"/>
                <w:szCs w:val="20"/>
              </w:rPr>
            </w:pPr>
          </w:p>
        </w:tc>
        <w:tc>
          <w:tcPr>
            <w:tcW w:w="1368" w:type="dxa"/>
          </w:tcPr>
          <w:p w:rsidR="00BF1A3B" w:rsidRPr="006E78E0" w:rsidRDefault="00BF1A3B" w:rsidP="00BF1A3B">
            <w:pPr>
              <w:rPr>
                <w:rFonts w:cs="Cambria"/>
                <w:color w:val="000000"/>
                <w:sz w:val="20"/>
                <w:szCs w:val="20"/>
              </w:rPr>
            </w:pPr>
          </w:p>
        </w:tc>
        <w:tc>
          <w:tcPr>
            <w:tcW w:w="1368" w:type="dxa"/>
            <w:tcBorders>
              <w:right w:val="single" w:sz="6" w:space="0" w:color="BFBFBF"/>
            </w:tcBorders>
          </w:tcPr>
          <w:p w:rsidR="00BF1A3B" w:rsidRPr="006E78E0" w:rsidRDefault="00BF1A3B" w:rsidP="00BF1A3B">
            <w:pPr>
              <w:rPr>
                <w:rFonts w:cs="Cambria"/>
                <w:color w:val="000000"/>
                <w:sz w:val="20"/>
                <w:szCs w:val="20"/>
              </w:rPr>
            </w:pPr>
          </w:p>
        </w:tc>
        <w:tc>
          <w:tcPr>
            <w:tcW w:w="1368" w:type="dxa"/>
            <w:tcBorders>
              <w:left w:val="single" w:sz="6" w:space="0" w:color="BFBFBF"/>
              <w:bottom w:val="nil"/>
            </w:tcBorders>
          </w:tcPr>
          <w:p w:rsidR="00BF1A3B" w:rsidRPr="006E78E0" w:rsidRDefault="00BF1A3B" w:rsidP="00BF1A3B">
            <w:pPr>
              <w:rPr>
                <w:rFonts w:cs="Cambria"/>
                <w:color w:val="000000"/>
                <w:sz w:val="20"/>
                <w:szCs w:val="20"/>
              </w:rPr>
            </w:pPr>
          </w:p>
        </w:tc>
      </w:tr>
      <w:tr w:rsidR="00BF1A3B" w:rsidRPr="006E78E0" w:rsidTr="00BF1A3B">
        <w:trPr>
          <w:trHeight w:val="432"/>
          <w:jc w:val="center"/>
        </w:trPr>
        <w:tc>
          <w:tcPr>
            <w:tcW w:w="3240" w:type="dxa"/>
            <w:vAlign w:val="center"/>
          </w:tcPr>
          <w:p w:rsidR="00BF1A3B" w:rsidRPr="00F64382" w:rsidRDefault="00B91530" w:rsidP="00BF1A3B">
            <w:pPr>
              <w:rPr>
                <w:rFonts w:cs="Cambria"/>
                <w:color w:val="000000"/>
                <w:sz w:val="20"/>
                <w:szCs w:val="20"/>
              </w:rPr>
            </w:pPr>
            <m:oMathPara>
              <m:oMathParaPr>
                <m:jc m:val="left"/>
              </m:oMathParaPr>
              <m:oMath>
                <m:sSubSup>
                  <m:sSubSupPr>
                    <m:ctrlPr>
                      <w:rPr>
                        <w:rFonts w:ascii="Cambria Math" w:hAnsi="Cambria Math" w:cs="Cambria"/>
                        <w:i/>
                        <w:color w:val="000000"/>
                        <w:sz w:val="20"/>
                        <w:szCs w:val="20"/>
                      </w:rPr>
                    </m:ctrlPr>
                  </m:sSubSupPr>
                  <m:e>
                    <m:acc>
                      <m:accPr>
                        <m:ctrlPr>
                          <w:rPr>
                            <w:rFonts w:ascii="Cambria Math" w:hAnsi="Cambria Math" w:cs="Cambria"/>
                            <w:i/>
                            <w:color w:val="000000"/>
                            <w:sz w:val="20"/>
                            <w:szCs w:val="20"/>
                          </w:rPr>
                        </m:ctrlPr>
                      </m:accPr>
                      <m:e>
                        <m:r>
                          <w:rPr>
                            <w:rFonts w:ascii="Cambria Math" w:hAnsi="Cambria Math" w:cs="Cambria"/>
                            <w:color w:val="000000"/>
                            <w:sz w:val="20"/>
                            <w:szCs w:val="20"/>
                          </w:rPr>
                          <m:t>σ</m:t>
                        </m:r>
                      </m:e>
                    </m:acc>
                  </m:e>
                  <m:sub>
                    <m:r>
                      <w:rPr>
                        <w:rFonts w:ascii="Cambria Math" w:hAnsi="Cambria Math" w:cs="Cambria"/>
                        <w:color w:val="000000"/>
                        <w:sz w:val="20"/>
                        <w:szCs w:val="20"/>
                      </w:rPr>
                      <m:t>ε</m:t>
                    </m:r>
                  </m:sub>
                  <m:sup>
                    <m:r>
                      <w:rPr>
                        <w:rFonts w:ascii="Cambria Math" w:hAnsi="Cambria Math" w:cs="Cambria"/>
                        <w:color w:val="000000"/>
                        <w:sz w:val="20"/>
                        <w:szCs w:val="20"/>
                      </w:rPr>
                      <m:t>2</m:t>
                    </m:r>
                  </m:sup>
                </m:sSubSup>
              </m:oMath>
            </m:oMathPara>
          </w:p>
        </w:tc>
        <w:tc>
          <w:tcPr>
            <w:tcW w:w="1368" w:type="dxa"/>
            <w:vAlign w:val="center"/>
          </w:tcPr>
          <w:p w:rsidR="00BF1A3B" w:rsidRPr="007A7C86" w:rsidRDefault="00BF1A3B" w:rsidP="00BF1A3B">
            <w:pPr>
              <w:tabs>
                <w:tab w:val="decimal" w:pos="432"/>
              </w:tabs>
              <w:rPr>
                <w:rFonts w:cs="Cambria"/>
                <w:color w:val="000000"/>
                <w:sz w:val="20"/>
                <w:szCs w:val="20"/>
              </w:rPr>
            </w:pPr>
            <w:r w:rsidRPr="00375639">
              <w:rPr>
                <w:rFonts w:cs="Cambria"/>
                <w:color w:val="000000"/>
                <w:sz w:val="20"/>
                <w:szCs w:val="20"/>
              </w:rPr>
              <w:t>8</w:t>
            </w:r>
            <w:r w:rsidRPr="007A7C86">
              <w:rPr>
                <w:rFonts w:cs="Cambria"/>
                <w:color w:val="000000"/>
                <w:sz w:val="20"/>
                <w:szCs w:val="20"/>
              </w:rPr>
              <w:t>.63**</w:t>
            </w:r>
          </w:p>
        </w:tc>
        <w:tc>
          <w:tcPr>
            <w:tcW w:w="1368" w:type="dxa"/>
            <w:vAlign w:val="center"/>
          </w:tcPr>
          <w:p w:rsidR="00BF1A3B" w:rsidRPr="006E78E0" w:rsidRDefault="00BF1A3B" w:rsidP="00BF1A3B">
            <w:pPr>
              <w:tabs>
                <w:tab w:val="decimal" w:pos="432"/>
              </w:tabs>
              <w:rPr>
                <w:rFonts w:cs="Cambria"/>
                <w:color w:val="000000"/>
                <w:sz w:val="20"/>
                <w:szCs w:val="20"/>
              </w:rPr>
            </w:pPr>
            <w:r w:rsidRPr="006E78E0">
              <w:rPr>
                <w:rFonts w:cs="Cambria"/>
                <w:color w:val="000000"/>
                <w:sz w:val="20"/>
                <w:szCs w:val="20"/>
              </w:rPr>
              <w:t>5.73**</w:t>
            </w:r>
          </w:p>
        </w:tc>
        <w:tc>
          <w:tcPr>
            <w:tcW w:w="1368" w:type="dxa"/>
            <w:vAlign w:val="center"/>
          </w:tcPr>
          <w:p w:rsidR="00BF1A3B" w:rsidRPr="006E78E0" w:rsidRDefault="00BF1A3B" w:rsidP="00BF1A3B">
            <w:pPr>
              <w:tabs>
                <w:tab w:val="decimal" w:pos="432"/>
              </w:tabs>
              <w:rPr>
                <w:rFonts w:cs="Cambria"/>
                <w:color w:val="000000"/>
                <w:sz w:val="20"/>
                <w:szCs w:val="20"/>
              </w:rPr>
            </w:pPr>
            <w:r w:rsidRPr="006E78E0">
              <w:rPr>
                <w:rFonts w:cs="Cambria"/>
                <w:color w:val="000000"/>
                <w:sz w:val="20"/>
                <w:szCs w:val="20"/>
              </w:rPr>
              <w:t>2.25**</w:t>
            </w:r>
          </w:p>
        </w:tc>
        <w:tc>
          <w:tcPr>
            <w:tcW w:w="1368" w:type="dxa"/>
            <w:tcBorders>
              <w:right w:val="single" w:sz="6" w:space="0" w:color="BFBFBF"/>
            </w:tcBorders>
            <w:vAlign w:val="center"/>
          </w:tcPr>
          <w:p w:rsidR="00BF1A3B" w:rsidRPr="006E78E0" w:rsidRDefault="00BF1A3B" w:rsidP="00BF1A3B">
            <w:pPr>
              <w:tabs>
                <w:tab w:val="decimal" w:pos="432"/>
              </w:tabs>
              <w:rPr>
                <w:rFonts w:cs="Cambria"/>
                <w:color w:val="000000"/>
                <w:sz w:val="20"/>
                <w:szCs w:val="20"/>
              </w:rPr>
            </w:pPr>
            <w:r w:rsidRPr="006E78E0">
              <w:rPr>
                <w:rFonts w:cs="Cambria"/>
                <w:color w:val="000000"/>
                <w:sz w:val="20"/>
                <w:szCs w:val="20"/>
              </w:rPr>
              <w:t>2.37**</w:t>
            </w:r>
          </w:p>
        </w:tc>
        <w:tc>
          <w:tcPr>
            <w:tcW w:w="1368" w:type="dxa"/>
            <w:tcBorders>
              <w:left w:val="single" w:sz="6" w:space="0" w:color="BFBFBF"/>
              <w:bottom w:val="nil"/>
            </w:tcBorders>
            <w:vAlign w:val="center"/>
          </w:tcPr>
          <w:p w:rsidR="00BF1A3B" w:rsidRPr="006E78E0" w:rsidRDefault="00BF1A3B" w:rsidP="00BF1A3B">
            <w:pPr>
              <w:tabs>
                <w:tab w:val="decimal" w:pos="432"/>
              </w:tabs>
              <w:rPr>
                <w:rFonts w:cs="Cambria"/>
                <w:color w:val="000000"/>
                <w:sz w:val="20"/>
                <w:szCs w:val="20"/>
              </w:rPr>
            </w:pPr>
            <w:r w:rsidRPr="006E78E0">
              <w:rPr>
                <w:rFonts w:cs="Cambria"/>
                <w:color w:val="000000"/>
                <w:sz w:val="20"/>
                <w:szCs w:val="20"/>
              </w:rPr>
              <w:t>2.14**</w:t>
            </w:r>
          </w:p>
        </w:tc>
      </w:tr>
      <w:tr w:rsidR="00BF1A3B" w:rsidRPr="006E78E0" w:rsidTr="00BF1A3B">
        <w:trPr>
          <w:trHeight w:val="432"/>
          <w:jc w:val="center"/>
        </w:trPr>
        <w:tc>
          <w:tcPr>
            <w:tcW w:w="3240" w:type="dxa"/>
            <w:vAlign w:val="center"/>
          </w:tcPr>
          <w:p w:rsidR="00BF1A3B" w:rsidRPr="00F64382" w:rsidRDefault="00B91530" w:rsidP="00BF1A3B">
            <w:pPr>
              <w:rPr>
                <w:rFonts w:cs="Cambria"/>
                <w:color w:val="000000"/>
                <w:sz w:val="20"/>
                <w:szCs w:val="20"/>
              </w:rPr>
            </w:pPr>
            <m:oMathPara>
              <m:oMathParaPr>
                <m:jc m:val="left"/>
              </m:oMathParaPr>
              <m:oMath>
                <m:sSubSup>
                  <m:sSubSupPr>
                    <m:ctrlPr>
                      <w:rPr>
                        <w:rFonts w:ascii="Cambria Math" w:hAnsi="Cambria Math" w:cs="Cambria"/>
                        <w:i/>
                        <w:color w:val="000000"/>
                        <w:sz w:val="20"/>
                        <w:szCs w:val="20"/>
                      </w:rPr>
                    </m:ctrlPr>
                  </m:sSubSupPr>
                  <m:e>
                    <m:acc>
                      <m:accPr>
                        <m:ctrlPr>
                          <w:rPr>
                            <w:rFonts w:ascii="Cambria Math" w:hAnsi="Cambria Math" w:cs="Cambria"/>
                            <w:i/>
                            <w:color w:val="000000"/>
                            <w:sz w:val="20"/>
                            <w:szCs w:val="20"/>
                          </w:rPr>
                        </m:ctrlPr>
                      </m:accPr>
                      <m:e>
                        <m:r>
                          <w:rPr>
                            <w:rFonts w:ascii="Cambria Math" w:hAnsi="Cambria Math" w:cs="Cambria"/>
                            <w:color w:val="000000"/>
                            <w:sz w:val="20"/>
                            <w:szCs w:val="20"/>
                          </w:rPr>
                          <m:t>σ</m:t>
                        </m:r>
                      </m:e>
                    </m:acc>
                  </m:e>
                  <m:sub>
                    <m:r>
                      <w:rPr>
                        <w:rFonts w:ascii="Cambria Math" w:hAnsi="Cambria Math" w:cs="Cambria"/>
                        <w:color w:val="000000"/>
                        <w:sz w:val="20"/>
                        <w:szCs w:val="20"/>
                      </w:rPr>
                      <m:t>u</m:t>
                    </m:r>
                  </m:sub>
                  <m:sup>
                    <m:r>
                      <w:rPr>
                        <w:rFonts w:ascii="Cambria Math" w:hAnsi="Cambria Math" w:cs="Cambria"/>
                        <w:color w:val="000000"/>
                        <w:sz w:val="20"/>
                        <w:szCs w:val="20"/>
                      </w:rPr>
                      <m:t>2</m:t>
                    </m:r>
                  </m:sup>
                </m:sSubSup>
              </m:oMath>
            </m:oMathPara>
          </w:p>
        </w:tc>
        <w:tc>
          <w:tcPr>
            <w:tcW w:w="1368" w:type="dxa"/>
            <w:vAlign w:val="center"/>
          </w:tcPr>
          <w:p w:rsidR="00BF1A3B" w:rsidRPr="00375639" w:rsidRDefault="00BF1A3B" w:rsidP="00BF1A3B">
            <w:pPr>
              <w:tabs>
                <w:tab w:val="decimal" w:pos="432"/>
              </w:tabs>
              <w:rPr>
                <w:rFonts w:cs="Cambria"/>
                <w:color w:val="000000"/>
                <w:sz w:val="20"/>
                <w:szCs w:val="20"/>
              </w:rPr>
            </w:pPr>
            <w:r w:rsidRPr="00375639">
              <w:rPr>
                <w:rFonts w:cs="Cambria"/>
                <w:color w:val="000000"/>
                <w:sz w:val="20"/>
                <w:szCs w:val="20"/>
              </w:rPr>
              <w:t>49.35**</w:t>
            </w:r>
          </w:p>
        </w:tc>
        <w:tc>
          <w:tcPr>
            <w:tcW w:w="1368" w:type="dxa"/>
            <w:vAlign w:val="center"/>
          </w:tcPr>
          <w:p w:rsidR="00BF1A3B" w:rsidRPr="007A7C86" w:rsidRDefault="00BF1A3B" w:rsidP="00BF1A3B">
            <w:pPr>
              <w:tabs>
                <w:tab w:val="decimal" w:pos="432"/>
              </w:tabs>
              <w:rPr>
                <w:rFonts w:cs="Cambria"/>
                <w:color w:val="000000"/>
                <w:sz w:val="20"/>
                <w:szCs w:val="20"/>
              </w:rPr>
            </w:pPr>
            <w:r w:rsidRPr="007A7C86">
              <w:rPr>
                <w:rFonts w:cs="Cambria"/>
                <w:color w:val="000000"/>
                <w:sz w:val="20"/>
                <w:szCs w:val="20"/>
              </w:rPr>
              <w:t>42.13**</w:t>
            </w:r>
          </w:p>
        </w:tc>
        <w:tc>
          <w:tcPr>
            <w:tcW w:w="1368" w:type="dxa"/>
            <w:vAlign w:val="center"/>
          </w:tcPr>
          <w:p w:rsidR="00BF1A3B" w:rsidRPr="006E78E0" w:rsidRDefault="00BF1A3B" w:rsidP="00BF1A3B">
            <w:pPr>
              <w:tabs>
                <w:tab w:val="decimal" w:pos="432"/>
              </w:tabs>
              <w:rPr>
                <w:rFonts w:cs="Cambria"/>
                <w:color w:val="000000"/>
                <w:sz w:val="20"/>
                <w:szCs w:val="20"/>
              </w:rPr>
            </w:pPr>
            <w:r w:rsidRPr="006E78E0">
              <w:rPr>
                <w:rFonts w:cs="Cambria"/>
                <w:color w:val="000000"/>
                <w:sz w:val="20"/>
                <w:szCs w:val="20"/>
              </w:rPr>
              <w:t>42.24**</w:t>
            </w:r>
          </w:p>
        </w:tc>
        <w:tc>
          <w:tcPr>
            <w:tcW w:w="1368" w:type="dxa"/>
            <w:tcBorders>
              <w:right w:val="single" w:sz="6" w:space="0" w:color="BFBFBF"/>
            </w:tcBorders>
            <w:vAlign w:val="center"/>
          </w:tcPr>
          <w:p w:rsidR="00BF1A3B" w:rsidRPr="006E78E0" w:rsidRDefault="00BF1A3B" w:rsidP="00BF1A3B">
            <w:pPr>
              <w:tabs>
                <w:tab w:val="decimal" w:pos="432"/>
              </w:tabs>
              <w:rPr>
                <w:rFonts w:cs="Cambria"/>
                <w:color w:val="000000"/>
                <w:sz w:val="20"/>
                <w:szCs w:val="20"/>
              </w:rPr>
            </w:pPr>
            <w:r w:rsidRPr="006E78E0">
              <w:rPr>
                <w:rFonts w:cs="Cambria"/>
                <w:color w:val="000000"/>
                <w:sz w:val="20"/>
                <w:szCs w:val="20"/>
              </w:rPr>
              <w:t>41.20**</w:t>
            </w:r>
          </w:p>
        </w:tc>
        <w:tc>
          <w:tcPr>
            <w:tcW w:w="1368" w:type="dxa"/>
            <w:tcBorders>
              <w:left w:val="single" w:sz="6" w:space="0" w:color="BFBFBF"/>
              <w:bottom w:val="nil"/>
            </w:tcBorders>
            <w:vAlign w:val="center"/>
          </w:tcPr>
          <w:p w:rsidR="00BF1A3B" w:rsidRPr="006E78E0" w:rsidRDefault="00BF1A3B" w:rsidP="00BF1A3B">
            <w:pPr>
              <w:tabs>
                <w:tab w:val="decimal" w:pos="432"/>
              </w:tabs>
              <w:rPr>
                <w:rFonts w:cs="Cambria"/>
                <w:color w:val="000000"/>
                <w:sz w:val="20"/>
                <w:szCs w:val="20"/>
              </w:rPr>
            </w:pPr>
            <w:r w:rsidRPr="006E78E0">
              <w:rPr>
                <w:rFonts w:cs="Cambria"/>
                <w:color w:val="000000"/>
                <w:sz w:val="20"/>
                <w:szCs w:val="20"/>
              </w:rPr>
              <w:t>41.20**</w:t>
            </w:r>
          </w:p>
        </w:tc>
      </w:tr>
      <w:tr w:rsidR="00BF1A3B" w:rsidRPr="001D39EA" w:rsidTr="00BF1A3B">
        <w:trPr>
          <w:jc w:val="center"/>
        </w:trPr>
        <w:tc>
          <w:tcPr>
            <w:tcW w:w="3240" w:type="dxa"/>
            <w:vAlign w:val="center"/>
          </w:tcPr>
          <w:p w:rsidR="00BF1A3B" w:rsidRPr="001D39EA" w:rsidRDefault="00BF1A3B" w:rsidP="00BF1A3B">
            <w:pPr>
              <w:rPr>
                <w:rFonts w:cs="Cambria"/>
                <w:color w:val="000000"/>
                <w:sz w:val="10"/>
                <w:szCs w:val="10"/>
              </w:rPr>
            </w:pPr>
          </w:p>
        </w:tc>
        <w:tc>
          <w:tcPr>
            <w:tcW w:w="1368" w:type="dxa"/>
            <w:vAlign w:val="center"/>
          </w:tcPr>
          <w:p w:rsidR="00BF1A3B" w:rsidRPr="001D39EA" w:rsidRDefault="00BF1A3B" w:rsidP="00BF1A3B">
            <w:pPr>
              <w:tabs>
                <w:tab w:val="decimal" w:pos="432"/>
              </w:tabs>
              <w:rPr>
                <w:rFonts w:cs="Cambria"/>
                <w:color w:val="000000"/>
                <w:sz w:val="10"/>
                <w:szCs w:val="10"/>
              </w:rPr>
            </w:pPr>
          </w:p>
        </w:tc>
        <w:tc>
          <w:tcPr>
            <w:tcW w:w="1368" w:type="dxa"/>
            <w:vAlign w:val="center"/>
          </w:tcPr>
          <w:p w:rsidR="00BF1A3B" w:rsidRPr="001D39EA" w:rsidRDefault="00BF1A3B" w:rsidP="00BF1A3B">
            <w:pPr>
              <w:tabs>
                <w:tab w:val="decimal" w:pos="432"/>
              </w:tabs>
              <w:rPr>
                <w:rFonts w:cs="Cambria"/>
                <w:color w:val="000000"/>
                <w:sz w:val="10"/>
                <w:szCs w:val="10"/>
              </w:rPr>
            </w:pPr>
          </w:p>
        </w:tc>
        <w:tc>
          <w:tcPr>
            <w:tcW w:w="1368" w:type="dxa"/>
            <w:vAlign w:val="center"/>
          </w:tcPr>
          <w:p w:rsidR="00BF1A3B" w:rsidRPr="001D39EA" w:rsidRDefault="00BF1A3B" w:rsidP="00BF1A3B">
            <w:pPr>
              <w:tabs>
                <w:tab w:val="decimal" w:pos="432"/>
              </w:tabs>
              <w:rPr>
                <w:rFonts w:cs="Cambria"/>
                <w:color w:val="000000"/>
                <w:sz w:val="10"/>
                <w:szCs w:val="10"/>
              </w:rPr>
            </w:pPr>
          </w:p>
        </w:tc>
        <w:tc>
          <w:tcPr>
            <w:tcW w:w="1368" w:type="dxa"/>
            <w:tcBorders>
              <w:right w:val="single" w:sz="6" w:space="0" w:color="BFBFBF"/>
            </w:tcBorders>
            <w:vAlign w:val="center"/>
          </w:tcPr>
          <w:p w:rsidR="00BF1A3B" w:rsidRPr="001D39EA" w:rsidRDefault="00BF1A3B" w:rsidP="00BF1A3B">
            <w:pPr>
              <w:tabs>
                <w:tab w:val="decimal" w:pos="432"/>
              </w:tabs>
              <w:rPr>
                <w:rFonts w:cs="Cambria"/>
                <w:color w:val="000000"/>
                <w:sz w:val="10"/>
                <w:szCs w:val="10"/>
              </w:rPr>
            </w:pPr>
          </w:p>
        </w:tc>
        <w:tc>
          <w:tcPr>
            <w:tcW w:w="1368" w:type="dxa"/>
            <w:tcBorders>
              <w:left w:val="single" w:sz="6" w:space="0" w:color="BFBFBF"/>
              <w:bottom w:val="nil"/>
            </w:tcBorders>
            <w:vAlign w:val="center"/>
          </w:tcPr>
          <w:p w:rsidR="00BF1A3B" w:rsidRPr="001D39EA" w:rsidRDefault="00BF1A3B" w:rsidP="00BF1A3B">
            <w:pPr>
              <w:tabs>
                <w:tab w:val="decimal" w:pos="432"/>
              </w:tabs>
              <w:rPr>
                <w:rFonts w:cs="Cambria"/>
                <w:color w:val="000000"/>
                <w:sz w:val="10"/>
                <w:szCs w:val="10"/>
              </w:rPr>
            </w:pPr>
          </w:p>
        </w:tc>
      </w:tr>
      <w:tr w:rsidR="00BF1A3B" w:rsidRPr="006E78E0" w:rsidTr="00BF1A3B">
        <w:trPr>
          <w:trHeight w:val="432"/>
          <w:jc w:val="center"/>
        </w:trPr>
        <w:tc>
          <w:tcPr>
            <w:tcW w:w="3240" w:type="dxa"/>
            <w:vAlign w:val="center"/>
          </w:tcPr>
          <w:p w:rsidR="00BF1A3B" w:rsidRPr="006E78E0" w:rsidRDefault="00BF1A3B" w:rsidP="00BF1A3B">
            <w:pPr>
              <w:rPr>
                <w:rFonts w:cs="Cambria"/>
                <w:color w:val="000000"/>
                <w:sz w:val="20"/>
                <w:szCs w:val="20"/>
              </w:rPr>
            </w:pPr>
            <w:r w:rsidRPr="006E78E0">
              <w:rPr>
                <w:rFonts w:cs="Cambria"/>
                <w:color w:val="000000"/>
                <w:sz w:val="20"/>
                <w:szCs w:val="20"/>
              </w:rPr>
              <w:t>ICC</w:t>
            </w:r>
          </w:p>
        </w:tc>
        <w:tc>
          <w:tcPr>
            <w:tcW w:w="1368" w:type="dxa"/>
            <w:vAlign w:val="center"/>
          </w:tcPr>
          <w:p w:rsidR="00BF1A3B" w:rsidRPr="006E78E0" w:rsidRDefault="00BF1A3B" w:rsidP="00BF1A3B">
            <w:pPr>
              <w:tabs>
                <w:tab w:val="decimal" w:pos="432"/>
              </w:tabs>
              <w:rPr>
                <w:rFonts w:cs="Cambria"/>
                <w:color w:val="000000"/>
                <w:sz w:val="20"/>
                <w:szCs w:val="20"/>
              </w:rPr>
            </w:pPr>
            <w:r w:rsidRPr="006E78E0">
              <w:rPr>
                <w:rFonts w:cs="Cambria"/>
                <w:color w:val="000000"/>
                <w:sz w:val="20"/>
                <w:szCs w:val="20"/>
              </w:rPr>
              <w:t>0.15</w:t>
            </w:r>
          </w:p>
        </w:tc>
        <w:tc>
          <w:tcPr>
            <w:tcW w:w="1368" w:type="dxa"/>
            <w:vAlign w:val="center"/>
          </w:tcPr>
          <w:p w:rsidR="00BF1A3B" w:rsidRPr="006E78E0" w:rsidRDefault="00BF1A3B" w:rsidP="00BF1A3B">
            <w:pPr>
              <w:tabs>
                <w:tab w:val="decimal" w:pos="432"/>
              </w:tabs>
              <w:rPr>
                <w:rFonts w:cs="Cambria"/>
                <w:color w:val="000000"/>
                <w:sz w:val="20"/>
                <w:szCs w:val="20"/>
              </w:rPr>
            </w:pPr>
            <w:r w:rsidRPr="006E78E0">
              <w:rPr>
                <w:rFonts w:cs="Cambria"/>
                <w:color w:val="000000"/>
                <w:sz w:val="20"/>
                <w:szCs w:val="20"/>
              </w:rPr>
              <w:t>0.12</w:t>
            </w:r>
          </w:p>
        </w:tc>
        <w:tc>
          <w:tcPr>
            <w:tcW w:w="1368" w:type="dxa"/>
            <w:vAlign w:val="center"/>
          </w:tcPr>
          <w:p w:rsidR="00BF1A3B" w:rsidRPr="006E78E0" w:rsidRDefault="00BF1A3B" w:rsidP="00BF1A3B">
            <w:pPr>
              <w:tabs>
                <w:tab w:val="decimal" w:pos="432"/>
              </w:tabs>
              <w:rPr>
                <w:rFonts w:cs="Cambria"/>
                <w:color w:val="000000"/>
                <w:sz w:val="20"/>
                <w:szCs w:val="20"/>
              </w:rPr>
            </w:pPr>
            <w:r w:rsidRPr="006E78E0">
              <w:rPr>
                <w:rFonts w:cs="Cambria"/>
                <w:color w:val="000000"/>
                <w:sz w:val="20"/>
                <w:szCs w:val="20"/>
              </w:rPr>
              <w:t>0.05</w:t>
            </w:r>
          </w:p>
        </w:tc>
        <w:tc>
          <w:tcPr>
            <w:tcW w:w="1368" w:type="dxa"/>
            <w:tcBorders>
              <w:right w:val="single" w:sz="6" w:space="0" w:color="BFBFBF"/>
            </w:tcBorders>
            <w:vAlign w:val="center"/>
          </w:tcPr>
          <w:p w:rsidR="00BF1A3B" w:rsidRPr="006E78E0" w:rsidRDefault="00BF1A3B" w:rsidP="00BF1A3B">
            <w:pPr>
              <w:tabs>
                <w:tab w:val="decimal" w:pos="432"/>
              </w:tabs>
              <w:rPr>
                <w:rFonts w:cs="Cambria"/>
                <w:color w:val="000000"/>
                <w:sz w:val="20"/>
                <w:szCs w:val="20"/>
              </w:rPr>
            </w:pPr>
            <w:r w:rsidRPr="006E78E0">
              <w:rPr>
                <w:rFonts w:cs="Cambria"/>
                <w:color w:val="000000"/>
                <w:sz w:val="20"/>
                <w:szCs w:val="20"/>
              </w:rPr>
              <w:t>0.05</w:t>
            </w:r>
          </w:p>
        </w:tc>
        <w:tc>
          <w:tcPr>
            <w:tcW w:w="1368" w:type="dxa"/>
            <w:tcBorders>
              <w:left w:val="single" w:sz="6" w:space="0" w:color="BFBFBF"/>
              <w:bottom w:val="nil"/>
            </w:tcBorders>
            <w:vAlign w:val="center"/>
          </w:tcPr>
          <w:p w:rsidR="00BF1A3B" w:rsidRPr="006E78E0" w:rsidRDefault="00BF1A3B" w:rsidP="00BF1A3B">
            <w:pPr>
              <w:tabs>
                <w:tab w:val="decimal" w:pos="432"/>
              </w:tabs>
              <w:rPr>
                <w:rFonts w:cs="Cambria"/>
                <w:color w:val="000000"/>
                <w:sz w:val="20"/>
                <w:szCs w:val="20"/>
              </w:rPr>
            </w:pPr>
            <w:r w:rsidRPr="006E78E0">
              <w:rPr>
                <w:rFonts w:cs="Cambria"/>
                <w:color w:val="000000"/>
                <w:sz w:val="20"/>
                <w:szCs w:val="20"/>
              </w:rPr>
              <w:t>0.05</w:t>
            </w:r>
          </w:p>
        </w:tc>
      </w:tr>
      <w:tr w:rsidR="00BF1A3B" w:rsidRPr="001D39EA" w:rsidTr="00BF1A3B">
        <w:trPr>
          <w:jc w:val="center"/>
        </w:trPr>
        <w:tc>
          <w:tcPr>
            <w:tcW w:w="3240" w:type="dxa"/>
            <w:vAlign w:val="center"/>
          </w:tcPr>
          <w:p w:rsidR="00BF1A3B" w:rsidRPr="001D39EA" w:rsidRDefault="00BF1A3B" w:rsidP="00BF1A3B">
            <w:pPr>
              <w:rPr>
                <w:rFonts w:cs="Cambria"/>
                <w:color w:val="000000"/>
                <w:sz w:val="10"/>
                <w:szCs w:val="10"/>
                <w:u w:val="single"/>
              </w:rPr>
            </w:pPr>
          </w:p>
        </w:tc>
        <w:tc>
          <w:tcPr>
            <w:tcW w:w="1368" w:type="dxa"/>
          </w:tcPr>
          <w:p w:rsidR="00BF1A3B" w:rsidRPr="001D39EA" w:rsidRDefault="00BF1A3B" w:rsidP="00BF1A3B">
            <w:pPr>
              <w:rPr>
                <w:rFonts w:cs="Cambria"/>
                <w:color w:val="000000"/>
                <w:sz w:val="10"/>
                <w:szCs w:val="10"/>
              </w:rPr>
            </w:pPr>
          </w:p>
        </w:tc>
        <w:tc>
          <w:tcPr>
            <w:tcW w:w="1368" w:type="dxa"/>
          </w:tcPr>
          <w:p w:rsidR="00BF1A3B" w:rsidRPr="001D39EA" w:rsidRDefault="00BF1A3B" w:rsidP="00BF1A3B">
            <w:pPr>
              <w:rPr>
                <w:rFonts w:cs="Cambria"/>
                <w:color w:val="000000"/>
                <w:sz w:val="10"/>
                <w:szCs w:val="10"/>
              </w:rPr>
            </w:pPr>
          </w:p>
        </w:tc>
        <w:tc>
          <w:tcPr>
            <w:tcW w:w="1368" w:type="dxa"/>
          </w:tcPr>
          <w:p w:rsidR="00BF1A3B" w:rsidRPr="001D39EA" w:rsidRDefault="00BF1A3B" w:rsidP="00BF1A3B">
            <w:pPr>
              <w:rPr>
                <w:rFonts w:cs="Cambria"/>
                <w:color w:val="000000"/>
                <w:sz w:val="10"/>
                <w:szCs w:val="10"/>
              </w:rPr>
            </w:pPr>
          </w:p>
        </w:tc>
        <w:tc>
          <w:tcPr>
            <w:tcW w:w="1368" w:type="dxa"/>
            <w:tcBorders>
              <w:right w:val="single" w:sz="6" w:space="0" w:color="BFBFBF"/>
            </w:tcBorders>
          </w:tcPr>
          <w:p w:rsidR="00BF1A3B" w:rsidRPr="001D39EA" w:rsidRDefault="00BF1A3B" w:rsidP="00BF1A3B">
            <w:pPr>
              <w:rPr>
                <w:rFonts w:cs="Cambria"/>
                <w:color w:val="000000"/>
                <w:sz w:val="10"/>
                <w:szCs w:val="10"/>
              </w:rPr>
            </w:pPr>
          </w:p>
        </w:tc>
        <w:tc>
          <w:tcPr>
            <w:tcW w:w="1368" w:type="dxa"/>
            <w:tcBorders>
              <w:left w:val="single" w:sz="6" w:space="0" w:color="BFBFBF"/>
              <w:bottom w:val="nil"/>
            </w:tcBorders>
          </w:tcPr>
          <w:p w:rsidR="00BF1A3B" w:rsidRPr="001D39EA" w:rsidRDefault="00BF1A3B" w:rsidP="00BF1A3B">
            <w:pPr>
              <w:rPr>
                <w:rFonts w:cs="Cambria"/>
                <w:color w:val="000000"/>
                <w:sz w:val="10"/>
                <w:szCs w:val="10"/>
              </w:rPr>
            </w:pPr>
          </w:p>
        </w:tc>
      </w:tr>
      <w:tr w:rsidR="00BF1A3B" w:rsidRPr="006E78E0" w:rsidTr="00BF1A3B">
        <w:trPr>
          <w:trHeight w:val="432"/>
          <w:jc w:val="center"/>
        </w:trPr>
        <w:tc>
          <w:tcPr>
            <w:tcW w:w="3240" w:type="dxa"/>
            <w:vAlign w:val="center"/>
          </w:tcPr>
          <w:p w:rsidR="00BF1A3B" w:rsidRPr="006E78E0" w:rsidRDefault="00BF1A3B" w:rsidP="00BF1A3B">
            <w:pPr>
              <w:rPr>
                <w:rFonts w:cs="Cambria"/>
                <w:color w:val="000000"/>
                <w:sz w:val="20"/>
                <w:szCs w:val="20"/>
              </w:rPr>
            </w:pPr>
            <w:r w:rsidRPr="006E78E0">
              <w:rPr>
                <w:rFonts w:cs="Cambria"/>
                <w:color w:val="000000"/>
                <w:sz w:val="20"/>
                <w:szCs w:val="20"/>
                <w:u w:val="single"/>
              </w:rPr>
              <w:t>Goodness of Fit:</w:t>
            </w:r>
          </w:p>
        </w:tc>
        <w:tc>
          <w:tcPr>
            <w:tcW w:w="1368" w:type="dxa"/>
          </w:tcPr>
          <w:p w:rsidR="00BF1A3B" w:rsidRPr="006E78E0" w:rsidRDefault="00BF1A3B" w:rsidP="00BF1A3B">
            <w:pPr>
              <w:rPr>
                <w:rFonts w:cs="Cambria"/>
                <w:color w:val="000000"/>
                <w:sz w:val="20"/>
                <w:szCs w:val="20"/>
              </w:rPr>
            </w:pPr>
          </w:p>
        </w:tc>
        <w:tc>
          <w:tcPr>
            <w:tcW w:w="1368" w:type="dxa"/>
          </w:tcPr>
          <w:p w:rsidR="00BF1A3B" w:rsidRPr="006E78E0" w:rsidRDefault="00BF1A3B" w:rsidP="00BF1A3B">
            <w:pPr>
              <w:rPr>
                <w:rFonts w:cs="Cambria"/>
                <w:color w:val="000000"/>
                <w:sz w:val="20"/>
                <w:szCs w:val="20"/>
              </w:rPr>
            </w:pPr>
          </w:p>
        </w:tc>
        <w:tc>
          <w:tcPr>
            <w:tcW w:w="1368" w:type="dxa"/>
          </w:tcPr>
          <w:p w:rsidR="00BF1A3B" w:rsidRPr="006E78E0" w:rsidRDefault="00BF1A3B" w:rsidP="00BF1A3B">
            <w:pPr>
              <w:rPr>
                <w:rFonts w:cs="Cambria"/>
                <w:color w:val="000000"/>
                <w:sz w:val="20"/>
                <w:szCs w:val="20"/>
              </w:rPr>
            </w:pPr>
          </w:p>
        </w:tc>
        <w:tc>
          <w:tcPr>
            <w:tcW w:w="1368" w:type="dxa"/>
            <w:tcBorders>
              <w:right w:val="single" w:sz="6" w:space="0" w:color="BFBFBF"/>
            </w:tcBorders>
          </w:tcPr>
          <w:p w:rsidR="00BF1A3B" w:rsidRPr="006E78E0" w:rsidRDefault="00BF1A3B" w:rsidP="00BF1A3B">
            <w:pPr>
              <w:rPr>
                <w:rFonts w:cs="Cambria"/>
                <w:color w:val="000000"/>
                <w:sz w:val="20"/>
                <w:szCs w:val="20"/>
              </w:rPr>
            </w:pPr>
          </w:p>
        </w:tc>
        <w:tc>
          <w:tcPr>
            <w:tcW w:w="1368" w:type="dxa"/>
            <w:tcBorders>
              <w:left w:val="single" w:sz="6" w:space="0" w:color="BFBFBF"/>
              <w:bottom w:val="nil"/>
            </w:tcBorders>
          </w:tcPr>
          <w:p w:rsidR="00BF1A3B" w:rsidRPr="006E78E0" w:rsidRDefault="00BF1A3B" w:rsidP="00BF1A3B">
            <w:pPr>
              <w:rPr>
                <w:rFonts w:cs="Cambria"/>
                <w:color w:val="000000"/>
                <w:sz w:val="20"/>
                <w:szCs w:val="20"/>
              </w:rPr>
            </w:pPr>
          </w:p>
        </w:tc>
      </w:tr>
      <w:tr w:rsidR="00BF1A3B" w:rsidRPr="006E78E0" w:rsidTr="00BF1A3B">
        <w:trPr>
          <w:trHeight w:val="432"/>
          <w:jc w:val="center"/>
        </w:trPr>
        <w:tc>
          <w:tcPr>
            <w:tcW w:w="3240" w:type="dxa"/>
            <w:vAlign w:val="center"/>
          </w:tcPr>
          <w:p w:rsidR="00BF1A3B" w:rsidRPr="006E78E0" w:rsidRDefault="00BF1A3B" w:rsidP="00BF1A3B">
            <w:pPr>
              <w:rPr>
                <w:rFonts w:cs="Cambria"/>
                <w:color w:val="000000"/>
                <w:sz w:val="20"/>
                <w:szCs w:val="20"/>
              </w:rPr>
            </w:pPr>
            <w:r w:rsidRPr="006E78E0">
              <w:rPr>
                <w:i/>
                <w:iCs/>
                <w:sz w:val="20"/>
                <w:szCs w:val="20"/>
              </w:rPr>
              <w:t>Pseudo R</w:t>
            </w:r>
            <w:r w:rsidRPr="006E78E0">
              <w:rPr>
                <w:i/>
                <w:iCs/>
                <w:sz w:val="20"/>
                <w:szCs w:val="20"/>
                <w:vertAlign w:val="superscript"/>
              </w:rPr>
              <w:t>2</w:t>
            </w:r>
            <w:r w:rsidRPr="006E78E0">
              <w:rPr>
                <w:i/>
                <w:iCs/>
                <w:sz w:val="20"/>
                <w:szCs w:val="20"/>
                <w:vertAlign w:val="subscript"/>
              </w:rPr>
              <w:t>μ</w:t>
            </w:r>
          </w:p>
        </w:tc>
        <w:tc>
          <w:tcPr>
            <w:tcW w:w="1368" w:type="dxa"/>
            <w:vAlign w:val="center"/>
          </w:tcPr>
          <w:p w:rsidR="00BF1A3B" w:rsidRPr="006E78E0" w:rsidRDefault="00BF1A3B" w:rsidP="00BF1A3B">
            <w:pPr>
              <w:jc w:val="center"/>
              <w:rPr>
                <w:rFonts w:cs="Cambria"/>
                <w:color w:val="000000"/>
                <w:sz w:val="20"/>
                <w:szCs w:val="20"/>
              </w:rPr>
            </w:pPr>
            <w:r w:rsidRPr="006E78E0">
              <w:rPr>
                <w:rFonts w:cs="Cambria"/>
                <w:color w:val="000000"/>
                <w:sz w:val="20"/>
                <w:szCs w:val="20"/>
              </w:rPr>
              <w:t>0.11</w:t>
            </w:r>
          </w:p>
        </w:tc>
        <w:tc>
          <w:tcPr>
            <w:tcW w:w="1368" w:type="dxa"/>
            <w:vAlign w:val="center"/>
          </w:tcPr>
          <w:p w:rsidR="00BF1A3B" w:rsidRPr="006E78E0" w:rsidRDefault="00BF1A3B" w:rsidP="00BF1A3B">
            <w:pPr>
              <w:jc w:val="center"/>
              <w:rPr>
                <w:rFonts w:cs="Cambria"/>
                <w:color w:val="000000"/>
                <w:sz w:val="20"/>
                <w:szCs w:val="20"/>
              </w:rPr>
            </w:pPr>
            <w:r w:rsidRPr="006E78E0">
              <w:rPr>
                <w:rFonts w:cs="Cambria"/>
                <w:color w:val="000000"/>
                <w:sz w:val="20"/>
                <w:szCs w:val="20"/>
              </w:rPr>
              <w:t>0.41</w:t>
            </w:r>
          </w:p>
        </w:tc>
        <w:tc>
          <w:tcPr>
            <w:tcW w:w="1368" w:type="dxa"/>
            <w:vAlign w:val="center"/>
          </w:tcPr>
          <w:p w:rsidR="00BF1A3B" w:rsidRPr="006E78E0" w:rsidRDefault="00BF1A3B" w:rsidP="00BF1A3B">
            <w:pPr>
              <w:jc w:val="center"/>
              <w:rPr>
                <w:rFonts w:cs="Cambria"/>
                <w:color w:val="000000"/>
                <w:sz w:val="20"/>
                <w:szCs w:val="20"/>
              </w:rPr>
            </w:pPr>
            <w:r w:rsidRPr="006E78E0">
              <w:rPr>
                <w:rFonts w:cs="Cambria"/>
                <w:color w:val="000000"/>
                <w:sz w:val="20"/>
                <w:szCs w:val="20"/>
              </w:rPr>
              <w:t>0.77</w:t>
            </w:r>
          </w:p>
        </w:tc>
        <w:tc>
          <w:tcPr>
            <w:tcW w:w="1368" w:type="dxa"/>
            <w:tcBorders>
              <w:right w:val="single" w:sz="6" w:space="0" w:color="BFBFBF"/>
            </w:tcBorders>
            <w:vAlign w:val="center"/>
          </w:tcPr>
          <w:p w:rsidR="00BF1A3B" w:rsidRPr="006E78E0" w:rsidRDefault="00BF1A3B" w:rsidP="00BF1A3B">
            <w:pPr>
              <w:jc w:val="center"/>
              <w:rPr>
                <w:rFonts w:cs="Cambria"/>
                <w:color w:val="000000"/>
                <w:sz w:val="20"/>
                <w:szCs w:val="20"/>
              </w:rPr>
            </w:pPr>
            <w:r w:rsidRPr="006E78E0">
              <w:rPr>
                <w:rFonts w:cs="Cambria"/>
                <w:color w:val="000000"/>
                <w:sz w:val="20"/>
                <w:szCs w:val="20"/>
              </w:rPr>
              <w:t>0.76</w:t>
            </w:r>
          </w:p>
        </w:tc>
        <w:tc>
          <w:tcPr>
            <w:tcW w:w="1368" w:type="dxa"/>
            <w:tcBorders>
              <w:left w:val="single" w:sz="6" w:space="0" w:color="BFBFBF"/>
              <w:bottom w:val="nil"/>
            </w:tcBorders>
            <w:vAlign w:val="center"/>
          </w:tcPr>
          <w:p w:rsidR="00BF1A3B" w:rsidRPr="006E78E0" w:rsidRDefault="00BF1A3B" w:rsidP="00BF1A3B">
            <w:pPr>
              <w:jc w:val="center"/>
              <w:rPr>
                <w:rFonts w:cs="Cambria"/>
                <w:color w:val="000000"/>
                <w:sz w:val="20"/>
                <w:szCs w:val="20"/>
              </w:rPr>
            </w:pPr>
            <w:r w:rsidRPr="006E78E0">
              <w:rPr>
                <w:rFonts w:cs="Cambria"/>
                <w:color w:val="000000"/>
                <w:sz w:val="20"/>
                <w:szCs w:val="20"/>
              </w:rPr>
              <w:t>0.78</w:t>
            </w:r>
          </w:p>
        </w:tc>
      </w:tr>
      <w:tr w:rsidR="00BF1A3B" w:rsidRPr="006E78E0" w:rsidTr="00BF1A3B">
        <w:trPr>
          <w:trHeight w:val="432"/>
          <w:jc w:val="center"/>
        </w:trPr>
        <w:tc>
          <w:tcPr>
            <w:tcW w:w="3240" w:type="dxa"/>
            <w:vAlign w:val="center"/>
          </w:tcPr>
          <w:p w:rsidR="00BF1A3B" w:rsidRPr="006E78E0" w:rsidRDefault="00BF1A3B" w:rsidP="00BF1A3B">
            <w:pPr>
              <w:rPr>
                <w:rFonts w:cs="Cambria"/>
                <w:color w:val="000000"/>
                <w:sz w:val="20"/>
                <w:szCs w:val="20"/>
              </w:rPr>
            </w:pPr>
            <w:r w:rsidRPr="006E78E0">
              <w:rPr>
                <w:i/>
                <w:iCs/>
                <w:sz w:val="20"/>
                <w:szCs w:val="20"/>
              </w:rPr>
              <w:t>Pseudo R</w:t>
            </w:r>
            <w:r w:rsidRPr="006E78E0">
              <w:rPr>
                <w:i/>
                <w:iCs/>
                <w:sz w:val="20"/>
                <w:szCs w:val="20"/>
                <w:vertAlign w:val="superscript"/>
              </w:rPr>
              <w:t>2</w:t>
            </w:r>
            <w:r w:rsidRPr="006E78E0">
              <w:rPr>
                <w:i/>
                <w:iCs/>
                <w:sz w:val="20"/>
                <w:szCs w:val="20"/>
                <w:vertAlign w:val="subscript"/>
              </w:rPr>
              <w:t>ε</w:t>
            </w:r>
          </w:p>
        </w:tc>
        <w:tc>
          <w:tcPr>
            <w:tcW w:w="1368" w:type="dxa"/>
            <w:vAlign w:val="center"/>
          </w:tcPr>
          <w:p w:rsidR="00BF1A3B" w:rsidRPr="006E78E0" w:rsidRDefault="00BF1A3B" w:rsidP="00BF1A3B">
            <w:pPr>
              <w:jc w:val="center"/>
              <w:rPr>
                <w:rFonts w:cs="Cambria"/>
                <w:color w:val="000000"/>
                <w:sz w:val="20"/>
                <w:szCs w:val="20"/>
              </w:rPr>
            </w:pPr>
            <w:r w:rsidRPr="006E78E0">
              <w:rPr>
                <w:rFonts w:cs="Cambria"/>
                <w:color w:val="000000"/>
                <w:sz w:val="20"/>
                <w:szCs w:val="20"/>
              </w:rPr>
              <w:t>0.22</w:t>
            </w:r>
          </w:p>
        </w:tc>
        <w:tc>
          <w:tcPr>
            <w:tcW w:w="1368" w:type="dxa"/>
            <w:vAlign w:val="center"/>
          </w:tcPr>
          <w:p w:rsidR="00BF1A3B" w:rsidRPr="006E78E0" w:rsidRDefault="00BF1A3B" w:rsidP="00BF1A3B">
            <w:pPr>
              <w:jc w:val="center"/>
              <w:rPr>
                <w:rFonts w:cs="Cambria"/>
                <w:color w:val="000000"/>
                <w:sz w:val="20"/>
                <w:szCs w:val="20"/>
              </w:rPr>
            </w:pPr>
            <w:r w:rsidRPr="006E78E0">
              <w:rPr>
                <w:rFonts w:cs="Cambria"/>
                <w:color w:val="000000"/>
                <w:sz w:val="20"/>
                <w:szCs w:val="20"/>
              </w:rPr>
              <w:t>0.34</w:t>
            </w:r>
          </w:p>
        </w:tc>
        <w:tc>
          <w:tcPr>
            <w:tcW w:w="1368" w:type="dxa"/>
            <w:vAlign w:val="center"/>
          </w:tcPr>
          <w:p w:rsidR="00BF1A3B" w:rsidRPr="006E78E0" w:rsidRDefault="00BF1A3B" w:rsidP="00BF1A3B">
            <w:pPr>
              <w:jc w:val="center"/>
              <w:rPr>
                <w:rFonts w:cs="Cambria"/>
                <w:color w:val="000000"/>
                <w:sz w:val="20"/>
                <w:szCs w:val="20"/>
              </w:rPr>
            </w:pPr>
            <w:r w:rsidRPr="006E78E0">
              <w:rPr>
                <w:rFonts w:cs="Cambria"/>
                <w:color w:val="000000"/>
                <w:sz w:val="20"/>
                <w:szCs w:val="20"/>
              </w:rPr>
              <w:t>0.33</w:t>
            </w:r>
          </w:p>
        </w:tc>
        <w:tc>
          <w:tcPr>
            <w:tcW w:w="1368" w:type="dxa"/>
            <w:tcBorders>
              <w:right w:val="single" w:sz="6" w:space="0" w:color="BFBFBF"/>
            </w:tcBorders>
            <w:vAlign w:val="center"/>
          </w:tcPr>
          <w:p w:rsidR="00BF1A3B" w:rsidRPr="006E78E0" w:rsidRDefault="00BF1A3B" w:rsidP="00BF1A3B">
            <w:pPr>
              <w:jc w:val="center"/>
              <w:rPr>
                <w:rFonts w:cs="Cambria"/>
                <w:color w:val="000000"/>
                <w:sz w:val="20"/>
                <w:szCs w:val="20"/>
              </w:rPr>
            </w:pPr>
            <w:r w:rsidRPr="006E78E0">
              <w:rPr>
                <w:rFonts w:cs="Cambria"/>
                <w:color w:val="000000"/>
                <w:sz w:val="20"/>
                <w:szCs w:val="20"/>
              </w:rPr>
              <w:t>0.35</w:t>
            </w:r>
          </w:p>
        </w:tc>
        <w:tc>
          <w:tcPr>
            <w:tcW w:w="1368" w:type="dxa"/>
            <w:tcBorders>
              <w:left w:val="single" w:sz="6" w:space="0" w:color="BFBFBF"/>
              <w:bottom w:val="nil"/>
            </w:tcBorders>
            <w:vAlign w:val="center"/>
          </w:tcPr>
          <w:p w:rsidR="00BF1A3B" w:rsidRPr="006E78E0" w:rsidRDefault="00BF1A3B" w:rsidP="00BF1A3B">
            <w:pPr>
              <w:jc w:val="center"/>
              <w:rPr>
                <w:rFonts w:cs="Cambria"/>
                <w:color w:val="000000"/>
                <w:sz w:val="20"/>
                <w:szCs w:val="20"/>
              </w:rPr>
            </w:pPr>
            <w:r w:rsidRPr="006E78E0">
              <w:rPr>
                <w:rFonts w:cs="Cambria"/>
                <w:color w:val="000000"/>
                <w:sz w:val="20"/>
                <w:szCs w:val="20"/>
              </w:rPr>
              <w:t>0.35</w:t>
            </w:r>
          </w:p>
        </w:tc>
      </w:tr>
      <w:tr w:rsidR="00BF1A3B" w:rsidRPr="006E78E0" w:rsidTr="00BF1A3B">
        <w:trPr>
          <w:trHeight w:val="432"/>
          <w:jc w:val="center"/>
        </w:trPr>
        <w:tc>
          <w:tcPr>
            <w:tcW w:w="3240" w:type="dxa"/>
            <w:tcBorders>
              <w:bottom w:val="single" w:sz="6" w:space="0" w:color="auto"/>
            </w:tcBorders>
            <w:vAlign w:val="center"/>
          </w:tcPr>
          <w:p w:rsidR="00BF1A3B" w:rsidRPr="006E78E0" w:rsidRDefault="00BF1A3B" w:rsidP="00BF1A3B">
            <w:pPr>
              <w:rPr>
                <w:rFonts w:cs="Cambria"/>
                <w:color w:val="000000"/>
                <w:sz w:val="20"/>
                <w:szCs w:val="20"/>
              </w:rPr>
            </w:pPr>
            <w:r w:rsidRPr="00D54D38">
              <w:rPr>
                <w:rFonts w:cs="Cambria"/>
                <w:i/>
                <w:color w:val="000000"/>
                <w:sz w:val="20"/>
                <w:szCs w:val="20"/>
              </w:rPr>
              <w:t>n</w:t>
            </w:r>
            <w:r w:rsidRPr="006E78E0">
              <w:rPr>
                <w:rFonts w:cs="Cambria"/>
                <w:color w:val="000000"/>
                <w:sz w:val="20"/>
                <w:szCs w:val="20"/>
              </w:rPr>
              <w:t xml:space="preserve"> (students)</w:t>
            </w:r>
          </w:p>
        </w:tc>
        <w:tc>
          <w:tcPr>
            <w:tcW w:w="1368" w:type="dxa"/>
            <w:tcBorders>
              <w:bottom w:val="single" w:sz="6" w:space="0" w:color="auto"/>
            </w:tcBorders>
            <w:vAlign w:val="center"/>
          </w:tcPr>
          <w:p w:rsidR="00BF1A3B" w:rsidRPr="006E78E0" w:rsidRDefault="00BF1A3B" w:rsidP="00BF1A3B">
            <w:pPr>
              <w:jc w:val="center"/>
              <w:rPr>
                <w:rFonts w:cs="Cambria"/>
                <w:color w:val="000000"/>
                <w:sz w:val="20"/>
                <w:szCs w:val="20"/>
              </w:rPr>
            </w:pPr>
            <w:r w:rsidRPr="006E78E0">
              <w:rPr>
                <w:rFonts w:cs="Cambria"/>
                <w:color w:val="000000"/>
                <w:sz w:val="20"/>
                <w:szCs w:val="20"/>
              </w:rPr>
              <w:t>71,176</w:t>
            </w:r>
          </w:p>
        </w:tc>
        <w:tc>
          <w:tcPr>
            <w:tcW w:w="1368" w:type="dxa"/>
            <w:tcBorders>
              <w:bottom w:val="single" w:sz="6" w:space="0" w:color="auto"/>
            </w:tcBorders>
            <w:vAlign w:val="center"/>
          </w:tcPr>
          <w:p w:rsidR="00BF1A3B" w:rsidRPr="006E78E0" w:rsidRDefault="00BF1A3B" w:rsidP="00BF1A3B">
            <w:pPr>
              <w:jc w:val="center"/>
              <w:rPr>
                <w:rFonts w:cs="Cambria"/>
                <w:color w:val="000000"/>
                <w:sz w:val="20"/>
                <w:szCs w:val="20"/>
              </w:rPr>
            </w:pPr>
            <w:r w:rsidRPr="006E78E0">
              <w:rPr>
                <w:rFonts w:cs="Cambria"/>
                <w:color w:val="000000"/>
                <w:sz w:val="20"/>
                <w:szCs w:val="20"/>
              </w:rPr>
              <w:t>71,166</w:t>
            </w:r>
          </w:p>
        </w:tc>
        <w:tc>
          <w:tcPr>
            <w:tcW w:w="1368" w:type="dxa"/>
            <w:tcBorders>
              <w:bottom w:val="single" w:sz="6" w:space="0" w:color="auto"/>
            </w:tcBorders>
            <w:vAlign w:val="center"/>
          </w:tcPr>
          <w:p w:rsidR="00BF1A3B" w:rsidRPr="006E78E0" w:rsidRDefault="00BF1A3B" w:rsidP="00BF1A3B">
            <w:pPr>
              <w:jc w:val="center"/>
              <w:rPr>
                <w:rFonts w:cs="Cambria"/>
                <w:color w:val="000000"/>
                <w:sz w:val="20"/>
                <w:szCs w:val="20"/>
              </w:rPr>
            </w:pPr>
            <w:r w:rsidRPr="006E78E0">
              <w:rPr>
                <w:rFonts w:cs="Cambria"/>
                <w:color w:val="000000"/>
                <w:sz w:val="20"/>
                <w:szCs w:val="20"/>
              </w:rPr>
              <w:t>68,622</w:t>
            </w:r>
          </w:p>
        </w:tc>
        <w:tc>
          <w:tcPr>
            <w:tcW w:w="1368" w:type="dxa"/>
            <w:tcBorders>
              <w:bottom w:val="single" w:sz="6" w:space="0" w:color="auto"/>
              <w:right w:val="single" w:sz="6" w:space="0" w:color="BFBFBF"/>
            </w:tcBorders>
            <w:vAlign w:val="center"/>
          </w:tcPr>
          <w:p w:rsidR="00BF1A3B" w:rsidRPr="006E78E0" w:rsidRDefault="00BF1A3B" w:rsidP="00BF1A3B">
            <w:pPr>
              <w:jc w:val="center"/>
              <w:rPr>
                <w:rFonts w:cs="Cambria"/>
                <w:color w:val="000000"/>
                <w:sz w:val="20"/>
                <w:szCs w:val="20"/>
              </w:rPr>
            </w:pPr>
            <w:r w:rsidRPr="006E78E0">
              <w:rPr>
                <w:rFonts w:cs="Cambria"/>
                <w:color w:val="000000"/>
                <w:sz w:val="20"/>
                <w:szCs w:val="20"/>
              </w:rPr>
              <w:t>68,622</w:t>
            </w:r>
          </w:p>
        </w:tc>
        <w:tc>
          <w:tcPr>
            <w:tcW w:w="1368" w:type="dxa"/>
            <w:tcBorders>
              <w:left w:val="single" w:sz="6" w:space="0" w:color="BFBFBF"/>
              <w:bottom w:val="single" w:sz="6" w:space="0" w:color="auto"/>
            </w:tcBorders>
            <w:vAlign w:val="center"/>
          </w:tcPr>
          <w:p w:rsidR="00BF1A3B" w:rsidRPr="006E78E0" w:rsidRDefault="00BF1A3B" w:rsidP="00BF1A3B">
            <w:pPr>
              <w:jc w:val="center"/>
              <w:rPr>
                <w:rFonts w:cs="Cambria"/>
                <w:color w:val="000000"/>
                <w:sz w:val="20"/>
                <w:szCs w:val="20"/>
              </w:rPr>
            </w:pPr>
            <w:r w:rsidRPr="006E78E0">
              <w:rPr>
                <w:rFonts w:cs="Cambria"/>
                <w:color w:val="000000"/>
                <w:sz w:val="20"/>
                <w:szCs w:val="20"/>
              </w:rPr>
              <w:t>68,622</w:t>
            </w:r>
          </w:p>
        </w:tc>
      </w:tr>
      <w:tr w:rsidR="00BF1A3B" w:rsidRPr="006E78E0" w:rsidTr="00BF1A3B">
        <w:trPr>
          <w:jc w:val="center"/>
        </w:trPr>
        <w:tc>
          <w:tcPr>
            <w:tcW w:w="10080" w:type="dxa"/>
            <w:gridSpan w:val="6"/>
            <w:tcBorders>
              <w:top w:val="single" w:sz="6" w:space="0" w:color="auto"/>
              <w:bottom w:val="nil"/>
            </w:tcBorders>
            <w:vAlign w:val="center"/>
          </w:tcPr>
          <w:p w:rsidR="00BF1A3B" w:rsidRPr="006E78E0" w:rsidRDefault="00BF1A3B" w:rsidP="00BF1A3B">
            <w:pPr>
              <w:rPr>
                <w:rFonts w:cs="Cambria"/>
                <w:color w:val="000000"/>
                <w:sz w:val="20"/>
                <w:szCs w:val="20"/>
              </w:rPr>
            </w:pPr>
            <w:r w:rsidRPr="002B0B42">
              <w:rPr>
                <w:sz w:val="16"/>
                <w:szCs w:val="16"/>
              </w:rPr>
              <w:t xml:space="preserve">* </w:t>
            </w:r>
            <w:r w:rsidRPr="002B0B42">
              <w:rPr>
                <w:i/>
                <w:iCs/>
                <w:sz w:val="16"/>
                <w:szCs w:val="16"/>
              </w:rPr>
              <w:t>p</w:t>
            </w:r>
            <w:r w:rsidRPr="002B0B42">
              <w:rPr>
                <w:sz w:val="16"/>
                <w:szCs w:val="16"/>
              </w:rPr>
              <w:t xml:space="preserve">&lt;0.05; ** </w:t>
            </w:r>
            <w:r w:rsidRPr="002B0B42">
              <w:rPr>
                <w:i/>
                <w:iCs/>
                <w:sz w:val="16"/>
                <w:szCs w:val="16"/>
              </w:rPr>
              <w:t>p</w:t>
            </w:r>
            <w:r w:rsidRPr="002B0B42">
              <w:rPr>
                <w:sz w:val="16"/>
                <w:szCs w:val="16"/>
              </w:rPr>
              <w:t>&lt;0.01</w:t>
            </w:r>
            <w:r>
              <w:rPr>
                <w:sz w:val="16"/>
                <w:szCs w:val="16"/>
              </w:rPr>
              <w:t xml:space="preserve">; *** </w:t>
            </w:r>
            <w:r>
              <w:rPr>
                <w:i/>
                <w:sz w:val="16"/>
                <w:szCs w:val="16"/>
              </w:rPr>
              <w:t>p</w:t>
            </w:r>
            <w:r>
              <w:rPr>
                <w:sz w:val="16"/>
                <w:szCs w:val="16"/>
              </w:rPr>
              <w:t>&lt;0.001</w:t>
            </w:r>
          </w:p>
        </w:tc>
      </w:tr>
    </w:tbl>
    <w:p w:rsidR="00BF1A3B" w:rsidRDefault="00BF1A3B" w:rsidP="00BF1A3B"/>
    <w:p w:rsidR="00BF1A3B" w:rsidRDefault="00BF1A3B" w:rsidP="00BF1A3B">
      <w:r>
        <w:rPr>
          <w:rFonts w:cs="Cambria"/>
          <w:b/>
          <w:color w:val="000000"/>
        </w:rPr>
        <w:br w:type="page"/>
      </w:r>
    </w:p>
    <w:tbl>
      <w:tblPr>
        <w:tblW w:w="10080" w:type="dxa"/>
        <w:jc w:val="center"/>
        <w:tblBorders>
          <w:top w:val="single" w:sz="6" w:space="0" w:color="BFBFBF"/>
          <w:left w:val="single" w:sz="6" w:space="0" w:color="BFBFBF"/>
          <w:right w:val="single" w:sz="6" w:space="0" w:color="BFBFBF"/>
        </w:tblBorders>
        <w:tblLayout w:type="fixed"/>
        <w:tblLook w:val="0000"/>
      </w:tblPr>
      <w:tblGrid>
        <w:gridCol w:w="3330"/>
        <w:gridCol w:w="1350"/>
        <w:gridCol w:w="1350"/>
        <w:gridCol w:w="1350"/>
        <w:gridCol w:w="1350"/>
        <w:gridCol w:w="1350"/>
      </w:tblGrid>
      <w:tr w:rsidR="00BF1A3B" w:rsidRPr="006E78E0" w:rsidTr="00BF1A3B">
        <w:trPr>
          <w:jc w:val="center"/>
        </w:trPr>
        <w:tc>
          <w:tcPr>
            <w:tcW w:w="10080" w:type="dxa"/>
            <w:gridSpan w:val="6"/>
            <w:tcBorders>
              <w:top w:val="nil"/>
              <w:left w:val="nil"/>
              <w:bottom w:val="single" w:sz="6" w:space="0" w:color="auto"/>
              <w:right w:val="nil"/>
            </w:tcBorders>
            <w:vAlign w:val="center"/>
          </w:tcPr>
          <w:p w:rsidR="00BF1A3B" w:rsidRPr="0037107B" w:rsidRDefault="00BF1A3B" w:rsidP="00BF1A3B">
            <w:pPr>
              <w:rPr>
                <w:rFonts w:cs="Cambria"/>
                <w:b/>
                <w:color w:val="000000"/>
                <w:sz w:val="18"/>
                <w:szCs w:val="18"/>
              </w:rPr>
            </w:pPr>
            <w:r w:rsidRPr="00A77C7B">
              <w:rPr>
                <w:rFonts w:cs="Cambria"/>
                <w:i/>
                <w:iCs/>
                <w:color w:val="000000"/>
                <w:sz w:val="20"/>
                <w:szCs w:val="20"/>
              </w:rPr>
              <w:lastRenderedPageBreak/>
              <w:t>Table 5</w:t>
            </w:r>
            <w:r>
              <w:rPr>
                <w:rFonts w:cs="Cambria"/>
                <w:i/>
                <w:iCs/>
                <w:color w:val="000000"/>
                <w:sz w:val="20"/>
                <w:szCs w:val="20"/>
              </w:rPr>
              <w:t>a</w:t>
            </w:r>
            <w:r w:rsidRPr="00A77C7B">
              <w:rPr>
                <w:rFonts w:cs="Cambria"/>
                <w:i/>
                <w:iCs/>
                <w:color w:val="000000"/>
                <w:sz w:val="20"/>
                <w:szCs w:val="20"/>
              </w:rPr>
              <w:t>.</w:t>
            </w:r>
            <w:r w:rsidRPr="00F5063E">
              <w:rPr>
                <w:rFonts w:cs="Cambria"/>
                <w:color w:val="000000"/>
                <w:sz w:val="20"/>
                <w:szCs w:val="20"/>
              </w:rPr>
              <w:t xml:space="preserve">  </w:t>
            </w:r>
            <w:r w:rsidRPr="005469AF">
              <w:rPr>
                <w:rFonts w:cs="Cambria"/>
                <w:b/>
                <w:color w:val="000000"/>
                <w:sz w:val="20"/>
                <w:szCs w:val="20"/>
              </w:rPr>
              <w:t>Child-level</w:t>
            </w:r>
            <w:r>
              <w:rPr>
                <w:rFonts w:cs="Cambria"/>
                <w:color w:val="000000"/>
                <w:sz w:val="20"/>
                <w:szCs w:val="20"/>
              </w:rPr>
              <w:t xml:space="preserve"> coefficients and level of statistical significance in a</w:t>
            </w:r>
            <w:r w:rsidRPr="006E78E0">
              <w:rPr>
                <w:rFonts w:cs="Cambria"/>
                <w:color w:val="000000"/>
                <w:sz w:val="20"/>
                <w:szCs w:val="20"/>
              </w:rPr>
              <w:t xml:space="preserve"> taxonomy of </w:t>
            </w:r>
            <w:r w:rsidRPr="00324B69">
              <w:rPr>
                <w:sz w:val="20"/>
                <w:szCs w:val="20"/>
              </w:rPr>
              <w:t>select</w:t>
            </w:r>
            <w:r>
              <w:rPr>
                <w:sz w:val="20"/>
                <w:szCs w:val="20"/>
              </w:rPr>
              <w:t>ed</w:t>
            </w:r>
            <w:r w:rsidRPr="00324B69">
              <w:rPr>
                <w:sz w:val="20"/>
                <w:szCs w:val="20"/>
              </w:rPr>
              <w:t xml:space="preserve"> fitted multilevel</w:t>
            </w:r>
            <w:r w:rsidRPr="006E78E0">
              <w:rPr>
                <w:rFonts w:cs="Cambria"/>
                <w:color w:val="000000"/>
                <w:sz w:val="20"/>
                <w:szCs w:val="20"/>
              </w:rPr>
              <w:t xml:space="preserve"> </w:t>
            </w:r>
            <w:r>
              <w:rPr>
                <w:rFonts w:cs="Cambria"/>
                <w:color w:val="000000"/>
                <w:sz w:val="20"/>
                <w:szCs w:val="20"/>
              </w:rPr>
              <w:t xml:space="preserve">regression </w:t>
            </w:r>
            <w:r w:rsidRPr="006E78E0">
              <w:rPr>
                <w:rFonts w:cs="Cambria"/>
                <w:color w:val="000000"/>
                <w:sz w:val="20"/>
                <w:szCs w:val="20"/>
              </w:rPr>
              <w:t xml:space="preserve">models predicting performance on the MCAS </w:t>
            </w:r>
            <w:r>
              <w:rPr>
                <w:rFonts w:cs="Cambria"/>
                <w:color w:val="000000"/>
                <w:sz w:val="20"/>
                <w:szCs w:val="20"/>
              </w:rPr>
              <w:t>mathematics</w:t>
            </w:r>
            <w:r w:rsidRPr="006E78E0">
              <w:rPr>
                <w:rFonts w:cs="Cambria"/>
                <w:color w:val="000000"/>
                <w:sz w:val="20"/>
                <w:szCs w:val="20"/>
              </w:rPr>
              <w:t xml:space="preserve"> </w:t>
            </w:r>
            <w:r>
              <w:rPr>
                <w:rFonts w:cs="Cambria"/>
                <w:color w:val="000000"/>
                <w:sz w:val="20"/>
                <w:szCs w:val="20"/>
              </w:rPr>
              <w:t>assessment for 8</w:t>
            </w:r>
            <w:r w:rsidRPr="004310DA">
              <w:rPr>
                <w:rFonts w:cs="Cambria"/>
                <w:color w:val="000000"/>
                <w:sz w:val="20"/>
                <w:szCs w:val="20"/>
                <w:vertAlign w:val="superscript"/>
              </w:rPr>
              <w:t>th</w:t>
            </w:r>
            <w:r>
              <w:rPr>
                <w:rFonts w:cs="Cambria"/>
                <w:color w:val="000000"/>
                <w:sz w:val="20"/>
                <w:szCs w:val="20"/>
              </w:rPr>
              <w:t xml:space="preserve"> grade students, nested in traditional school districts</w:t>
            </w:r>
            <w:r>
              <w:rPr>
                <w:rStyle w:val="FootnoteReference"/>
                <w:color w:val="000000"/>
                <w:sz w:val="20"/>
                <w:szCs w:val="20"/>
              </w:rPr>
              <w:footnoteReference w:id="34"/>
            </w:r>
            <w:r>
              <w:rPr>
                <w:rFonts w:cs="Cambria"/>
                <w:color w:val="000000"/>
                <w:sz w:val="20"/>
                <w:szCs w:val="20"/>
              </w:rPr>
              <w:t xml:space="preserve">, </w:t>
            </w:r>
            <w:r w:rsidRPr="00324B69">
              <w:rPr>
                <w:i/>
                <w:sz w:val="20"/>
                <w:szCs w:val="20"/>
              </w:rPr>
              <w:t>n</w:t>
            </w:r>
            <w:r w:rsidRPr="00324B69">
              <w:rPr>
                <w:sz w:val="20"/>
                <w:szCs w:val="20"/>
              </w:rPr>
              <w:t>=</w:t>
            </w:r>
            <w:r>
              <w:rPr>
                <w:sz w:val="20"/>
                <w:szCs w:val="20"/>
              </w:rPr>
              <w:t>68,775</w:t>
            </w:r>
            <w:r w:rsidRPr="00324B69">
              <w:rPr>
                <w:sz w:val="20"/>
                <w:szCs w:val="20"/>
              </w:rPr>
              <w:t xml:space="preserve"> </w:t>
            </w:r>
            <w:r>
              <w:rPr>
                <w:sz w:val="20"/>
                <w:szCs w:val="20"/>
              </w:rPr>
              <w:t>8</w:t>
            </w:r>
            <w:r w:rsidRPr="004310DA">
              <w:rPr>
                <w:sz w:val="20"/>
                <w:szCs w:val="20"/>
                <w:vertAlign w:val="superscript"/>
              </w:rPr>
              <w:t>th</w:t>
            </w:r>
            <w:r>
              <w:rPr>
                <w:sz w:val="20"/>
                <w:szCs w:val="20"/>
              </w:rPr>
              <w:t xml:space="preserve"> grade students </w:t>
            </w:r>
            <w:r w:rsidRPr="00324B69">
              <w:rPr>
                <w:sz w:val="20"/>
                <w:szCs w:val="20"/>
              </w:rPr>
              <w:t xml:space="preserve">nested in </w:t>
            </w:r>
            <w:r>
              <w:rPr>
                <w:sz w:val="20"/>
                <w:szCs w:val="20"/>
              </w:rPr>
              <w:t>239</w:t>
            </w:r>
            <w:r w:rsidRPr="00324B69">
              <w:rPr>
                <w:sz w:val="20"/>
                <w:szCs w:val="20"/>
              </w:rPr>
              <w:t xml:space="preserve"> school districts</w:t>
            </w:r>
            <w:r>
              <w:rPr>
                <w:sz w:val="20"/>
                <w:szCs w:val="20"/>
              </w:rPr>
              <w:t xml:space="preserve"> (random effects at the district level)</w:t>
            </w:r>
            <w:r>
              <w:rPr>
                <w:rStyle w:val="FootnoteReference"/>
                <w:sz w:val="20"/>
                <w:szCs w:val="20"/>
              </w:rPr>
              <w:t xml:space="preserve"> </w:t>
            </w:r>
            <w:r>
              <w:rPr>
                <w:rStyle w:val="FootnoteReference"/>
                <w:sz w:val="20"/>
                <w:szCs w:val="20"/>
              </w:rPr>
              <w:footnoteReference w:id="35"/>
            </w:r>
            <w:r w:rsidRPr="006E78E0">
              <w:rPr>
                <w:rFonts w:cs="Cambria"/>
                <w:color w:val="000000"/>
                <w:sz w:val="20"/>
                <w:szCs w:val="20"/>
              </w:rPr>
              <w:t>.</w:t>
            </w:r>
          </w:p>
        </w:tc>
      </w:tr>
      <w:tr w:rsidR="00BF1A3B" w:rsidRPr="006E78E0" w:rsidTr="00BF1A3B">
        <w:trPr>
          <w:jc w:val="center"/>
        </w:trPr>
        <w:tc>
          <w:tcPr>
            <w:tcW w:w="3330" w:type="dxa"/>
            <w:tcBorders>
              <w:top w:val="single" w:sz="6" w:space="0" w:color="auto"/>
              <w:left w:val="nil"/>
              <w:bottom w:val="nil"/>
              <w:right w:val="nil"/>
            </w:tcBorders>
            <w:vAlign w:val="center"/>
          </w:tcPr>
          <w:p w:rsidR="00BF1A3B" w:rsidRPr="006E78E0" w:rsidRDefault="00BF1A3B" w:rsidP="00BF1A3B">
            <w:pPr>
              <w:rPr>
                <w:sz w:val="20"/>
                <w:szCs w:val="20"/>
              </w:rPr>
            </w:pPr>
          </w:p>
        </w:tc>
        <w:tc>
          <w:tcPr>
            <w:tcW w:w="1350" w:type="dxa"/>
            <w:tcBorders>
              <w:top w:val="single" w:sz="6" w:space="0" w:color="auto"/>
              <w:left w:val="nil"/>
              <w:bottom w:val="nil"/>
              <w:right w:val="nil"/>
            </w:tcBorders>
            <w:vAlign w:val="center"/>
          </w:tcPr>
          <w:p w:rsidR="00BF1A3B" w:rsidRPr="0037107B" w:rsidRDefault="00BF1A3B" w:rsidP="00BF1A3B">
            <w:pPr>
              <w:jc w:val="center"/>
              <w:rPr>
                <w:b/>
                <w:sz w:val="18"/>
                <w:szCs w:val="18"/>
              </w:rPr>
            </w:pPr>
            <w:r w:rsidRPr="0037107B">
              <w:rPr>
                <w:rFonts w:cs="Cambria"/>
                <w:b/>
                <w:color w:val="000000"/>
                <w:sz w:val="18"/>
                <w:szCs w:val="18"/>
              </w:rPr>
              <w:t>M</w:t>
            </w:r>
            <w:r>
              <w:rPr>
                <w:rFonts w:cs="Cambria"/>
                <w:b/>
                <w:color w:val="000000"/>
                <w:sz w:val="18"/>
                <w:szCs w:val="18"/>
              </w:rPr>
              <w:t>odel 5.</w:t>
            </w:r>
            <w:r w:rsidRPr="0037107B">
              <w:rPr>
                <w:rFonts w:cs="Cambria"/>
                <w:b/>
                <w:color w:val="000000"/>
                <w:sz w:val="18"/>
                <w:szCs w:val="18"/>
              </w:rPr>
              <w:t>1</w:t>
            </w:r>
          </w:p>
        </w:tc>
        <w:tc>
          <w:tcPr>
            <w:tcW w:w="1350" w:type="dxa"/>
            <w:tcBorders>
              <w:top w:val="single" w:sz="6" w:space="0" w:color="auto"/>
              <w:left w:val="nil"/>
              <w:bottom w:val="nil"/>
              <w:right w:val="nil"/>
            </w:tcBorders>
            <w:vAlign w:val="center"/>
          </w:tcPr>
          <w:p w:rsidR="00BF1A3B" w:rsidRPr="0037107B" w:rsidRDefault="00BF1A3B" w:rsidP="00BF1A3B">
            <w:pPr>
              <w:jc w:val="center"/>
              <w:rPr>
                <w:b/>
                <w:sz w:val="18"/>
                <w:szCs w:val="18"/>
              </w:rPr>
            </w:pPr>
            <w:r w:rsidRPr="0037107B">
              <w:rPr>
                <w:rFonts w:cs="Cambria"/>
                <w:b/>
                <w:color w:val="000000"/>
                <w:sz w:val="18"/>
                <w:szCs w:val="18"/>
              </w:rPr>
              <w:t>M</w:t>
            </w:r>
            <w:r>
              <w:rPr>
                <w:rFonts w:cs="Cambria"/>
                <w:b/>
                <w:color w:val="000000"/>
                <w:sz w:val="18"/>
                <w:szCs w:val="18"/>
              </w:rPr>
              <w:t>odel 5.</w:t>
            </w:r>
            <w:r w:rsidRPr="0037107B">
              <w:rPr>
                <w:rFonts w:cs="Cambria"/>
                <w:b/>
                <w:color w:val="000000"/>
                <w:sz w:val="18"/>
                <w:szCs w:val="18"/>
              </w:rPr>
              <w:t>2</w:t>
            </w:r>
          </w:p>
        </w:tc>
        <w:tc>
          <w:tcPr>
            <w:tcW w:w="1350" w:type="dxa"/>
            <w:tcBorders>
              <w:top w:val="single" w:sz="6" w:space="0" w:color="auto"/>
              <w:left w:val="nil"/>
              <w:bottom w:val="nil"/>
              <w:right w:val="nil"/>
            </w:tcBorders>
            <w:vAlign w:val="center"/>
          </w:tcPr>
          <w:p w:rsidR="00BF1A3B" w:rsidRPr="0037107B" w:rsidRDefault="00BF1A3B" w:rsidP="00BF1A3B">
            <w:pPr>
              <w:jc w:val="center"/>
              <w:rPr>
                <w:b/>
                <w:sz w:val="18"/>
                <w:szCs w:val="18"/>
              </w:rPr>
            </w:pPr>
            <w:r w:rsidRPr="0037107B">
              <w:rPr>
                <w:rFonts w:cs="Cambria"/>
                <w:b/>
                <w:color w:val="000000"/>
                <w:sz w:val="18"/>
                <w:szCs w:val="18"/>
              </w:rPr>
              <w:t>M</w:t>
            </w:r>
            <w:r>
              <w:rPr>
                <w:rFonts w:cs="Cambria"/>
                <w:b/>
                <w:color w:val="000000"/>
                <w:sz w:val="18"/>
                <w:szCs w:val="18"/>
              </w:rPr>
              <w:t>odel 5.</w:t>
            </w:r>
            <w:r w:rsidRPr="0037107B">
              <w:rPr>
                <w:rFonts w:cs="Cambria"/>
                <w:b/>
                <w:color w:val="000000"/>
                <w:sz w:val="18"/>
                <w:szCs w:val="18"/>
              </w:rPr>
              <w:t>3</w:t>
            </w:r>
          </w:p>
        </w:tc>
        <w:tc>
          <w:tcPr>
            <w:tcW w:w="1350" w:type="dxa"/>
            <w:tcBorders>
              <w:top w:val="single" w:sz="6" w:space="0" w:color="auto"/>
              <w:left w:val="nil"/>
              <w:bottom w:val="nil"/>
              <w:right w:val="nil"/>
            </w:tcBorders>
            <w:vAlign w:val="center"/>
          </w:tcPr>
          <w:p w:rsidR="00BF1A3B" w:rsidRPr="0037107B" w:rsidRDefault="00BF1A3B" w:rsidP="00BF1A3B">
            <w:pPr>
              <w:jc w:val="center"/>
              <w:rPr>
                <w:b/>
                <w:sz w:val="18"/>
                <w:szCs w:val="18"/>
              </w:rPr>
            </w:pPr>
            <w:r w:rsidRPr="0037107B">
              <w:rPr>
                <w:rFonts w:cs="Cambria"/>
                <w:b/>
                <w:color w:val="000000"/>
                <w:sz w:val="18"/>
                <w:szCs w:val="18"/>
              </w:rPr>
              <w:t>M</w:t>
            </w:r>
            <w:r>
              <w:rPr>
                <w:rFonts w:cs="Cambria"/>
                <w:b/>
                <w:color w:val="000000"/>
                <w:sz w:val="18"/>
                <w:szCs w:val="18"/>
              </w:rPr>
              <w:t>odel 5.</w:t>
            </w:r>
            <w:r w:rsidRPr="0037107B">
              <w:rPr>
                <w:rFonts w:cs="Cambria"/>
                <w:b/>
                <w:color w:val="000000"/>
                <w:sz w:val="18"/>
                <w:szCs w:val="18"/>
              </w:rPr>
              <w:t>4</w:t>
            </w:r>
          </w:p>
        </w:tc>
        <w:tc>
          <w:tcPr>
            <w:tcW w:w="1350" w:type="dxa"/>
            <w:tcBorders>
              <w:top w:val="single" w:sz="6" w:space="0" w:color="auto"/>
              <w:left w:val="nil"/>
              <w:bottom w:val="nil"/>
              <w:right w:val="nil"/>
            </w:tcBorders>
            <w:vAlign w:val="center"/>
          </w:tcPr>
          <w:p w:rsidR="00BF1A3B" w:rsidRPr="0037107B" w:rsidRDefault="00BF1A3B" w:rsidP="00BF1A3B">
            <w:pPr>
              <w:jc w:val="center"/>
              <w:rPr>
                <w:b/>
                <w:sz w:val="18"/>
                <w:szCs w:val="18"/>
              </w:rPr>
            </w:pPr>
            <w:r w:rsidRPr="0037107B">
              <w:rPr>
                <w:rFonts w:cs="Cambria"/>
                <w:b/>
                <w:color w:val="000000"/>
                <w:sz w:val="18"/>
                <w:szCs w:val="18"/>
              </w:rPr>
              <w:t>M</w:t>
            </w:r>
            <w:r>
              <w:rPr>
                <w:rFonts w:cs="Cambria"/>
                <w:b/>
                <w:color w:val="000000"/>
                <w:sz w:val="18"/>
                <w:szCs w:val="18"/>
              </w:rPr>
              <w:t>odel 5.</w:t>
            </w:r>
            <w:r w:rsidRPr="0037107B">
              <w:rPr>
                <w:rFonts w:cs="Cambria"/>
                <w:b/>
                <w:color w:val="000000"/>
                <w:sz w:val="18"/>
                <w:szCs w:val="18"/>
              </w:rPr>
              <w:t>5</w:t>
            </w:r>
          </w:p>
        </w:tc>
      </w:tr>
      <w:tr w:rsidR="00BF1A3B" w:rsidRPr="006E78E0" w:rsidTr="00BF1A3B">
        <w:tblPrEx>
          <w:tblBorders>
            <w:top w:val="none" w:sz="0" w:space="0" w:color="auto"/>
          </w:tblBorders>
        </w:tblPrEx>
        <w:trPr>
          <w:trHeight w:val="432"/>
          <w:jc w:val="center"/>
        </w:trPr>
        <w:tc>
          <w:tcPr>
            <w:tcW w:w="3330" w:type="dxa"/>
            <w:tcBorders>
              <w:top w:val="nil"/>
              <w:left w:val="nil"/>
              <w:bottom w:val="nil"/>
              <w:right w:val="nil"/>
            </w:tcBorders>
            <w:vAlign w:val="center"/>
          </w:tcPr>
          <w:p w:rsidR="00BF1A3B" w:rsidRPr="00491F05" w:rsidRDefault="00BF1A3B" w:rsidP="00BF1A3B">
            <w:pPr>
              <w:ind w:left="252" w:hanging="252"/>
              <w:rPr>
                <w:rFonts w:cs="Cambria"/>
                <w:i/>
                <w:color w:val="000000"/>
                <w:sz w:val="20"/>
                <w:szCs w:val="20"/>
              </w:rPr>
            </w:pPr>
            <w:r w:rsidRPr="00491F05">
              <w:rPr>
                <w:rFonts w:cs="Cambria"/>
                <w:i/>
                <w:color w:val="000000"/>
                <w:sz w:val="20"/>
                <w:szCs w:val="20"/>
              </w:rPr>
              <w:t>Intercept</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r w:rsidRPr="006E78E0">
              <w:rPr>
                <w:sz w:val="20"/>
                <w:szCs w:val="20"/>
              </w:rPr>
              <w:t>2.30**</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r w:rsidRPr="006E78E0">
              <w:rPr>
                <w:sz w:val="20"/>
                <w:szCs w:val="20"/>
              </w:rPr>
              <w:t>2.24**</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r w:rsidRPr="006E78E0">
              <w:rPr>
                <w:sz w:val="20"/>
                <w:szCs w:val="20"/>
              </w:rPr>
              <w:t>2.24**</w:t>
            </w:r>
          </w:p>
        </w:tc>
        <w:tc>
          <w:tcPr>
            <w:tcW w:w="1350" w:type="dxa"/>
            <w:tcBorders>
              <w:top w:val="nil"/>
              <w:left w:val="nil"/>
              <w:bottom w:val="nil"/>
              <w:right w:val="single" w:sz="6" w:space="0" w:color="BFBFBF"/>
            </w:tcBorders>
            <w:vAlign w:val="center"/>
          </w:tcPr>
          <w:p w:rsidR="00BF1A3B" w:rsidRPr="006E78E0" w:rsidRDefault="00BF1A3B" w:rsidP="00BF1A3B">
            <w:pPr>
              <w:tabs>
                <w:tab w:val="decimal" w:pos="417"/>
              </w:tabs>
              <w:rPr>
                <w:sz w:val="20"/>
                <w:szCs w:val="20"/>
              </w:rPr>
            </w:pPr>
            <w:r w:rsidRPr="006E78E0">
              <w:rPr>
                <w:sz w:val="20"/>
                <w:szCs w:val="20"/>
              </w:rPr>
              <w:t>2.23**</w:t>
            </w:r>
          </w:p>
        </w:tc>
        <w:tc>
          <w:tcPr>
            <w:tcW w:w="1350" w:type="dxa"/>
            <w:tcBorders>
              <w:top w:val="nil"/>
              <w:left w:val="single" w:sz="6" w:space="0" w:color="BFBFBF"/>
              <w:bottom w:val="nil"/>
              <w:right w:val="nil"/>
            </w:tcBorders>
            <w:vAlign w:val="center"/>
          </w:tcPr>
          <w:p w:rsidR="00BF1A3B" w:rsidRPr="006E78E0" w:rsidRDefault="00BF1A3B" w:rsidP="00BF1A3B">
            <w:pPr>
              <w:tabs>
                <w:tab w:val="decimal" w:pos="417"/>
              </w:tabs>
              <w:rPr>
                <w:sz w:val="20"/>
                <w:szCs w:val="20"/>
              </w:rPr>
            </w:pPr>
            <w:r w:rsidRPr="006E78E0">
              <w:rPr>
                <w:sz w:val="20"/>
                <w:szCs w:val="20"/>
              </w:rPr>
              <w:t>2.23**</w:t>
            </w:r>
          </w:p>
        </w:tc>
      </w:tr>
      <w:tr w:rsidR="00BF1A3B" w:rsidRPr="0068100D" w:rsidTr="00BF1A3B">
        <w:tblPrEx>
          <w:tblBorders>
            <w:top w:val="none" w:sz="0" w:space="0" w:color="auto"/>
          </w:tblBorders>
        </w:tblPrEx>
        <w:trPr>
          <w:trHeight w:val="144"/>
          <w:jc w:val="center"/>
        </w:trPr>
        <w:tc>
          <w:tcPr>
            <w:tcW w:w="3330" w:type="dxa"/>
            <w:tcBorders>
              <w:top w:val="nil"/>
              <w:left w:val="nil"/>
              <w:bottom w:val="nil"/>
              <w:right w:val="nil"/>
            </w:tcBorders>
            <w:vAlign w:val="center"/>
          </w:tcPr>
          <w:p w:rsidR="00BF1A3B" w:rsidRPr="00D55373" w:rsidRDefault="00BF1A3B" w:rsidP="00BF1A3B">
            <w:pPr>
              <w:ind w:left="252" w:hanging="252"/>
              <w:rPr>
                <w:rFonts w:cs="Cambria"/>
                <w:color w:val="000000"/>
                <w:sz w:val="14"/>
                <w:szCs w:val="14"/>
                <w:u w:val="single"/>
              </w:rPr>
            </w:pPr>
          </w:p>
        </w:tc>
        <w:tc>
          <w:tcPr>
            <w:tcW w:w="1350" w:type="dxa"/>
            <w:tcBorders>
              <w:top w:val="nil"/>
              <w:left w:val="nil"/>
              <w:bottom w:val="nil"/>
              <w:right w:val="nil"/>
            </w:tcBorders>
            <w:vAlign w:val="center"/>
          </w:tcPr>
          <w:p w:rsidR="00BF1A3B" w:rsidRPr="0068100D" w:rsidRDefault="00BF1A3B" w:rsidP="00BF1A3B">
            <w:pPr>
              <w:tabs>
                <w:tab w:val="decimal" w:pos="417"/>
              </w:tabs>
              <w:rPr>
                <w:sz w:val="14"/>
                <w:szCs w:val="14"/>
              </w:rPr>
            </w:pPr>
          </w:p>
        </w:tc>
        <w:tc>
          <w:tcPr>
            <w:tcW w:w="1350" w:type="dxa"/>
            <w:tcBorders>
              <w:top w:val="nil"/>
              <w:left w:val="nil"/>
              <w:bottom w:val="nil"/>
              <w:right w:val="nil"/>
            </w:tcBorders>
            <w:vAlign w:val="center"/>
          </w:tcPr>
          <w:p w:rsidR="00BF1A3B" w:rsidRPr="0068100D" w:rsidRDefault="00BF1A3B" w:rsidP="00BF1A3B">
            <w:pPr>
              <w:tabs>
                <w:tab w:val="decimal" w:pos="417"/>
              </w:tabs>
              <w:rPr>
                <w:sz w:val="14"/>
                <w:szCs w:val="14"/>
              </w:rPr>
            </w:pPr>
          </w:p>
        </w:tc>
        <w:tc>
          <w:tcPr>
            <w:tcW w:w="1350" w:type="dxa"/>
            <w:tcBorders>
              <w:top w:val="nil"/>
              <w:left w:val="nil"/>
              <w:bottom w:val="nil"/>
              <w:right w:val="nil"/>
            </w:tcBorders>
            <w:vAlign w:val="center"/>
          </w:tcPr>
          <w:p w:rsidR="00BF1A3B" w:rsidRPr="0068100D" w:rsidRDefault="00BF1A3B" w:rsidP="00BF1A3B">
            <w:pPr>
              <w:tabs>
                <w:tab w:val="decimal" w:pos="417"/>
              </w:tabs>
              <w:rPr>
                <w:sz w:val="14"/>
                <w:szCs w:val="14"/>
              </w:rPr>
            </w:pPr>
          </w:p>
        </w:tc>
        <w:tc>
          <w:tcPr>
            <w:tcW w:w="1350" w:type="dxa"/>
            <w:tcBorders>
              <w:top w:val="nil"/>
              <w:left w:val="nil"/>
              <w:bottom w:val="nil"/>
              <w:right w:val="single" w:sz="6" w:space="0" w:color="BFBFBF"/>
            </w:tcBorders>
            <w:vAlign w:val="center"/>
          </w:tcPr>
          <w:p w:rsidR="00BF1A3B" w:rsidRPr="0068100D" w:rsidRDefault="00BF1A3B" w:rsidP="00BF1A3B">
            <w:pPr>
              <w:tabs>
                <w:tab w:val="decimal" w:pos="417"/>
              </w:tabs>
              <w:rPr>
                <w:sz w:val="14"/>
                <w:szCs w:val="14"/>
              </w:rPr>
            </w:pPr>
          </w:p>
        </w:tc>
        <w:tc>
          <w:tcPr>
            <w:tcW w:w="1350" w:type="dxa"/>
            <w:tcBorders>
              <w:top w:val="nil"/>
              <w:left w:val="single" w:sz="6" w:space="0" w:color="BFBFBF"/>
              <w:bottom w:val="nil"/>
              <w:right w:val="nil"/>
            </w:tcBorders>
            <w:vAlign w:val="center"/>
          </w:tcPr>
          <w:p w:rsidR="00BF1A3B" w:rsidRPr="0068100D" w:rsidRDefault="00BF1A3B" w:rsidP="00BF1A3B">
            <w:pPr>
              <w:tabs>
                <w:tab w:val="decimal" w:pos="417"/>
              </w:tabs>
              <w:rPr>
                <w:sz w:val="14"/>
                <w:szCs w:val="14"/>
              </w:rPr>
            </w:pPr>
          </w:p>
        </w:tc>
      </w:tr>
      <w:tr w:rsidR="00BF1A3B" w:rsidRPr="006E78E0" w:rsidTr="00BF1A3B">
        <w:tblPrEx>
          <w:tblBorders>
            <w:top w:val="none" w:sz="0" w:space="0" w:color="auto"/>
          </w:tblBorders>
        </w:tblPrEx>
        <w:trPr>
          <w:trHeight w:val="432"/>
          <w:jc w:val="center"/>
        </w:trPr>
        <w:tc>
          <w:tcPr>
            <w:tcW w:w="3330" w:type="dxa"/>
            <w:tcBorders>
              <w:top w:val="nil"/>
              <w:left w:val="nil"/>
              <w:bottom w:val="nil"/>
              <w:right w:val="nil"/>
            </w:tcBorders>
            <w:vAlign w:val="center"/>
          </w:tcPr>
          <w:p w:rsidR="00BF1A3B" w:rsidRPr="00796936" w:rsidRDefault="00BF1A3B" w:rsidP="00BF1A3B">
            <w:pPr>
              <w:ind w:left="252" w:hanging="252"/>
              <w:rPr>
                <w:rFonts w:cs="Cambria"/>
                <w:color w:val="000000"/>
                <w:sz w:val="20"/>
                <w:szCs w:val="20"/>
                <w:u w:val="single"/>
              </w:rPr>
            </w:pPr>
            <w:r>
              <w:rPr>
                <w:rFonts w:cs="Cambria"/>
                <w:color w:val="000000"/>
                <w:sz w:val="20"/>
                <w:szCs w:val="20"/>
                <w:u w:val="single"/>
              </w:rPr>
              <w:t>Child-Level Main Effects</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single" w:sz="6" w:space="0" w:color="BFBFBF"/>
            </w:tcBorders>
            <w:vAlign w:val="center"/>
          </w:tcPr>
          <w:p w:rsidR="00BF1A3B" w:rsidRPr="006E78E0" w:rsidRDefault="00BF1A3B" w:rsidP="00BF1A3B">
            <w:pPr>
              <w:tabs>
                <w:tab w:val="decimal" w:pos="417"/>
              </w:tabs>
              <w:rPr>
                <w:sz w:val="20"/>
                <w:szCs w:val="20"/>
              </w:rPr>
            </w:pPr>
          </w:p>
        </w:tc>
        <w:tc>
          <w:tcPr>
            <w:tcW w:w="1350" w:type="dxa"/>
            <w:tcBorders>
              <w:top w:val="nil"/>
              <w:left w:val="single" w:sz="6" w:space="0" w:color="BFBFBF"/>
              <w:bottom w:val="nil"/>
              <w:right w:val="nil"/>
            </w:tcBorders>
            <w:vAlign w:val="center"/>
          </w:tcPr>
          <w:p w:rsidR="00BF1A3B" w:rsidRPr="006E78E0" w:rsidRDefault="00BF1A3B" w:rsidP="00BF1A3B">
            <w:pPr>
              <w:tabs>
                <w:tab w:val="decimal" w:pos="417"/>
              </w:tabs>
              <w:rPr>
                <w:sz w:val="20"/>
                <w:szCs w:val="20"/>
              </w:rPr>
            </w:pPr>
          </w:p>
        </w:tc>
      </w:tr>
      <w:tr w:rsidR="00BF1A3B" w:rsidRPr="006E78E0" w:rsidTr="00BF1A3B">
        <w:tblPrEx>
          <w:tblBorders>
            <w:top w:val="none" w:sz="0" w:space="0" w:color="auto"/>
          </w:tblBorders>
        </w:tblPrEx>
        <w:trPr>
          <w:trHeight w:val="432"/>
          <w:jc w:val="center"/>
        </w:trPr>
        <w:tc>
          <w:tcPr>
            <w:tcW w:w="3330" w:type="dxa"/>
            <w:tcBorders>
              <w:top w:val="nil"/>
              <w:left w:val="nil"/>
              <w:bottom w:val="nil"/>
              <w:right w:val="nil"/>
            </w:tcBorders>
            <w:vAlign w:val="center"/>
          </w:tcPr>
          <w:p w:rsidR="00BF1A3B" w:rsidRPr="00EA28F1" w:rsidRDefault="00BF1A3B" w:rsidP="00BF1A3B">
            <w:pPr>
              <w:ind w:left="252" w:hanging="252"/>
              <w:rPr>
                <w:rFonts w:cs="Cambria"/>
                <w:i/>
                <w:color w:val="000000"/>
                <w:sz w:val="20"/>
                <w:szCs w:val="20"/>
              </w:rPr>
            </w:pPr>
            <w:r>
              <w:rPr>
                <w:rFonts w:cs="Cambria"/>
                <w:i/>
                <w:color w:val="000000"/>
                <w:sz w:val="20"/>
                <w:szCs w:val="20"/>
              </w:rPr>
              <w:t>Child has ‘High Incidence’ Disability Designation</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r w:rsidRPr="006E78E0">
              <w:rPr>
                <w:sz w:val="20"/>
                <w:szCs w:val="20"/>
              </w:rPr>
              <w:t>-12.85**</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r w:rsidRPr="006E78E0">
              <w:rPr>
                <w:sz w:val="20"/>
                <w:szCs w:val="20"/>
              </w:rPr>
              <w:t>-13.79**</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r w:rsidRPr="006E78E0">
              <w:rPr>
                <w:sz w:val="20"/>
                <w:szCs w:val="20"/>
              </w:rPr>
              <w:t>-14.21**</w:t>
            </w:r>
          </w:p>
        </w:tc>
        <w:tc>
          <w:tcPr>
            <w:tcW w:w="1350" w:type="dxa"/>
            <w:tcBorders>
              <w:top w:val="nil"/>
              <w:left w:val="nil"/>
              <w:bottom w:val="nil"/>
              <w:right w:val="single" w:sz="6" w:space="0" w:color="BFBFBF"/>
            </w:tcBorders>
            <w:vAlign w:val="center"/>
          </w:tcPr>
          <w:p w:rsidR="00BF1A3B" w:rsidRPr="006E78E0" w:rsidRDefault="00BF1A3B" w:rsidP="00BF1A3B">
            <w:pPr>
              <w:tabs>
                <w:tab w:val="decimal" w:pos="417"/>
              </w:tabs>
              <w:rPr>
                <w:sz w:val="20"/>
                <w:szCs w:val="20"/>
              </w:rPr>
            </w:pPr>
            <w:r w:rsidRPr="006E78E0">
              <w:rPr>
                <w:sz w:val="20"/>
                <w:szCs w:val="20"/>
              </w:rPr>
              <w:t>-13.05**</w:t>
            </w:r>
          </w:p>
        </w:tc>
        <w:tc>
          <w:tcPr>
            <w:tcW w:w="1350" w:type="dxa"/>
            <w:tcBorders>
              <w:top w:val="nil"/>
              <w:left w:val="single" w:sz="6" w:space="0" w:color="BFBFBF"/>
              <w:bottom w:val="nil"/>
              <w:right w:val="nil"/>
            </w:tcBorders>
            <w:vAlign w:val="center"/>
          </w:tcPr>
          <w:p w:rsidR="00BF1A3B" w:rsidRPr="006E78E0" w:rsidRDefault="00BF1A3B" w:rsidP="00BF1A3B">
            <w:pPr>
              <w:tabs>
                <w:tab w:val="decimal" w:pos="417"/>
              </w:tabs>
              <w:rPr>
                <w:sz w:val="20"/>
                <w:szCs w:val="20"/>
              </w:rPr>
            </w:pPr>
            <w:r w:rsidRPr="006E78E0">
              <w:rPr>
                <w:sz w:val="20"/>
                <w:szCs w:val="20"/>
              </w:rPr>
              <w:t>-12.96**</w:t>
            </w:r>
          </w:p>
        </w:tc>
      </w:tr>
      <w:tr w:rsidR="00BF1A3B" w:rsidRPr="006E78E0" w:rsidTr="00BF1A3B">
        <w:tblPrEx>
          <w:tblBorders>
            <w:top w:val="none" w:sz="0" w:space="0" w:color="auto"/>
          </w:tblBorders>
        </w:tblPrEx>
        <w:trPr>
          <w:trHeight w:val="432"/>
          <w:jc w:val="center"/>
        </w:trPr>
        <w:tc>
          <w:tcPr>
            <w:tcW w:w="333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Pr>
                <w:rFonts w:cs="Cambria"/>
                <w:i/>
                <w:color w:val="000000"/>
                <w:sz w:val="20"/>
                <w:szCs w:val="20"/>
              </w:rPr>
              <w:t>Child has another Disability Designation</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r w:rsidRPr="006E78E0">
              <w:rPr>
                <w:sz w:val="20"/>
                <w:szCs w:val="20"/>
              </w:rPr>
              <w:t>-13.56**</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r w:rsidRPr="006E78E0">
              <w:rPr>
                <w:sz w:val="20"/>
                <w:szCs w:val="20"/>
              </w:rPr>
              <w:t>-14.77**</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r w:rsidRPr="006E78E0">
              <w:rPr>
                <w:sz w:val="20"/>
                <w:szCs w:val="20"/>
              </w:rPr>
              <w:t>-14.96**</w:t>
            </w:r>
          </w:p>
        </w:tc>
        <w:tc>
          <w:tcPr>
            <w:tcW w:w="1350" w:type="dxa"/>
            <w:tcBorders>
              <w:top w:val="nil"/>
              <w:left w:val="nil"/>
              <w:bottom w:val="nil"/>
              <w:right w:val="single" w:sz="6" w:space="0" w:color="BFBFBF"/>
            </w:tcBorders>
            <w:vAlign w:val="center"/>
          </w:tcPr>
          <w:p w:rsidR="00BF1A3B" w:rsidRPr="006E78E0" w:rsidRDefault="00BF1A3B" w:rsidP="00BF1A3B">
            <w:pPr>
              <w:tabs>
                <w:tab w:val="decimal" w:pos="417"/>
              </w:tabs>
              <w:rPr>
                <w:sz w:val="20"/>
                <w:szCs w:val="20"/>
              </w:rPr>
            </w:pPr>
            <w:r w:rsidRPr="006E78E0">
              <w:rPr>
                <w:sz w:val="20"/>
                <w:szCs w:val="20"/>
              </w:rPr>
              <w:t>-11.51**</w:t>
            </w:r>
          </w:p>
        </w:tc>
        <w:tc>
          <w:tcPr>
            <w:tcW w:w="1350" w:type="dxa"/>
            <w:tcBorders>
              <w:top w:val="nil"/>
              <w:left w:val="single" w:sz="6" w:space="0" w:color="BFBFBF"/>
              <w:bottom w:val="nil"/>
              <w:right w:val="nil"/>
            </w:tcBorders>
            <w:vAlign w:val="center"/>
          </w:tcPr>
          <w:p w:rsidR="00BF1A3B" w:rsidRPr="006E78E0" w:rsidRDefault="00BF1A3B" w:rsidP="00BF1A3B">
            <w:pPr>
              <w:tabs>
                <w:tab w:val="decimal" w:pos="417"/>
              </w:tabs>
              <w:rPr>
                <w:sz w:val="20"/>
                <w:szCs w:val="20"/>
              </w:rPr>
            </w:pPr>
            <w:r w:rsidRPr="006E78E0">
              <w:rPr>
                <w:sz w:val="20"/>
                <w:szCs w:val="20"/>
              </w:rPr>
              <w:t>-11.52**</w:t>
            </w:r>
          </w:p>
        </w:tc>
      </w:tr>
      <w:tr w:rsidR="00BF1A3B" w:rsidRPr="006E78E0" w:rsidTr="00BF1A3B">
        <w:tblPrEx>
          <w:tblBorders>
            <w:top w:val="none" w:sz="0" w:space="0" w:color="auto"/>
          </w:tblBorders>
        </w:tblPrEx>
        <w:trPr>
          <w:trHeight w:val="432"/>
          <w:jc w:val="center"/>
        </w:trPr>
        <w:tc>
          <w:tcPr>
            <w:tcW w:w="333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sidRPr="00861D01">
              <w:rPr>
                <w:i/>
                <w:sz w:val="20"/>
                <w:szCs w:val="20"/>
              </w:rPr>
              <w:t>Child is Female</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r w:rsidRPr="006E78E0">
              <w:rPr>
                <w:sz w:val="20"/>
                <w:szCs w:val="20"/>
              </w:rPr>
              <w:t>-0.77**</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r w:rsidRPr="006E78E0">
              <w:rPr>
                <w:sz w:val="20"/>
                <w:szCs w:val="20"/>
              </w:rPr>
              <w:t>-0.75**</w:t>
            </w:r>
          </w:p>
        </w:tc>
        <w:tc>
          <w:tcPr>
            <w:tcW w:w="1350" w:type="dxa"/>
            <w:tcBorders>
              <w:top w:val="nil"/>
              <w:left w:val="nil"/>
              <w:bottom w:val="nil"/>
              <w:right w:val="single" w:sz="6" w:space="0" w:color="BFBFBF"/>
            </w:tcBorders>
            <w:vAlign w:val="center"/>
          </w:tcPr>
          <w:p w:rsidR="00BF1A3B" w:rsidRPr="006E78E0" w:rsidRDefault="00BF1A3B" w:rsidP="00BF1A3B">
            <w:pPr>
              <w:tabs>
                <w:tab w:val="decimal" w:pos="417"/>
              </w:tabs>
              <w:rPr>
                <w:sz w:val="20"/>
                <w:szCs w:val="20"/>
              </w:rPr>
            </w:pPr>
            <w:r w:rsidRPr="006E78E0">
              <w:rPr>
                <w:sz w:val="20"/>
                <w:szCs w:val="20"/>
              </w:rPr>
              <w:t>-0.54**</w:t>
            </w:r>
          </w:p>
        </w:tc>
        <w:tc>
          <w:tcPr>
            <w:tcW w:w="1350" w:type="dxa"/>
            <w:tcBorders>
              <w:top w:val="nil"/>
              <w:left w:val="single" w:sz="6" w:space="0" w:color="BFBFBF"/>
              <w:bottom w:val="nil"/>
              <w:right w:val="nil"/>
            </w:tcBorders>
            <w:vAlign w:val="center"/>
          </w:tcPr>
          <w:p w:rsidR="00BF1A3B" w:rsidRPr="006E78E0" w:rsidRDefault="00BF1A3B" w:rsidP="00BF1A3B">
            <w:pPr>
              <w:tabs>
                <w:tab w:val="decimal" w:pos="417"/>
              </w:tabs>
              <w:rPr>
                <w:sz w:val="20"/>
                <w:szCs w:val="20"/>
              </w:rPr>
            </w:pPr>
            <w:r w:rsidRPr="006E78E0">
              <w:rPr>
                <w:sz w:val="20"/>
                <w:szCs w:val="20"/>
              </w:rPr>
              <w:t>-0.54**</w:t>
            </w:r>
          </w:p>
        </w:tc>
      </w:tr>
      <w:tr w:rsidR="00BF1A3B" w:rsidRPr="006E78E0" w:rsidTr="00BF1A3B">
        <w:tblPrEx>
          <w:tblBorders>
            <w:top w:val="none" w:sz="0" w:space="0" w:color="auto"/>
          </w:tblBorders>
        </w:tblPrEx>
        <w:trPr>
          <w:trHeight w:val="432"/>
          <w:jc w:val="center"/>
        </w:trPr>
        <w:tc>
          <w:tcPr>
            <w:tcW w:w="333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sidRPr="00A65481">
              <w:rPr>
                <w:i/>
                <w:sz w:val="20"/>
                <w:szCs w:val="20"/>
              </w:rPr>
              <w:t xml:space="preserve">Child </w:t>
            </w:r>
            <w:r w:rsidRPr="00A65481">
              <w:rPr>
                <w:i/>
                <w:iCs/>
                <w:sz w:val="20"/>
                <w:szCs w:val="20"/>
              </w:rPr>
              <w:t>eligible for Free/ Reduced Price Lunch (FRPL)</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r w:rsidRPr="006E78E0">
              <w:rPr>
                <w:sz w:val="20"/>
                <w:szCs w:val="20"/>
              </w:rPr>
              <w:t>-4.28**</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r w:rsidRPr="006E78E0">
              <w:rPr>
                <w:sz w:val="20"/>
                <w:szCs w:val="20"/>
              </w:rPr>
              <w:t>-4.32**</w:t>
            </w:r>
          </w:p>
        </w:tc>
        <w:tc>
          <w:tcPr>
            <w:tcW w:w="1350" w:type="dxa"/>
            <w:tcBorders>
              <w:top w:val="nil"/>
              <w:left w:val="nil"/>
              <w:bottom w:val="nil"/>
              <w:right w:val="single" w:sz="6" w:space="0" w:color="BFBFBF"/>
            </w:tcBorders>
            <w:vAlign w:val="center"/>
          </w:tcPr>
          <w:p w:rsidR="00BF1A3B" w:rsidRPr="006E78E0" w:rsidRDefault="00BF1A3B" w:rsidP="00BF1A3B">
            <w:pPr>
              <w:tabs>
                <w:tab w:val="decimal" w:pos="417"/>
              </w:tabs>
              <w:rPr>
                <w:sz w:val="20"/>
                <w:szCs w:val="20"/>
              </w:rPr>
            </w:pPr>
            <w:r w:rsidRPr="006E78E0">
              <w:rPr>
                <w:sz w:val="20"/>
                <w:szCs w:val="20"/>
              </w:rPr>
              <w:t>-4.91**</w:t>
            </w:r>
          </w:p>
        </w:tc>
        <w:tc>
          <w:tcPr>
            <w:tcW w:w="1350" w:type="dxa"/>
            <w:tcBorders>
              <w:top w:val="nil"/>
              <w:left w:val="single" w:sz="6" w:space="0" w:color="BFBFBF"/>
              <w:bottom w:val="nil"/>
              <w:right w:val="nil"/>
            </w:tcBorders>
            <w:vAlign w:val="center"/>
          </w:tcPr>
          <w:p w:rsidR="00BF1A3B" w:rsidRPr="006E78E0" w:rsidRDefault="00BF1A3B" w:rsidP="00BF1A3B">
            <w:pPr>
              <w:tabs>
                <w:tab w:val="decimal" w:pos="417"/>
              </w:tabs>
              <w:rPr>
                <w:sz w:val="20"/>
                <w:szCs w:val="20"/>
              </w:rPr>
            </w:pPr>
            <w:r w:rsidRPr="006E78E0">
              <w:rPr>
                <w:sz w:val="20"/>
                <w:szCs w:val="20"/>
              </w:rPr>
              <w:t>-4.91**</w:t>
            </w:r>
          </w:p>
        </w:tc>
      </w:tr>
      <w:tr w:rsidR="00BF1A3B" w:rsidRPr="006E78E0" w:rsidTr="00BF1A3B">
        <w:tblPrEx>
          <w:tblBorders>
            <w:top w:val="none" w:sz="0" w:space="0" w:color="auto"/>
          </w:tblBorders>
        </w:tblPrEx>
        <w:trPr>
          <w:trHeight w:val="432"/>
          <w:jc w:val="center"/>
        </w:trPr>
        <w:tc>
          <w:tcPr>
            <w:tcW w:w="333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sidRPr="00861D01">
              <w:rPr>
                <w:i/>
                <w:sz w:val="20"/>
                <w:szCs w:val="20"/>
              </w:rPr>
              <w:t>Child has Limited English Proficiency</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r w:rsidRPr="006E78E0">
              <w:rPr>
                <w:sz w:val="20"/>
                <w:szCs w:val="20"/>
              </w:rPr>
              <w:t>-8.98**</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r w:rsidRPr="006E78E0">
              <w:rPr>
                <w:sz w:val="20"/>
                <w:szCs w:val="20"/>
              </w:rPr>
              <w:t>-9.02**</w:t>
            </w:r>
          </w:p>
        </w:tc>
        <w:tc>
          <w:tcPr>
            <w:tcW w:w="1350" w:type="dxa"/>
            <w:tcBorders>
              <w:top w:val="nil"/>
              <w:left w:val="nil"/>
              <w:bottom w:val="nil"/>
              <w:right w:val="single" w:sz="6" w:space="0" w:color="BFBFBF"/>
            </w:tcBorders>
            <w:vAlign w:val="center"/>
          </w:tcPr>
          <w:p w:rsidR="00BF1A3B" w:rsidRPr="006E78E0" w:rsidRDefault="00BF1A3B" w:rsidP="00BF1A3B">
            <w:pPr>
              <w:tabs>
                <w:tab w:val="decimal" w:pos="417"/>
              </w:tabs>
              <w:rPr>
                <w:sz w:val="20"/>
                <w:szCs w:val="20"/>
              </w:rPr>
            </w:pPr>
            <w:r w:rsidRPr="006E78E0">
              <w:rPr>
                <w:sz w:val="20"/>
                <w:szCs w:val="20"/>
              </w:rPr>
              <w:t>-8.80**</w:t>
            </w:r>
          </w:p>
        </w:tc>
        <w:tc>
          <w:tcPr>
            <w:tcW w:w="1350" w:type="dxa"/>
            <w:tcBorders>
              <w:top w:val="nil"/>
              <w:left w:val="single" w:sz="6" w:space="0" w:color="BFBFBF"/>
              <w:bottom w:val="nil"/>
              <w:right w:val="nil"/>
            </w:tcBorders>
            <w:vAlign w:val="center"/>
          </w:tcPr>
          <w:p w:rsidR="00BF1A3B" w:rsidRPr="006E78E0" w:rsidRDefault="00BF1A3B" w:rsidP="00BF1A3B">
            <w:pPr>
              <w:tabs>
                <w:tab w:val="decimal" w:pos="417"/>
              </w:tabs>
              <w:rPr>
                <w:sz w:val="20"/>
                <w:szCs w:val="20"/>
              </w:rPr>
            </w:pPr>
            <w:r w:rsidRPr="006E78E0">
              <w:rPr>
                <w:sz w:val="20"/>
                <w:szCs w:val="20"/>
              </w:rPr>
              <w:t>-8.80**</w:t>
            </w:r>
          </w:p>
        </w:tc>
      </w:tr>
      <w:tr w:rsidR="00BF1A3B" w:rsidRPr="006E78E0" w:rsidTr="00BF1A3B">
        <w:tblPrEx>
          <w:tblBorders>
            <w:top w:val="none" w:sz="0" w:space="0" w:color="auto"/>
          </w:tblBorders>
        </w:tblPrEx>
        <w:trPr>
          <w:trHeight w:val="432"/>
          <w:jc w:val="center"/>
        </w:trPr>
        <w:tc>
          <w:tcPr>
            <w:tcW w:w="333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sidRPr="00861D01">
              <w:rPr>
                <w:i/>
                <w:sz w:val="20"/>
                <w:szCs w:val="20"/>
              </w:rPr>
              <w:t>Child is Black</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r w:rsidRPr="006E78E0">
              <w:rPr>
                <w:sz w:val="20"/>
                <w:szCs w:val="20"/>
              </w:rPr>
              <w:t>-4.79**</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r w:rsidRPr="006E78E0">
              <w:rPr>
                <w:sz w:val="20"/>
                <w:szCs w:val="20"/>
              </w:rPr>
              <w:t>-4.79**</w:t>
            </w:r>
          </w:p>
        </w:tc>
        <w:tc>
          <w:tcPr>
            <w:tcW w:w="1350" w:type="dxa"/>
            <w:tcBorders>
              <w:top w:val="nil"/>
              <w:left w:val="nil"/>
              <w:bottom w:val="nil"/>
              <w:right w:val="single" w:sz="6" w:space="0" w:color="BFBFBF"/>
            </w:tcBorders>
            <w:vAlign w:val="center"/>
          </w:tcPr>
          <w:p w:rsidR="00BF1A3B" w:rsidRPr="006E78E0" w:rsidRDefault="00BF1A3B" w:rsidP="00BF1A3B">
            <w:pPr>
              <w:tabs>
                <w:tab w:val="decimal" w:pos="417"/>
              </w:tabs>
              <w:rPr>
                <w:sz w:val="20"/>
                <w:szCs w:val="20"/>
              </w:rPr>
            </w:pPr>
            <w:r w:rsidRPr="006E78E0">
              <w:rPr>
                <w:sz w:val="20"/>
                <w:szCs w:val="20"/>
              </w:rPr>
              <w:t>-4.66**</w:t>
            </w:r>
          </w:p>
        </w:tc>
        <w:tc>
          <w:tcPr>
            <w:tcW w:w="1350" w:type="dxa"/>
            <w:tcBorders>
              <w:top w:val="nil"/>
              <w:left w:val="single" w:sz="6" w:space="0" w:color="BFBFBF"/>
              <w:bottom w:val="nil"/>
              <w:right w:val="nil"/>
            </w:tcBorders>
            <w:vAlign w:val="center"/>
          </w:tcPr>
          <w:p w:rsidR="00BF1A3B" w:rsidRPr="006E78E0" w:rsidRDefault="00BF1A3B" w:rsidP="00BF1A3B">
            <w:pPr>
              <w:tabs>
                <w:tab w:val="decimal" w:pos="417"/>
              </w:tabs>
              <w:rPr>
                <w:sz w:val="20"/>
                <w:szCs w:val="20"/>
              </w:rPr>
            </w:pPr>
            <w:r w:rsidRPr="006E78E0">
              <w:rPr>
                <w:sz w:val="20"/>
                <w:szCs w:val="20"/>
              </w:rPr>
              <w:t>-4.68**</w:t>
            </w:r>
          </w:p>
        </w:tc>
      </w:tr>
      <w:tr w:rsidR="00BF1A3B" w:rsidRPr="006E78E0" w:rsidTr="00BF1A3B">
        <w:tblPrEx>
          <w:tblBorders>
            <w:top w:val="none" w:sz="0" w:space="0" w:color="auto"/>
          </w:tblBorders>
        </w:tblPrEx>
        <w:trPr>
          <w:trHeight w:val="432"/>
          <w:jc w:val="center"/>
        </w:trPr>
        <w:tc>
          <w:tcPr>
            <w:tcW w:w="333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sidRPr="00861D01">
              <w:rPr>
                <w:i/>
                <w:sz w:val="20"/>
                <w:szCs w:val="20"/>
              </w:rPr>
              <w:t>Child is Hispanic</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r w:rsidRPr="006E78E0">
              <w:rPr>
                <w:sz w:val="20"/>
                <w:szCs w:val="20"/>
              </w:rPr>
              <w:t>-3.62**</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r w:rsidRPr="006E78E0">
              <w:rPr>
                <w:sz w:val="20"/>
                <w:szCs w:val="20"/>
              </w:rPr>
              <w:t>-3.64**</w:t>
            </w:r>
          </w:p>
        </w:tc>
        <w:tc>
          <w:tcPr>
            <w:tcW w:w="1350" w:type="dxa"/>
            <w:tcBorders>
              <w:top w:val="nil"/>
              <w:left w:val="nil"/>
              <w:bottom w:val="nil"/>
              <w:right w:val="single" w:sz="6" w:space="0" w:color="BFBFBF"/>
            </w:tcBorders>
            <w:vAlign w:val="center"/>
          </w:tcPr>
          <w:p w:rsidR="00BF1A3B" w:rsidRPr="006E78E0" w:rsidRDefault="00BF1A3B" w:rsidP="00BF1A3B">
            <w:pPr>
              <w:tabs>
                <w:tab w:val="decimal" w:pos="417"/>
              </w:tabs>
              <w:rPr>
                <w:sz w:val="20"/>
                <w:szCs w:val="20"/>
              </w:rPr>
            </w:pPr>
            <w:r w:rsidRPr="006E78E0">
              <w:rPr>
                <w:sz w:val="20"/>
                <w:szCs w:val="20"/>
              </w:rPr>
              <w:t>-3.56**</w:t>
            </w:r>
          </w:p>
        </w:tc>
        <w:tc>
          <w:tcPr>
            <w:tcW w:w="1350" w:type="dxa"/>
            <w:tcBorders>
              <w:top w:val="nil"/>
              <w:left w:val="single" w:sz="6" w:space="0" w:color="BFBFBF"/>
              <w:bottom w:val="nil"/>
              <w:right w:val="nil"/>
            </w:tcBorders>
            <w:vAlign w:val="center"/>
          </w:tcPr>
          <w:p w:rsidR="00BF1A3B" w:rsidRPr="006E78E0" w:rsidRDefault="00BF1A3B" w:rsidP="00BF1A3B">
            <w:pPr>
              <w:tabs>
                <w:tab w:val="decimal" w:pos="417"/>
              </w:tabs>
              <w:rPr>
                <w:sz w:val="20"/>
                <w:szCs w:val="20"/>
              </w:rPr>
            </w:pPr>
            <w:r w:rsidRPr="006E78E0">
              <w:rPr>
                <w:sz w:val="20"/>
                <w:szCs w:val="20"/>
              </w:rPr>
              <w:t>-3.56**</w:t>
            </w:r>
          </w:p>
        </w:tc>
      </w:tr>
      <w:tr w:rsidR="00BF1A3B" w:rsidRPr="006E78E0" w:rsidTr="00BF1A3B">
        <w:tblPrEx>
          <w:tblBorders>
            <w:top w:val="none" w:sz="0" w:space="0" w:color="auto"/>
          </w:tblBorders>
        </w:tblPrEx>
        <w:trPr>
          <w:trHeight w:val="432"/>
          <w:jc w:val="center"/>
        </w:trPr>
        <w:tc>
          <w:tcPr>
            <w:tcW w:w="333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sidRPr="00861D01">
              <w:rPr>
                <w:i/>
                <w:sz w:val="20"/>
                <w:szCs w:val="20"/>
              </w:rPr>
              <w:t>Child is Asian</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r w:rsidRPr="006E78E0">
              <w:rPr>
                <w:sz w:val="20"/>
                <w:szCs w:val="20"/>
              </w:rPr>
              <w:t>4.31**</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r w:rsidRPr="006E78E0">
              <w:rPr>
                <w:sz w:val="20"/>
                <w:szCs w:val="20"/>
              </w:rPr>
              <w:t>4.39**</w:t>
            </w:r>
          </w:p>
        </w:tc>
        <w:tc>
          <w:tcPr>
            <w:tcW w:w="1350" w:type="dxa"/>
            <w:tcBorders>
              <w:top w:val="nil"/>
              <w:left w:val="nil"/>
              <w:bottom w:val="nil"/>
              <w:right w:val="single" w:sz="6" w:space="0" w:color="BFBFBF"/>
            </w:tcBorders>
            <w:vAlign w:val="center"/>
          </w:tcPr>
          <w:p w:rsidR="00BF1A3B" w:rsidRPr="006E78E0" w:rsidRDefault="00BF1A3B" w:rsidP="00BF1A3B">
            <w:pPr>
              <w:tabs>
                <w:tab w:val="decimal" w:pos="417"/>
              </w:tabs>
              <w:rPr>
                <w:sz w:val="20"/>
                <w:szCs w:val="20"/>
              </w:rPr>
            </w:pPr>
            <w:r w:rsidRPr="006E78E0">
              <w:rPr>
                <w:sz w:val="20"/>
                <w:szCs w:val="20"/>
              </w:rPr>
              <w:t>4.43**</w:t>
            </w:r>
          </w:p>
        </w:tc>
        <w:tc>
          <w:tcPr>
            <w:tcW w:w="1350" w:type="dxa"/>
            <w:tcBorders>
              <w:top w:val="nil"/>
              <w:left w:val="single" w:sz="6" w:space="0" w:color="BFBFBF"/>
              <w:bottom w:val="nil"/>
              <w:right w:val="nil"/>
            </w:tcBorders>
            <w:vAlign w:val="center"/>
          </w:tcPr>
          <w:p w:rsidR="00BF1A3B" w:rsidRPr="006E78E0" w:rsidRDefault="00BF1A3B" w:rsidP="00BF1A3B">
            <w:pPr>
              <w:tabs>
                <w:tab w:val="decimal" w:pos="417"/>
              </w:tabs>
              <w:rPr>
                <w:sz w:val="20"/>
                <w:szCs w:val="20"/>
              </w:rPr>
            </w:pPr>
            <w:r w:rsidRPr="006E78E0">
              <w:rPr>
                <w:sz w:val="20"/>
                <w:szCs w:val="20"/>
              </w:rPr>
              <w:t>4.42**</w:t>
            </w:r>
          </w:p>
        </w:tc>
      </w:tr>
      <w:tr w:rsidR="00BF1A3B" w:rsidRPr="006E78E0" w:rsidTr="00BF1A3B">
        <w:tblPrEx>
          <w:tblBorders>
            <w:top w:val="none" w:sz="0" w:space="0" w:color="auto"/>
          </w:tblBorders>
        </w:tblPrEx>
        <w:trPr>
          <w:trHeight w:val="432"/>
          <w:jc w:val="center"/>
        </w:trPr>
        <w:tc>
          <w:tcPr>
            <w:tcW w:w="333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sidRPr="00861D01">
              <w:rPr>
                <w:i/>
                <w:sz w:val="20"/>
                <w:szCs w:val="20"/>
              </w:rPr>
              <w:t>Child is American Indian</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r w:rsidRPr="006E78E0">
              <w:rPr>
                <w:sz w:val="20"/>
                <w:szCs w:val="20"/>
              </w:rPr>
              <w:t>-3.24**</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r w:rsidRPr="006E78E0">
              <w:rPr>
                <w:sz w:val="20"/>
                <w:szCs w:val="20"/>
              </w:rPr>
              <w:t>-3.39**</w:t>
            </w:r>
          </w:p>
        </w:tc>
        <w:tc>
          <w:tcPr>
            <w:tcW w:w="1350" w:type="dxa"/>
            <w:tcBorders>
              <w:top w:val="nil"/>
              <w:left w:val="nil"/>
              <w:bottom w:val="nil"/>
              <w:right w:val="single" w:sz="6" w:space="0" w:color="BFBFBF"/>
            </w:tcBorders>
            <w:vAlign w:val="center"/>
          </w:tcPr>
          <w:p w:rsidR="00BF1A3B" w:rsidRPr="006E78E0" w:rsidRDefault="00BF1A3B" w:rsidP="00BF1A3B">
            <w:pPr>
              <w:tabs>
                <w:tab w:val="decimal" w:pos="417"/>
              </w:tabs>
              <w:rPr>
                <w:sz w:val="20"/>
                <w:szCs w:val="20"/>
              </w:rPr>
            </w:pPr>
            <w:r w:rsidRPr="006E78E0">
              <w:rPr>
                <w:sz w:val="20"/>
                <w:szCs w:val="20"/>
              </w:rPr>
              <w:t>-3.21**</w:t>
            </w:r>
          </w:p>
        </w:tc>
        <w:tc>
          <w:tcPr>
            <w:tcW w:w="1350" w:type="dxa"/>
            <w:tcBorders>
              <w:top w:val="nil"/>
              <w:left w:val="single" w:sz="6" w:space="0" w:color="BFBFBF"/>
              <w:bottom w:val="nil"/>
              <w:right w:val="nil"/>
            </w:tcBorders>
            <w:vAlign w:val="center"/>
          </w:tcPr>
          <w:p w:rsidR="00BF1A3B" w:rsidRPr="006E78E0" w:rsidRDefault="00BF1A3B" w:rsidP="00BF1A3B">
            <w:pPr>
              <w:tabs>
                <w:tab w:val="decimal" w:pos="417"/>
              </w:tabs>
              <w:rPr>
                <w:sz w:val="20"/>
                <w:szCs w:val="20"/>
              </w:rPr>
            </w:pPr>
            <w:r w:rsidRPr="006E78E0">
              <w:rPr>
                <w:sz w:val="20"/>
                <w:szCs w:val="20"/>
              </w:rPr>
              <w:t>-3.22**</w:t>
            </w:r>
          </w:p>
        </w:tc>
      </w:tr>
      <w:tr w:rsidR="00BF1A3B" w:rsidRPr="006E78E0" w:rsidTr="00BF1A3B">
        <w:tblPrEx>
          <w:tblBorders>
            <w:top w:val="none" w:sz="0" w:space="0" w:color="auto"/>
          </w:tblBorders>
        </w:tblPrEx>
        <w:trPr>
          <w:trHeight w:val="432"/>
          <w:jc w:val="center"/>
        </w:trPr>
        <w:tc>
          <w:tcPr>
            <w:tcW w:w="333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sidRPr="00861D01">
              <w:rPr>
                <w:i/>
                <w:sz w:val="20"/>
                <w:szCs w:val="20"/>
              </w:rPr>
              <w:t>Child is ‘Other’</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r w:rsidRPr="006E78E0">
              <w:rPr>
                <w:sz w:val="20"/>
                <w:szCs w:val="20"/>
              </w:rPr>
              <w:t>-0.00</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r w:rsidRPr="006E78E0">
              <w:rPr>
                <w:sz w:val="20"/>
                <w:szCs w:val="20"/>
              </w:rPr>
              <w:t>0.04</w:t>
            </w:r>
          </w:p>
        </w:tc>
        <w:tc>
          <w:tcPr>
            <w:tcW w:w="1350" w:type="dxa"/>
            <w:tcBorders>
              <w:top w:val="nil"/>
              <w:left w:val="nil"/>
              <w:bottom w:val="nil"/>
              <w:right w:val="single" w:sz="6" w:space="0" w:color="BFBFBF"/>
            </w:tcBorders>
            <w:vAlign w:val="center"/>
          </w:tcPr>
          <w:p w:rsidR="00BF1A3B" w:rsidRPr="006E78E0" w:rsidRDefault="00BF1A3B" w:rsidP="00BF1A3B">
            <w:pPr>
              <w:tabs>
                <w:tab w:val="decimal" w:pos="417"/>
              </w:tabs>
              <w:rPr>
                <w:sz w:val="20"/>
                <w:szCs w:val="20"/>
              </w:rPr>
            </w:pPr>
            <w:r w:rsidRPr="006E78E0">
              <w:rPr>
                <w:sz w:val="20"/>
                <w:szCs w:val="20"/>
              </w:rPr>
              <w:t>0.06</w:t>
            </w:r>
          </w:p>
        </w:tc>
        <w:tc>
          <w:tcPr>
            <w:tcW w:w="1350" w:type="dxa"/>
            <w:tcBorders>
              <w:top w:val="nil"/>
              <w:left w:val="single" w:sz="6" w:space="0" w:color="BFBFBF"/>
              <w:bottom w:val="nil"/>
              <w:right w:val="nil"/>
            </w:tcBorders>
            <w:vAlign w:val="center"/>
          </w:tcPr>
          <w:p w:rsidR="00BF1A3B" w:rsidRPr="006E78E0" w:rsidRDefault="00BF1A3B" w:rsidP="00BF1A3B">
            <w:pPr>
              <w:tabs>
                <w:tab w:val="decimal" w:pos="417"/>
              </w:tabs>
              <w:rPr>
                <w:sz w:val="20"/>
                <w:szCs w:val="20"/>
              </w:rPr>
            </w:pPr>
            <w:r w:rsidRPr="006E78E0">
              <w:rPr>
                <w:sz w:val="20"/>
                <w:szCs w:val="20"/>
              </w:rPr>
              <w:t>0.05</w:t>
            </w:r>
          </w:p>
        </w:tc>
      </w:tr>
      <w:tr w:rsidR="00BF1A3B" w:rsidRPr="006E78E0" w:rsidTr="00BF1A3B">
        <w:tblPrEx>
          <w:tblBorders>
            <w:top w:val="none" w:sz="0" w:space="0" w:color="auto"/>
          </w:tblBorders>
        </w:tblPrEx>
        <w:trPr>
          <w:trHeight w:val="432"/>
          <w:jc w:val="center"/>
        </w:trPr>
        <w:tc>
          <w:tcPr>
            <w:tcW w:w="3330" w:type="dxa"/>
            <w:tcBorders>
              <w:top w:val="nil"/>
              <w:left w:val="nil"/>
              <w:bottom w:val="nil"/>
              <w:right w:val="nil"/>
            </w:tcBorders>
            <w:vAlign w:val="center"/>
          </w:tcPr>
          <w:p w:rsidR="00BF1A3B" w:rsidRPr="00C11F15" w:rsidRDefault="00BF1A3B" w:rsidP="00BF1A3B">
            <w:pPr>
              <w:ind w:left="252" w:hanging="252"/>
              <w:rPr>
                <w:rFonts w:cs="Cambria"/>
                <w:i/>
                <w:color w:val="000000"/>
                <w:sz w:val="20"/>
                <w:szCs w:val="20"/>
              </w:rPr>
            </w:pPr>
            <w:r>
              <w:rPr>
                <w:rFonts w:cs="Cambria"/>
                <w:i/>
                <w:color w:val="000000"/>
                <w:sz w:val="20"/>
                <w:szCs w:val="20"/>
              </w:rPr>
              <w:t>Child is in METCO Program</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r w:rsidRPr="006E78E0">
              <w:rPr>
                <w:sz w:val="20"/>
                <w:szCs w:val="20"/>
              </w:rPr>
              <w:t>-1.84**</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r w:rsidRPr="006E78E0">
              <w:rPr>
                <w:sz w:val="20"/>
                <w:szCs w:val="20"/>
              </w:rPr>
              <w:t>-1.92**</w:t>
            </w:r>
          </w:p>
        </w:tc>
        <w:tc>
          <w:tcPr>
            <w:tcW w:w="1350" w:type="dxa"/>
            <w:tcBorders>
              <w:top w:val="nil"/>
              <w:left w:val="nil"/>
              <w:bottom w:val="nil"/>
              <w:right w:val="single" w:sz="6" w:space="0" w:color="BFBFBF"/>
            </w:tcBorders>
            <w:vAlign w:val="center"/>
          </w:tcPr>
          <w:p w:rsidR="00BF1A3B" w:rsidRPr="006E78E0" w:rsidRDefault="00BF1A3B" w:rsidP="00BF1A3B">
            <w:pPr>
              <w:tabs>
                <w:tab w:val="decimal" w:pos="417"/>
              </w:tabs>
              <w:rPr>
                <w:sz w:val="20"/>
                <w:szCs w:val="20"/>
              </w:rPr>
            </w:pPr>
            <w:r w:rsidRPr="006E78E0">
              <w:rPr>
                <w:sz w:val="20"/>
                <w:szCs w:val="20"/>
              </w:rPr>
              <w:t>-1.94**</w:t>
            </w:r>
          </w:p>
        </w:tc>
        <w:tc>
          <w:tcPr>
            <w:tcW w:w="1350" w:type="dxa"/>
            <w:tcBorders>
              <w:top w:val="nil"/>
              <w:left w:val="single" w:sz="6" w:space="0" w:color="BFBFBF"/>
              <w:bottom w:val="nil"/>
              <w:right w:val="nil"/>
            </w:tcBorders>
            <w:vAlign w:val="center"/>
          </w:tcPr>
          <w:p w:rsidR="00BF1A3B" w:rsidRPr="006E78E0" w:rsidRDefault="00BF1A3B" w:rsidP="00BF1A3B">
            <w:pPr>
              <w:tabs>
                <w:tab w:val="decimal" w:pos="417"/>
              </w:tabs>
              <w:rPr>
                <w:sz w:val="20"/>
                <w:szCs w:val="20"/>
              </w:rPr>
            </w:pPr>
            <w:r w:rsidRPr="006E78E0">
              <w:rPr>
                <w:sz w:val="20"/>
                <w:szCs w:val="20"/>
              </w:rPr>
              <w:t>-1.91**</w:t>
            </w:r>
          </w:p>
        </w:tc>
      </w:tr>
      <w:tr w:rsidR="00BF1A3B" w:rsidRPr="006E78E0" w:rsidTr="00BF1A3B">
        <w:tblPrEx>
          <w:tblBorders>
            <w:top w:val="none" w:sz="0" w:space="0" w:color="auto"/>
          </w:tblBorders>
        </w:tblPrEx>
        <w:trPr>
          <w:trHeight w:val="432"/>
          <w:jc w:val="center"/>
        </w:trPr>
        <w:tc>
          <w:tcPr>
            <w:tcW w:w="3330" w:type="dxa"/>
            <w:tcBorders>
              <w:top w:val="nil"/>
              <w:left w:val="nil"/>
              <w:bottom w:val="nil"/>
              <w:right w:val="nil"/>
            </w:tcBorders>
            <w:vAlign w:val="center"/>
          </w:tcPr>
          <w:p w:rsidR="00BF1A3B" w:rsidRPr="00C11F15" w:rsidRDefault="00BF1A3B" w:rsidP="00BF1A3B">
            <w:pPr>
              <w:ind w:left="252" w:hanging="252"/>
              <w:rPr>
                <w:rFonts w:cs="Cambria"/>
                <w:i/>
                <w:color w:val="000000"/>
                <w:sz w:val="20"/>
                <w:szCs w:val="20"/>
              </w:rPr>
            </w:pPr>
            <w:r>
              <w:rPr>
                <w:rFonts w:cs="Cambria"/>
                <w:i/>
                <w:color w:val="000000"/>
                <w:sz w:val="20"/>
                <w:szCs w:val="20"/>
              </w:rPr>
              <w:t>Child is Included in Mainstream Classes 40-79% of School Day</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single" w:sz="6" w:space="0" w:color="BFBFBF"/>
            </w:tcBorders>
            <w:vAlign w:val="center"/>
          </w:tcPr>
          <w:p w:rsidR="00BF1A3B" w:rsidRPr="006E78E0" w:rsidRDefault="00BF1A3B" w:rsidP="00BF1A3B">
            <w:pPr>
              <w:tabs>
                <w:tab w:val="decimal" w:pos="417"/>
              </w:tabs>
              <w:rPr>
                <w:sz w:val="20"/>
                <w:szCs w:val="20"/>
              </w:rPr>
            </w:pPr>
            <w:r w:rsidRPr="006E78E0">
              <w:rPr>
                <w:sz w:val="20"/>
                <w:szCs w:val="20"/>
              </w:rPr>
              <w:t>-8.96**</w:t>
            </w:r>
          </w:p>
        </w:tc>
        <w:tc>
          <w:tcPr>
            <w:tcW w:w="1350" w:type="dxa"/>
            <w:tcBorders>
              <w:top w:val="nil"/>
              <w:left w:val="single" w:sz="6" w:space="0" w:color="BFBFBF"/>
              <w:bottom w:val="nil"/>
              <w:right w:val="nil"/>
            </w:tcBorders>
            <w:vAlign w:val="center"/>
          </w:tcPr>
          <w:p w:rsidR="00BF1A3B" w:rsidRPr="006E78E0" w:rsidRDefault="00BF1A3B" w:rsidP="00BF1A3B">
            <w:pPr>
              <w:tabs>
                <w:tab w:val="decimal" w:pos="417"/>
              </w:tabs>
              <w:rPr>
                <w:sz w:val="20"/>
                <w:szCs w:val="20"/>
              </w:rPr>
            </w:pPr>
            <w:r w:rsidRPr="006E78E0">
              <w:rPr>
                <w:sz w:val="20"/>
                <w:szCs w:val="20"/>
              </w:rPr>
              <w:t>-9.03**</w:t>
            </w:r>
          </w:p>
        </w:tc>
      </w:tr>
      <w:tr w:rsidR="00BF1A3B" w:rsidRPr="006E78E0" w:rsidTr="00BF1A3B">
        <w:tblPrEx>
          <w:tblBorders>
            <w:top w:val="none" w:sz="0" w:space="0" w:color="auto"/>
          </w:tblBorders>
        </w:tblPrEx>
        <w:trPr>
          <w:trHeight w:val="432"/>
          <w:jc w:val="center"/>
        </w:trPr>
        <w:tc>
          <w:tcPr>
            <w:tcW w:w="333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Pr>
                <w:rFonts w:cs="Cambria"/>
                <w:i/>
                <w:color w:val="000000"/>
                <w:sz w:val="20"/>
                <w:szCs w:val="20"/>
              </w:rPr>
              <w:t>Child is Included in Mainstream Classes 0-40% of School Day</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single" w:sz="6" w:space="0" w:color="BFBFBF"/>
            </w:tcBorders>
            <w:vAlign w:val="center"/>
          </w:tcPr>
          <w:p w:rsidR="00BF1A3B" w:rsidRPr="006E78E0" w:rsidRDefault="00BF1A3B" w:rsidP="00BF1A3B">
            <w:pPr>
              <w:tabs>
                <w:tab w:val="decimal" w:pos="417"/>
              </w:tabs>
              <w:rPr>
                <w:sz w:val="20"/>
                <w:szCs w:val="20"/>
              </w:rPr>
            </w:pPr>
            <w:r w:rsidRPr="006E78E0">
              <w:rPr>
                <w:sz w:val="20"/>
                <w:szCs w:val="20"/>
              </w:rPr>
              <w:t>-8.52**</w:t>
            </w:r>
          </w:p>
        </w:tc>
        <w:tc>
          <w:tcPr>
            <w:tcW w:w="1350" w:type="dxa"/>
            <w:tcBorders>
              <w:top w:val="nil"/>
              <w:left w:val="single" w:sz="6" w:space="0" w:color="BFBFBF"/>
              <w:bottom w:val="nil"/>
              <w:right w:val="nil"/>
            </w:tcBorders>
            <w:vAlign w:val="center"/>
          </w:tcPr>
          <w:p w:rsidR="00BF1A3B" w:rsidRPr="006E78E0" w:rsidRDefault="00BF1A3B" w:rsidP="00BF1A3B">
            <w:pPr>
              <w:tabs>
                <w:tab w:val="decimal" w:pos="417"/>
              </w:tabs>
              <w:rPr>
                <w:sz w:val="20"/>
                <w:szCs w:val="20"/>
              </w:rPr>
            </w:pPr>
            <w:r w:rsidRPr="006E78E0">
              <w:rPr>
                <w:sz w:val="20"/>
                <w:szCs w:val="20"/>
              </w:rPr>
              <w:t>-8.57**</w:t>
            </w:r>
          </w:p>
        </w:tc>
      </w:tr>
      <w:tr w:rsidR="00BF1A3B" w:rsidRPr="006E78E0" w:rsidTr="00BF1A3B">
        <w:tblPrEx>
          <w:tblBorders>
            <w:top w:val="none" w:sz="0" w:space="0" w:color="auto"/>
          </w:tblBorders>
        </w:tblPrEx>
        <w:trPr>
          <w:trHeight w:val="144"/>
          <w:jc w:val="center"/>
        </w:trPr>
        <w:tc>
          <w:tcPr>
            <w:tcW w:w="3330" w:type="dxa"/>
            <w:tcBorders>
              <w:top w:val="nil"/>
              <w:left w:val="nil"/>
              <w:bottom w:val="nil"/>
              <w:right w:val="nil"/>
            </w:tcBorders>
            <w:vAlign w:val="center"/>
          </w:tcPr>
          <w:p w:rsidR="00BF1A3B" w:rsidRPr="00D55373" w:rsidRDefault="00BF1A3B" w:rsidP="00BF1A3B">
            <w:pPr>
              <w:ind w:left="252" w:hanging="252"/>
              <w:rPr>
                <w:rFonts w:cs="Cambria"/>
                <w:color w:val="000000"/>
                <w:sz w:val="14"/>
                <w:szCs w:val="14"/>
                <w:u w:val="single"/>
              </w:rPr>
            </w:pPr>
          </w:p>
        </w:tc>
        <w:tc>
          <w:tcPr>
            <w:tcW w:w="1350" w:type="dxa"/>
            <w:tcBorders>
              <w:top w:val="nil"/>
              <w:left w:val="nil"/>
              <w:bottom w:val="nil"/>
              <w:right w:val="nil"/>
            </w:tcBorders>
            <w:vAlign w:val="center"/>
          </w:tcPr>
          <w:p w:rsidR="00BF1A3B" w:rsidRPr="0068100D" w:rsidRDefault="00BF1A3B" w:rsidP="00BF1A3B">
            <w:pPr>
              <w:tabs>
                <w:tab w:val="decimal" w:pos="417"/>
              </w:tabs>
              <w:rPr>
                <w:sz w:val="14"/>
                <w:szCs w:val="14"/>
              </w:rPr>
            </w:pPr>
          </w:p>
        </w:tc>
        <w:tc>
          <w:tcPr>
            <w:tcW w:w="1350" w:type="dxa"/>
            <w:tcBorders>
              <w:top w:val="nil"/>
              <w:left w:val="nil"/>
              <w:bottom w:val="nil"/>
              <w:right w:val="nil"/>
            </w:tcBorders>
            <w:vAlign w:val="center"/>
          </w:tcPr>
          <w:p w:rsidR="00BF1A3B" w:rsidRPr="0068100D" w:rsidRDefault="00BF1A3B" w:rsidP="00BF1A3B">
            <w:pPr>
              <w:tabs>
                <w:tab w:val="decimal" w:pos="417"/>
              </w:tabs>
              <w:rPr>
                <w:sz w:val="14"/>
                <w:szCs w:val="14"/>
              </w:rPr>
            </w:pPr>
          </w:p>
        </w:tc>
        <w:tc>
          <w:tcPr>
            <w:tcW w:w="1350" w:type="dxa"/>
            <w:tcBorders>
              <w:top w:val="nil"/>
              <w:left w:val="nil"/>
              <w:bottom w:val="nil"/>
              <w:right w:val="nil"/>
            </w:tcBorders>
            <w:vAlign w:val="center"/>
          </w:tcPr>
          <w:p w:rsidR="00BF1A3B" w:rsidRPr="0068100D" w:rsidRDefault="00BF1A3B" w:rsidP="00BF1A3B">
            <w:pPr>
              <w:tabs>
                <w:tab w:val="decimal" w:pos="417"/>
              </w:tabs>
              <w:rPr>
                <w:sz w:val="14"/>
                <w:szCs w:val="14"/>
              </w:rPr>
            </w:pPr>
          </w:p>
        </w:tc>
        <w:tc>
          <w:tcPr>
            <w:tcW w:w="1350" w:type="dxa"/>
            <w:tcBorders>
              <w:top w:val="nil"/>
              <w:left w:val="nil"/>
              <w:bottom w:val="nil"/>
              <w:right w:val="single" w:sz="6" w:space="0" w:color="BFBFBF"/>
            </w:tcBorders>
            <w:vAlign w:val="center"/>
          </w:tcPr>
          <w:p w:rsidR="00BF1A3B" w:rsidRPr="0068100D" w:rsidRDefault="00BF1A3B" w:rsidP="00BF1A3B">
            <w:pPr>
              <w:tabs>
                <w:tab w:val="decimal" w:pos="417"/>
              </w:tabs>
              <w:rPr>
                <w:sz w:val="14"/>
                <w:szCs w:val="14"/>
              </w:rPr>
            </w:pPr>
          </w:p>
        </w:tc>
        <w:tc>
          <w:tcPr>
            <w:tcW w:w="1350" w:type="dxa"/>
            <w:tcBorders>
              <w:top w:val="nil"/>
              <w:left w:val="single" w:sz="6" w:space="0" w:color="BFBFBF"/>
              <w:bottom w:val="nil"/>
              <w:right w:val="nil"/>
            </w:tcBorders>
            <w:vAlign w:val="center"/>
          </w:tcPr>
          <w:p w:rsidR="00BF1A3B" w:rsidRPr="0068100D" w:rsidRDefault="00BF1A3B" w:rsidP="00BF1A3B">
            <w:pPr>
              <w:tabs>
                <w:tab w:val="decimal" w:pos="417"/>
              </w:tabs>
              <w:rPr>
                <w:sz w:val="14"/>
                <w:szCs w:val="14"/>
              </w:rPr>
            </w:pPr>
          </w:p>
        </w:tc>
      </w:tr>
      <w:tr w:rsidR="00BF1A3B" w:rsidRPr="006E78E0" w:rsidTr="00BF1A3B">
        <w:tblPrEx>
          <w:tblBorders>
            <w:top w:val="none" w:sz="0" w:space="0" w:color="auto"/>
          </w:tblBorders>
        </w:tblPrEx>
        <w:trPr>
          <w:trHeight w:val="432"/>
          <w:jc w:val="center"/>
        </w:trPr>
        <w:tc>
          <w:tcPr>
            <w:tcW w:w="3330" w:type="dxa"/>
            <w:tcBorders>
              <w:top w:val="nil"/>
              <w:left w:val="nil"/>
              <w:bottom w:val="nil"/>
              <w:right w:val="nil"/>
            </w:tcBorders>
            <w:vAlign w:val="center"/>
          </w:tcPr>
          <w:p w:rsidR="00BF1A3B" w:rsidRDefault="00BF1A3B" w:rsidP="00BF1A3B">
            <w:pPr>
              <w:ind w:left="252" w:hanging="252"/>
              <w:rPr>
                <w:rFonts w:cs="Cambria"/>
                <w:color w:val="000000"/>
                <w:sz w:val="20"/>
                <w:szCs w:val="20"/>
              </w:rPr>
            </w:pPr>
            <w:r>
              <w:rPr>
                <w:rFonts w:cs="Cambria"/>
                <w:color w:val="000000"/>
                <w:sz w:val="20"/>
                <w:szCs w:val="20"/>
                <w:u w:val="single"/>
              </w:rPr>
              <w:t>Child-Level Interactions</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single" w:sz="6" w:space="0" w:color="BFBFBF"/>
            </w:tcBorders>
            <w:vAlign w:val="center"/>
          </w:tcPr>
          <w:p w:rsidR="00BF1A3B" w:rsidRPr="006E78E0" w:rsidRDefault="00BF1A3B" w:rsidP="00BF1A3B">
            <w:pPr>
              <w:tabs>
                <w:tab w:val="decimal" w:pos="417"/>
              </w:tabs>
              <w:rPr>
                <w:sz w:val="20"/>
                <w:szCs w:val="20"/>
              </w:rPr>
            </w:pPr>
          </w:p>
        </w:tc>
        <w:tc>
          <w:tcPr>
            <w:tcW w:w="1350" w:type="dxa"/>
            <w:tcBorders>
              <w:top w:val="nil"/>
              <w:left w:val="single" w:sz="6" w:space="0" w:color="BFBFBF"/>
              <w:bottom w:val="nil"/>
              <w:right w:val="nil"/>
            </w:tcBorders>
            <w:vAlign w:val="center"/>
          </w:tcPr>
          <w:p w:rsidR="00BF1A3B" w:rsidRPr="006E78E0" w:rsidRDefault="00BF1A3B" w:rsidP="00BF1A3B">
            <w:pPr>
              <w:tabs>
                <w:tab w:val="decimal" w:pos="417"/>
              </w:tabs>
              <w:rPr>
                <w:sz w:val="20"/>
                <w:szCs w:val="20"/>
              </w:rPr>
            </w:pPr>
          </w:p>
        </w:tc>
      </w:tr>
      <w:tr w:rsidR="00BF1A3B" w:rsidRPr="006E78E0" w:rsidTr="00BF1A3B">
        <w:tblPrEx>
          <w:tblBorders>
            <w:top w:val="none" w:sz="0" w:space="0" w:color="auto"/>
          </w:tblBorders>
        </w:tblPrEx>
        <w:trPr>
          <w:trHeight w:val="432"/>
          <w:jc w:val="center"/>
        </w:trPr>
        <w:tc>
          <w:tcPr>
            <w:tcW w:w="333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Pr>
                <w:rFonts w:cs="Cambria"/>
                <w:i/>
                <w:color w:val="000000"/>
                <w:sz w:val="20"/>
                <w:szCs w:val="20"/>
              </w:rPr>
              <w:t xml:space="preserve">Child ‘High Incidence’ Designation </w:t>
            </w:r>
            <w:r>
              <w:rPr>
                <w:rFonts w:cs="Cambria"/>
                <w:i/>
                <w:color w:val="000000"/>
                <w:sz w:val="20"/>
                <w:szCs w:val="20"/>
              </w:rPr>
              <w:br/>
              <w:t>x Included 40-79% of Day</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single" w:sz="6" w:space="0" w:color="BFBFBF"/>
            </w:tcBorders>
            <w:vAlign w:val="center"/>
          </w:tcPr>
          <w:p w:rsidR="00BF1A3B" w:rsidRPr="006E78E0" w:rsidRDefault="00BF1A3B" w:rsidP="00BF1A3B">
            <w:pPr>
              <w:tabs>
                <w:tab w:val="decimal" w:pos="417"/>
              </w:tabs>
              <w:rPr>
                <w:sz w:val="20"/>
                <w:szCs w:val="20"/>
              </w:rPr>
            </w:pPr>
            <w:r w:rsidRPr="006E78E0">
              <w:rPr>
                <w:sz w:val="20"/>
                <w:szCs w:val="20"/>
              </w:rPr>
              <w:t>2.49**</w:t>
            </w:r>
          </w:p>
        </w:tc>
        <w:tc>
          <w:tcPr>
            <w:tcW w:w="1350" w:type="dxa"/>
            <w:tcBorders>
              <w:top w:val="nil"/>
              <w:left w:val="single" w:sz="6" w:space="0" w:color="BFBFBF"/>
              <w:bottom w:val="nil"/>
              <w:right w:val="nil"/>
            </w:tcBorders>
            <w:vAlign w:val="center"/>
          </w:tcPr>
          <w:p w:rsidR="00BF1A3B" w:rsidRPr="006E78E0" w:rsidRDefault="00BF1A3B" w:rsidP="00BF1A3B">
            <w:pPr>
              <w:tabs>
                <w:tab w:val="decimal" w:pos="417"/>
              </w:tabs>
              <w:rPr>
                <w:sz w:val="20"/>
                <w:szCs w:val="20"/>
              </w:rPr>
            </w:pPr>
            <w:r w:rsidRPr="006E78E0">
              <w:rPr>
                <w:sz w:val="20"/>
                <w:szCs w:val="20"/>
              </w:rPr>
              <w:t>2.49**</w:t>
            </w:r>
          </w:p>
        </w:tc>
      </w:tr>
      <w:tr w:rsidR="00BF1A3B" w:rsidRPr="006E78E0" w:rsidTr="00BF1A3B">
        <w:tblPrEx>
          <w:tblBorders>
            <w:top w:val="none" w:sz="0" w:space="0" w:color="auto"/>
          </w:tblBorders>
        </w:tblPrEx>
        <w:trPr>
          <w:trHeight w:val="432"/>
          <w:jc w:val="center"/>
        </w:trPr>
        <w:tc>
          <w:tcPr>
            <w:tcW w:w="333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Pr>
                <w:rFonts w:cs="Cambria"/>
                <w:i/>
                <w:color w:val="000000"/>
                <w:sz w:val="20"/>
                <w:szCs w:val="20"/>
              </w:rPr>
              <w:t>Child ‘High Incidence’ Designation</w:t>
            </w:r>
            <w:r>
              <w:rPr>
                <w:rFonts w:cs="Cambria"/>
                <w:i/>
                <w:color w:val="000000"/>
                <w:sz w:val="20"/>
                <w:szCs w:val="20"/>
              </w:rPr>
              <w:br/>
              <w:t xml:space="preserve"> x Included 0-40% of Day</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single" w:sz="6" w:space="0" w:color="BFBFBF"/>
            </w:tcBorders>
            <w:vAlign w:val="center"/>
          </w:tcPr>
          <w:p w:rsidR="00BF1A3B" w:rsidRPr="006E78E0" w:rsidRDefault="00BF1A3B" w:rsidP="00BF1A3B">
            <w:pPr>
              <w:tabs>
                <w:tab w:val="decimal" w:pos="417"/>
              </w:tabs>
              <w:rPr>
                <w:sz w:val="20"/>
                <w:szCs w:val="20"/>
              </w:rPr>
            </w:pPr>
            <w:r w:rsidRPr="006E78E0">
              <w:rPr>
                <w:sz w:val="20"/>
                <w:szCs w:val="20"/>
              </w:rPr>
              <w:t>1.17</w:t>
            </w:r>
          </w:p>
        </w:tc>
        <w:tc>
          <w:tcPr>
            <w:tcW w:w="1350" w:type="dxa"/>
            <w:tcBorders>
              <w:top w:val="nil"/>
              <w:left w:val="single" w:sz="6" w:space="0" w:color="BFBFBF"/>
              <w:bottom w:val="nil"/>
              <w:right w:val="nil"/>
            </w:tcBorders>
            <w:vAlign w:val="center"/>
          </w:tcPr>
          <w:p w:rsidR="00BF1A3B" w:rsidRPr="006E78E0" w:rsidRDefault="00BF1A3B" w:rsidP="00BF1A3B">
            <w:pPr>
              <w:tabs>
                <w:tab w:val="decimal" w:pos="417"/>
              </w:tabs>
              <w:rPr>
                <w:sz w:val="20"/>
                <w:szCs w:val="20"/>
              </w:rPr>
            </w:pPr>
            <w:r w:rsidRPr="006E78E0">
              <w:rPr>
                <w:sz w:val="20"/>
                <w:szCs w:val="20"/>
              </w:rPr>
              <w:t>1.17</w:t>
            </w:r>
          </w:p>
        </w:tc>
      </w:tr>
      <w:tr w:rsidR="00BF1A3B" w:rsidRPr="006E78E0" w:rsidTr="00BF1A3B">
        <w:tblPrEx>
          <w:tblBorders>
            <w:top w:val="none" w:sz="0" w:space="0" w:color="auto"/>
          </w:tblBorders>
        </w:tblPrEx>
        <w:trPr>
          <w:trHeight w:val="432"/>
          <w:jc w:val="center"/>
        </w:trPr>
        <w:tc>
          <w:tcPr>
            <w:tcW w:w="333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Pr>
                <w:rFonts w:cs="Cambria"/>
                <w:i/>
                <w:color w:val="000000"/>
                <w:sz w:val="20"/>
                <w:szCs w:val="20"/>
              </w:rPr>
              <w:t>Child is Hispanic x has Limited English Proficiency</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single" w:sz="6" w:space="0" w:color="BFBFBF"/>
            </w:tcBorders>
            <w:vAlign w:val="center"/>
          </w:tcPr>
          <w:p w:rsidR="00BF1A3B" w:rsidRPr="006E78E0" w:rsidRDefault="00BF1A3B" w:rsidP="00BF1A3B">
            <w:pPr>
              <w:tabs>
                <w:tab w:val="decimal" w:pos="417"/>
              </w:tabs>
              <w:rPr>
                <w:sz w:val="20"/>
                <w:szCs w:val="20"/>
              </w:rPr>
            </w:pPr>
            <w:r w:rsidRPr="006E78E0">
              <w:rPr>
                <w:sz w:val="20"/>
                <w:szCs w:val="20"/>
              </w:rPr>
              <w:t>-0.13</w:t>
            </w:r>
          </w:p>
        </w:tc>
        <w:tc>
          <w:tcPr>
            <w:tcW w:w="1350" w:type="dxa"/>
            <w:tcBorders>
              <w:top w:val="nil"/>
              <w:left w:val="single" w:sz="6" w:space="0" w:color="BFBFBF"/>
              <w:bottom w:val="nil"/>
              <w:right w:val="nil"/>
            </w:tcBorders>
            <w:vAlign w:val="center"/>
          </w:tcPr>
          <w:p w:rsidR="00BF1A3B" w:rsidRPr="006E78E0" w:rsidRDefault="00BF1A3B" w:rsidP="00BF1A3B">
            <w:pPr>
              <w:tabs>
                <w:tab w:val="decimal" w:pos="417"/>
              </w:tabs>
              <w:rPr>
                <w:sz w:val="20"/>
                <w:szCs w:val="20"/>
              </w:rPr>
            </w:pPr>
            <w:r w:rsidRPr="006E78E0">
              <w:rPr>
                <w:sz w:val="20"/>
                <w:szCs w:val="20"/>
              </w:rPr>
              <w:t>-0.14</w:t>
            </w:r>
          </w:p>
        </w:tc>
      </w:tr>
      <w:tr w:rsidR="00BF1A3B" w:rsidRPr="006E78E0" w:rsidTr="00BF1A3B">
        <w:tblPrEx>
          <w:tblBorders>
            <w:top w:val="none" w:sz="0" w:space="0" w:color="auto"/>
          </w:tblBorders>
        </w:tblPrEx>
        <w:trPr>
          <w:trHeight w:val="432"/>
          <w:jc w:val="center"/>
        </w:trPr>
        <w:tc>
          <w:tcPr>
            <w:tcW w:w="333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Pr>
                <w:rFonts w:cs="Cambria"/>
                <w:i/>
                <w:color w:val="000000"/>
                <w:sz w:val="20"/>
                <w:szCs w:val="20"/>
              </w:rPr>
              <w:t xml:space="preserve">Child ‘High Incidence’ Designation </w:t>
            </w:r>
            <w:r>
              <w:rPr>
                <w:rFonts w:cs="Cambria"/>
                <w:i/>
                <w:color w:val="000000"/>
                <w:sz w:val="20"/>
                <w:szCs w:val="20"/>
              </w:rPr>
              <w:br/>
            </w:r>
            <w:r w:rsidRPr="0049575A">
              <w:rPr>
                <w:rFonts w:cs="Cambria"/>
                <w:i/>
                <w:color w:val="000000"/>
                <w:sz w:val="20"/>
                <w:szCs w:val="20"/>
              </w:rPr>
              <w:t>x eligible for FRPL</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single" w:sz="6" w:space="0" w:color="BFBFBF"/>
            </w:tcBorders>
            <w:vAlign w:val="center"/>
          </w:tcPr>
          <w:p w:rsidR="00BF1A3B" w:rsidRPr="006E78E0" w:rsidRDefault="00BF1A3B" w:rsidP="00BF1A3B">
            <w:pPr>
              <w:tabs>
                <w:tab w:val="decimal" w:pos="417"/>
              </w:tabs>
              <w:rPr>
                <w:sz w:val="20"/>
                <w:szCs w:val="20"/>
              </w:rPr>
            </w:pPr>
            <w:r w:rsidRPr="006E78E0">
              <w:rPr>
                <w:sz w:val="20"/>
                <w:szCs w:val="20"/>
              </w:rPr>
              <w:t>3.57**</w:t>
            </w:r>
          </w:p>
        </w:tc>
        <w:tc>
          <w:tcPr>
            <w:tcW w:w="1350" w:type="dxa"/>
            <w:tcBorders>
              <w:top w:val="nil"/>
              <w:left w:val="single" w:sz="6" w:space="0" w:color="BFBFBF"/>
              <w:bottom w:val="nil"/>
              <w:right w:val="nil"/>
            </w:tcBorders>
            <w:vAlign w:val="center"/>
          </w:tcPr>
          <w:p w:rsidR="00BF1A3B" w:rsidRPr="006E78E0" w:rsidRDefault="00BF1A3B" w:rsidP="00BF1A3B">
            <w:pPr>
              <w:tabs>
                <w:tab w:val="decimal" w:pos="417"/>
              </w:tabs>
              <w:rPr>
                <w:sz w:val="20"/>
                <w:szCs w:val="20"/>
              </w:rPr>
            </w:pPr>
            <w:r w:rsidRPr="006E78E0">
              <w:rPr>
                <w:sz w:val="20"/>
                <w:szCs w:val="20"/>
              </w:rPr>
              <w:t>3.58**</w:t>
            </w:r>
          </w:p>
        </w:tc>
      </w:tr>
      <w:tr w:rsidR="00BF1A3B" w:rsidRPr="006E78E0" w:rsidTr="00BF1A3B">
        <w:tblPrEx>
          <w:tblBorders>
            <w:top w:val="none" w:sz="0" w:space="0" w:color="auto"/>
          </w:tblBorders>
        </w:tblPrEx>
        <w:trPr>
          <w:trHeight w:val="432"/>
          <w:jc w:val="center"/>
        </w:trPr>
        <w:tc>
          <w:tcPr>
            <w:tcW w:w="333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Pr>
                <w:rFonts w:cs="Cambria"/>
                <w:i/>
                <w:color w:val="000000"/>
                <w:sz w:val="20"/>
                <w:szCs w:val="20"/>
              </w:rPr>
              <w:t>Child another</w:t>
            </w:r>
            <w:r w:rsidRPr="0049575A">
              <w:rPr>
                <w:rFonts w:cs="Cambria"/>
                <w:i/>
                <w:color w:val="000000"/>
                <w:sz w:val="20"/>
                <w:szCs w:val="20"/>
              </w:rPr>
              <w:t xml:space="preserve"> </w:t>
            </w:r>
            <w:r>
              <w:rPr>
                <w:rFonts w:cs="Cambria"/>
                <w:i/>
                <w:color w:val="000000"/>
                <w:sz w:val="20"/>
                <w:szCs w:val="20"/>
              </w:rPr>
              <w:t>Disability Designation</w:t>
            </w:r>
            <w:r w:rsidRPr="0049575A">
              <w:rPr>
                <w:rFonts w:cs="Cambria"/>
                <w:i/>
                <w:color w:val="000000"/>
                <w:sz w:val="20"/>
                <w:szCs w:val="20"/>
              </w:rPr>
              <w:t xml:space="preserve"> x eligible for FRPL</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single" w:sz="6" w:space="0" w:color="BFBFBF"/>
            </w:tcBorders>
            <w:vAlign w:val="center"/>
          </w:tcPr>
          <w:p w:rsidR="00BF1A3B" w:rsidRPr="006E78E0" w:rsidRDefault="00BF1A3B" w:rsidP="00BF1A3B">
            <w:pPr>
              <w:tabs>
                <w:tab w:val="decimal" w:pos="417"/>
              </w:tabs>
              <w:rPr>
                <w:sz w:val="20"/>
                <w:szCs w:val="20"/>
              </w:rPr>
            </w:pPr>
            <w:r w:rsidRPr="006E78E0">
              <w:rPr>
                <w:sz w:val="20"/>
                <w:szCs w:val="20"/>
              </w:rPr>
              <w:t>2.75**</w:t>
            </w:r>
          </w:p>
        </w:tc>
        <w:tc>
          <w:tcPr>
            <w:tcW w:w="1350" w:type="dxa"/>
            <w:tcBorders>
              <w:top w:val="nil"/>
              <w:left w:val="single" w:sz="6" w:space="0" w:color="BFBFBF"/>
              <w:bottom w:val="nil"/>
              <w:right w:val="nil"/>
            </w:tcBorders>
            <w:vAlign w:val="center"/>
          </w:tcPr>
          <w:p w:rsidR="00BF1A3B" w:rsidRPr="006E78E0" w:rsidRDefault="00BF1A3B" w:rsidP="00BF1A3B">
            <w:pPr>
              <w:tabs>
                <w:tab w:val="decimal" w:pos="417"/>
              </w:tabs>
              <w:rPr>
                <w:sz w:val="20"/>
                <w:szCs w:val="20"/>
              </w:rPr>
            </w:pPr>
            <w:r w:rsidRPr="006E78E0">
              <w:rPr>
                <w:sz w:val="20"/>
                <w:szCs w:val="20"/>
              </w:rPr>
              <w:t>2.75**</w:t>
            </w:r>
          </w:p>
        </w:tc>
      </w:tr>
      <w:tr w:rsidR="00BF1A3B" w:rsidRPr="006E78E0" w:rsidTr="00BF1A3B">
        <w:tblPrEx>
          <w:tblBorders>
            <w:top w:val="none" w:sz="0" w:space="0" w:color="auto"/>
          </w:tblBorders>
        </w:tblPrEx>
        <w:trPr>
          <w:trHeight w:val="432"/>
          <w:jc w:val="center"/>
        </w:trPr>
        <w:tc>
          <w:tcPr>
            <w:tcW w:w="3330" w:type="dxa"/>
            <w:tcBorders>
              <w:top w:val="nil"/>
              <w:left w:val="nil"/>
              <w:bottom w:val="nil"/>
              <w:right w:val="nil"/>
            </w:tcBorders>
            <w:vAlign w:val="center"/>
          </w:tcPr>
          <w:p w:rsidR="00BF1A3B" w:rsidRPr="006E78E0" w:rsidRDefault="00BF1A3B" w:rsidP="00BF1A3B">
            <w:pPr>
              <w:ind w:left="252" w:hanging="252"/>
              <w:rPr>
                <w:rFonts w:cs="Cambria"/>
                <w:color w:val="000000"/>
                <w:sz w:val="20"/>
                <w:szCs w:val="20"/>
              </w:rPr>
            </w:pPr>
            <w:r>
              <w:rPr>
                <w:rFonts w:cs="Cambria"/>
                <w:i/>
                <w:color w:val="000000"/>
                <w:sz w:val="20"/>
                <w:szCs w:val="20"/>
              </w:rPr>
              <w:t>Child ‘High Incidence’ Designation</w:t>
            </w:r>
            <w:r w:rsidRPr="0049575A">
              <w:rPr>
                <w:rFonts w:cs="Cambria"/>
                <w:i/>
                <w:color w:val="000000"/>
                <w:sz w:val="20"/>
                <w:szCs w:val="20"/>
              </w:rPr>
              <w:t xml:space="preserve"> </w:t>
            </w:r>
            <w:r>
              <w:rPr>
                <w:rFonts w:cs="Cambria"/>
                <w:i/>
                <w:color w:val="000000"/>
                <w:sz w:val="20"/>
                <w:szCs w:val="20"/>
              </w:rPr>
              <w:br/>
            </w:r>
            <w:r w:rsidRPr="0049575A">
              <w:rPr>
                <w:rFonts w:cs="Cambria"/>
                <w:i/>
                <w:color w:val="000000"/>
                <w:sz w:val="20"/>
                <w:szCs w:val="20"/>
              </w:rPr>
              <w:t xml:space="preserve">x </w:t>
            </w:r>
            <w:r>
              <w:rPr>
                <w:rFonts w:cs="Cambria"/>
                <w:i/>
                <w:color w:val="000000"/>
                <w:sz w:val="20"/>
                <w:szCs w:val="20"/>
              </w:rPr>
              <w:t>Child is Female</w:t>
            </w: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nil"/>
              <w:right w:val="single" w:sz="6" w:space="0" w:color="BFBFBF"/>
            </w:tcBorders>
            <w:vAlign w:val="center"/>
          </w:tcPr>
          <w:p w:rsidR="00BF1A3B" w:rsidRPr="006E78E0" w:rsidRDefault="00BF1A3B" w:rsidP="00BF1A3B">
            <w:pPr>
              <w:tabs>
                <w:tab w:val="decimal" w:pos="417"/>
              </w:tabs>
              <w:rPr>
                <w:sz w:val="20"/>
                <w:szCs w:val="20"/>
              </w:rPr>
            </w:pPr>
            <w:r w:rsidRPr="006E78E0">
              <w:rPr>
                <w:sz w:val="20"/>
                <w:szCs w:val="20"/>
              </w:rPr>
              <w:t>-1.56**</w:t>
            </w:r>
          </w:p>
        </w:tc>
        <w:tc>
          <w:tcPr>
            <w:tcW w:w="1350" w:type="dxa"/>
            <w:tcBorders>
              <w:top w:val="nil"/>
              <w:left w:val="single" w:sz="6" w:space="0" w:color="BFBFBF"/>
              <w:bottom w:val="nil"/>
              <w:right w:val="nil"/>
            </w:tcBorders>
            <w:vAlign w:val="center"/>
          </w:tcPr>
          <w:p w:rsidR="00BF1A3B" w:rsidRPr="006E78E0" w:rsidRDefault="00BF1A3B" w:rsidP="00BF1A3B">
            <w:pPr>
              <w:tabs>
                <w:tab w:val="decimal" w:pos="417"/>
              </w:tabs>
              <w:rPr>
                <w:sz w:val="20"/>
                <w:szCs w:val="20"/>
              </w:rPr>
            </w:pPr>
            <w:r w:rsidRPr="006E78E0">
              <w:rPr>
                <w:sz w:val="20"/>
                <w:szCs w:val="20"/>
              </w:rPr>
              <w:t>-1.56**</w:t>
            </w:r>
          </w:p>
        </w:tc>
      </w:tr>
      <w:tr w:rsidR="00BF1A3B" w:rsidRPr="006E78E0" w:rsidTr="00BF1A3B">
        <w:tblPrEx>
          <w:tblBorders>
            <w:top w:val="none" w:sz="0" w:space="0" w:color="auto"/>
          </w:tblBorders>
        </w:tblPrEx>
        <w:trPr>
          <w:trHeight w:val="432"/>
          <w:jc w:val="center"/>
        </w:trPr>
        <w:tc>
          <w:tcPr>
            <w:tcW w:w="3330" w:type="dxa"/>
            <w:tcBorders>
              <w:top w:val="nil"/>
              <w:left w:val="nil"/>
              <w:bottom w:val="single" w:sz="6" w:space="0" w:color="auto"/>
              <w:right w:val="nil"/>
            </w:tcBorders>
            <w:vAlign w:val="center"/>
          </w:tcPr>
          <w:p w:rsidR="00BF1A3B" w:rsidRPr="006E78E0" w:rsidRDefault="00BF1A3B" w:rsidP="00BF1A3B">
            <w:pPr>
              <w:ind w:left="252" w:hanging="252"/>
              <w:rPr>
                <w:rFonts w:cs="Cambria"/>
                <w:color w:val="000000"/>
                <w:sz w:val="20"/>
                <w:szCs w:val="20"/>
              </w:rPr>
            </w:pPr>
            <w:r>
              <w:rPr>
                <w:rFonts w:cs="Cambria"/>
                <w:i/>
                <w:color w:val="000000"/>
                <w:sz w:val="20"/>
                <w:szCs w:val="20"/>
              </w:rPr>
              <w:t>Child another</w:t>
            </w:r>
            <w:r w:rsidRPr="0049575A">
              <w:rPr>
                <w:rFonts w:cs="Cambria"/>
                <w:i/>
                <w:color w:val="000000"/>
                <w:sz w:val="20"/>
                <w:szCs w:val="20"/>
              </w:rPr>
              <w:t xml:space="preserve"> </w:t>
            </w:r>
            <w:r>
              <w:rPr>
                <w:rFonts w:cs="Cambria"/>
                <w:i/>
                <w:color w:val="000000"/>
                <w:sz w:val="20"/>
                <w:szCs w:val="20"/>
              </w:rPr>
              <w:t>Disability Designation</w:t>
            </w:r>
            <w:r w:rsidRPr="0049575A">
              <w:rPr>
                <w:rFonts w:cs="Cambria"/>
                <w:i/>
                <w:color w:val="000000"/>
                <w:sz w:val="20"/>
                <w:szCs w:val="20"/>
              </w:rPr>
              <w:t xml:space="preserve"> x </w:t>
            </w:r>
            <w:r>
              <w:rPr>
                <w:rFonts w:cs="Cambria"/>
                <w:i/>
                <w:color w:val="000000"/>
                <w:sz w:val="20"/>
                <w:szCs w:val="20"/>
              </w:rPr>
              <w:t>Child is Female</w:t>
            </w:r>
          </w:p>
        </w:tc>
        <w:tc>
          <w:tcPr>
            <w:tcW w:w="1350" w:type="dxa"/>
            <w:tcBorders>
              <w:top w:val="nil"/>
              <w:left w:val="nil"/>
              <w:bottom w:val="single" w:sz="6" w:space="0" w:color="auto"/>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single" w:sz="6" w:space="0" w:color="auto"/>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single" w:sz="6" w:space="0" w:color="auto"/>
              <w:right w:val="nil"/>
            </w:tcBorders>
            <w:vAlign w:val="center"/>
          </w:tcPr>
          <w:p w:rsidR="00BF1A3B" w:rsidRPr="006E78E0" w:rsidRDefault="00BF1A3B" w:rsidP="00BF1A3B">
            <w:pPr>
              <w:tabs>
                <w:tab w:val="decimal" w:pos="417"/>
              </w:tabs>
              <w:rPr>
                <w:sz w:val="20"/>
                <w:szCs w:val="20"/>
              </w:rPr>
            </w:pPr>
          </w:p>
        </w:tc>
        <w:tc>
          <w:tcPr>
            <w:tcW w:w="1350" w:type="dxa"/>
            <w:tcBorders>
              <w:top w:val="nil"/>
              <w:left w:val="nil"/>
              <w:bottom w:val="single" w:sz="6" w:space="0" w:color="auto"/>
              <w:right w:val="single" w:sz="6" w:space="0" w:color="BFBFBF" w:themeColor="background1" w:themeShade="BF"/>
            </w:tcBorders>
            <w:vAlign w:val="center"/>
          </w:tcPr>
          <w:p w:rsidR="00BF1A3B" w:rsidRPr="006E78E0" w:rsidRDefault="00BF1A3B" w:rsidP="00BF1A3B">
            <w:pPr>
              <w:tabs>
                <w:tab w:val="decimal" w:pos="417"/>
              </w:tabs>
              <w:rPr>
                <w:sz w:val="20"/>
                <w:szCs w:val="20"/>
              </w:rPr>
            </w:pPr>
            <w:r w:rsidRPr="006E78E0">
              <w:rPr>
                <w:sz w:val="20"/>
                <w:szCs w:val="20"/>
              </w:rPr>
              <w:t>-1.10**</w:t>
            </w:r>
          </w:p>
        </w:tc>
        <w:tc>
          <w:tcPr>
            <w:tcW w:w="1350" w:type="dxa"/>
            <w:tcBorders>
              <w:top w:val="nil"/>
              <w:left w:val="single" w:sz="6" w:space="0" w:color="BFBFBF" w:themeColor="background1" w:themeShade="BF"/>
              <w:bottom w:val="single" w:sz="6" w:space="0" w:color="auto"/>
              <w:right w:val="nil"/>
            </w:tcBorders>
            <w:vAlign w:val="center"/>
          </w:tcPr>
          <w:p w:rsidR="00BF1A3B" w:rsidRPr="006E78E0" w:rsidRDefault="00BF1A3B" w:rsidP="00BF1A3B">
            <w:pPr>
              <w:tabs>
                <w:tab w:val="decimal" w:pos="417"/>
              </w:tabs>
              <w:rPr>
                <w:sz w:val="20"/>
                <w:szCs w:val="20"/>
              </w:rPr>
            </w:pPr>
            <w:r w:rsidRPr="006E78E0">
              <w:rPr>
                <w:sz w:val="20"/>
                <w:szCs w:val="20"/>
              </w:rPr>
              <w:t>-1.10**</w:t>
            </w:r>
          </w:p>
        </w:tc>
      </w:tr>
      <w:tr w:rsidR="00BF1A3B" w:rsidRPr="006E78E0" w:rsidTr="00BF1A3B">
        <w:tblPrEx>
          <w:tblBorders>
            <w:top w:val="none" w:sz="0" w:space="0" w:color="auto"/>
            <w:bottom w:val="single" w:sz="6" w:space="0" w:color="BFBFBF"/>
          </w:tblBorders>
        </w:tblPrEx>
        <w:trPr>
          <w:jc w:val="center"/>
        </w:trPr>
        <w:tc>
          <w:tcPr>
            <w:tcW w:w="10080" w:type="dxa"/>
            <w:gridSpan w:val="6"/>
            <w:tcBorders>
              <w:top w:val="single" w:sz="6" w:space="0" w:color="auto"/>
              <w:left w:val="nil"/>
              <w:bottom w:val="nil"/>
              <w:right w:val="nil"/>
            </w:tcBorders>
            <w:vAlign w:val="center"/>
          </w:tcPr>
          <w:p w:rsidR="00BF1A3B" w:rsidRPr="00F5063E" w:rsidRDefault="00BF1A3B" w:rsidP="00BF1A3B">
            <w:pPr>
              <w:rPr>
                <w:sz w:val="20"/>
                <w:szCs w:val="20"/>
              </w:rPr>
            </w:pPr>
            <w:r w:rsidRPr="00B64354">
              <w:rPr>
                <w:sz w:val="19"/>
                <w:szCs w:val="19"/>
              </w:rPr>
              <w:t xml:space="preserve">* </w:t>
            </w:r>
            <w:r w:rsidRPr="00B64354">
              <w:rPr>
                <w:i/>
                <w:iCs/>
                <w:sz w:val="19"/>
                <w:szCs w:val="19"/>
              </w:rPr>
              <w:t>p</w:t>
            </w:r>
            <w:r w:rsidRPr="00B64354">
              <w:rPr>
                <w:sz w:val="19"/>
                <w:szCs w:val="19"/>
              </w:rPr>
              <w:t xml:space="preserve">&lt;0.05; ** </w:t>
            </w:r>
            <w:r w:rsidRPr="00B64354">
              <w:rPr>
                <w:i/>
                <w:iCs/>
                <w:sz w:val="19"/>
                <w:szCs w:val="19"/>
              </w:rPr>
              <w:t>p</w:t>
            </w:r>
            <w:r w:rsidRPr="00B64354">
              <w:rPr>
                <w:sz w:val="19"/>
                <w:szCs w:val="19"/>
              </w:rPr>
              <w:t>&lt;0.01</w:t>
            </w:r>
          </w:p>
        </w:tc>
      </w:tr>
    </w:tbl>
    <w:p w:rsidR="00BF1A3B" w:rsidRDefault="00BF1A3B" w:rsidP="00BF1A3B"/>
    <w:p w:rsidR="00BF1A3B" w:rsidRDefault="00BF1A3B" w:rsidP="00BF1A3B">
      <w:pPr>
        <w:spacing w:after="200" w:line="276" w:lineRule="auto"/>
      </w:pPr>
    </w:p>
    <w:tbl>
      <w:tblPr>
        <w:tblW w:w="10080" w:type="dxa"/>
        <w:jc w:val="center"/>
        <w:tblBorders>
          <w:top w:val="single" w:sz="6" w:space="0" w:color="BFBFBF"/>
          <w:left w:val="single" w:sz="6" w:space="0" w:color="BFBFBF"/>
          <w:right w:val="single" w:sz="6" w:space="0" w:color="BFBFBF"/>
        </w:tblBorders>
        <w:tblLayout w:type="fixed"/>
        <w:tblLook w:val="0000"/>
      </w:tblPr>
      <w:tblGrid>
        <w:gridCol w:w="3330"/>
        <w:gridCol w:w="1350"/>
        <w:gridCol w:w="1350"/>
        <w:gridCol w:w="1350"/>
        <w:gridCol w:w="1350"/>
        <w:gridCol w:w="1350"/>
      </w:tblGrid>
      <w:tr w:rsidR="004B42C3" w:rsidRPr="006E78E0" w:rsidTr="00954447">
        <w:trPr>
          <w:jc w:val="center"/>
        </w:trPr>
        <w:tc>
          <w:tcPr>
            <w:tcW w:w="10080" w:type="dxa"/>
            <w:gridSpan w:val="6"/>
            <w:tcBorders>
              <w:top w:val="nil"/>
              <w:left w:val="nil"/>
              <w:bottom w:val="nil"/>
              <w:right w:val="nil"/>
            </w:tcBorders>
            <w:vAlign w:val="center"/>
          </w:tcPr>
          <w:p w:rsidR="00101C89" w:rsidRDefault="00101C89" w:rsidP="00954447">
            <w:pPr>
              <w:rPr>
                <w:rFonts w:cs="Cambria"/>
                <w:i/>
                <w:iCs/>
                <w:color w:val="000000"/>
                <w:sz w:val="20"/>
                <w:szCs w:val="20"/>
              </w:rPr>
            </w:pPr>
          </w:p>
          <w:p w:rsidR="004B42C3" w:rsidRPr="0037107B" w:rsidRDefault="004B42C3" w:rsidP="00954447">
            <w:pPr>
              <w:rPr>
                <w:rFonts w:cs="Cambria"/>
                <w:b/>
                <w:color w:val="000000"/>
                <w:sz w:val="18"/>
                <w:szCs w:val="18"/>
              </w:rPr>
            </w:pPr>
            <w:r w:rsidRPr="00EC3197">
              <w:rPr>
                <w:rFonts w:cs="Cambria"/>
                <w:i/>
                <w:iCs/>
                <w:color w:val="000000"/>
                <w:sz w:val="20"/>
                <w:szCs w:val="20"/>
              </w:rPr>
              <w:lastRenderedPageBreak/>
              <w:t xml:space="preserve">Table </w:t>
            </w:r>
            <w:r>
              <w:rPr>
                <w:rFonts w:cs="Cambria"/>
                <w:i/>
                <w:iCs/>
                <w:color w:val="000000"/>
                <w:sz w:val="20"/>
                <w:szCs w:val="20"/>
              </w:rPr>
              <w:t>5</w:t>
            </w:r>
            <w:r w:rsidRPr="00EC3197">
              <w:rPr>
                <w:rFonts w:cs="Cambria"/>
                <w:i/>
                <w:iCs/>
                <w:color w:val="000000"/>
                <w:sz w:val="20"/>
                <w:szCs w:val="20"/>
              </w:rPr>
              <w:t>b.</w:t>
            </w:r>
            <w:r w:rsidRPr="006E78E0">
              <w:rPr>
                <w:rFonts w:cs="Cambria"/>
                <w:color w:val="000000"/>
                <w:sz w:val="20"/>
                <w:szCs w:val="20"/>
              </w:rPr>
              <w:t xml:space="preserve">  </w:t>
            </w:r>
            <w:r w:rsidRPr="005469AF">
              <w:rPr>
                <w:rFonts w:cs="Cambria"/>
                <w:b/>
                <w:color w:val="000000"/>
                <w:sz w:val="20"/>
                <w:szCs w:val="20"/>
              </w:rPr>
              <w:t>District-level</w:t>
            </w:r>
            <w:r>
              <w:rPr>
                <w:rFonts w:cs="Cambria"/>
                <w:color w:val="000000"/>
                <w:sz w:val="20"/>
                <w:szCs w:val="20"/>
              </w:rPr>
              <w:t xml:space="preserve"> and </w:t>
            </w:r>
            <w:r w:rsidRPr="005469AF">
              <w:rPr>
                <w:rFonts w:cs="Cambria"/>
                <w:b/>
                <w:color w:val="000000"/>
                <w:sz w:val="20"/>
                <w:szCs w:val="20"/>
              </w:rPr>
              <w:t>cross-level interaction</w:t>
            </w:r>
            <w:r>
              <w:rPr>
                <w:rFonts w:cs="Cambria"/>
                <w:color w:val="000000"/>
                <w:sz w:val="20"/>
                <w:szCs w:val="20"/>
              </w:rPr>
              <w:t xml:space="preserve"> coefficients and level of statistical significance in a</w:t>
            </w:r>
            <w:r w:rsidRPr="006E78E0">
              <w:rPr>
                <w:rFonts w:cs="Cambria"/>
                <w:color w:val="000000"/>
                <w:sz w:val="20"/>
                <w:szCs w:val="20"/>
              </w:rPr>
              <w:t xml:space="preserve"> taxonomy of </w:t>
            </w:r>
            <w:r w:rsidRPr="00324B69">
              <w:rPr>
                <w:sz w:val="20"/>
                <w:szCs w:val="20"/>
              </w:rPr>
              <w:t>select</w:t>
            </w:r>
            <w:r>
              <w:rPr>
                <w:sz w:val="20"/>
                <w:szCs w:val="20"/>
              </w:rPr>
              <w:t>ed</w:t>
            </w:r>
            <w:r w:rsidRPr="00324B69">
              <w:rPr>
                <w:sz w:val="20"/>
                <w:szCs w:val="20"/>
              </w:rPr>
              <w:t xml:space="preserve"> fitted multilevel</w:t>
            </w:r>
            <w:r w:rsidRPr="006E78E0">
              <w:rPr>
                <w:rFonts w:cs="Cambria"/>
                <w:color w:val="000000"/>
                <w:sz w:val="20"/>
                <w:szCs w:val="20"/>
              </w:rPr>
              <w:t xml:space="preserve"> </w:t>
            </w:r>
            <w:r>
              <w:rPr>
                <w:rFonts w:cs="Cambria"/>
                <w:color w:val="000000"/>
                <w:sz w:val="20"/>
                <w:szCs w:val="20"/>
              </w:rPr>
              <w:t xml:space="preserve">regression </w:t>
            </w:r>
            <w:r w:rsidRPr="006E78E0">
              <w:rPr>
                <w:rFonts w:cs="Cambria"/>
                <w:color w:val="000000"/>
                <w:sz w:val="20"/>
                <w:szCs w:val="20"/>
              </w:rPr>
              <w:t xml:space="preserve">models predicting performance on the MCAS </w:t>
            </w:r>
            <w:r>
              <w:rPr>
                <w:rFonts w:cs="Cambria"/>
                <w:color w:val="000000"/>
                <w:sz w:val="20"/>
                <w:szCs w:val="20"/>
              </w:rPr>
              <w:t>mathematics</w:t>
            </w:r>
            <w:r w:rsidRPr="006E78E0">
              <w:rPr>
                <w:rFonts w:cs="Cambria"/>
                <w:color w:val="000000"/>
                <w:sz w:val="20"/>
                <w:szCs w:val="20"/>
              </w:rPr>
              <w:t xml:space="preserve"> </w:t>
            </w:r>
            <w:r>
              <w:rPr>
                <w:rFonts w:cs="Cambria"/>
                <w:color w:val="000000"/>
                <w:sz w:val="20"/>
                <w:szCs w:val="20"/>
              </w:rPr>
              <w:t>assessment for 8</w:t>
            </w:r>
            <w:r w:rsidRPr="004310DA">
              <w:rPr>
                <w:rFonts w:cs="Cambria"/>
                <w:color w:val="000000"/>
                <w:sz w:val="20"/>
                <w:szCs w:val="20"/>
                <w:vertAlign w:val="superscript"/>
              </w:rPr>
              <w:t>th</w:t>
            </w:r>
            <w:r>
              <w:rPr>
                <w:rFonts w:cs="Cambria"/>
                <w:color w:val="000000"/>
                <w:sz w:val="20"/>
                <w:szCs w:val="20"/>
              </w:rPr>
              <w:t xml:space="preserve"> grade students, nested in traditional school districts</w:t>
            </w:r>
            <w:r>
              <w:rPr>
                <w:rStyle w:val="FootnoteReference"/>
                <w:color w:val="000000"/>
                <w:sz w:val="20"/>
                <w:szCs w:val="20"/>
              </w:rPr>
              <w:footnoteReference w:id="36"/>
            </w:r>
            <w:r>
              <w:rPr>
                <w:rFonts w:cs="Cambria"/>
                <w:color w:val="000000"/>
                <w:sz w:val="20"/>
                <w:szCs w:val="20"/>
              </w:rPr>
              <w:t>,</w:t>
            </w:r>
            <w:r w:rsidRPr="00324B69">
              <w:rPr>
                <w:i/>
                <w:sz w:val="20"/>
                <w:szCs w:val="20"/>
              </w:rPr>
              <w:t xml:space="preserve"> n</w:t>
            </w:r>
            <w:r w:rsidRPr="00324B69">
              <w:rPr>
                <w:sz w:val="20"/>
                <w:szCs w:val="20"/>
              </w:rPr>
              <w:t>=</w:t>
            </w:r>
            <w:r>
              <w:rPr>
                <w:sz w:val="20"/>
                <w:szCs w:val="20"/>
              </w:rPr>
              <w:t>68,775</w:t>
            </w:r>
            <w:r w:rsidRPr="00324B69">
              <w:rPr>
                <w:sz w:val="20"/>
                <w:szCs w:val="20"/>
              </w:rPr>
              <w:t xml:space="preserve"> </w:t>
            </w:r>
            <w:r>
              <w:rPr>
                <w:sz w:val="20"/>
                <w:szCs w:val="20"/>
              </w:rPr>
              <w:t>8</w:t>
            </w:r>
            <w:r w:rsidRPr="004310DA">
              <w:rPr>
                <w:sz w:val="20"/>
                <w:szCs w:val="20"/>
                <w:vertAlign w:val="superscript"/>
              </w:rPr>
              <w:t>th</w:t>
            </w:r>
            <w:r>
              <w:rPr>
                <w:sz w:val="20"/>
                <w:szCs w:val="20"/>
              </w:rPr>
              <w:t xml:space="preserve"> grade students </w:t>
            </w:r>
            <w:r w:rsidRPr="00324B69">
              <w:rPr>
                <w:sz w:val="20"/>
                <w:szCs w:val="20"/>
              </w:rPr>
              <w:t xml:space="preserve">nested in </w:t>
            </w:r>
            <w:r>
              <w:rPr>
                <w:sz w:val="20"/>
                <w:szCs w:val="20"/>
              </w:rPr>
              <w:t>239</w:t>
            </w:r>
            <w:r w:rsidRPr="00324B69">
              <w:rPr>
                <w:sz w:val="20"/>
                <w:szCs w:val="20"/>
              </w:rPr>
              <w:t xml:space="preserve"> school districts</w:t>
            </w:r>
            <w:r>
              <w:rPr>
                <w:sz w:val="20"/>
                <w:szCs w:val="20"/>
              </w:rPr>
              <w:t xml:space="preserve"> (random effects at the district level)</w:t>
            </w:r>
            <w:r>
              <w:rPr>
                <w:rStyle w:val="FootnoteReference"/>
                <w:sz w:val="20"/>
                <w:szCs w:val="20"/>
              </w:rPr>
              <w:t xml:space="preserve"> </w:t>
            </w:r>
            <w:r>
              <w:rPr>
                <w:rStyle w:val="FootnoteReference"/>
                <w:sz w:val="20"/>
                <w:szCs w:val="20"/>
              </w:rPr>
              <w:footnoteReference w:id="37"/>
            </w:r>
            <w:r w:rsidRPr="006E78E0">
              <w:rPr>
                <w:rFonts w:cs="Cambria"/>
                <w:color w:val="000000"/>
                <w:sz w:val="20"/>
                <w:szCs w:val="20"/>
              </w:rPr>
              <w:t>.</w:t>
            </w:r>
          </w:p>
        </w:tc>
      </w:tr>
      <w:tr w:rsidR="004B42C3" w:rsidRPr="006E78E0" w:rsidTr="00954447">
        <w:trPr>
          <w:jc w:val="center"/>
        </w:trPr>
        <w:tc>
          <w:tcPr>
            <w:tcW w:w="3330" w:type="dxa"/>
            <w:tcBorders>
              <w:top w:val="nil"/>
              <w:left w:val="nil"/>
              <w:bottom w:val="nil"/>
              <w:right w:val="nil"/>
            </w:tcBorders>
            <w:vAlign w:val="center"/>
          </w:tcPr>
          <w:p w:rsidR="004B42C3" w:rsidRPr="006E78E0" w:rsidRDefault="004B42C3" w:rsidP="00954447">
            <w:pPr>
              <w:rPr>
                <w:sz w:val="20"/>
                <w:szCs w:val="20"/>
              </w:rPr>
            </w:pPr>
          </w:p>
        </w:tc>
        <w:tc>
          <w:tcPr>
            <w:tcW w:w="1350" w:type="dxa"/>
            <w:tcBorders>
              <w:top w:val="nil"/>
              <w:left w:val="nil"/>
              <w:bottom w:val="nil"/>
              <w:right w:val="nil"/>
            </w:tcBorders>
            <w:vAlign w:val="center"/>
          </w:tcPr>
          <w:p w:rsidR="004B42C3" w:rsidRPr="0037107B" w:rsidRDefault="004B42C3" w:rsidP="00954447">
            <w:pPr>
              <w:jc w:val="center"/>
              <w:rPr>
                <w:b/>
                <w:sz w:val="18"/>
                <w:szCs w:val="18"/>
              </w:rPr>
            </w:pPr>
            <w:r w:rsidRPr="0037107B">
              <w:rPr>
                <w:rFonts w:cs="Cambria"/>
                <w:b/>
                <w:color w:val="000000"/>
                <w:sz w:val="18"/>
                <w:szCs w:val="18"/>
              </w:rPr>
              <w:t>M</w:t>
            </w:r>
            <w:r>
              <w:rPr>
                <w:rFonts w:cs="Cambria"/>
                <w:b/>
                <w:color w:val="000000"/>
                <w:sz w:val="18"/>
                <w:szCs w:val="18"/>
              </w:rPr>
              <w:t>odel 5.</w:t>
            </w:r>
            <w:r w:rsidRPr="0037107B">
              <w:rPr>
                <w:rFonts w:cs="Cambria"/>
                <w:b/>
                <w:color w:val="000000"/>
                <w:sz w:val="18"/>
                <w:szCs w:val="18"/>
              </w:rPr>
              <w:t>1</w:t>
            </w:r>
          </w:p>
        </w:tc>
        <w:tc>
          <w:tcPr>
            <w:tcW w:w="1350" w:type="dxa"/>
            <w:tcBorders>
              <w:top w:val="nil"/>
              <w:left w:val="nil"/>
              <w:bottom w:val="nil"/>
              <w:right w:val="nil"/>
            </w:tcBorders>
            <w:vAlign w:val="center"/>
          </w:tcPr>
          <w:p w:rsidR="004B42C3" w:rsidRPr="0037107B" w:rsidRDefault="004B42C3" w:rsidP="00954447">
            <w:pPr>
              <w:jc w:val="center"/>
              <w:rPr>
                <w:b/>
                <w:sz w:val="18"/>
                <w:szCs w:val="18"/>
              </w:rPr>
            </w:pPr>
            <w:r w:rsidRPr="0037107B">
              <w:rPr>
                <w:rFonts w:cs="Cambria"/>
                <w:b/>
                <w:color w:val="000000"/>
                <w:sz w:val="18"/>
                <w:szCs w:val="18"/>
              </w:rPr>
              <w:t>M</w:t>
            </w:r>
            <w:r>
              <w:rPr>
                <w:rFonts w:cs="Cambria"/>
                <w:b/>
                <w:color w:val="000000"/>
                <w:sz w:val="18"/>
                <w:szCs w:val="18"/>
              </w:rPr>
              <w:t>odel 5.</w:t>
            </w:r>
            <w:r w:rsidRPr="0037107B">
              <w:rPr>
                <w:rFonts w:cs="Cambria"/>
                <w:b/>
                <w:color w:val="000000"/>
                <w:sz w:val="18"/>
                <w:szCs w:val="18"/>
              </w:rPr>
              <w:t>2</w:t>
            </w:r>
          </w:p>
        </w:tc>
        <w:tc>
          <w:tcPr>
            <w:tcW w:w="1350" w:type="dxa"/>
            <w:tcBorders>
              <w:top w:val="nil"/>
              <w:left w:val="nil"/>
              <w:bottom w:val="nil"/>
              <w:right w:val="nil"/>
            </w:tcBorders>
            <w:vAlign w:val="center"/>
          </w:tcPr>
          <w:p w:rsidR="004B42C3" w:rsidRPr="0037107B" w:rsidRDefault="004B42C3" w:rsidP="00954447">
            <w:pPr>
              <w:jc w:val="center"/>
              <w:rPr>
                <w:b/>
                <w:sz w:val="18"/>
                <w:szCs w:val="18"/>
              </w:rPr>
            </w:pPr>
            <w:r w:rsidRPr="0037107B">
              <w:rPr>
                <w:rFonts w:cs="Cambria"/>
                <w:b/>
                <w:color w:val="000000"/>
                <w:sz w:val="18"/>
                <w:szCs w:val="18"/>
              </w:rPr>
              <w:t>M</w:t>
            </w:r>
            <w:r>
              <w:rPr>
                <w:rFonts w:cs="Cambria"/>
                <w:b/>
                <w:color w:val="000000"/>
                <w:sz w:val="18"/>
                <w:szCs w:val="18"/>
              </w:rPr>
              <w:t>odel 5.</w:t>
            </w:r>
            <w:r w:rsidRPr="0037107B">
              <w:rPr>
                <w:rFonts w:cs="Cambria"/>
                <w:b/>
                <w:color w:val="000000"/>
                <w:sz w:val="18"/>
                <w:szCs w:val="18"/>
              </w:rPr>
              <w:t>3</w:t>
            </w:r>
          </w:p>
        </w:tc>
        <w:tc>
          <w:tcPr>
            <w:tcW w:w="1350" w:type="dxa"/>
            <w:tcBorders>
              <w:top w:val="nil"/>
              <w:left w:val="nil"/>
              <w:bottom w:val="nil"/>
              <w:right w:val="nil"/>
            </w:tcBorders>
            <w:vAlign w:val="center"/>
          </w:tcPr>
          <w:p w:rsidR="004B42C3" w:rsidRPr="0037107B" w:rsidRDefault="004B42C3" w:rsidP="00954447">
            <w:pPr>
              <w:jc w:val="center"/>
              <w:rPr>
                <w:b/>
                <w:sz w:val="18"/>
                <w:szCs w:val="18"/>
              </w:rPr>
            </w:pPr>
            <w:r w:rsidRPr="0037107B">
              <w:rPr>
                <w:rFonts w:cs="Cambria"/>
                <w:b/>
                <w:color w:val="000000"/>
                <w:sz w:val="18"/>
                <w:szCs w:val="18"/>
              </w:rPr>
              <w:t>M</w:t>
            </w:r>
            <w:r>
              <w:rPr>
                <w:rFonts w:cs="Cambria"/>
                <w:b/>
                <w:color w:val="000000"/>
                <w:sz w:val="18"/>
                <w:szCs w:val="18"/>
              </w:rPr>
              <w:t>odel 5.</w:t>
            </w:r>
            <w:r w:rsidRPr="0037107B">
              <w:rPr>
                <w:rFonts w:cs="Cambria"/>
                <w:b/>
                <w:color w:val="000000"/>
                <w:sz w:val="18"/>
                <w:szCs w:val="18"/>
              </w:rPr>
              <w:t>4</w:t>
            </w:r>
          </w:p>
        </w:tc>
        <w:tc>
          <w:tcPr>
            <w:tcW w:w="1350" w:type="dxa"/>
            <w:tcBorders>
              <w:top w:val="nil"/>
              <w:left w:val="nil"/>
              <w:bottom w:val="nil"/>
              <w:right w:val="nil"/>
            </w:tcBorders>
            <w:vAlign w:val="center"/>
          </w:tcPr>
          <w:p w:rsidR="004B42C3" w:rsidRPr="0037107B" w:rsidRDefault="004B42C3" w:rsidP="00954447">
            <w:pPr>
              <w:jc w:val="center"/>
              <w:rPr>
                <w:b/>
                <w:sz w:val="18"/>
                <w:szCs w:val="18"/>
              </w:rPr>
            </w:pPr>
            <w:r w:rsidRPr="0037107B">
              <w:rPr>
                <w:rFonts w:cs="Cambria"/>
                <w:b/>
                <w:color w:val="000000"/>
                <w:sz w:val="18"/>
                <w:szCs w:val="18"/>
              </w:rPr>
              <w:t>M</w:t>
            </w:r>
            <w:r>
              <w:rPr>
                <w:rFonts w:cs="Cambria"/>
                <w:b/>
                <w:color w:val="000000"/>
                <w:sz w:val="18"/>
                <w:szCs w:val="18"/>
              </w:rPr>
              <w:t>odel 5.</w:t>
            </w:r>
            <w:r w:rsidRPr="0037107B">
              <w:rPr>
                <w:rFonts w:cs="Cambria"/>
                <w:b/>
                <w:color w:val="000000"/>
                <w:sz w:val="18"/>
                <w:szCs w:val="18"/>
              </w:rPr>
              <w:t>5</w:t>
            </w:r>
          </w:p>
        </w:tc>
      </w:tr>
      <w:tr w:rsidR="004B42C3" w:rsidRPr="006E78E0" w:rsidTr="00954447">
        <w:tblPrEx>
          <w:tblBorders>
            <w:top w:val="none" w:sz="0" w:space="0" w:color="auto"/>
          </w:tblBorders>
        </w:tblPrEx>
        <w:trPr>
          <w:trHeight w:val="144"/>
          <w:jc w:val="center"/>
        </w:trPr>
        <w:tc>
          <w:tcPr>
            <w:tcW w:w="3330" w:type="dxa"/>
            <w:tcBorders>
              <w:top w:val="nil"/>
              <w:left w:val="nil"/>
              <w:bottom w:val="nil"/>
              <w:right w:val="nil"/>
            </w:tcBorders>
            <w:vAlign w:val="center"/>
          </w:tcPr>
          <w:p w:rsidR="004B42C3" w:rsidRPr="00722091" w:rsidRDefault="004B42C3" w:rsidP="00954447">
            <w:pPr>
              <w:rPr>
                <w:sz w:val="14"/>
                <w:szCs w:val="14"/>
              </w:rPr>
            </w:pPr>
          </w:p>
        </w:tc>
        <w:tc>
          <w:tcPr>
            <w:tcW w:w="1350" w:type="dxa"/>
            <w:tcBorders>
              <w:top w:val="nil"/>
              <w:left w:val="nil"/>
              <w:bottom w:val="nil"/>
              <w:right w:val="nil"/>
            </w:tcBorders>
            <w:vAlign w:val="center"/>
          </w:tcPr>
          <w:p w:rsidR="004B42C3" w:rsidRPr="00722091" w:rsidRDefault="004B42C3" w:rsidP="00954447">
            <w:pPr>
              <w:tabs>
                <w:tab w:val="decimal" w:pos="417"/>
              </w:tabs>
              <w:rPr>
                <w:sz w:val="14"/>
                <w:szCs w:val="14"/>
              </w:rPr>
            </w:pPr>
          </w:p>
        </w:tc>
        <w:tc>
          <w:tcPr>
            <w:tcW w:w="1350" w:type="dxa"/>
            <w:tcBorders>
              <w:top w:val="nil"/>
              <w:left w:val="nil"/>
              <w:bottom w:val="nil"/>
              <w:right w:val="nil"/>
            </w:tcBorders>
            <w:vAlign w:val="center"/>
          </w:tcPr>
          <w:p w:rsidR="004B42C3" w:rsidRPr="00722091" w:rsidRDefault="004B42C3" w:rsidP="00954447">
            <w:pPr>
              <w:tabs>
                <w:tab w:val="decimal" w:pos="417"/>
              </w:tabs>
              <w:rPr>
                <w:sz w:val="14"/>
                <w:szCs w:val="14"/>
              </w:rPr>
            </w:pPr>
          </w:p>
        </w:tc>
        <w:tc>
          <w:tcPr>
            <w:tcW w:w="1350" w:type="dxa"/>
            <w:tcBorders>
              <w:top w:val="nil"/>
              <w:left w:val="nil"/>
              <w:bottom w:val="nil"/>
              <w:right w:val="nil"/>
            </w:tcBorders>
            <w:vAlign w:val="center"/>
          </w:tcPr>
          <w:p w:rsidR="004B42C3" w:rsidRPr="00722091" w:rsidRDefault="004B42C3" w:rsidP="00954447">
            <w:pPr>
              <w:tabs>
                <w:tab w:val="decimal" w:pos="417"/>
              </w:tabs>
              <w:rPr>
                <w:sz w:val="14"/>
                <w:szCs w:val="14"/>
              </w:rPr>
            </w:pPr>
          </w:p>
        </w:tc>
        <w:tc>
          <w:tcPr>
            <w:tcW w:w="1350" w:type="dxa"/>
            <w:tcBorders>
              <w:top w:val="nil"/>
              <w:left w:val="nil"/>
              <w:bottom w:val="nil"/>
              <w:right w:val="single" w:sz="6" w:space="0" w:color="BFBFBF"/>
            </w:tcBorders>
            <w:vAlign w:val="center"/>
          </w:tcPr>
          <w:p w:rsidR="004B42C3" w:rsidRPr="00722091" w:rsidRDefault="004B42C3" w:rsidP="00954447">
            <w:pPr>
              <w:tabs>
                <w:tab w:val="decimal" w:pos="417"/>
              </w:tabs>
              <w:rPr>
                <w:sz w:val="14"/>
                <w:szCs w:val="14"/>
              </w:rPr>
            </w:pPr>
          </w:p>
        </w:tc>
        <w:tc>
          <w:tcPr>
            <w:tcW w:w="1350" w:type="dxa"/>
            <w:tcBorders>
              <w:top w:val="nil"/>
              <w:left w:val="single" w:sz="6" w:space="0" w:color="BFBFBF"/>
              <w:bottom w:val="nil"/>
              <w:right w:val="nil"/>
            </w:tcBorders>
            <w:vAlign w:val="center"/>
          </w:tcPr>
          <w:p w:rsidR="004B42C3" w:rsidRPr="00722091" w:rsidRDefault="004B42C3" w:rsidP="00954447">
            <w:pPr>
              <w:tabs>
                <w:tab w:val="decimal" w:pos="417"/>
              </w:tabs>
              <w:rPr>
                <w:sz w:val="14"/>
                <w:szCs w:val="14"/>
              </w:rPr>
            </w:pPr>
          </w:p>
        </w:tc>
      </w:tr>
      <w:tr w:rsidR="004B42C3" w:rsidRPr="006E78E0" w:rsidTr="00954447">
        <w:tblPrEx>
          <w:tblBorders>
            <w:top w:val="none" w:sz="0" w:space="0" w:color="auto"/>
          </w:tblBorders>
        </w:tblPrEx>
        <w:trPr>
          <w:trHeight w:val="432"/>
          <w:jc w:val="center"/>
        </w:trPr>
        <w:tc>
          <w:tcPr>
            <w:tcW w:w="3330" w:type="dxa"/>
            <w:tcBorders>
              <w:top w:val="nil"/>
              <w:left w:val="nil"/>
              <w:bottom w:val="nil"/>
              <w:right w:val="nil"/>
            </w:tcBorders>
            <w:vAlign w:val="center"/>
          </w:tcPr>
          <w:p w:rsidR="004B42C3" w:rsidRDefault="004B42C3" w:rsidP="00954447">
            <w:pPr>
              <w:ind w:left="252" w:hanging="252"/>
              <w:rPr>
                <w:i/>
                <w:iCs/>
                <w:sz w:val="20"/>
                <w:szCs w:val="20"/>
              </w:rPr>
            </w:pPr>
            <w:r>
              <w:rPr>
                <w:rFonts w:cs="Cambria"/>
                <w:color w:val="000000"/>
                <w:sz w:val="20"/>
                <w:szCs w:val="20"/>
                <w:u w:val="single"/>
              </w:rPr>
              <w:t>District-Level Main Effects</w:t>
            </w: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p>
        </w:tc>
        <w:tc>
          <w:tcPr>
            <w:tcW w:w="1350" w:type="dxa"/>
            <w:tcBorders>
              <w:top w:val="nil"/>
              <w:left w:val="nil"/>
              <w:bottom w:val="nil"/>
              <w:right w:val="single" w:sz="6" w:space="0" w:color="BFBFBF"/>
            </w:tcBorders>
            <w:vAlign w:val="center"/>
          </w:tcPr>
          <w:p w:rsidR="004B42C3" w:rsidRPr="006E78E0" w:rsidRDefault="004B42C3" w:rsidP="00954447">
            <w:pPr>
              <w:tabs>
                <w:tab w:val="decimal" w:pos="417"/>
              </w:tabs>
              <w:rPr>
                <w:sz w:val="20"/>
                <w:szCs w:val="20"/>
              </w:rPr>
            </w:pPr>
          </w:p>
        </w:tc>
        <w:tc>
          <w:tcPr>
            <w:tcW w:w="1350" w:type="dxa"/>
            <w:tcBorders>
              <w:top w:val="nil"/>
              <w:left w:val="single" w:sz="6" w:space="0" w:color="BFBFBF"/>
              <w:bottom w:val="nil"/>
              <w:right w:val="nil"/>
            </w:tcBorders>
            <w:vAlign w:val="center"/>
          </w:tcPr>
          <w:p w:rsidR="004B42C3" w:rsidRPr="006E78E0" w:rsidRDefault="004B42C3" w:rsidP="00954447">
            <w:pPr>
              <w:tabs>
                <w:tab w:val="decimal" w:pos="417"/>
              </w:tabs>
              <w:rPr>
                <w:sz w:val="20"/>
                <w:szCs w:val="20"/>
              </w:rPr>
            </w:pPr>
          </w:p>
        </w:tc>
      </w:tr>
      <w:tr w:rsidR="004B42C3" w:rsidRPr="006E78E0" w:rsidTr="00954447">
        <w:tblPrEx>
          <w:tblBorders>
            <w:top w:val="none" w:sz="0" w:space="0" w:color="auto"/>
          </w:tblBorders>
        </w:tblPrEx>
        <w:trPr>
          <w:trHeight w:val="432"/>
          <w:jc w:val="center"/>
        </w:trPr>
        <w:tc>
          <w:tcPr>
            <w:tcW w:w="3330" w:type="dxa"/>
            <w:tcBorders>
              <w:top w:val="nil"/>
              <w:left w:val="nil"/>
              <w:bottom w:val="nil"/>
              <w:right w:val="nil"/>
            </w:tcBorders>
            <w:vAlign w:val="center"/>
          </w:tcPr>
          <w:p w:rsidR="004B42C3" w:rsidRPr="006E78E0" w:rsidRDefault="004B42C3" w:rsidP="00954447">
            <w:pPr>
              <w:ind w:left="252" w:hanging="252"/>
              <w:rPr>
                <w:rFonts w:cs="Cambria"/>
                <w:color w:val="000000"/>
                <w:sz w:val="20"/>
                <w:szCs w:val="20"/>
              </w:rPr>
            </w:pPr>
            <w:r>
              <w:rPr>
                <w:i/>
                <w:iCs/>
                <w:sz w:val="20"/>
                <w:szCs w:val="20"/>
              </w:rPr>
              <w:t>District Percent</w:t>
            </w:r>
            <w:r w:rsidRPr="00A65481">
              <w:rPr>
                <w:i/>
                <w:iCs/>
                <w:sz w:val="20"/>
                <w:szCs w:val="20"/>
              </w:rPr>
              <w:t xml:space="preserve"> Students </w:t>
            </w:r>
            <w:r>
              <w:rPr>
                <w:i/>
                <w:iCs/>
                <w:sz w:val="20"/>
                <w:szCs w:val="20"/>
              </w:rPr>
              <w:t>with ‘High Incidence’ Disability Designation</w:t>
            </w: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r w:rsidRPr="006E78E0">
              <w:rPr>
                <w:sz w:val="20"/>
                <w:szCs w:val="20"/>
              </w:rPr>
              <w:t>0.02</w:t>
            </w: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r w:rsidRPr="006E78E0">
              <w:rPr>
                <w:sz w:val="20"/>
                <w:szCs w:val="20"/>
              </w:rPr>
              <w:t>-0.20</w:t>
            </w: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r w:rsidRPr="006E78E0">
              <w:rPr>
                <w:sz w:val="20"/>
                <w:szCs w:val="20"/>
              </w:rPr>
              <w:t>-0.35</w:t>
            </w:r>
          </w:p>
        </w:tc>
        <w:tc>
          <w:tcPr>
            <w:tcW w:w="1350" w:type="dxa"/>
            <w:tcBorders>
              <w:top w:val="nil"/>
              <w:left w:val="nil"/>
              <w:bottom w:val="nil"/>
              <w:right w:val="single" w:sz="6" w:space="0" w:color="BFBFBF"/>
            </w:tcBorders>
            <w:vAlign w:val="center"/>
          </w:tcPr>
          <w:p w:rsidR="004B42C3" w:rsidRPr="006E78E0" w:rsidRDefault="004B42C3" w:rsidP="00954447">
            <w:pPr>
              <w:tabs>
                <w:tab w:val="decimal" w:pos="417"/>
              </w:tabs>
              <w:rPr>
                <w:sz w:val="20"/>
                <w:szCs w:val="20"/>
              </w:rPr>
            </w:pPr>
            <w:r w:rsidRPr="006E78E0">
              <w:rPr>
                <w:sz w:val="20"/>
                <w:szCs w:val="20"/>
              </w:rPr>
              <w:t>0.08*</w:t>
            </w:r>
          </w:p>
        </w:tc>
        <w:tc>
          <w:tcPr>
            <w:tcW w:w="1350" w:type="dxa"/>
            <w:tcBorders>
              <w:top w:val="nil"/>
              <w:left w:val="single" w:sz="6" w:space="0" w:color="BFBFBF"/>
              <w:bottom w:val="nil"/>
              <w:right w:val="nil"/>
            </w:tcBorders>
            <w:vAlign w:val="center"/>
          </w:tcPr>
          <w:p w:rsidR="004B42C3" w:rsidRPr="006E78E0" w:rsidRDefault="004B42C3" w:rsidP="00954447">
            <w:pPr>
              <w:tabs>
                <w:tab w:val="decimal" w:pos="417"/>
              </w:tabs>
              <w:rPr>
                <w:sz w:val="20"/>
                <w:szCs w:val="20"/>
              </w:rPr>
            </w:pPr>
            <w:r w:rsidRPr="006E78E0">
              <w:rPr>
                <w:sz w:val="20"/>
                <w:szCs w:val="20"/>
              </w:rPr>
              <w:t>0.53</w:t>
            </w:r>
          </w:p>
        </w:tc>
      </w:tr>
      <w:tr w:rsidR="004B42C3" w:rsidRPr="006E78E0" w:rsidTr="00954447">
        <w:tblPrEx>
          <w:tblBorders>
            <w:top w:val="none" w:sz="0" w:space="0" w:color="auto"/>
          </w:tblBorders>
        </w:tblPrEx>
        <w:trPr>
          <w:trHeight w:val="432"/>
          <w:jc w:val="center"/>
        </w:trPr>
        <w:tc>
          <w:tcPr>
            <w:tcW w:w="3330" w:type="dxa"/>
            <w:tcBorders>
              <w:top w:val="nil"/>
              <w:left w:val="nil"/>
              <w:bottom w:val="nil"/>
              <w:right w:val="nil"/>
            </w:tcBorders>
            <w:vAlign w:val="center"/>
          </w:tcPr>
          <w:p w:rsidR="004B42C3" w:rsidRPr="006E78E0" w:rsidRDefault="004B42C3" w:rsidP="00954447">
            <w:pPr>
              <w:ind w:left="252" w:hanging="252"/>
              <w:rPr>
                <w:rFonts w:cs="Cambria"/>
                <w:color w:val="000000"/>
                <w:sz w:val="20"/>
                <w:szCs w:val="20"/>
              </w:rPr>
            </w:pPr>
            <w:r>
              <w:rPr>
                <w:i/>
                <w:iCs/>
                <w:sz w:val="20"/>
                <w:szCs w:val="20"/>
              </w:rPr>
              <w:t>District %</w:t>
            </w:r>
            <w:r w:rsidRPr="00A65481">
              <w:rPr>
                <w:i/>
                <w:iCs/>
                <w:sz w:val="20"/>
                <w:szCs w:val="20"/>
              </w:rPr>
              <w:t xml:space="preserve"> Students </w:t>
            </w:r>
            <w:r>
              <w:rPr>
                <w:i/>
                <w:iCs/>
                <w:sz w:val="20"/>
                <w:szCs w:val="20"/>
              </w:rPr>
              <w:t>with ‘High Incidence’ Designation (Squared)</w:t>
            </w: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p>
        </w:tc>
        <w:tc>
          <w:tcPr>
            <w:tcW w:w="1350" w:type="dxa"/>
            <w:tcBorders>
              <w:top w:val="nil"/>
              <w:left w:val="nil"/>
              <w:bottom w:val="nil"/>
              <w:right w:val="single" w:sz="6" w:space="0" w:color="BFBFBF"/>
            </w:tcBorders>
            <w:vAlign w:val="center"/>
          </w:tcPr>
          <w:p w:rsidR="004B42C3" w:rsidRPr="006E78E0" w:rsidRDefault="004B42C3" w:rsidP="00954447">
            <w:pPr>
              <w:tabs>
                <w:tab w:val="decimal" w:pos="417"/>
              </w:tabs>
              <w:rPr>
                <w:sz w:val="20"/>
                <w:szCs w:val="20"/>
              </w:rPr>
            </w:pPr>
          </w:p>
        </w:tc>
        <w:tc>
          <w:tcPr>
            <w:tcW w:w="1350" w:type="dxa"/>
            <w:tcBorders>
              <w:top w:val="nil"/>
              <w:left w:val="single" w:sz="6" w:space="0" w:color="BFBFBF"/>
              <w:bottom w:val="nil"/>
              <w:right w:val="nil"/>
            </w:tcBorders>
            <w:vAlign w:val="center"/>
          </w:tcPr>
          <w:p w:rsidR="004B42C3" w:rsidRPr="006E78E0" w:rsidRDefault="004B42C3" w:rsidP="00954447">
            <w:pPr>
              <w:tabs>
                <w:tab w:val="decimal" w:pos="417"/>
              </w:tabs>
              <w:rPr>
                <w:sz w:val="20"/>
                <w:szCs w:val="20"/>
              </w:rPr>
            </w:pPr>
            <w:r w:rsidRPr="006E78E0">
              <w:rPr>
                <w:sz w:val="20"/>
                <w:szCs w:val="20"/>
              </w:rPr>
              <w:t>-0.04</w:t>
            </w:r>
          </w:p>
        </w:tc>
      </w:tr>
      <w:tr w:rsidR="004B42C3" w:rsidRPr="006E78E0" w:rsidTr="00954447">
        <w:tblPrEx>
          <w:tblBorders>
            <w:top w:val="none" w:sz="0" w:space="0" w:color="auto"/>
          </w:tblBorders>
        </w:tblPrEx>
        <w:trPr>
          <w:trHeight w:val="432"/>
          <w:jc w:val="center"/>
        </w:trPr>
        <w:tc>
          <w:tcPr>
            <w:tcW w:w="3330" w:type="dxa"/>
            <w:tcBorders>
              <w:top w:val="nil"/>
              <w:left w:val="nil"/>
              <w:bottom w:val="nil"/>
              <w:right w:val="nil"/>
            </w:tcBorders>
            <w:vAlign w:val="center"/>
          </w:tcPr>
          <w:p w:rsidR="004B42C3" w:rsidRPr="006E78E0" w:rsidRDefault="004B42C3" w:rsidP="00954447">
            <w:pPr>
              <w:ind w:left="252" w:hanging="252"/>
              <w:rPr>
                <w:rFonts w:cs="Cambria"/>
                <w:color w:val="000000"/>
                <w:sz w:val="20"/>
                <w:szCs w:val="20"/>
              </w:rPr>
            </w:pPr>
            <w:r>
              <w:rPr>
                <w:i/>
                <w:iCs/>
                <w:sz w:val="20"/>
                <w:szCs w:val="20"/>
              </w:rPr>
              <w:t>District %</w:t>
            </w:r>
            <w:r w:rsidRPr="00A65481">
              <w:rPr>
                <w:i/>
                <w:iCs/>
                <w:sz w:val="20"/>
                <w:szCs w:val="20"/>
              </w:rPr>
              <w:t xml:space="preserve"> Students </w:t>
            </w:r>
            <w:r>
              <w:rPr>
                <w:i/>
                <w:iCs/>
                <w:sz w:val="20"/>
                <w:szCs w:val="20"/>
              </w:rPr>
              <w:t>with ‘High Incidence’ Designation (Cubed)</w:t>
            </w: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p>
        </w:tc>
        <w:tc>
          <w:tcPr>
            <w:tcW w:w="1350" w:type="dxa"/>
            <w:tcBorders>
              <w:top w:val="nil"/>
              <w:left w:val="nil"/>
              <w:bottom w:val="nil"/>
              <w:right w:val="single" w:sz="6" w:space="0" w:color="BFBFBF"/>
            </w:tcBorders>
            <w:vAlign w:val="center"/>
          </w:tcPr>
          <w:p w:rsidR="004B42C3" w:rsidRPr="006E78E0" w:rsidRDefault="004B42C3" w:rsidP="00954447">
            <w:pPr>
              <w:tabs>
                <w:tab w:val="decimal" w:pos="417"/>
              </w:tabs>
              <w:rPr>
                <w:sz w:val="20"/>
                <w:szCs w:val="20"/>
              </w:rPr>
            </w:pPr>
          </w:p>
        </w:tc>
        <w:tc>
          <w:tcPr>
            <w:tcW w:w="1350" w:type="dxa"/>
            <w:tcBorders>
              <w:top w:val="nil"/>
              <w:left w:val="single" w:sz="6" w:space="0" w:color="BFBFBF"/>
              <w:bottom w:val="nil"/>
              <w:right w:val="nil"/>
            </w:tcBorders>
            <w:vAlign w:val="center"/>
          </w:tcPr>
          <w:p w:rsidR="004B42C3" w:rsidRPr="006E78E0" w:rsidRDefault="004B42C3" w:rsidP="00954447">
            <w:pPr>
              <w:tabs>
                <w:tab w:val="decimal" w:pos="417"/>
              </w:tabs>
              <w:rPr>
                <w:sz w:val="20"/>
                <w:szCs w:val="20"/>
              </w:rPr>
            </w:pPr>
            <w:r w:rsidRPr="006E78E0">
              <w:rPr>
                <w:sz w:val="20"/>
                <w:szCs w:val="20"/>
              </w:rPr>
              <w:t>0.00*</w:t>
            </w:r>
          </w:p>
        </w:tc>
      </w:tr>
      <w:tr w:rsidR="004B42C3" w:rsidRPr="006E78E0" w:rsidTr="00954447">
        <w:tblPrEx>
          <w:tblBorders>
            <w:top w:val="none" w:sz="0" w:space="0" w:color="auto"/>
          </w:tblBorders>
        </w:tblPrEx>
        <w:trPr>
          <w:trHeight w:val="432"/>
          <w:jc w:val="center"/>
        </w:trPr>
        <w:tc>
          <w:tcPr>
            <w:tcW w:w="3330" w:type="dxa"/>
            <w:tcBorders>
              <w:top w:val="nil"/>
              <w:left w:val="nil"/>
              <w:bottom w:val="nil"/>
              <w:right w:val="nil"/>
            </w:tcBorders>
            <w:vAlign w:val="center"/>
          </w:tcPr>
          <w:p w:rsidR="004B42C3" w:rsidRPr="00EA28F1" w:rsidRDefault="004B42C3" w:rsidP="00954447">
            <w:pPr>
              <w:ind w:left="252" w:hanging="252"/>
              <w:rPr>
                <w:rFonts w:cs="Cambria"/>
                <w:i/>
                <w:color w:val="000000"/>
                <w:sz w:val="20"/>
                <w:szCs w:val="20"/>
              </w:rPr>
            </w:pPr>
            <w:r w:rsidRPr="00EA28F1">
              <w:rPr>
                <w:rFonts w:cs="Cambria"/>
                <w:i/>
                <w:color w:val="000000"/>
                <w:sz w:val="20"/>
                <w:szCs w:val="20"/>
              </w:rPr>
              <w:t>District Level of Inclusion</w:t>
            </w: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r w:rsidRPr="006E78E0">
              <w:rPr>
                <w:sz w:val="20"/>
                <w:szCs w:val="20"/>
              </w:rPr>
              <w:t>0.17**</w:t>
            </w: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r w:rsidRPr="006E78E0">
              <w:rPr>
                <w:sz w:val="20"/>
                <w:szCs w:val="20"/>
              </w:rPr>
              <w:t>0.10</w:t>
            </w: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r w:rsidRPr="006E78E0">
              <w:rPr>
                <w:sz w:val="20"/>
                <w:szCs w:val="20"/>
              </w:rPr>
              <w:t>-0.06</w:t>
            </w:r>
          </w:p>
        </w:tc>
        <w:tc>
          <w:tcPr>
            <w:tcW w:w="1350" w:type="dxa"/>
            <w:tcBorders>
              <w:top w:val="nil"/>
              <w:left w:val="nil"/>
              <w:bottom w:val="nil"/>
              <w:right w:val="single" w:sz="6" w:space="0" w:color="BFBFBF"/>
            </w:tcBorders>
            <w:vAlign w:val="center"/>
          </w:tcPr>
          <w:p w:rsidR="004B42C3" w:rsidRPr="006E78E0" w:rsidRDefault="004B42C3" w:rsidP="00954447">
            <w:pPr>
              <w:tabs>
                <w:tab w:val="decimal" w:pos="417"/>
              </w:tabs>
              <w:rPr>
                <w:sz w:val="20"/>
                <w:szCs w:val="20"/>
              </w:rPr>
            </w:pPr>
            <w:r w:rsidRPr="006E78E0">
              <w:rPr>
                <w:sz w:val="20"/>
                <w:szCs w:val="20"/>
              </w:rPr>
              <w:t>-0.00</w:t>
            </w:r>
          </w:p>
        </w:tc>
        <w:tc>
          <w:tcPr>
            <w:tcW w:w="1350" w:type="dxa"/>
            <w:tcBorders>
              <w:top w:val="nil"/>
              <w:left w:val="single" w:sz="6" w:space="0" w:color="BFBFBF"/>
              <w:bottom w:val="nil"/>
              <w:right w:val="nil"/>
            </w:tcBorders>
            <w:vAlign w:val="center"/>
          </w:tcPr>
          <w:p w:rsidR="004B42C3" w:rsidRPr="006E78E0" w:rsidRDefault="004B42C3" w:rsidP="00954447">
            <w:pPr>
              <w:tabs>
                <w:tab w:val="decimal" w:pos="417"/>
              </w:tabs>
              <w:rPr>
                <w:sz w:val="20"/>
                <w:szCs w:val="20"/>
              </w:rPr>
            </w:pPr>
            <w:r w:rsidRPr="006E78E0">
              <w:rPr>
                <w:sz w:val="20"/>
                <w:szCs w:val="20"/>
              </w:rPr>
              <w:t>-0.02</w:t>
            </w:r>
          </w:p>
        </w:tc>
      </w:tr>
      <w:tr w:rsidR="004B42C3" w:rsidRPr="006E78E0" w:rsidTr="00954447">
        <w:tblPrEx>
          <w:tblBorders>
            <w:top w:val="none" w:sz="0" w:space="0" w:color="auto"/>
          </w:tblBorders>
        </w:tblPrEx>
        <w:trPr>
          <w:trHeight w:val="432"/>
          <w:jc w:val="center"/>
        </w:trPr>
        <w:tc>
          <w:tcPr>
            <w:tcW w:w="3330" w:type="dxa"/>
            <w:tcBorders>
              <w:top w:val="nil"/>
              <w:left w:val="nil"/>
              <w:bottom w:val="nil"/>
              <w:right w:val="nil"/>
            </w:tcBorders>
            <w:vAlign w:val="center"/>
          </w:tcPr>
          <w:p w:rsidR="004B42C3" w:rsidRPr="00CD689D" w:rsidRDefault="004B42C3" w:rsidP="00954447">
            <w:pPr>
              <w:ind w:left="252" w:hanging="252"/>
              <w:rPr>
                <w:rFonts w:cs="Cambria"/>
                <w:i/>
                <w:color w:val="000000"/>
                <w:sz w:val="20"/>
                <w:szCs w:val="20"/>
              </w:rPr>
            </w:pPr>
            <w:r>
              <w:rPr>
                <w:rFonts w:cs="Cambria"/>
                <w:i/>
                <w:color w:val="000000"/>
                <w:sz w:val="20"/>
                <w:szCs w:val="20"/>
              </w:rPr>
              <w:t>District Median Family Income (MFI), in units of $10,000</w:t>
            </w: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r w:rsidRPr="006E78E0">
              <w:rPr>
                <w:sz w:val="20"/>
                <w:szCs w:val="20"/>
              </w:rPr>
              <w:t>0.75**</w:t>
            </w:r>
          </w:p>
        </w:tc>
        <w:tc>
          <w:tcPr>
            <w:tcW w:w="1350" w:type="dxa"/>
            <w:tcBorders>
              <w:top w:val="nil"/>
              <w:left w:val="nil"/>
              <w:bottom w:val="nil"/>
              <w:right w:val="single" w:sz="6" w:space="0" w:color="BFBFBF"/>
            </w:tcBorders>
            <w:vAlign w:val="center"/>
          </w:tcPr>
          <w:p w:rsidR="004B42C3" w:rsidRPr="006E78E0" w:rsidRDefault="004B42C3" w:rsidP="00954447">
            <w:pPr>
              <w:tabs>
                <w:tab w:val="decimal" w:pos="417"/>
              </w:tabs>
              <w:rPr>
                <w:sz w:val="20"/>
                <w:szCs w:val="20"/>
              </w:rPr>
            </w:pPr>
            <w:r w:rsidRPr="006E78E0">
              <w:rPr>
                <w:sz w:val="20"/>
                <w:szCs w:val="20"/>
              </w:rPr>
              <w:t>0.75**</w:t>
            </w:r>
          </w:p>
        </w:tc>
        <w:tc>
          <w:tcPr>
            <w:tcW w:w="1350" w:type="dxa"/>
            <w:tcBorders>
              <w:top w:val="nil"/>
              <w:left w:val="single" w:sz="6" w:space="0" w:color="BFBFBF"/>
              <w:bottom w:val="nil"/>
              <w:right w:val="nil"/>
            </w:tcBorders>
            <w:vAlign w:val="center"/>
          </w:tcPr>
          <w:p w:rsidR="004B42C3" w:rsidRPr="006E78E0" w:rsidRDefault="004B42C3" w:rsidP="00954447">
            <w:pPr>
              <w:tabs>
                <w:tab w:val="decimal" w:pos="417"/>
              </w:tabs>
              <w:rPr>
                <w:sz w:val="20"/>
                <w:szCs w:val="20"/>
              </w:rPr>
            </w:pPr>
            <w:r w:rsidRPr="006E78E0">
              <w:rPr>
                <w:sz w:val="20"/>
                <w:szCs w:val="20"/>
              </w:rPr>
              <w:t>2.59**</w:t>
            </w:r>
          </w:p>
        </w:tc>
      </w:tr>
      <w:tr w:rsidR="004B42C3" w:rsidRPr="006E78E0" w:rsidTr="00954447">
        <w:tblPrEx>
          <w:tblBorders>
            <w:top w:val="none" w:sz="0" w:space="0" w:color="auto"/>
          </w:tblBorders>
        </w:tblPrEx>
        <w:trPr>
          <w:trHeight w:val="432"/>
          <w:jc w:val="center"/>
        </w:trPr>
        <w:tc>
          <w:tcPr>
            <w:tcW w:w="3330" w:type="dxa"/>
            <w:tcBorders>
              <w:top w:val="nil"/>
              <w:left w:val="nil"/>
              <w:bottom w:val="nil"/>
              <w:right w:val="nil"/>
            </w:tcBorders>
            <w:vAlign w:val="center"/>
          </w:tcPr>
          <w:p w:rsidR="004B42C3" w:rsidRPr="006E78E0" w:rsidRDefault="004B42C3" w:rsidP="00954447">
            <w:pPr>
              <w:ind w:left="252" w:hanging="252"/>
              <w:rPr>
                <w:rFonts w:cs="Cambria"/>
                <w:color w:val="000000"/>
                <w:sz w:val="20"/>
                <w:szCs w:val="20"/>
              </w:rPr>
            </w:pPr>
            <w:r>
              <w:rPr>
                <w:rFonts w:cs="Cambria"/>
                <w:i/>
                <w:color w:val="000000"/>
                <w:sz w:val="20"/>
                <w:szCs w:val="20"/>
              </w:rPr>
              <w:t>District MFI, in units of $10,000 (Squared)</w:t>
            </w: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p>
        </w:tc>
        <w:tc>
          <w:tcPr>
            <w:tcW w:w="1350" w:type="dxa"/>
            <w:tcBorders>
              <w:top w:val="nil"/>
              <w:left w:val="nil"/>
              <w:bottom w:val="nil"/>
              <w:right w:val="single" w:sz="6" w:space="0" w:color="BFBFBF"/>
            </w:tcBorders>
            <w:vAlign w:val="center"/>
          </w:tcPr>
          <w:p w:rsidR="004B42C3" w:rsidRPr="006E78E0" w:rsidRDefault="004B42C3" w:rsidP="00954447">
            <w:pPr>
              <w:tabs>
                <w:tab w:val="decimal" w:pos="417"/>
              </w:tabs>
              <w:rPr>
                <w:sz w:val="20"/>
                <w:szCs w:val="20"/>
              </w:rPr>
            </w:pPr>
          </w:p>
        </w:tc>
        <w:tc>
          <w:tcPr>
            <w:tcW w:w="1350" w:type="dxa"/>
            <w:tcBorders>
              <w:top w:val="nil"/>
              <w:left w:val="single" w:sz="6" w:space="0" w:color="BFBFBF"/>
              <w:bottom w:val="nil"/>
              <w:right w:val="nil"/>
            </w:tcBorders>
            <w:vAlign w:val="center"/>
          </w:tcPr>
          <w:p w:rsidR="004B42C3" w:rsidRPr="006E78E0" w:rsidRDefault="004B42C3" w:rsidP="00954447">
            <w:pPr>
              <w:tabs>
                <w:tab w:val="decimal" w:pos="417"/>
              </w:tabs>
              <w:rPr>
                <w:sz w:val="20"/>
                <w:szCs w:val="20"/>
              </w:rPr>
            </w:pPr>
            <w:r w:rsidRPr="006E78E0">
              <w:rPr>
                <w:sz w:val="20"/>
                <w:szCs w:val="20"/>
              </w:rPr>
              <w:t>-0.09**</w:t>
            </w:r>
          </w:p>
        </w:tc>
      </w:tr>
      <w:tr w:rsidR="004B42C3" w:rsidRPr="006E78E0" w:rsidTr="00954447">
        <w:tblPrEx>
          <w:tblBorders>
            <w:top w:val="none" w:sz="0" w:space="0" w:color="auto"/>
          </w:tblBorders>
        </w:tblPrEx>
        <w:trPr>
          <w:trHeight w:val="432"/>
          <w:jc w:val="center"/>
        </w:trPr>
        <w:tc>
          <w:tcPr>
            <w:tcW w:w="3330" w:type="dxa"/>
            <w:tcBorders>
              <w:top w:val="nil"/>
              <w:left w:val="nil"/>
              <w:bottom w:val="nil"/>
              <w:right w:val="nil"/>
            </w:tcBorders>
            <w:vAlign w:val="center"/>
          </w:tcPr>
          <w:p w:rsidR="004B42C3" w:rsidRPr="00CD689D" w:rsidRDefault="004B42C3" w:rsidP="00954447">
            <w:pPr>
              <w:ind w:left="252" w:hanging="252"/>
              <w:rPr>
                <w:rFonts w:cs="Cambria"/>
                <w:i/>
                <w:color w:val="000000"/>
                <w:sz w:val="20"/>
                <w:szCs w:val="20"/>
              </w:rPr>
            </w:pPr>
            <w:r>
              <w:rPr>
                <w:rFonts w:cs="Cambria"/>
                <w:i/>
                <w:color w:val="000000"/>
                <w:sz w:val="20"/>
                <w:szCs w:val="20"/>
              </w:rPr>
              <w:t>District Student-Teacher Ratio</w:t>
            </w: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r w:rsidRPr="006E78E0">
              <w:rPr>
                <w:sz w:val="20"/>
                <w:szCs w:val="20"/>
              </w:rPr>
              <w:t>-0.11</w:t>
            </w:r>
          </w:p>
        </w:tc>
        <w:tc>
          <w:tcPr>
            <w:tcW w:w="1350" w:type="dxa"/>
            <w:tcBorders>
              <w:top w:val="nil"/>
              <w:left w:val="nil"/>
              <w:bottom w:val="nil"/>
              <w:right w:val="single" w:sz="6" w:space="0" w:color="BFBFBF"/>
            </w:tcBorders>
            <w:vAlign w:val="center"/>
          </w:tcPr>
          <w:p w:rsidR="004B42C3" w:rsidRPr="006E78E0" w:rsidRDefault="004B42C3" w:rsidP="00954447">
            <w:pPr>
              <w:tabs>
                <w:tab w:val="decimal" w:pos="417"/>
              </w:tabs>
              <w:rPr>
                <w:sz w:val="20"/>
                <w:szCs w:val="20"/>
              </w:rPr>
            </w:pPr>
          </w:p>
        </w:tc>
        <w:tc>
          <w:tcPr>
            <w:tcW w:w="1350" w:type="dxa"/>
            <w:tcBorders>
              <w:top w:val="nil"/>
              <w:left w:val="single" w:sz="6" w:space="0" w:color="BFBFBF"/>
              <w:bottom w:val="nil"/>
              <w:right w:val="nil"/>
            </w:tcBorders>
            <w:vAlign w:val="center"/>
          </w:tcPr>
          <w:p w:rsidR="004B42C3" w:rsidRPr="006E78E0" w:rsidRDefault="004B42C3" w:rsidP="00954447">
            <w:pPr>
              <w:tabs>
                <w:tab w:val="decimal" w:pos="417"/>
              </w:tabs>
              <w:rPr>
                <w:sz w:val="20"/>
                <w:szCs w:val="20"/>
              </w:rPr>
            </w:pPr>
          </w:p>
        </w:tc>
      </w:tr>
      <w:tr w:rsidR="004B42C3" w:rsidRPr="006E78E0" w:rsidTr="00954447">
        <w:tblPrEx>
          <w:tblBorders>
            <w:top w:val="none" w:sz="0" w:space="0" w:color="auto"/>
          </w:tblBorders>
        </w:tblPrEx>
        <w:trPr>
          <w:trHeight w:val="432"/>
          <w:jc w:val="center"/>
        </w:trPr>
        <w:tc>
          <w:tcPr>
            <w:tcW w:w="3330" w:type="dxa"/>
            <w:tcBorders>
              <w:top w:val="nil"/>
              <w:left w:val="nil"/>
              <w:bottom w:val="nil"/>
              <w:right w:val="nil"/>
            </w:tcBorders>
            <w:vAlign w:val="center"/>
          </w:tcPr>
          <w:p w:rsidR="004B42C3" w:rsidRPr="006E78E0" w:rsidRDefault="004B42C3" w:rsidP="00954447">
            <w:pPr>
              <w:ind w:left="252" w:hanging="252"/>
              <w:rPr>
                <w:rFonts w:cs="Cambria"/>
                <w:color w:val="000000"/>
                <w:sz w:val="20"/>
                <w:szCs w:val="20"/>
              </w:rPr>
            </w:pPr>
            <w:r w:rsidRPr="00CD689D">
              <w:rPr>
                <w:rFonts w:cs="Cambria"/>
                <w:i/>
                <w:iCs/>
                <w:color w:val="000000"/>
                <w:sz w:val="20"/>
                <w:szCs w:val="20"/>
              </w:rPr>
              <w:t>District Participates in METCO Program</w:t>
            </w: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r w:rsidRPr="006E78E0">
              <w:rPr>
                <w:sz w:val="20"/>
                <w:szCs w:val="20"/>
              </w:rPr>
              <w:t>1.21*</w:t>
            </w:r>
          </w:p>
        </w:tc>
        <w:tc>
          <w:tcPr>
            <w:tcW w:w="1350" w:type="dxa"/>
            <w:tcBorders>
              <w:top w:val="nil"/>
              <w:left w:val="nil"/>
              <w:bottom w:val="nil"/>
              <w:right w:val="single" w:sz="6" w:space="0" w:color="BFBFBF"/>
            </w:tcBorders>
            <w:vAlign w:val="center"/>
          </w:tcPr>
          <w:p w:rsidR="004B42C3" w:rsidRPr="006E78E0" w:rsidRDefault="004B42C3" w:rsidP="00954447">
            <w:pPr>
              <w:tabs>
                <w:tab w:val="decimal" w:pos="417"/>
              </w:tabs>
              <w:rPr>
                <w:sz w:val="20"/>
                <w:szCs w:val="20"/>
              </w:rPr>
            </w:pPr>
            <w:r w:rsidRPr="006E78E0">
              <w:rPr>
                <w:sz w:val="20"/>
                <w:szCs w:val="20"/>
              </w:rPr>
              <w:t>1.32**</w:t>
            </w:r>
          </w:p>
        </w:tc>
        <w:tc>
          <w:tcPr>
            <w:tcW w:w="1350" w:type="dxa"/>
            <w:tcBorders>
              <w:top w:val="nil"/>
              <w:left w:val="single" w:sz="6" w:space="0" w:color="BFBFBF"/>
              <w:bottom w:val="nil"/>
              <w:right w:val="nil"/>
            </w:tcBorders>
            <w:vAlign w:val="center"/>
          </w:tcPr>
          <w:p w:rsidR="004B42C3" w:rsidRPr="006E78E0" w:rsidRDefault="004B42C3" w:rsidP="00954447">
            <w:pPr>
              <w:tabs>
                <w:tab w:val="decimal" w:pos="417"/>
              </w:tabs>
              <w:rPr>
                <w:sz w:val="20"/>
                <w:szCs w:val="20"/>
              </w:rPr>
            </w:pPr>
            <w:r w:rsidRPr="006E78E0">
              <w:rPr>
                <w:sz w:val="20"/>
                <w:szCs w:val="20"/>
              </w:rPr>
              <w:t>1.02*</w:t>
            </w:r>
          </w:p>
        </w:tc>
      </w:tr>
      <w:tr w:rsidR="004B42C3" w:rsidRPr="006E78E0" w:rsidTr="00954447">
        <w:tblPrEx>
          <w:tblBorders>
            <w:top w:val="none" w:sz="0" w:space="0" w:color="auto"/>
          </w:tblBorders>
        </w:tblPrEx>
        <w:trPr>
          <w:trHeight w:val="432"/>
          <w:jc w:val="center"/>
        </w:trPr>
        <w:tc>
          <w:tcPr>
            <w:tcW w:w="3330" w:type="dxa"/>
            <w:tcBorders>
              <w:top w:val="nil"/>
              <w:left w:val="nil"/>
              <w:bottom w:val="nil"/>
              <w:right w:val="nil"/>
            </w:tcBorders>
            <w:vAlign w:val="center"/>
          </w:tcPr>
          <w:p w:rsidR="004B42C3" w:rsidRPr="006E78E0" w:rsidRDefault="004B42C3" w:rsidP="00954447">
            <w:pPr>
              <w:ind w:left="252" w:hanging="252"/>
              <w:rPr>
                <w:rFonts w:cs="Cambria"/>
                <w:color w:val="000000"/>
                <w:sz w:val="20"/>
                <w:szCs w:val="20"/>
              </w:rPr>
            </w:pPr>
            <w:r>
              <w:rPr>
                <w:i/>
                <w:iCs/>
                <w:sz w:val="20"/>
                <w:szCs w:val="20"/>
              </w:rPr>
              <w:t>District Percent</w:t>
            </w:r>
            <w:r w:rsidRPr="00A65481">
              <w:rPr>
                <w:i/>
                <w:iCs/>
                <w:sz w:val="20"/>
                <w:szCs w:val="20"/>
              </w:rPr>
              <w:t xml:space="preserve"> Students </w:t>
            </w:r>
            <w:r>
              <w:rPr>
                <w:i/>
                <w:iCs/>
                <w:sz w:val="20"/>
                <w:szCs w:val="20"/>
              </w:rPr>
              <w:t>with Limited English Proficiency</w:t>
            </w: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r w:rsidRPr="006E78E0">
              <w:rPr>
                <w:sz w:val="20"/>
                <w:szCs w:val="20"/>
              </w:rPr>
              <w:t>0.17**</w:t>
            </w:r>
          </w:p>
        </w:tc>
        <w:tc>
          <w:tcPr>
            <w:tcW w:w="1350" w:type="dxa"/>
            <w:tcBorders>
              <w:top w:val="nil"/>
              <w:left w:val="nil"/>
              <w:bottom w:val="nil"/>
              <w:right w:val="single" w:sz="6" w:space="0" w:color="BFBFBF"/>
            </w:tcBorders>
            <w:vAlign w:val="center"/>
          </w:tcPr>
          <w:p w:rsidR="004B42C3" w:rsidRPr="006E78E0" w:rsidRDefault="004B42C3" w:rsidP="00954447">
            <w:pPr>
              <w:tabs>
                <w:tab w:val="decimal" w:pos="417"/>
              </w:tabs>
              <w:rPr>
                <w:sz w:val="20"/>
                <w:szCs w:val="20"/>
              </w:rPr>
            </w:pPr>
            <w:r w:rsidRPr="006E78E0">
              <w:rPr>
                <w:sz w:val="20"/>
                <w:szCs w:val="20"/>
              </w:rPr>
              <w:t>0.18**</w:t>
            </w:r>
          </w:p>
        </w:tc>
        <w:tc>
          <w:tcPr>
            <w:tcW w:w="1350" w:type="dxa"/>
            <w:tcBorders>
              <w:top w:val="nil"/>
              <w:left w:val="single" w:sz="6" w:space="0" w:color="BFBFBF"/>
              <w:bottom w:val="nil"/>
              <w:right w:val="nil"/>
            </w:tcBorders>
            <w:vAlign w:val="center"/>
          </w:tcPr>
          <w:p w:rsidR="004B42C3" w:rsidRPr="006E78E0" w:rsidRDefault="004B42C3" w:rsidP="00954447">
            <w:pPr>
              <w:tabs>
                <w:tab w:val="decimal" w:pos="417"/>
              </w:tabs>
              <w:rPr>
                <w:sz w:val="20"/>
                <w:szCs w:val="20"/>
              </w:rPr>
            </w:pPr>
            <w:r w:rsidRPr="006E78E0">
              <w:rPr>
                <w:sz w:val="20"/>
                <w:szCs w:val="20"/>
              </w:rPr>
              <w:t>0.12**</w:t>
            </w:r>
          </w:p>
        </w:tc>
      </w:tr>
      <w:tr w:rsidR="004B42C3" w:rsidRPr="006E78E0" w:rsidTr="00954447">
        <w:tblPrEx>
          <w:tblBorders>
            <w:top w:val="none" w:sz="0" w:space="0" w:color="auto"/>
          </w:tblBorders>
        </w:tblPrEx>
        <w:trPr>
          <w:trHeight w:val="432"/>
          <w:jc w:val="center"/>
        </w:trPr>
        <w:tc>
          <w:tcPr>
            <w:tcW w:w="3330" w:type="dxa"/>
            <w:tcBorders>
              <w:top w:val="nil"/>
              <w:left w:val="nil"/>
              <w:bottom w:val="nil"/>
              <w:right w:val="nil"/>
            </w:tcBorders>
            <w:vAlign w:val="center"/>
          </w:tcPr>
          <w:p w:rsidR="004B42C3" w:rsidRPr="006E78E0" w:rsidRDefault="004B42C3" w:rsidP="00954447">
            <w:pPr>
              <w:ind w:left="252" w:hanging="252"/>
              <w:rPr>
                <w:rFonts w:cs="Cambria"/>
                <w:color w:val="000000"/>
                <w:sz w:val="20"/>
                <w:szCs w:val="20"/>
              </w:rPr>
            </w:pPr>
            <w:r>
              <w:rPr>
                <w:i/>
                <w:iCs/>
                <w:sz w:val="20"/>
                <w:szCs w:val="20"/>
              </w:rPr>
              <w:t>District Percent</w:t>
            </w:r>
            <w:r w:rsidRPr="00A65481">
              <w:rPr>
                <w:i/>
                <w:iCs/>
                <w:sz w:val="20"/>
                <w:szCs w:val="20"/>
              </w:rPr>
              <w:t xml:space="preserve"> Students eligible for FRPL (log</w:t>
            </w:r>
            <w:r w:rsidRPr="00A65481">
              <w:rPr>
                <w:i/>
                <w:iCs/>
                <w:sz w:val="20"/>
                <w:szCs w:val="20"/>
                <w:vertAlign w:val="subscript"/>
              </w:rPr>
              <w:t>2</w:t>
            </w:r>
            <w:r w:rsidRPr="00A65481">
              <w:rPr>
                <w:i/>
                <w:iCs/>
                <w:sz w:val="20"/>
                <w:szCs w:val="20"/>
              </w:rPr>
              <w:t>)</w:t>
            </w: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r w:rsidRPr="006E78E0">
              <w:rPr>
                <w:sz w:val="20"/>
                <w:szCs w:val="20"/>
              </w:rPr>
              <w:t>-0.09**</w:t>
            </w:r>
          </w:p>
        </w:tc>
        <w:tc>
          <w:tcPr>
            <w:tcW w:w="1350" w:type="dxa"/>
            <w:tcBorders>
              <w:top w:val="nil"/>
              <w:left w:val="nil"/>
              <w:bottom w:val="nil"/>
              <w:right w:val="single" w:sz="6" w:space="0" w:color="BFBFBF"/>
            </w:tcBorders>
            <w:vAlign w:val="center"/>
          </w:tcPr>
          <w:p w:rsidR="004B42C3" w:rsidRPr="006E78E0" w:rsidRDefault="004B42C3" w:rsidP="00954447">
            <w:pPr>
              <w:tabs>
                <w:tab w:val="decimal" w:pos="417"/>
              </w:tabs>
              <w:rPr>
                <w:sz w:val="20"/>
                <w:szCs w:val="20"/>
              </w:rPr>
            </w:pPr>
            <w:r w:rsidRPr="006E78E0">
              <w:rPr>
                <w:sz w:val="20"/>
                <w:szCs w:val="20"/>
              </w:rPr>
              <w:t>-0.09**</w:t>
            </w:r>
          </w:p>
        </w:tc>
        <w:tc>
          <w:tcPr>
            <w:tcW w:w="1350" w:type="dxa"/>
            <w:tcBorders>
              <w:top w:val="nil"/>
              <w:left w:val="single" w:sz="6" w:space="0" w:color="BFBFBF"/>
              <w:bottom w:val="nil"/>
              <w:right w:val="nil"/>
            </w:tcBorders>
            <w:vAlign w:val="center"/>
          </w:tcPr>
          <w:p w:rsidR="004B42C3" w:rsidRPr="006E78E0" w:rsidRDefault="004B42C3" w:rsidP="00954447">
            <w:pPr>
              <w:tabs>
                <w:tab w:val="decimal" w:pos="417"/>
              </w:tabs>
              <w:rPr>
                <w:sz w:val="20"/>
                <w:szCs w:val="20"/>
              </w:rPr>
            </w:pPr>
            <w:r w:rsidRPr="006E78E0">
              <w:rPr>
                <w:sz w:val="20"/>
                <w:szCs w:val="20"/>
              </w:rPr>
              <w:t>-0.02</w:t>
            </w:r>
          </w:p>
        </w:tc>
      </w:tr>
      <w:tr w:rsidR="004B42C3" w:rsidRPr="006E78E0" w:rsidTr="00954447">
        <w:tblPrEx>
          <w:tblBorders>
            <w:top w:val="none" w:sz="0" w:space="0" w:color="auto"/>
          </w:tblBorders>
        </w:tblPrEx>
        <w:trPr>
          <w:trHeight w:val="432"/>
          <w:jc w:val="center"/>
        </w:trPr>
        <w:tc>
          <w:tcPr>
            <w:tcW w:w="3330" w:type="dxa"/>
            <w:tcBorders>
              <w:top w:val="nil"/>
              <w:left w:val="nil"/>
              <w:bottom w:val="nil"/>
              <w:right w:val="nil"/>
            </w:tcBorders>
            <w:vAlign w:val="center"/>
          </w:tcPr>
          <w:p w:rsidR="004B42C3" w:rsidRPr="006E78E0" w:rsidRDefault="004B42C3" w:rsidP="00954447">
            <w:pPr>
              <w:ind w:left="252" w:hanging="252"/>
              <w:rPr>
                <w:rFonts w:cs="Cambria"/>
                <w:color w:val="000000"/>
                <w:sz w:val="20"/>
                <w:szCs w:val="20"/>
              </w:rPr>
            </w:pPr>
            <w:r w:rsidRPr="00A65481">
              <w:rPr>
                <w:i/>
                <w:sz w:val="20"/>
                <w:szCs w:val="20"/>
              </w:rPr>
              <w:t>District is ‘City’</w:t>
            </w: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r w:rsidRPr="006E78E0">
              <w:rPr>
                <w:sz w:val="20"/>
                <w:szCs w:val="20"/>
              </w:rPr>
              <w:t>0.83</w:t>
            </w:r>
          </w:p>
        </w:tc>
        <w:tc>
          <w:tcPr>
            <w:tcW w:w="1350" w:type="dxa"/>
            <w:tcBorders>
              <w:top w:val="nil"/>
              <w:left w:val="nil"/>
              <w:bottom w:val="nil"/>
              <w:right w:val="single" w:sz="6" w:space="0" w:color="BFBFBF"/>
            </w:tcBorders>
            <w:vAlign w:val="center"/>
          </w:tcPr>
          <w:p w:rsidR="004B42C3" w:rsidRPr="006E78E0" w:rsidRDefault="004B42C3" w:rsidP="00954447">
            <w:pPr>
              <w:tabs>
                <w:tab w:val="decimal" w:pos="417"/>
              </w:tabs>
              <w:rPr>
                <w:sz w:val="20"/>
                <w:szCs w:val="20"/>
              </w:rPr>
            </w:pPr>
          </w:p>
        </w:tc>
        <w:tc>
          <w:tcPr>
            <w:tcW w:w="1350" w:type="dxa"/>
            <w:tcBorders>
              <w:top w:val="nil"/>
              <w:left w:val="single" w:sz="6" w:space="0" w:color="BFBFBF"/>
              <w:bottom w:val="nil"/>
              <w:right w:val="nil"/>
            </w:tcBorders>
            <w:vAlign w:val="center"/>
          </w:tcPr>
          <w:p w:rsidR="004B42C3" w:rsidRPr="006E78E0" w:rsidRDefault="004B42C3" w:rsidP="00954447">
            <w:pPr>
              <w:tabs>
                <w:tab w:val="decimal" w:pos="417"/>
              </w:tabs>
              <w:rPr>
                <w:sz w:val="20"/>
                <w:szCs w:val="20"/>
              </w:rPr>
            </w:pPr>
          </w:p>
        </w:tc>
      </w:tr>
      <w:tr w:rsidR="004B42C3" w:rsidRPr="006E78E0" w:rsidTr="00954447">
        <w:tblPrEx>
          <w:tblBorders>
            <w:top w:val="none" w:sz="0" w:space="0" w:color="auto"/>
          </w:tblBorders>
        </w:tblPrEx>
        <w:trPr>
          <w:trHeight w:val="432"/>
          <w:jc w:val="center"/>
        </w:trPr>
        <w:tc>
          <w:tcPr>
            <w:tcW w:w="3330" w:type="dxa"/>
            <w:tcBorders>
              <w:top w:val="nil"/>
              <w:left w:val="nil"/>
              <w:bottom w:val="nil"/>
              <w:right w:val="nil"/>
            </w:tcBorders>
            <w:vAlign w:val="center"/>
          </w:tcPr>
          <w:p w:rsidR="004B42C3" w:rsidRPr="006E78E0" w:rsidRDefault="004B42C3" w:rsidP="00954447">
            <w:pPr>
              <w:ind w:left="252" w:hanging="252"/>
              <w:rPr>
                <w:rFonts w:cs="Cambria"/>
                <w:color w:val="000000"/>
                <w:sz w:val="20"/>
                <w:szCs w:val="20"/>
              </w:rPr>
            </w:pPr>
            <w:r w:rsidRPr="00A65481">
              <w:rPr>
                <w:i/>
                <w:sz w:val="20"/>
                <w:szCs w:val="20"/>
              </w:rPr>
              <w:t>District is ‘Town’</w:t>
            </w: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r w:rsidRPr="006E78E0">
              <w:rPr>
                <w:sz w:val="20"/>
                <w:szCs w:val="20"/>
              </w:rPr>
              <w:t>-0.05</w:t>
            </w:r>
          </w:p>
        </w:tc>
        <w:tc>
          <w:tcPr>
            <w:tcW w:w="1350" w:type="dxa"/>
            <w:tcBorders>
              <w:top w:val="nil"/>
              <w:left w:val="nil"/>
              <w:bottom w:val="nil"/>
              <w:right w:val="single" w:sz="6" w:space="0" w:color="BFBFBF"/>
            </w:tcBorders>
            <w:vAlign w:val="center"/>
          </w:tcPr>
          <w:p w:rsidR="004B42C3" w:rsidRPr="006E78E0" w:rsidRDefault="004B42C3" w:rsidP="00954447">
            <w:pPr>
              <w:tabs>
                <w:tab w:val="decimal" w:pos="417"/>
              </w:tabs>
              <w:rPr>
                <w:sz w:val="20"/>
                <w:szCs w:val="20"/>
              </w:rPr>
            </w:pPr>
          </w:p>
        </w:tc>
        <w:tc>
          <w:tcPr>
            <w:tcW w:w="1350" w:type="dxa"/>
            <w:tcBorders>
              <w:top w:val="nil"/>
              <w:left w:val="single" w:sz="6" w:space="0" w:color="BFBFBF"/>
              <w:bottom w:val="nil"/>
              <w:right w:val="nil"/>
            </w:tcBorders>
            <w:vAlign w:val="center"/>
          </w:tcPr>
          <w:p w:rsidR="004B42C3" w:rsidRPr="006E78E0" w:rsidRDefault="004B42C3" w:rsidP="00954447">
            <w:pPr>
              <w:tabs>
                <w:tab w:val="decimal" w:pos="417"/>
              </w:tabs>
              <w:rPr>
                <w:sz w:val="20"/>
                <w:szCs w:val="20"/>
              </w:rPr>
            </w:pPr>
          </w:p>
        </w:tc>
      </w:tr>
      <w:tr w:rsidR="004B42C3" w:rsidRPr="006E78E0" w:rsidTr="00954447">
        <w:tblPrEx>
          <w:tblBorders>
            <w:top w:val="none" w:sz="0" w:space="0" w:color="auto"/>
          </w:tblBorders>
        </w:tblPrEx>
        <w:trPr>
          <w:trHeight w:val="432"/>
          <w:jc w:val="center"/>
        </w:trPr>
        <w:tc>
          <w:tcPr>
            <w:tcW w:w="3330" w:type="dxa"/>
            <w:tcBorders>
              <w:top w:val="nil"/>
              <w:left w:val="nil"/>
              <w:bottom w:val="nil"/>
              <w:right w:val="nil"/>
            </w:tcBorders>
            <w:vAlign w:val="center"/>
          </w:tcPr>
          <w:p w:rsidR="004B42C3" w:rsidRPr="006E78E0" w:rsidRDefault="004B42C3" w:rsidP="00954447">
            <w:pPr>
              <w:ind w:left="252" w:hanging="252"/>
              <w:rPr>
                <w:rFonts w:cs="Cambria"/>
                <w:color w:val="000000"/>
                <w:sz w:val="20"/>
                <w:szCs w:val="20"/>
              </w:rPr>
            </w:pPr>
            <w:r w:rsidRPr="00A65481">
              <w:rPr>
                <w:i/>
                <w:sz w:val="20"/>
                <w:szCs w:val="20"/>
              </w:rPr>
              <w:t>District is ‘Rural’</w:t>
            </w: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17"/>
              </w:tabs>
              <w:rPr>
                <w:sz w:val="20"/>
                <w:szCs w:val="20"/>
              </w:rPr>
            </w:pPr>
            <w:r w:rsidRPr="006E78E0">
              <w:rPr>
                <w:sz w:val="20"/>
                <w:szCs w:val="20"/>
              </w:rPr>
              <w:t>-0.14</w:t>
            </w:r>
          </w:p>
        </w:tc>
        <w:tc>
          <w:tcPr>
            <w:tcW w:w="1350" w:type="dxa"/>
            <w:tcBorders>
              <w:top w:val="nil"/>
              <w:left w:val="nil"/>
              <w:bottom w:val="nil"/>
              <w:right w:val="single" w:sz="6" w:space="0" w:color="BFBFBF"/>
            </w:tcBorders>
            <w:vAlign w:val="center"/>
          </w:tcPr>
          <w:p w:rsidR="004B42C3" w:rsidRPr="006E78E0" w:rsidRDefault="004B42C3" w:rsidP="00954447">
            <w:pPr>
              <w:tabs>
                <w:tab w:val="decimal" w:pos="417"/>
              </w:tabs>
              <w:rPr>
                <w:sz w:val="20"/>
                <w:szCs w:val="20"/>
              </w:rPr>
            </w:pPr>
          </w:p>
        </w:tc>
        <w:tc>
          <w:tcPr>
            <w:tcW w:w="1350" w:type="dxa"/>
            <w:tcBorders>
              <w:top w:val="nil"/>
              <w:left w:val="single" w:sz="6" w:space="0" w:color="BFBFBF"/>
              <w:bottom w:val="nil"/>
              <w:right w:val="nil"/>
            </w:tcBorders>
            <w:vAlign w:val="center"/>
          </w:tcPr>
          <w:p w:rsidR="004B42C3" w:rsidRPr="006E78E0" w:rsidRDefault="004B42C3" w:rsidP="00954447">
            <w:pPr>
              <w:tabs>
                <w:tab w:val="decimal" w:pos="417"/>
              </w:tabs>
              <w:rPr>
                <w:sz w:val="20"/>
                <w:szCs w:val="20"/>
              </w:rPr>
            </w:pPr>
          </w:p>
        </w:tc>
      </w:tr>
      <w:tr w:rsidR="004B42C3" w:rsidRPr="006E78E0" w:rsidTr="00954447">
        <w:tblPrEx>
          <w:tblBorders>
            <w:top w:val="none" w:sz="0" w:space="0" w:color="auto"/>
          </w:tblBorders>
        </w:tblPrEx>
        <w:trPr>
          <w:trHeight w:val="144"/>
          <w:jc w:val="center"/>
        </w:trPr>
        <w:tc>
          <w:tcPr>
            <w:tcW w:w="3330" w:type="dxa"/>
            <w:tcBorders>
              <w:top w:val="nil"/>
              <w:left w:val="nil"/>
              <w:bottom w:val="nil"/>
              <w:right w:val="nil"/>
            </w:tcBorders>
            <w:vAlign w:val="center"/>
          </w:tcPr>
          <w:p w:rsidR="004B42C3" w:rsidRPr="00A35892" w:rsidRDefault="004B42C3" w:rsidP="00954447">
            <w:pPr>
              <w:ind w:left="252" w:hanging="252"/>
              <w:rPr>
                <w:rFonts w:cs="Cambria"/>
                <w:color w:val="000000"/>
                <w:sz w:val="14"/>
                <w:szCs w:val="14"/>
                <w:u w:val="single"/>
              </w:rPr>
            </w:pPr>
          </w:p>
        </w:tc>
        <w:tc>
          <w:tcPr>
            <w:tcW w:w="1350" w:type="dxa"/>
            <w:tcBorders>
              <w:top w:val="nil"/>
              <w:left w:val="nil"/>
              <w:bottom w:val="nil"/>
              <w:right w:val="nil"/>
            </w:tcBorders>
            <w:vAlign w:val="center"/>
          </w:tcPr>
          <w:p w:rsidR="004B42C3" w:rsidRPr="00722091" w:rsidRDefault="004B42C3" w:rsidP="00954447">
            <w:pPr>
              <w:rPr>
                <w:sz w:val="14"/>
                <w:szCs w:val="14"/>
              </w:rPr>
            </w:pPr>
          </w:p>
        </w:tc>
        <w:tc>
          <w:tcPr>
            <w:tcW w:w="1350" w:type="dxa"/>
            <w:tcBorders>
              <w:top w:val="nil"/>
              <w:left w:val="nil"/>
              <w:bottom w:val="nil"/>
              <w:right w:val="nil"/>
            </w:tcBorders>
            <w:vAlign w:val="center"/>
          </w:tcPr>
          <w:p w:rsidR="004B42C3" w:rsidRPr="00722091" w:rsidRDefault="004B42C3" w:rsidP="00954447">
            <w:pPr>
              <w:rPr>
                <w:sz w:val="14"/>
                <w:szCs w:val="14"/>
              </w:rPr>
            </w:pPr>
          </w:p>
        </w:tc>
        <w:tc>
          <w:tcPr>
            <w:tcW w:w="1350" w:type="dxa"/>
            <w:tcBorders>
              <w:top w:val="nil"/>
              <w:left w:val="nil"/>
              <w:bottom w:val="nil"/>
              <w:right w:val="nil"/>
            </w:tcBorders>
            <w:vAlign w:val="center"/>
          </w:tcPr>
          <w:p w:rsidR="004B42C3" w:rsidRPr="00722091" w:rsidRDefault="004B42C3" w:rsidP="00954447">
            <w:pPr>
              <w:rPr>
                <w:sz w:val="14"/>
                <w:szCs w:val="14"/>
              </w:rPr>
            </w:pPr>
          </w:p>
        </w:tc>
        <w:tc>
          <w:tcPr>
            <w:tcW w:w="1350" w:type="dxa"/>
            <w:tcBorders>
              <w:top w:val="nil"/>
              <w:left w:val="nil"/>
              <w:bottom w:val="nil"/>
              <w:right w:val="single" w:sz="6" w:space="0" w:color="BFBFBF"/>
            </w:tcBorders>
            <w:vAlign w:val="center"/>
          </w:tcPr>
          <w:p w:rsidR="004B42C3" w:rsidRPr="00722091" w:rsidRDefault="004B42C3" w:rsidP="00954447">
            <w:pPr>
              <w:rPr>
                <w:sz w:val="14"/>
                <w:szCs w:val="14"/>
              </w:rPr>
            </w:pPr>
          </w:p>
        </w:tc>
        <w:tc>
          <w:tcPr>
            <w:tcW w:w="1350" w:type="dxa"/>
            <w:tcBorders>
              <w:top w:val="nil"/>
              <w:left w:val="single" w:sz="6" w:space="0" w:color="BFBFBF"/>
              <w:bottom w:val="nil"/>
              <w:right w:val="nil"/>
            </w:tcBorders>
            <w:vAlign w:val="center"/>
          </w:tcPr>
          <w:p w:rsidR="004B42C3" w:rsidRPr="00722091" w:rsidRDefault="004B42C3" w:rsidP="00954447">
            <w:pPr>
              <w:rPr>
                <w:sz w:val="14"/>
                <w:szCs w:val="14"/>
              </w:rPr>
            </w:pPr>
          </w:p>
        </w:tc>
      </w:tr>
      <w:tr w:rsidR="004B42C3" w:rsidRPr="006E78E0" w:rsidTr="00954447">
        <w:tblPrEx>
          <w:tblBorders>
            <w:top w:val="none" w:sz="0" w:space="0" w:color="auto"/>
          </w:tblBorders>
        </w:tblPrEx>
        <w:trPr>
          <w:trHeight w:val="432"/>
          <w:jc w:val="center"/>
        </w:trPr>
        <w:tc>
          <w:tcPr>
            <w:tcW w:w="3330" w:type="dxa"/>
            <w:tcBorders>
              <w:top w:val="nil"/>
              <w:left w:val="nil"/>
              <w:bottom w:val="nil"/>
              <w:right w:val="nil"/>
            </w:tcBorders>
            <w:vAlign w:val="center"/>
          </w:tcPr>
          <w:p w:rsidR="004B42C3" w:rsidRDefault="004B42C3" w:rsidP="00954447">
            <w:pPr>
              <w:ind w:left="252" w:hanging="252"/>
              <w:rPr>
                <w:rFonts w:cs="Cambria"/>
                <w:color w:val="000000"/>
                <w:sz w:val="20"/>
                <w:szCs w:val="20"/>
              </w:rPr>
            </w:pPr>
            <w:r>
              <w:rPr>
                <w:rFonts w:cs="Cambria"/>
                <w:color w:val="000000"/>
                <w:sz w:val="20"/>
                <w:szCs w:val="20"/>
                <w:u w:val="single"/>
              </w:rPr>
              <w:t>District-Level Interactions</w:t>
            </w:r>
          </w:p>
        </w:tc>
        <w:tc>
          <w:tcPr>
            <w:tcW w:w="1350" w:type="dxa"/>
            <w:tcBorders>
              <w:top w:val="nil"/>
              <w:left w:val="nil"/>
              <w:bottom w:val="nil"/>
              <w:right w:val="nil"/>
            </w:tcBorders>
            <w:vAlign w:val="center"/>
          </w:tcPr>
          <w:p w:rsidR="004B42C3" w:rsidRPr="006E78E0" w:rsidRDefault="004B42C3" w:rsidP="00954447">
            <w:pPr>
              <w:rPr>
                <w:sz w:val="20"/>
                <w:szCs w:val="20"/>
              </w:rPr>
            </w:pPr>
          </w:p>
        </w:tc>
        <w:tc>
          <w:tcPr>
            <w:tcW w:w="1350" w:type="dxa"/>
            <w:tcBorders>
              <w:top w:val="nil"/>
              <w:left w:val="nil"/>
              <w:bottom w:val="nil"/>
              <w:right w:val="nil"/>
            </w:tcBorders>
            <w:vAlign w:val="center"/>
          </w:tcPr>
          <w:p w:rsidR="004B42C3" w:rsidRPr="006E78E0" w:rsidRDefault="004B42C3" w:rsidP="00954447">
            <w:pPr>
              <w:rPr>
                <w:sz w:val="20"/>
                <w:szCs w:val="20"/>
              </w:rPr>
            </w:pPr>
          </w:p>
        </w:tc>
        <w:tc>
          <w:tcPr>
            <w:tcW w:w="1350" w:type="dxa"/>
            <w:tcBorders>
              <w:top w:val="nil"/>
              <w:left w:val="nil"/>
              <w:bottom w:val="nil"/>
              <w:right w:val="nil"/>
            </w:tcBorders>
            <w:vAlign w:val="center"/>
          </w:tcPr>
          <w:p w:rsidR="004B42C3" w:rsidRPr="006E78E0" w:rsidRDefault="004B42C3" w:rsidP="00954447">
            <w:pPr>
              <w:rPr>
                <w:sz w:val="20"/>
                <w:szCs w:val="20"/>
              </w:rPr>
            </w:pPr>
          </w:p>
        </w:tc>
        <w:tc>
          <w:tcPr>
            <w:tcW w:w="1350" w:type="dxa"/>
            <w:tcBorders>
              <w:top w:val="nil"/>
              <w:left w:val="nil"/>
              <w:bottom w:val="nil"/>
              <w:right w:val="single" w:sz="6" w:space="0" w:color="BFBFBF"/>
            </w:tcBorders>
            <w:vAlign w:val="center"/>
          </w:tcPr>
          <w:p w:rsidR="004B42C3" w:rsidRPr="006E78E0" w:rsidRDefault="004B42C3" w:rsidP="00954447">
            <w:pPr>
              <w:rPr>
                <w:sz w:val="20"/>
                <w:szCs w:val="20"/>
              </w:rPr>
            </w:pPr>
          </w:p>
        </w:tc>
        <w:tc>
          <w:tcPr>
            <w:tcW w:w="1350" w:type="dxa"/>
            <w:tcBorders>
              <w:top w:val="nil"/>
              <w:left w:val="single" w:sz="6" w:space="0" w:color="BFBFBF"/>
              <w:bottom w:val="nil"/>
              <w:right w:val="nil"/>
            </w:tcBorders>
            <w:vAlign w:val="center"/>
          </w:tcPr>
          <w:p w:rsidR="004B42C3" w:rsidRPr="006E78E0" w:rsidRDefault="004B42C3" w:rsidP="00954447">
            <w:pPr>
              <w:rPr>
                <w:sz w:val="20"/>
                <w:szCs w:val="20"/>
              </w:rPr>
            </w:pPr>
          </w:p>
        </w:tc>
      </w:tr>
      <w:tr w:rsidR="004B42C3" w:rsidRPr="006E78E0" w:rsidTr="00954447">
        <w:tblPrEx>
          <w:tblBorders>
            <w:top w:val="none" w:sz="0" w:space="0" w:color="auto"/>
          </w:tblBorders>
        </w:tblPrEx>
        <w:trPr>
          <w:trHeight w:val="432"/>
          <w:jc w:val="center"/>
        </w:trPr>
        <w:tc>
          <w:tcPr>
            <w:tcW w:w="3330" w:type="dxa"/>
            <w:tcBorders>
              <w:top w:val="nil"/>
              <w:left w:val="nil"/>
              <w:bottom w:val="nil"/>
              <w:right w:val="nil"/>
            </w:tcBorders>
            <w:vAlign w:val="center"/>
          </w:tcPr>
          <w:p w:rsidR="004B42C3" w:rsidRPr="006E78E0" w:rsidRDefault="004B42C3" w:rsidP="00954447">
            <w:pPr>
              <w:ind w:left="252" w:hanging="252"/>
              <w:rPr>
                <w:rFonts w:cs="Cambria"/>
                <w:color w:val="000000"/>
                <w:sz w:val="20"/>
                <w:szCs w:val="20"/>
              </w:rPr>
            </w:pPr>
            <w:r w:rsidRPr="00EA28F1">
              <w:rPr>
                <w:rFonts w:cs="Cambria"/>
                <w:i/>
                <w:color w:val="000000"/>
                <w:sz w:val="20"/>
                <w:szCs w:val="20"/>
              </w:rPr>
              <w:t xml:space="preserve">District </w:t>
            </w:r>
            <w:r>
              <w:rPr>
                <w:i/>
                <w:iCs/>
                <w:sz w:val="20"/>
                <w:szCs w:val="20"/>
              </w:rPr>
              <w:t>%</w:t>
            </w:r>
            <w:r w:rsidRPr="00A65481">
              <w:rPr>
                <w:i/>
                <w:iCs/>
                <w:sz w:val="20"/>
                <w:szCs w:val="20"/>
              </w:rPr>
              <w:t xml:space="preserve"> Students </w:t>
            </w:r>
            <w:r>
              <w:rPr>
                <w:i/>
                <w:iCs/>
                <w:sz w:val="20"/>
                <w:szCs w:val="20"/>
              </w:rPr>
              <w:t xml:space="preserve">with ‘High Incidence’ Designation </w:t>
            </w:r>
            <w:r>
              <w:rPr>
                <w:rStyle w:val="CommentReference"/>
              </w:rPr>
              <w:t xml:space="preserve"> </w:t>
            </w:r>
            <w:r>
              <w:rPr>
                <w:rFonts w:cs="Cambria"/>
                <w:i/>
                <w:color w:val="000000"/>
                <w:sz w:val="20"/>
                <w:szCs w:val="20"/>
              </w:rPr>
              <w:t xml:space="preserve">x </w:t>
            </w:r>
            <w:r w:rsidRPr="00EA28F1">
              <w:rPr>
                <w:rFonts w:cs="Cambria"/>
                <w:i/>
                <w:color w:val="000000"/>
                <w:sz w:val="20"/>
                <w:szCs w:val="20"/>
              </w:rPr>
              <w:t>District Level of Inclusion</w:t>
            </w:r>
          </w:p>
        </w:tc>
        <w:tc>
          <w:tcPr>
            <w:tcW w:w="1350" w:type="dxa"/>
            <w:tcBorders>
              <w:top w:val="nil"/>
              <w:left w:val="nil"/>
              <w:bottom w:val="nil"/>
              <w:right w:val="nil"/>
            </w:tcBorders>
            <w:vAlign w:val="center"/>
          </w:tcPr>
          <w:p w:rsidR="004B42C3" w:rsidRPr="006E78E0" w:rsidRDefault="004B42C3" w:rsidP="00954447">
            <w:pPr>
              <w:tabs>
                <w:tab w:val="decimal" w:pos="432"/>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32"/>
              </w:tabs>
              <w:rPr>
                <w:sz w:val="20"/>
                <w:szCs w:val="20"/>
              </w:rPr>
            </w:pPr>
            <w:r w:rsidRPr="006E78E0">
              <w:rPr>
                <w:sz w:val="20"/>
                <w:szCs w:val="20"/>
              </w:rPr>
              <w:t>0.00</w:t>
            </w:r>
          </w:p>
        </w:tc>
        <w:tc>
          <w:tcPr>
            <w:tcW w:w="1350" w:type="dxa"/>
            <w:tcBorders>
              <w:top w:val="nil"/>
              <w:left w:val="nil"/>
              <w:bottom w:val="nil"/>
              <w:right w:val="nil"/>
            </w:tcBorders>
            <w:vAlign w:val="center"/>
          </w:tcPr>
          <w:p w:rsidR="004B42C3" w:rsidRPr="006E78E0" w:rsidRDefault="004B42C3" w:rsidP="00954447">
            <w:pPr>
              <w:tabs>
                <w:tab w:val="decimal" w:pos="432"/>
              </w:tabs>
              <w:rPr>
                <w:sz w:val="20"/>
                <w:szCs w:val="20"/>
              </w:rPr>
            </w:pPr>
            <w:r w:rsidRPr="006E78E0">
              <w:rPr>
                <w:sz w:val="20"/>
                <w:szCs w:val="20"/>
              </w:rPr>
              <w:t>0.01</w:t>
            </w:r>
          </w:p>
        </w:tc>
        <w:tc>
          <w:tcPr>
            <w:tcW w:w="1350" w:type="dxa"/>
            <w:tcBorders>
              <w:top w:val="nil"/>
              <w:left w:val="nil"/>
              <w:bottom w:val="nil"/>
              <w:right w:val="single" w:sz="6" w:space="0" w:color="BFBFBF"/>
            </w:tcBorders>
            <w:vAlign w:val="center"/>
          </w:tcPr>
          <w:p w:rsidR="004B42C3" w:rsidRPr="006E78E0" w:rsidRDefault="004B42C3" w:rsidP="00954447">
            <w:pPr>
              <w:tabs>
                <w:tab w:val="decimal" w:pos="432"/>
              </w:tabs>
              <w:rPr>
                <w:sz w:val="20"/>
                <w:szCs w:val="20"/>
              </w:rPr>
            </w:pPr>
          </w:p>
        </w:tc>
        <w:tc>
          <w:tcPr>
            <w:tcW w:w="1350" w:type="dxa"/>
            <w:tcBorders>
              <w:top w:val="nil"/>
              <w:left w:val="single" w:sz="6" w:space="0" w:color="BFBFBF"/>
              <w:bottom w:val="nil"/>
              <w:right w:val="nil"/>
            </w:tcBorders>
            <w:vAlign w:val="center"/>
          </w:tcPr>
          <w:p w:rsidR="004B42C3" w:rsidRPr="006E78E0" w:rsidRDefault="004B42C3" w:rsidP="00954447">
            <w:pPr>
              <w:tabs>
                <w:tab w:val="decimal" w:pos="432"/>
              </w:tabs>
              <w:rPr>
                <w:sz w:val="20"/>
                <w:szCs w:val="20"/>
              </w:rPr>
            </w:pPr>
          </w:p>
        </w:tc>
      </w:tr>
      <w:tr w:rsidR="004B42C3" w:rsidRPr="006E78E0" w:rsidTr="00954447">
        <w:tblPrEx>
          <w:tblBorders>
            <w:top w:val="none" w:sz="0" w:space="0" w:color="auto"/>
          </w:tblBorders>
        </w:tblPrEx>
        <w:trPr>
          <w:trHeight w:val="144"/>
          <w:jc w:val="center"/>
        </w:trPr>
        <w:tc>
          <w:tcPr>
            <w:tcW w:w="3330" w:type="dxa"/>
            <w:tcBorders>
              <w:top w:val="nil"/>
              <w:left w:val="nil"/>
              <w:bottom w:val="nil"/>
              <w:right w:val="nil"/>
            </w:tcBorders>
            <w:vAlign w:val="center"/>
          </w:tcPr>
          <w:p w:rsidR="004B42C3" w:rsidRPr="00A35892" w:rsidRDefault="004B42C3" w:rsidP="00954447">
            <w:pPr>
              <w:ind w:left="252" w:hanging="252"/>
              <w:rPr>
                <w:rFonts w:cs="Cambria"/>
                <w:color w:val="000000"/>
                <w:sz w:val="14"/>
                <w:szCs w:val="14"/>
                <w:u w:val="single"/>
              </w:rPr>
            </w:pPr>
          </w:p>
        </w:tc>
        <w:tc>
          <w:tcPr>
            <w:tcW w:w="1350" w:type="dxa"/>
            <w:tcBorders>
              <w:top w:val="nil"/>
              <w:left w:val="nil"/>
              <w:bottom w:val="nil"/>
              <w:right w:val="nil"/>
            </w:tcBorders>
            <w:vAlign w:val="center"/>
          </w:tcPr>
          <w:p w:rsidR="004B42C3" w:rsidRPr="00722091" w:rsidRDefault="004B42C3" w:rsidP="00954447">
            <w:pPr>
              <w:rPr>
                <w:sz w:val="14"/>
                <w:szCs w:val="14"/>
              </w:rPr>
            </w:pPr>
          </w:p>
        </w:tc>
        <w:tc>
          <w:tcPr>
            <w:tcW w:w="1350" w:type="dxa"/>
            <w:tcBorders>
              <w:top w:val="nil"/>
              <w:left w:val="nil"/>
              <w:bottom w:val="nil"/>
              <w:right w:val="nil"/>
            </w:tcBorders>
            <w:vAlign w:val="center"/>
          </w:tcPr>
          <w:p w:rsidR="004B42C3" w:rsidRPr="00722091" w:rsidRDefault="004B42C3" w:rsidP="00954447">
            <w:pPr>
              <w:rPr>
                <w:sz w:val="14"/>
                <w:szCs w:val="14"/>
              </w:rPr>
            </w:pPr>
          </w:p>
        </w:tc>
        <w:tc>
          <w:tcPr>
            <w:tcW w:w="1350" w:type="dxa"/>
            <w:tcBorders>
              <w:top w:val="nil"/>
              <w:left w:val="nil"/>
              <w:bottom w:val="nil"/>
              <w:right w:val="nil"/>
            </w:tcBorders>
            <w:vAlign w:val="center"/>
          </w:tcPr>
          <w:p w:rsidR="004B42C3" w:rsidRPr="00722091" w:rsidRDefault="004B42C3" w:rsidP="00954447">
            <w:pPr>
              <w:rPr>
                <w:sz w:val="14"/>
                <w:szCs w:val="14"/>
              </w:rPr>
            </w:pPr>
          </w:p>
        </w:tc>
        <w:tc>
          <w:tcPr>
            <w:tcW w:w="1350" w:type="dxa"/>
            <w:tcBorders>
              <w:top w:val="nil"/>
              <w:left w:val="nil"/>
              <w:bottom w:val="nil"/>
              <w:right w:val="single" w:sz="6" w:space="0" w:color="BFBFBF"/>
            </w:tcBorders>
            <w:vAlign w:val="center"/>
          </w:tcPr>
          <w:p w:rsidR="004B42C3" w:rsidRPr="00722091" w:rsidRDefault="004B42C3" w:rsidP="00954447">
            <w:pPr>
              <w:rPr>
                <w:sz w:val="14"/>
                <w:szCs w:val="14"/>
              </w:rPr>
            </w:pPr>
          </w:p>
        </w:tc>
        <w:tc>
          <w:tcPr>
            <w:tcW w:w="1350" w:type="dxa"/>
            <w:tcBorders>
              <w:top w:val="nil"/>
              <w:left w:val="single" w:sz="6" w:space="0" w:color="BFBFBF"/>
              <w:bottom w:val="nil"/>
              <w:right w:val="nil"/>
            </w:tcBorders>
            <w:vAlign w:val="center"/>
          </w:tcPr>
          <w:p w:rsidR="004B42C3" w:rsidRPr="00722091" w:rsidRDefault="004B42C3" w:rsidP="00954447">
            <w:pPr>
              <w:rPr>
                <w:sz w:val="14"/>
                <w:szCs w:val="14"/>
              </w:rPr>
            </w:pPr>
          </w:p>
        </w:tc>
      </w:tr>
      <w:tr w:rsidR="004B42C3" w:rsidRPr="006E78E0" w:rsidTr="00954447">
        <w:tblPrEx>
          <w:tblBorders>
            <w:top w:val="none" w:sz="0" w:space="0" w:color="auto"/>
          </w:tblBorders>
        </w:tblPrEx>
        <w:trPr>
          <w:trHeight w:val="432"/>
          <w:jc w:val="center"/>
        </w:trPr>
        <w:tc>
          <w:tcPr>
            <w:tcW w:w="3330" w:type="dxa"/>
            <w:tcBorders>
              <w:top w:val="nil"/>
              <w:left w:val="nil"/>
              <w:bottom w:val="nil"/>
              <w:right w:val="nil"/>
            </w:tcBorders>
            <w:vAlign w:val="center"/>
          </w:tcPr>
          <w:p w:rsidR="004B42C3" w:rsidRDefault="004B42C3" w:rsidP="00954447">
            <w:pPr>
              <w:ind w:left="252" w:hanging="252"/>
              <w:rPr>
                <w:rFonts w:cs="Cambria"/>
                <w:color w:val="000000"/>
                <w:sz w:val="20"/>
                <w:szCs w:val="20"/>
              </w:rPr>
            </w:pPr>
            <w:r>
              <w:rPr>
                <w:rFonts w:cs="Cambria"/>
                <w:color w:val="000000"/>
                <w:sz w:val="20"/>
                <w:szCs w:val="20"/>
                <w:u w:val="single"/>
              </w:rPr>
              <w:t>Cross-Level Interactions</w:t>
            </w:r>
          </w:p>
        </w:tc>
        <w:tc>
          <w:tcPr>
            <w:tcW w:w="1350" w:type="dxa"/>
            <w:tcBorders>
              <w:top w:val="nil"/>
              <w:left w:val="nil"/>
              <w:bottom w:val="nil"/>
              <w:right w:val="nil"/>
            </w:tcBorders>
            <w:vAlign w:val="center"/>
          </w:tcPr>
          <w:p w:rsidR="004B42C3" w:rsidRPr="006E78E0" w:rsidRDefault="004B42C3" w:rsidP="00954447">
            <w:pPr>
              <w:tabs>
                <w:tab w:val="decimal" w:pos="432"/>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32"/>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32"/>
              </w:tabs>
              <w:rPr>
                <w:sz w:val="20"/>
                <w:szCs w:val="20"/>
              </w:rPr>
            </w:pPr>
          </w:p>
        </w:tc>
        <w:tc>
          <w:tcPr>
            <w:tcW w:w="1350" w:type="dxa"/>
            <w:tcBorders>
              <w:top w:val="nil"/>
              <w:left w:val="nil"/>
              <w:bottom w:val="nil"/>
              <w:right w:val="single" w:sz="6" w:space="0" w:color="BFBFBF"/>
            </w:tcBorders>
            <w:vAlign w:val="center"/>
          </w:tcPr>
          <w:p w:rsidR="004B42C3" w:rsidRPr="006E78E0" w:rsidRDefault="004B42C3" w:rsidP="00954447">
            <w:pPr>
              <w:tabs>
                <w:tab w:val="decimal" w:pos="432"/>
              </w:tabs>
              <w:rPr>
                <w:sz w:val="20"/>
                <w:szCs w:val="20"/>
              </w:rPr>
            </w:pPr>
          </w:p>
        </w:tc>
        <w:tc>
          <w:tcPr>
            <w:tcW w:w="1350" w:type="dxa"/>
            <w:tcBorders>
              <w:top w:val="nil"/>
              <w:left w:val="single" w:sz="6" w:space="0" w:color="BFBFBF"/>
              <w:bottom w:val="nil"/>
              <w:right w:val="nil"/>
            </w:tcBorders>
            <w:vAlign w:val="center"/>
          </w:tcPr>
          <w:p w:rsidR="004B42C3" w:rsidRPr="006E78E0" w:rsidRDefault="004B42C3" w:rsidP="00954447">
            <w:pPr>
              <w:tabs>
                <w:tab w:val="decimal" w:pos="432"/>
              </w:tabs>
              <w:rPr>
                <w:sz w:val="20"/>
                <w:szCs w:val="20"/>
              </w:rPr>
            </w:pPr>
          </w:p>
        </w:tc>
      </w:tr>
      <w:tr w:rsidR="004B42C3" w:rsidRPr="006E78E0" w:rsidTr="00954447">
        <w:tblPrEx>
          <w:tblBorders>
            <w:top w:val="none" w:sz="0" w:space="0" w:color="auto"/>
          </w:tblBorders>
        </w:tblPrEx>
        <w:trPr>
          <w:trHeight w:val="432"/>
          <w:jc w:val="center"/>
        </w:trPr>
        <w:tc>
          <w:tcPr>
            <w:tcW w:w="3330" w:type="dxa"/>
            <w:tcBorders>
              <w:top w:val="nil"/>
              <w:left w:val="nil"/>
              <w:bottom w:val="nil"/>
              <w:right w:val="nil"/>
            </w:tcBorders>
            <w:vAlign w:val="center"/>
          </w:tcPr>
          <w:p w:rsidR="004B42C3" w:rsidRPr="006E78E0" w:rsidRDefault="004B42C3" w:rsidP="00954447">
            <w:pPr>
              <w:ind w:left="252" w:hanging="252"/>
              <w:rPr>
                <w:rFonts w:cs="Cambria"/>
                <w:color w:val="000000"/>
                <w:sz w:val="20"/>
                <w:szCs w:val="20"/>
              </w:rPr>
            </w:pPr>
            <w:r>
              <w:rPr>
                <w:rFonts w:cs="Cambria"/>
                <w:i/>
                <w:color w:val="000000"/>
                <w:sz w:val="20"/>
                <w:szCs w:val="20"/>
              </w:rPr>
              <w:t>Child ‘</w:t>
            </w:r>
            <w:r>
              <w:rPr>
                <w:i/>
                <w:iCs/>
                <w:sz w:val="20"/>
                <w:szCs w:val="20"/>
              </w:rPr>
              <w:t>High Incidence</w:t>
            </w:r>
            <w:r>
              <w:rPr>
                <w:rFonts w:cs="Cambria"/>
                <w:i/>
                <w:color w:val="000000"/>
                <w:sz w:val="20"/>
                <w:szCs w:val="20"/>
              </w:rPr>
              <w:t>’ Designation</w:t>
            </w:r>
            <w:r w:rsidRPr="00EA28F1">
              <w:rPr>
                <w:rFonts w:cs="Cambria"/>
                <w:i/>
                <w:color w:val="000000"/>
                <w:sz w:val="20"/>
                <w:szCs w:val="20"/>
              </w:rPr>
              <w:t xml:space="preserve"> </w:t>
            </w:r>
            <w:r>
              <w:rPr>
                <w:rFonts w:cs="Cambria"/>
                <w:i/>
                <w:color w:val="000000"/>
                <w:sz w:val="20"/>
                <w:szCs w:val="20"/>
              </w:rPr>
              <w:br/>
            </w:r>
            <w:r w:rsidRPr="00EA28F1">
              <w:rPr>
                <w:rFonts w:cs="Cambria"/>
                <w:i/>
                <w:color w:val="000000"/>
                <w:sz w:val="20"/>
                <w:szCs w:val="20"/>
              </w:rPr>
              <w:t>x District % ‘</w:t>
            </w:r>
            <w:r>
              <w:rPr>
                <w:i/>
                <w:iCs/>
                <w:sz w:val="20"/>
                <w:szCs w:val="20"/>
              </w:rPr>
              <w:t>High Incidence</w:t>
            </w:r>
            <w:r w:rsidRPr="00EA28F1">
              <w:rPr>
                <w:rFonts w:cs="Cambria"/>
                <w:i/>
                <w:color w:val="000000"/>
                <w:sz w:val="20"/>
                <w:szCs w:val="20"/>
              </w:rPr>
              <w:t xml:space="preserve">’ </w:t>
            </w:r>
          </w:p>
        </w:tc>
        <w:tc>
          <w:tcPr>
            <w:tcW w:w="1350" w:type="dxa"/>
            <w:tcBorders>
              <w:top w:val="nil"/>
              <w:left w:val="nil"/>
              <w:bottom w:val="nil"/>
              <w:right w:val="nil"/>
            </w:tcBorders>
            <w:vAlign w:val="center"/>
          </w:tcPr>
          <w:p w:rsidR="004B42C3" w:rsidRPr="006E78E0" w:rsidRDefault="004B42C3" w:rsidP="00954447">
            <w:pPr>
              <w:tabs>
                <w:tab w:val="decimal" w:pos="432"/>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32"/>
              </w:tabs>
              <w:rPr>
                <w:sz w:val="20"/>
                <w:szCs w:val="20"/>
              </w:rPr>
            </w:pPr>
            <w:r w:rsidRPr="006E78E0">
              <w:rPr>
                <w:sz w:val="20"/>
                <w:szCs w:val="20"/>
              </w:rPr>
              <w:t>0.12**</w:t>
            </w:r>
          </w:p>
        </w:tc>
        <w:tc>
          <w:tcPr>
            <w:tcW w:w="1350" w:type="dxa"/>
            <w:tcBorders>
              <w:top w:val="nil"/>
              <w:left w:val="nil"/>
              <w:bottom w:val="nil"/>
              <w:right w:val="nil"/>
            </w:tcBorders>
            <w:vAlign w:val="center"/>
          </w:tcPr>
          <w:p w:rsidR="004B42C3" w:rsidRPr="006E78E0" w:rsidRDefault="004B42C3" w:rsidP="00954447">
            <w:pPr>
              <w:tabs>
                <w:tab w:val="decimal" w:pos="432"/>
              </w:tabs>
              <w:rPr>
                <w:sz w:val="20"/>
                <w:szCs w:val="20"/>
              </w:rPr>
            </w:pPr>
            <w:r w:rsidRPr="006E78E0">
              <w:rPr>
                <w:sz w:val="20"/>
                <w:szCs w:val="20"/>
              </w:rPr>
              <w:t>0.15**</w:t>
            </w:r>
          </w:p>
        </w:tc>
        <w:tc>
          <w:tcPr>
            <w:tcW w:w="1350" w:type="dxa"/>
            <w:tcBorders>
              <w:top w:val="nil"/>
              <w:left w:val="nil"/>
              <w:bottom w:val="nil"/>
              <w:right w:val="single" w:sz="6" w:space="0" w:color="BFBFBF"/>
            </w:tcBorders>
            <w:vAlign w:val="center"/>
          </w:tcPr>
          <w:p w:rsidR="004B42C3" w:rsidRPr="006E78E0" w:rsidRDefault="004B42C3" w:rsidP="00954447">
            <w:pPr>
              <w:tabs>
                <w:tab w:val="decimal" w:pos="432"/>
              </w:tabs>
              <w:rPr>
                <w:sz w:val="20"/>
                <w:szCs w:val="20"/>
              </w:rPr>
            </w:pPr>
            <w:r w:rsidRPr="006E78E0">
              <w:rPr>
                <w:sz w:val="20"/>
                <w:szCs w:val="20"/>
              </w:rPr>
              <w:t>0.12**</w:t>
            </w:r>
          </w:p>
        </w:tc>
        <w:tc>
          <w:tcPr>
            <w:tcW w:w="1350" w:type="dxa"/>
            <w:tcBorders>
              <w:top w:val="nil"/>
              <w:left w:val="single" w:sz="6" w:space="0" w:color="BFBFBF"/>
              <w:bottom w:val="nil"/>
              <w:right w:val="nil"/>
            </w:tcBorders>
            <w:vAlign w:val="center"/>
          </w:tcPr>
          <w:p w:rsidR="004B42C3" w:rsidRPr="006E78E0" w:rsidRDefault="004B42C3" w:rsidP="00954447">
            <w:pPr>
              <w:tabs>
                <w:tab w:val="decimal" w:pos="432"/>
              </w:tabs>
              <w:rPr>
                <w:sz w:val="20"/>
                <w:szCs w:val="20"/>
              </w:rPr>
            </w:pPr>
            <w:r w:rsidRPr="006E78E0">
              <w:rPr>
                <w:sz w:val="20"/>
                <w:szCs w:val="20"/>
              </w:rPr>
              <w:t>0.12**</w:t>
            </w:r>
          </w:p>
        </w:tc>
      </w:tr>
      <w:tr w:rsidR="004B42C3" w:rsidRPr="006E78E0" w:rsidTr="00954447">
        <w:tblPrEx>
          <w:tblBorders>
            <w:top w:val="none" w:sz="0" w:space="0" w:color="auto"/>
          </w:tblBorders>
        </w:tblPrEx>
        <w:trPr>
          <w:trHeight w:val="432"/>
          <w:jc w:val="center"/>
        </w:trPr>
        <w:tc>
          <w:tcPr>
            <w:tcW w:w="3330" w:type="dxa"/>
            <w:tcBorders>
              <w:top w:val="nil"/>
              <w:left w:val="nil"/>
              <w:bottom w:val="nil"/>
              <w:right w:val="nil"/>
            </w:tcBorders>
            <w:vAlign w:val="center"/>
          </w:tcPr>
          <w:p w:rsidR="004B42C3" w:rsidRPr="006E78E0" w:rsidRDefault="004B42C3" w:rsidP="00954447">
            <w:pPr>
              <w:ind w:left="252" w:hanging="252"/>
              <w:rPr>
                <w:rFonts w:cs="Cambria"/>
                <w:color w:val="000000"/>
                <w:sz w:val="20"/>
                <w:szCs w:val="20"/>
              </w:rPr>
            </w:pPr>
            <w:r>
              <w:rPr>
                <w:rFonts w:cs="Cambria"/>
                <w:i/>
                <w:color w:val="000000"/>
                <w:sz w:val="20"/>
                <w:szCs w:val="20"/>
              </w:rPr>
              <w:t>Child another Disability Designation</w:t>
            </w:r>
            <w:r w:rsidRPr="00EA28F1">
              <w:rPr>
                <w:rFonts w:cs="Cambria"/>
                <w:i/>
                <w:color w:val="000000"/>
                <w:sz w:val="20"/>
                <w:szCs w:val="20"/>
              </w:rPr>
              <w:t xml:space="preserve"> x District % ‘</w:t>
            </w:r>
            <w:r>
              <w:rPr>
                <w:i/>
                <w:iCs/>
                <w:sz w:val="20"/>
                <w:szCs w:val="20"/>
              </w:rPr>
              <w:t>High Incidence</w:t>
            </w:r>
            <w:r w:rsidRPr="00EA28F1">
              <w:rPr>
                <w:rFonts w:cs="Cambria"/>
                <w:i/>
                <w:color w:val="000000"/>
                <w:sz w:val="20"/>
                <w:szCs w:val="20"/>
              </w:rPr>
              <w:t>’</w:t>
            </w:r>
          </w:p>
        </w:tc>
        <w:tc>
          <w:tcPr>
            <w:tcW w:w="1350" w:type="dxa"/>
            <w:tcBorders>
              <w:top w:val="nil"/>
              <w:left w:val="nil"/>
              <w:bottom w:val="nil"/>
              <w:right w:val="nil"/>
            </w:tcBorders>
            <w:vAlign w:val="center"/>
          </w:tcPr>
          <w:p w:rsidR="004B42C3" w:rsidRPr="006E78E0" w:rsidRDefault="004B42C3" w:rsidP="00954447">
            <w:pPr>
              <w:tabs>
                <w:tab w:val="decimal" w:pos="432"/>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32"/>
              </w:tabs>
              <w:rPr>
                <w:sz w:val="20"/>
                <w:szCs w:val="20"/>
              </w:rPr>
            </w:pPr>
            <w:r w:rsidRPr="006E78E0">
              <w:rPr>
                <w:sz w:val="20"/>
                <w:szCs w:val="20"/>
              </w:rPr>
              <w:t>0.16**</w:t>
            </w:r>
          </w:p>
        </w:tc>
        <w:tc>
          <w:tcPr>
            <w:tcW w:w="1350" w:type="dxa"/>
            <w:tcBorders>
              <w:top w:val="nil"/>
              <w:left w:val="nil"/>
              <w:bottom w:val="nil"/>
              <w:right w:val="nil"/>
            </w:tcBorders>
            <w:vAlign w:val="center"/>
          </w:tcPr>
          <w:p w:rsidR="004B42C3" w:rsidRPr="006E78E0" w:rsidRDefault="004B42C3" w:rsidP="00954447">
            <w:pPr>
              <w:tabs>
                <w:tab w:val="decimal" w:pos="432"/>
              </w:tabs>
              <w:rPr>
                <w:sz w:val="20"/>
                <w:szCs w:val="20"/>
              </w:rPr>
            </w:pPr>
            <w:r w:rsidRPr="006E78E0">
              <w:rPr>
                <w:sz w:val="20"/>
                <w:szCs w:val="20"/>
              </w:rPr>
              <w:t>0.17**</w:t>
            </w:r>
          </w:p>
        </w:tc>
        <w:tc>
          <w:tcPr>
            <w:tcW w:w="1350" w:type="dxa"/>
            <w:tcBorders>
              <w:top w:val="nil"/>
              <w:left w:val="nil"/>
              <w:bottom w:val="nil"/>
              <w:right w:val="single" w:sz="6" w:space="0" w:color="BFBFBF"/>
            </w:tcBorders>
            <w:vAlign w:val="center"/>
          </w:tcPr>
          <w:p w:rsidR="004B42C3" w:rsidRPr="006E78E0" w:rsidRDefault="004B42C3" w:rsidP="00954447">
            <w:pPr>
              <w:tabs>
                <w:tab w:val="decimal" w:pos="432"/>
              </w:tabs>
              <w:rPr>
                <w:sz w:val="20"/>
                <w:szCs w:val="20"/>
              </w:rPr>
            </w:pPr>
            <w:r w:rsidRPr="006E78E0">
              <w:rPr>
                <w:sz w:val="20"/>
                <w:szCs w:val="20"/>
              </w:rPr>
              <w:t>0.15*</w:t>
            </w:r>
          </w:p>
        </w:tc>
        <w:tc>
          <w:tcPr>
            <w:tcW w:w="1350" w:type="dxa"/>
            <w:tcBorders>
              <w:top w:val="nil"/>
              <w:left w:val="single" w:sz="6" w:space="0" w:color="BFBFBF"/>
              <w:bottom w:val="nil"/>
              <w:right w:val="nil"/>
            </w:tcBorders>
            <w:vAlign w:val="center"/>
          </w:tcPr>
          <w:p w:rsidR="004B42C3" w:rsidRPr="006E78E0" w:rsidRDefault="004B42C3" w:rsidP="00954447">
            <w:pPr>
              <w:tabs>
                <w:tab w:val="decimal" w:pos="432"/>
              </w:tabs>
              <w:rPr>
                <w:sz w:val="20"/>
                <w:szCs w:val="20"/>
              </w:rPr>
            </w:pPr>
            <w:r w:rsidRPr="006E78E0">
              <w:rPr>
                <w:sz w:val="20"/>
                <w:szCs w:val="20"/>
              </w:rPr>
              <w:t>0.15*</w:t>
            </w:r>
          </w:p>
        </w:tc>
      </w:tr>
      <w:tr w:rsidR="004B42C3" w:rsidRPr="006E78E0" w:rsidTr="00954447">
        <w:tblPrEx>
          <w:tblBorders>
            <w:top w:val="none" w:sz="0" w:space="0" w:color="auto"/>
          </w:tblBorders>
        </w:tblPrEx>
        <w:trPr>
          <w:trHeight w:val="432"/>
          <w:jc w:val="center"/>
        </w:trPr>
        <w:tc>
          <w:tcPr>
            <w:tcW w:w="3330" w:type="dxa"/>
            <w:tcBorders>
              <w:top w:val="nil"/>
              <w:left w:val="nil"/>
              <w:bottom w:val="nil"/>
              <w:right w:val="nil"/>
            </w:tcBorders>
            <w:vAlign w:val="center"/>
          </w:tcPr>
          <w:p w:rsidR="004B42C3" w:rsidRPr="006E78E0" w:rsidRDefault="004B42C3" w:rsidP="00954447">
            <w:pPr>
              <w:ind w:left="252" w:hanging="252"/>
              <w:rPr>
                <w:rFonts w:cs="Cambria"/>
                <w:color w:val="000000"/>
                <w:sz w:val="20"/>
                <w:szCs w:val="20"/>
              </w:rPr>
            </w:pPr>
            <w:r>
              <w:rPr>
                <w:rFonts w:cs="Cambria"/>
                <w:i/>
                <w:color w:val="000000"/>
                <w:sz w:val="20"/>
                <w:szCs w:val="20"/>
              </w:rPr>
              <w:t xml:space="preserve">Child Included 40-79% of Day </w:t>
            </w:r>
            <w:r>
              <w:rPr>
                <w:rFonts w:cs="Cambria"/>
                <w:i/>
                <w:color w:val="000000"/>
                <w:sz w:val="20"/>
                <w:szCs w:val="20"/>
              </w:rPr>
              <w:br/>
              <w:t xml:space="preserve">x </w:t>
            </w:r>
            <w:r w:rsidRPr="00EA28F1">
              <w:rPr>
                <w:rFonts w:cs="Cambria"/>
                <w:i/>
                <w:color w:val="000000"/>
                <w:sz w:val="20"/>
                <w:szCs w:val="20"/>
              </w:rPr>
              <w:t>District % ‘</w:t>
            </w:r>
            <w:r>
              <w:rPr>
                <w:i/>
                <w:iCs/>
                <w:sz w:val="20"/>
                <w:szCs w:val="20"/>
              </w:rPr>
              <w:t>High Incidence</w:t>
            </w:r>
            <w:r w:rsidRPr="00EA28F1">
              <w:rPr>
                <w:rFonts w:cs="Cambria"/>
                <w:i/>
                <w:color w:val="000000"/>
                <w:sz w:val="20"/>
                <w:szCs w:val="20"/>
              </w:rPr>
              <w:t>’</w:t>
            </w:r>
          </w:p>
        </w:tc>
        <w:tc>
          <w:tcPr>
            <w:tcW w:w="1350" w:type="dxa"/>
            <w:tcBorders>
              <w:top w:val="nil"/>
              <w:left w:val="nil"/>
              <w:bottom w:val="nil"/>
              <w:right w:val="nil"/>
            </w:tcBorders>
            <w:vAlign w:val="center"/>
          </w:tcPr>
          <w:p w:rsidR="004B42C3" w:rsidRPr="006E78E0" w:rsidRDefault="004B42C3" w:rsidP="00954447">
            <w:pPr>
              <w:tabs>
                <w:tab w:val="decimal" w:pos="432"/>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32"/>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32"/>
              </w:tabs>
              <w:rPr>
                <w:sz w:val="20"/>
                <w:szCs w:val="20"/>
              </w:rPr>
            </w:pPr>
          </w:p>
        </w:tc>
        <w:tc>
          <w:tcPr>
            <w:tcW w:w="1350" w:type="dxa"/>
            <w:tcBorders>
              <w:top w:val="nil"/>
              <w:left w:val="nil"/>
              <w:bottom w:val="nil"/>
              <w:right w:val="single" w:sz="6" w:space="0" w:color="BFBFBF"/>
            </w:tcBorders>
            <w:vAlign w:val="center"/>
          </w:tcPr>
          <w:p w:rsidR="004B42C3" w:rsidRPr="006E78E0" w:rsidRDefault="004B42C3" w:rsidP="00954447">
            <w:pPr>
              <w:tabs>
                <w:tab w:val="decimal" w:pos="432"/>
              </w:tabs>
              <w:rPr>
                <w:sz w:val="20"/>
                <w:szCs w:val="20"/>
              </w:rPr>
            </w:pPr>
            <w:r w:rsidRPr="006E78E0">
              <w:rPr>
                <w:sz w:val="20"/>
                <w:szCs w:val="20"/>
              </w:rPr>
              <w:t>0.16**</w:t>
            </w:r>
          </w:p>
        </w:tc>
        <w:tc>
          <w:tcPr>
            <w:tcW w:w="1350" w:type="dxa"/>
            <w:tcBorders>
              <w:top w:val="nil"/>
              <w:left w:val="single" w:sz="6" w:space="0" w:color="BFBFBF"/>
              <w:bottom w:val="nil"/>
              <w:right w:val="nil"/>
            </w:tcBorders>
            <w:vAlign w:val="center"/>
          </w:tcPr>
          <w:p w:rsidR="004B42C3" w:rsidRPr="006E78E0" w:rsidRDefault="004B42C3" w:rsidP="00954447">
            <w:pPr>
              <w:tabs>
                <w:tab w:val="decimal" w:pos="432"/>
              </w:tabs>
              <w:rPr>
                <w:sz w:val="20"/>
                <w:szCs w:val="20"/>
              </w:rPr>
            </w:pPr>
            <w:r w:rsidRPr="006E78E0">
              <w:rPr>
                <w:sz w:val="20"/>
                <w:szCs w:val="20"/>
              </w:rPr>
              <w:t>0.16**</w:t>
            </w:r>
          </w:p>
        </w:tc>
      </w:tr>
      <w:tr w:rsidR="004B42C3" w:rsidRPr="006E78E0" w:rsidTr="00954447">
        <w:tblPrEx>
          <w:tblBorders>
            <w:top w:val="none" w:sz="0" w:space="0" w:color="auto"/>
          </w:tblBorders>
        </w:tblPrEx>
        <w:trPr>
          <w:trHeight w:val="432"/>
          <w:jc w:val="center"/>
        </w:trPr>
        <w:tc>
          <w:tcPr>
            <w:tcW w:w="3330" w:type="dxa"/>
            <w:tcBorders>
              <w:top w:val="nil"/>
              <w:left w:val="nil"/>
              <w:bottom w:val="nil"/>
              <w:right w:val="nil"/>
            </w:tcBorders>
            <w:vAlign w:val="center"/>
          </w:tcPr>
          <w:p w:rsidR="004B42C3" w:rsidRPr="006E78E0" w:rsidRDefault="004B42C3" w:rsidP="00954447">
            <w:pPr>
              <w:ind w:left="252" w:hanging="252"/>
              <w:rPr>
                <w:rFonts w:cs="Cambria"/>
                <w:color w:val="000000"/>
                <w:sz w:val="20"/>
                <w:szCs w:val="20"/>
              </w:rPr>
            </w:pPr>
            <w:r>
              <w:rPr>
                <w:rFonts w:cs="Cambria"/>
                <w:i/>
                <w:color w:val="000000"/>
                <w:sz w:val="20"/>
                <w:szCs w:val="20"/>
              </w:rPr>
              <w:t xml:space="preserve">Child Included 0-40% of Day </w:t>
            </w:r>
            <w:r>
              <w:rPr>
                <w:rFonts w:cs="Cambria"/>
                <w:i/>
                <w:color w:val="000000"/>
                <w:sz w:val="20"/>
                <w:szCs w:val="20"/>
              </w:rPr>
              <w:br/>
              <w:t>x</w:t>
            </w:r>
            <w:r w:rsidRPr="006E78E0">
              <w:rPr>
                <w:rFonts w:cs="Cambria"/>
                <w:color w:val="000000"/>
                <w:sz w:val="20"/>
                <w:szCs w:val="20"/>
              </w:rPr>
              <w:t xml:space="preserve"> </w:t>
            </w:r>
            <w:r w:rsidRPr="00EA28F1">
              <w:rPr>
                <w:rFonts w:cs="Cambria"/>
                <w:i/>
                <w:color w:val="000000"/>
                <w:sz w:val="20"/>
                <w:szCs w:val="20"/>
              </w:rPr>
              <w:t>District % ‘</w:t>
            </w:r>
            <w:r>
              <w:rPr>
                <w:i/>
                <w:iCs/>
                <w:sz w:val="20"/>
                <w:szCs w:val="20"/>
              </w:rPr>
              <w:t>High Incidence</w:t>
            </w:r>
            <w:r w:rsidRPr="00EA28F1">
              <w:rPr>
                <w:rFonts w:cs="Cambria"/>
                <w:i/>
                <w:color w:val="000000"/>
                <w:sz w:val="20"/>
                <w:szCs w:val="20"/>
              </w:rPr>
              <w:t>’</w:t>
            </w:r>
          </w:p>
        </w:tc>
        <w:tc>
          <w:tcPr>
            <w:tcW w:w="1350" w:type="dxa"/>
            <w:tcBorders>
              <w:top w:val="nil"/>
              <w:left w:val="nil"/>
              <w:bottom w:val="nil"/>
              <w:right w:val="nil"/>
            </w:tcBorders>
            <w:vAlign w:val="center"/>
          </w:tcPr>
          <w:p w:rsidR="004B42C3" w:rsidRPr="006E78E0" w:rsidRDefault="004B42C3" w:rsidP="00954447">
            <w:pPr>
              <w:tabs>
                <w:tab w:val="decimal" w:pos="432"/>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32"/>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32"/>
              </w:tabs>
              <w:rPr>
                <w:sz w:val="20"/>
                <w:szCs w:val="20"/>
              </w:rPr>
            </w:pPr>
          </w:p>
        </w:tc>
        <w:tc>
          <w:tcPr>
            <w:tcW w:w="1350" w:type="dxa"/>
            <w:tcBorders>
              <w:top w:val="nil"/>
              <w:left w:val="nil"/>
              <w:bottom w:val="nil"/>
              <w:right w:val="single" w:sz="6" w:space="0" w:color="BFBFBF"/>
            </w:tcBorders>
            <w:vAlign w:val="center"/>
          </w:tcPr>
          <w:p w:rsidR="004B42C3" w:rsidRPr="006E78E0" w:rsidRDefault="004B42C3" w:rsidP="00954447">
            <w:pPr>
              <w:tabs>
                <w:tab w:val="decimal" w:pos="432"/>
              </w:tabs>
              <w:rPr>
                <w:sz w:val="20"/>
                <w:szCs w:val="20"/>
              </w:rPr>
            </w:pPr>
            <w:r w:rsidRPr="006E78E0">
              <w:rPr>
                <w:sz w:val="20"/>
                <w:szCs w:val="20"/>
              </w:rPr>
              <w:t>0.08</w:t>
            </w:r>
          </w:p>
        </w:tc>
        <w:tc>
          <w:tcPr>
            <w:tcW w:w="1350" w:type="dxa"/>
            <w:tcBorders>
              <w:top w:val="nil"/>
              <w:left w:val="single" w:sz="6" w:space="0" w:color="BFBFBF"/>
              <w:bottom w:val="nil"/>
              <w:right w:val="nil"/>
            </w:tcBorders>
            <w:vAlign w:val="center"/>
          </w:tcPr>
          <w:p w:rsidR="004B42C3" w:rsidRPr="006E78E0" w:rsidRDefault="004B42C3" w:rsidP="00954447">
            <w:pPr>
              <w:tabs>
                <w:tab w:val="decimal" w:pos="432"/>
              </w:tabs>
              <w:rPr>
                <w:sz w:val="20"/>
                <w:szCs w:val="20"/>
              </w:rPr>
            </w:pPr>
            <w:r w:rsidRPr="006E78E0">
              <w:rPr>
                <w:sz w:val="20"/>
                <w:szCs w:val="20"/>
              </w:rPr>
              <w:t>0.09</w:t>
            </w:r>
          </w:p>
        </w:tc>
      </w:tr>
      <w:tr w:rsidR="004B42C3" w:rsidRPr="006E78E0" w:rsidTr="00954447">
        <w:tblPrEx>
          <w:tblBorders>
            <w:top w:val="none" w:sz="0" w:space="0" w:color="auto"/>
          </w:tblBorders>
        </w:tblPrEx>
        <w:trPr>
          <w:trHeight w:val="432"/>
          <w:jc w:val="center"/>
        </w:trPr>
        <w:tc>
          <w:tcPr>
            <w:tcW w:w="3330" w:type="dxa"/>
            <w:tcBorders>
              <w:top w:val="nil"/>
              <w:left w:val="nil"/>
              <w:bottom w:val="nil"/>
              <w:right w:val="nil"/>
            </w:tcBorders>
            <w:vAlign w:val="center"/>
          </w:tcPr>
          <w:p w:rsidR="004B42C3" w:rsidRPr="006E78E0" w:rsidRDefault="004B42C3" w:rsidP="00954447">
            <w:pPr>
              <w:ind w:left="252" w:hanging="252"/>
              <w:rPr>
                <w:rFonts w:cs="Cambria"/>
                <w:color w:val="000000"/>
                <w:sz w:val="20"/>
                <w:szCs w:val="20"/>
              </w:rPr>
            </w:pPr>
            <w:r>
              <w:rPr>
                <w:rFonts w:cs="Cambria"/>
                <w:i/>
                <w:color w:val="000000"/>
                <w:sz w:val="20"/>
                <w:szCs w:val="20"/>
              </w:rPr>
              <w:t>Child ‘</w:t>
            </w:r>
            <w:r>
              <w:rPr>
                <w:i/>
                <w:iCs/>
                <w:sz w:val="20"/>
                <w:szCs w:val="20"/>
              </w:rPr>
              <w:t>High Incidence</w:t>
            </w:r>
            <w:r>
              <w:rPr>
                <w:rFonts w:cs="Cambria"/>
                <w:i/>
                <w:color w:val="000000"/>
                <w:sz w:val="20"/>
                <w:szCs w:val="20"/>
              </w:rPr>
              <w:t>’ Designation</w:t>
            </w:r>
            <w:r w:rsidRPr="00EA28F1">
              <w:rPr>
                <w:rFonts w:cs="Cambria"/>
                <w:i/>
                <w:color w:val="000000"/>
                <w:sz w:val="20"/>
                <w:szCs w:val="20"/>
              </w:rPr>
              <w:t xml:space="preserve"> </w:t>
            </w:r>
            <w:r>
              <w:rPr>
                <w:rFonts w:cs="Cambria"/>
                <w:i/>
                <w:color w:val="000000"/>
                <w:sz w:val="20"/>
                <w:szCs w:val="20"/>
              </w:rPr>
              <w:br/>
            </w:r>
            <w:r w:rsidRPr="00EA28F1">
              <w:rPr>
                <w:rFonts w:cs="Cambria"/>
                <w:i/>
                <w:color w:val="000000"/>
                <w:sz w:val="20"/>
                <w:szCs w:val="20"/>
              </w:rPr>
              <w:t xml:space="preserve">x </w:t>
            </w:r>
            <w:r>
              <w:rPr>
                <w:rFonts w:cs="Cambria"/>
                <w:i/>
                <w:color w:val="000000"/>
                <w:sz w:val="20"/>
                <w:szCs w:val="20"/>
              </w:rPr>
              <w:t>Dist. MFI, in $10K  units</w:t>
            </w:r>
          </w:p>
        </w:tc>
        <w:tc>
          <w:tcPr>
            <w:tcW w:w="1350" w:type="dxa"/>
            <w:tcBorders>
              <w:top w:val="nil"/>
              <w:left w:val="nil"/>
              <w:bottom w:val="nil"/>
              <w:right w:val="nil"/>
            </w:tcBorders>
            <w:vAlign w:val="center"/>
          </w:tcPr>
          <w:p w:rsidR="004B42C3" w:rsidRPr="006E78E0" w:rsidRDefault="004B42C3" w:rsidP="00954447">
            <w:pPr>
              <w:tabs>
                <w:tab w:val="decimal" w:pos="432"/>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32"/>
              </w:tabs>
              <w:rPr>
                <w:sz w:val="20"/>
                <w:szCs w:val="20"/>
              </w:rPr>
            </w:pPr>
          </w:p>
        </w:tc>
        <w:tc>
          <w:tcPr>
            <w:tcW w:w="1350" w:type="dxa"/>
            <w:tcBorders>
              <w:top w:val="nil"/>
              <w:left w:val="nil"/>
              <w:bottom w:val="nil"/>
              <w:right w:val="nil"/>
            </w:tcBorders>
            <w:vAlign w:val="center"/>
          </w:tcPr>
          <w:p w:rsidR="004B42C3" w:rsidRPr="006E78E0" w:rsidRDefault="004B42C3" w:rsidP="00954447">
            <w:pPr>
              <w:tabs>
                <w:tab w:val="decimal" w:pos="432"/>
              </w:tabs>
              <w:rPr>
                <w:sz w:val="20"/>
                <w:szCs w:val="20"/>
              </w:rPr>
            </w:pPr>
          </w:p>
        </w:tc>
        <w:tc>
          <w:tcPr>
            <w:tcW w:w="1350" w:type="dxa"/>
            <w:tcBorders>
              <w:top w:val="nil"/>
              <w:left w:val="nil"/>
              <w:bottom w:val="nil"/>
              <w:right w:val="single" w:sz="6" w:space="0" w:color="BFBFBF"/>
            </w:tcBorders>
            <w:vAlign w:val="center"/>
          </w:tcPr>
          <w:p w:rsidR="004B42C3" w:rsidRPr="006E78E0" w:rsidRDefault="004B42C3" w:rsidP="00954447">
            <w:pPr>
              <w:tabs>
                <w:tab w:val="decimal" w:pos="432"/>
              </w:tabs>
              <w:rPr>
                <w:sz w:val="20"/>
                <w:szCs w:val="20"/>
              </w:rPr>
            </w:pPr>
          </w:p>
        </w:tc>
        <w:tc>
          <w:tcPr>
            <w:tcW w:w="1350" w:type="dxa"/>
            <w:tcBorders>
              <w:top w:val="nil"/>
              <w:left w:val="single" w:sz="6" w:space="0" w:color="BFBFBF"/>
              <w:bottom w:val="nil"/>
              <w:right w:val="nil"/>
            </w:tcBorders>
            <w:vAlign w:val="center"/>
          </w:tcPr>
          <w:p w:rsidR="004B42C3" w:rsidRPr="006E78E0" w:rsidRDefault="004B42C3" w:rsidP="00954447">
            <w:pPr>
              <w:tabs>
                <w:tab w:val="decimal" w:pos="432"/>
              </w:tabs>
              <w:rPr>
                <w:sz w:val="20"/>
                <w:szCs w:val="20"/>
              </w:rPr>
            </w:pPr>
            <w:r w:rsidRPr="006E78E0">
              <w:rPr>
                <w:sz w:val="20"/>
                <w:szCs w:val="20"/>
              </w:rPr>
              <w:t>-0.02</w:t>
            </w:r>
          </w:p>
        </w:tc>
      </w:tr>
      <w:tr w:rsidR="004B42C3" w:rsidRPr="006E78E0" w:rsidTr="00954447">
        <w:tblPrEx>
          <w:tblBorders>
            <w:top w:val="none" w:sz="0" w:space="0" w:color="auto"/>
          </w:tblBorders>
        </w:tblPrEx>
        <w:trPr>
          <w:trHeight w:val="432"/>
          <w:jc w:val="center"/>
        </w:trPr>
        <w:tc>
          <w:tcPr>
            <w:tcW w:w="3330" w:type="dxa"/>
            <w:tcBorders>
              <w:top w:val="nil"/>
              <w:left w:val="nil"/>
              <w:bottom w:val="single" w:sz="6" w:space="0" w:color="auto"/>
              <w:right w:val="nil"/>
            </w:tcBorders>
            <w:vAlign w:val="center"/>
          </w:tcPr>
          <w:p w:rsidR="004B42C3" w:rsidRPr="006E78E0" w:rsidRDefault="004B42C3" w:rsidP="00954447">
            <w:pPr>
              <w:ind w:left="252" w:hanging="252"/>
              <w:rPr>
                <w:rFonts w:cs="Cambria"/>
                <w:color w:val="000000"/>
                <w:sz w:val="20"/>
                <w:szCs w:val="20"/>
              </w:rPr>
            </w:pPr>
            <w:r>
              <w:rPr>
                <w:rFonts w:cs="Cambria"/>
                <w:i/>
                <w:color w:val="000000"/>
                <w:sz w:val="20"/>
                <w:szCs w:val="20"/>
              </w:rPr>
              <w:t>Child another Disability Designation</w:t>
            </w:r>
            <w:r w:rsidRPr="00EA28F1">
              <w:rPr>
                <w:rFonts w:cs="Cambria"/>
                <w:i/>
                <w:color w:val="000000"/>
                <w:sz w:val="20"/>
                <w:szCs w:val="20"/>
              </w:rPr>
              <w:t xml:space="preserve"> x </w:t>
            </w:r>
            <w:r>
              <w:rPr>
                <w:rFonts w:cs="Cambria"/>
                <w:i/>
                <w:color w:val="000000"/>
                <w:sz w:val="20"/>
                <w:szCs w:val="20"/>
              </w:rPr>
              <w:t>Dist. MFI, in $10K  units</w:t>
            </w:r>
          </w:p>
        </w:tc>
        <w:tc>
          <w:tcPr>
            <w:tcW w:w="1350" w:type="dxa"/>
            <w:tcBorders>
              <w:top w:val="nil"/>
              <w:left w:val="nil"/>
              <w:bottom w:val="single" w:sz="6" w:space="0" w:color="auto"/>
              <w:right w:val="nil"/>
            </w:tcBorders>
            <w:vAlign w:val="center"/>
          </w:tcPr>
          <w:p w:rsidR="004B42C3" w:rsidRPr="006E78E0" w:rsidRDefault="004B42C3" w:rsidP="00954447">
            <w:pPr>
              <w:tabs>
                <w:tab w:val="decimal" w:pos="432"/>
              </w:tabs>
              <w:rPr>
                <w:sz w:val="20"/>
                <w:szCs w:val="20"/>
              </w:rPr>
            </w:pPr>
          </w:p>
        </w:tc>
        <w:tc>
          <w:tcPr>
            <w:tcW w:w="1350" w:type="dxa"/>
            <w:tcBorders>
              <w:top w:val="nil"/>
              <w:left w:val="nil"/>
              <w:bottom w:val="single" w:sz="6" w:space="0" w:color="auto"/>
              <w:right w:val="nil"/>
            </w:tcBorders>
            <w:vAlign w:val="center"/>
          </w:tcPr>
          <w:p w:rsidR="004B42C3" w:rsidRPr="006E78E0" w:rsidRDefault="004B42C3" w:rsidP="00954447">
            <w:pPr>
              <w:tabs>
                <w:tab w:val="decimal" w:pos="432"/>
              </w:tabs>
              <w:rPr>
                <w:sz w:val="20"/>
                <w:szCs w:val="20"/>
              </w:rPr>
            </w:pPr>
          </w:p>
        </w:tc>
        <w:tc>
          <w:tcPr>
            <w:tcW w:w="1350" w:type="dxa"/>
            <w:tcBorders>
              <w:top w:val="nil"/>
              <w:left w:val="nil"/>
              <w:bottom w:val="single" w:sz="6" w:space="0" w:color="auto"/>
              <w:right w:val="nil"/>
            </w:tcBorders>
            <w:vAlign w:val="center"/>
          </w:tcPr>
          <w:p w:rsidR="004B42C3" w:rsidRPr="006E78E0" w:rsidRDefault="004B42C3" w:rsidP="00954447">
            <w:pPr>
              <w:tabs>
                <w:tab w:val="decimal" w:pos="432"/>
              </w:tabs>
              <w:rPr>
                <w:sz w:val="20"/>
                <w:szCs w:val="20"/>
              </w:rPr>
            </w:pPr>
          </w:p>
        </w:tc>
        <w:tc>
          <w:tcPr>
            <w:tcW w:w="1350" w:type="dxa"/>
            <w:tcBorders>
              <w:top w:val="nil"/>
              <w:left w:val="nil"/>
              <w:bottom w:val="single" w:sz="6" w:space="0" w:color="auto"/>
              <w:right w:val="single" w:sz="6" w:space="0" w:color="BFBFBF" w:themeColor="background1" w:themeShade="BF"/>
            </w:tcBorders>
            <w:vAlign w:val="center"/>
          </w:tcPr>
          <w:p w:rsidR="004B42C3" w:rsidRPr="006E78E0" w:rsidRDefault="004B42C3" w:rsidP="00954447">
            <w:pPr>
              <w:tabs>
                <w:tab w:val="decimal" w:pos="432"/>
              </w:tabs>
              <w:rPr>
                <w:sz w:val="20"/>
                <w:szCs w:val="20"/>
              </w:rPr>
            </w:pPr>
          </w:p>
        </w:tc>
        <w:tc>
          <w:tcPr>
            <w:tcW w:w="1350" w:type="dxa"/>
            <w:tcBorders>
              <w:top w:val="nil"/>
              <w:left w:val="single" w:sz="6" w:space="0" w:color="BFBFBF" w:themeColor="background1" w:themeShade="BF"/>
              <w:bottom w:val="single" w:sz="6" w:space="0" w:color="auto"/>
              <w:right w:val="nil"/>
            </w:tcBorders>
            <w:vAlign w:val="center"/>
          </w:tcPr>
          <w:p w:rsidR="004B42C3" w:rsidRPr="006E78E0" w:rsidRDefault="004B42C3" w:rsidP="00954447">
            <w:pPr>
              <w:tabs>
                <w:tab w:val="decimal" w:pos="432"/>
              </w:tabs>
              <w:rPr>
                <w:sz w:val="20"/>
                <w:szCs w:val="20"/>
              </w:rPr>
            </w:pPr>
            <w:r w:rsidRPr="006E78E0">
              <w:rPr>
                <w:sz w:val="20"/>
                <w:szCs w:val="20"/>
              </w:rPr>
              <w:t>-0.10</w:t>
            </w:r>
          </w:p>
        </w:tc>
      </w:tr>
      <w:tr w:rsidR="004B42C3" w:rsidRPr="006E78E0" w:rsidTr="00954447">
        <w:tblPrEx>
          <w:tblBorders>
            <w:top w:val="none" w:sz="0" w:space="0" w:color="auto"/>
            <w:bottom w:val="single" w:sz="6" w:space="0" w:color="BFBFBF"/>
          </w:tblBorders>
        </w:tblPrEx>
        <w:trPr>
          <w:jc w:val="center"/>
        </w:trPr>
        <w:tc>
          <w:tcPr>
            <w:tcW w:w="10080" w:type="dxa"/>
            <w:gridSpan w:val="6"/>
            <w:tcBorders>
              <w:top w:val="single" w:sz="6" w:space="0" w:color="auto"/>
              <w:left w:val="nil"/>
              <w:bottom w:val="nil"/>
              <w:right w:val="nil"/>
            </w:tcBorders>
            <w:vAlign w:val="center"/>
          </w:tcPr>
          <w:p w:rsidR="004B42C3" w:rsidRPr="00F5063E" w:rsidRDefault="004B42C3" w:rsidP="00954447">
            <w:pPr>
              <w:rPr>
                <w:sz w:val="20"/>
                <w:szCs w:val="20"/>
              </w:rPr>
            </w:pPr>
            <w:r w:rsidRPr="00B64354">
              <w:rPr>
                <w:sz w:val="19"/>
                <w:szCs w:val="19"/>
              </w:rPr>
              <w:t xml:space="preserve">* </w:t>
            </w:r>
            <w:r w:rsidRPr="00B64354">
              <w:rPr>
                <w:i/>
                <w:iCs/>
                <w:sz w:val="19"/>
                <w:szCs w:val="19"/>
              </w:rPr>
              <w:t>p</w:t>
            </w:r>
            <w:r w:rsidRPr="00B64354">
              <w:rPr>
                <w:sz w:val="19"/>
                <w:szCs w:val="19"/>
              </w:rPr>
              <w:t xml:space="preserve">&lt;0.05; ** </w:t>
            </w:r>
            <w:r w:rsidRPr="00B64354">
              <w:rPr>
                <w:i/>
                <w:iCs/>
                <w:sz w:val="19"/>
                <w:szCs w:val="19"/>
              </w:rPr>
              <w:t>p</w:t>
            </w:r>
            <w:r w:rsidRPr="00B64354">
              <w:rPr>
                <w:sz w:val="19"/>
                <w:szCs w:val="19"/>
              </w:rPr>
              <w:t>&lt;0.01</w:t>
            </w:r>
          </w:p>
        </w:tc>
      </w:tr>
    </w:tbl>
    <w:p w:rsidR="004B42C3" w:rsidRDefault="004B42C3" w:rsidP="004B42C3"/>
    <w:p w:rsidR="004B42C3" w:rsidRDefault="004B42C3" w:rsidP="004B42C3"/>
    <w:tbl>
      <w:tblPr>
        <w:tblW w:w="10080" w:type="dxa"/>
        <w:jc w:val="center"/>
        <w:tblBorders>
          <w:top w:val="single" w:sz="6" w:space="0" w:color="BFBFBF"/>
          <w:left w:val="single" w:sz="6" w:space="0" w:color="BFBFBF"/>
          <w:right w:val="single" w:sz="6" w:space="0" w:color="BFBFBF"/>
        </w:tblBorders>
        <w:tblLayout w:type="fixed"/>
        <w:tblLook w:val="0000"/>
      </w:tblPr>
      <w:tblGrid>
        <w:gridCol w:w="3330"/>
        <w:gridCol w:w="1350"/>
        <w:gridCol w:w="1350"/>
        <w:gridCol w:w="1350"/>
        <w:gridCol w:w="1350"/>
        <w:gridCol w:w="1350"/>
      </w:tblGrid>
      <w:tr w:rsidR="004B42C3" w:rsidRPr="006E78E0" w:rsidTr="00954447">
        <w:trPr>
          <w:jc w:val="center"/>
        </w:trPr>
        <w:tc>
          <w:tcPr>
            <w:tcW w:w="10080" w:type="dxa"/>
            <w:gridSpan w:val="6"/>
            <w:tcBorders>
              <w:top w:val="nil"/>
              <w:left w:val="nil"/>
              <w:bottom w:val="single" w:sz="6" w:space="0" w:color="auto"/>
              <w:right w:val="nil"/>
            </w:tcBorders>
            <w:vAlign w:val="center"/>
          </w:tcPr>
          <w:p w:rsidR="004B42C3" w:rsidRPr="0037107B" w:rsidRDefault="004B42C3" w:rsidP="00954447">
            <w:pPr>
              <w:rPr>
                <w:rFonts w:cs="Cambria"/>
                <w:b/>
                <w:color w:val="000000"/>
                <w:sz w:val="18"/>
                <w:szCs w:val="18"/>
              </w:rPr>
            </w:pPr>
            <w:r w:rsidRPr="00EC3197">
              <w:rPr>
                <w:rFonts w:cs="Cambria"/>
                <w:i/>
                <w:iCs/>
                <w:color w:val="000000"/>
                <w:sz w:val="20"/>
                <w:szCs w:val="20"/>
              </w:rPr>
              <w:t xml:space="preserve">Table </w:t>
            </w:r>
            <w:r>
              <w:rPr>
                <w:rFonts w:cs="Cambria"/>
                <w:i/>
                <w:iCs/>
                <w:color w:val="000000"/>
                <w:sz w:val="20"/>
                <w:szCs w:val="20"/>
              </w:rPr>
              <w:t>5</w:t>
            </w:r>
            <w:r w:rsidRPr="00EC3197">
              <w:rPr>
                <w:rFonts w:cs="Cambria"/>
                <w:i/>
                <w:iCs/>
                <w:color w:val="000000"/>
                <w:sz w:val="20"/>
                <w:szCs w:val="20"/>
              </w:rPr>
              <w:t>c.</w:t>
            </w:r>
            <w:r w:rsidRPr="006E78E0">
              <w:rPr>
                <w:rFonts w:cs="Cambria"/>
                <w:color w:val="000000"/>
                <w:sz w:val="20"/>
                <w:szCs w:val="20"/>
              </w:rPr>
              <w:t xml:space="preserve">  </w:t>
            </w:r>
            <w:r>
              <w:rPr>
                <w:rFonts w:cs="Cambria"/>
                <w:b/>
                <w:color w:val="000000"/>
                <w:sz w:val="20"/>
                <w:szCs w:val="20"/>
              </w:rPr>
              <w:t>Variance components</w:t>
            </w:r>
            <w:r>
              <w:rPr>
                <w:rFonts w:cs="Cambria"/>
                <w:color w:val="000000"/>
                <w:sz w:val="20"/>
                <w:szCs w:val="20"/>
              </w:rPr>
              <w:t xml:space="preserve"> and </w:t>
            </w:r>
            <w:r>
              <w:rPr>
                <w:rFonts w:cs="Cambria"/>
                <w:b/>
                <w:color w:val="000000"/>
                <w:sz w:val="20"/>
                <w:szCs w:val="20"/>
              </w:rPr>
              <w:t>goodness-of-fit</w:t>
            </w:r>
            <w:r>
              <w:rPr>
                <w:rFonts w:cs="Cambria"/>
                <w:color w:val="000000"/>
                <w:sz w:val="20"/>
                <w:szCs w:val="20"/>
              </w:rPr>
              <w:t xml:space="preserve"> estimates in a</w:t>
            </w:r>
            <w:r w:rsidRPr="006E78E0">
              <w:rPr>
                <w:rFonts w:cs="Cambria"/>
                <w:color w:val="000000"/>
                <w:sz w:val="20"/>
                <w:szCs w:val="20"/>
              </w:rPr>
              <w:t xml:space="preserve"> taxonomy of </w:t>
            </w:r>
            <w:r w:rsidRPr="00324B69">
              <w:rPr>
                <w:sz w:val="20"/>
                <w:szCs w:val="20"/>
              </w:rPr>
              <w:t>select</w:t>
            </w:r>
            <w:r>
              <w:rPr>
                <w:sz w:val="20"/>
                <w:szCs w:val="20"/>
              </w:rPr>
              <w:t>ed</w:t>
            </w:r>
            <w:r w:rsidRPr="00324B69">
              <w:rPr>
                <w:sz w:val="20"/>
                <w:szCs w:val="20"/>
              </w:rPr>
              <w:t xml:space="preserve"> fitted multilevel</w:t>
            </w:r>
            <w:r w:rsidRPr="006E78E0">
              <w:rPr>
                <w:rFonts w:cs="Cambria"/>
                <w:color w:val="000000"/>
                <w:sz w:val="20"/>
                <w:szCs w:val="20"/>
              </w:rPr>
              <w:t xml:space="preserve"> </w:t>
            </w:r>
            <w:r>
              <w:rPr>
                <w:rFonts w:cs="Cambria"/>
                <w:color w:val="000000"/>
                <w:sz w:val="20"/>
                <w:szCs w:val="20"/>
              </w:rPr>
              <w:t xml:space="preserve">regression </w:t>
            </w:r>
            <w:r w:rsidRPr="006E78E0">
              <w:rPr>
                <w:rFonts w:cs="Cambria"/>
                <w:color w:val="000000"/>
                <w:sz w:val="20"/>
                <w:szCs w:val="20"/>
              </w:rPr>
              <w:t xml:space="preserve">models predicting performance on the MCAS </w:t>
            </w:r>
            <w:r>
              <w:rPr>
                <w:rFonts w:cs="Cambria"/>
                <w:color w:val="000000"/>
                <w:sz w:val="20"/>
                <w:szCs w:val="20"/>
              </w:rPr>
              <w:t>mathematics</w:t>
            </w:r>
            <w:r w:rsidRPr="006E78E0">
              <w:rPr>
                <w:rFonts w:cs="Cambria"/>
                <w:color w:val="000000"/>
                <w:sz w:val="20"/>
                <w:szCs w:val="20"/>
              </w:rPr>
              <w:t xml:space="preserve"> </w:t>
            </w:r>
            <w:r>
              <w:rPr>
                <w:rFonts w:cs="Cambria"/>
                <w:color w:val="000000"/>
                <w:sz w:val="20"/>
                <w:szCs w:val="20"/>
              </w:rPr>
              <w:t>assessment for 8</w:t>
            </w:r>
            <w:r w:rsidRPr="004310DA">
              <w:rPr>
                <w:rFonts w:cs="Cambria"/>
                <w:color w:val="000000"/>
                <w:sz w:val="20"/>
                <w:szCs w:val="20"/>
                <w:vertAlign w:val="superscript"/>
              </w:rPr>
              <w:t>th</w:t>
            </w:r>
            <w:r>
              <w:rPr>
                <w:rFonts w:cs="Cambria"/>
                <w:color w:val="000000"/>
                <w:sz w:val="20"/>
                <w:szCs w:val="20"/>
              </w:rPr>
              <w:t xml:space="preserve"> grade students, nested in traditional school districts</w:t>
            </w:r>
            <w:r>
              <w:rPr>
                <w:rStyle w:val="FootnoteReference"/>
                <w:color w:val="000000"/>
                <w:sz w:val="20"/>
                <w:szCs w:val="20"/>
              </w:rPr>
              <w:footnoteReference w:id="38"/>
            </w:r>
            <w:r>
              <w:rPr>
                <w:rFonts w:cs="Cambria"/>
                <w:color w:val="000000"/>
                <w:sz w:val="20"/>
                <w:szCs w:val="20"/>
              </w:rPr>
              <w:t xml:space="preserve">, </w:t>
            </w:r>
            <w:r w:rsidRPr="00324B69">
              <w:rPr>
                <w:i/>
                <w:sz w:val="20"/>
                <w:szCs w:val="20"/>
              </w:rPr>
              <w:t>n</w:t>
            </w:r>
            <w:r w:rsidRPr="00324B69">
              <w:rPr>
                <w:sz w:val="20"/>
                <w:szCs w:val="20"/>
              </w:rPr>
              <w:t>=</w:t>
            </w:r>
            <w:r>
              <w:rPr>
                <w:sz w:val="20"/>
                <w:szCs w:val="20"/>
              </w:rPr>
              <w:t>68,775</w:t>
            </w:r>
            <w:r w:rsidRPr="00324B69">
              <w:rPr>
                <w:sz w:val="20"/>
                <w:szCs w:val="20"/>
              </w:rPr>
              <w:t xml:space="preserve"> </w:t>
            </w:r>
            <w:r>
              <w:rPr>
                <w:sz w:val="20"/>
                <w:szCs w:val="20"/>
              </w:rPr>
              <w:t>8</w:t>
            </w:r>
            <w:r w:rsidRPr="004310DA">
              <w:rPr>
                <w:sz w:val="20"/>
                <w:szCs w:val="20"/>
                <w:vertAlign w:val="superscript"/>
              </w:rPr>
              <w:t>th</w:t>
            </w:r>
            <w:r>
              <w:rPr>
                <w:sz w:val="20"/>
                <w:szCs w:val="20"/>
              </w:rPr>
              <w:t xml:space="preserve"> grade students </w:t>
            </w:r>
            <w:r w:rsidRPr="00324B69">
              <w:rPr>
                <w:sz w:val="20"/>
                <w:szCs w:val="20"/>
              </w:rPr>
              <w:t xml:space="preserve">nested in </w:t>
            </w:r>
            <w:r>
              <w:rPr>
                <w:sz w:val="20"/>
                <w:szCs w:val="20"/>
              </w:rPr>
              <w:t>239</w:t>
            </w:r>
            <w:r w:rsidRPr="00324B69">
              <w:rPr>
                <w:sz w:val="20"/>
                <w:szCs w:val="20"/>
              </w:rPr>
              <w:t xml:space="preserve"> school districts</w:t>
            </w:r>
            <w:r>
              <w:rPr>
                <w:sz w:val="20"/>
                <w:szCs w:val="20"/>
              </w:rPr>
              <w:t xml:space="preserve"> (random effects at the district level)</w:t>
            </w:r>
            <w:r>
              <w:rPr>
                <w:rStyle w:val="FootnoteReference"/>
                <w:sz w:val="20"/>
                <w:szCs w:val="20"/>
              </w:rPr>
              <w:t xml:space="preserve"> </w:t>
            </w:r>
            <w:r>
              <w:rPr>
                <w:rStyle w:val="FootnoteReference"/>
                <w:sz w:val="20"/>
                <w:szCs w:val="20"/>
              </w:rPr>
              <w:footnoteReference w:id="39"/>
            </w:r>
            <w:r w:rsidRPr="006E78E0">
              <w:rPr>
                <w:rFonts w:cs="Cambria"/>
                <w:color w:val="000000"/>
                <w:sz w:val="20"/>
                <w:szCs w:val="20"/>
              </w:rPr>
              <w:t>.</w:t>
            </w:r>
          </w:p>
        </w:tc>
      </w:tr>
      <w:tr w:rsidR="004B42C3" w:rsidRPr="006E78E0" w:rsidTr="00954447">
        <w:trPr>
          <w:jc w:val="center"/>
        </w:trPr>
        <w:tc>
          <w:tcPr>
            <w:tcW w:w="3330" w:type="dxa"/>
            <w:tcBorders>
              <w:top w:val="single" w:sz="6" w:space="0" w:color="auto"/>
              <w:left w:val="nil"/>
              <w:bottom w:val="nil"/>
              <w:right w:val="nil"/>
            </w:tcBorders>
            <w:vAlign w:val="center"/>
          </w:tcPr>
          <w:p w:rsidR="004B42C3" w:rsidRPr="006E78E0" w:rsidRDefault="004B42C3" w:rsidP="00954447">
            <w:pPr>
              <w:rPr>
                <w:sz w:val="20"/>
                <w:szCs w:val="20"/>
              </w:rPr>
            </w:pPr>
          </w:p>
        </w:tc>
        <w:tc>
          <w:tcPr>
            <w:tcW w:w="1350" w:type="dxa"/>
            <w:tcBorders>
              <w:top w:val="single" w:sz="6" w:space="0" w:color="auto"/>
              <w:left w:val="nil"/>
              <w:bottom w:val="nil"/>
              <w:right w:val="nil"/>
            </w:tcBorders>
            <w:vAlign w:val="center"/>
          </w:tcPr>
          <w:p w:rsidR="004B42C3" w:rsidRPr="0037107B" w:rsidRDefault="004B42C3" w:rsidP="00954447">
            <w:pPr>
              <w:jc w:val="center"/>
              <w:rPr>
                <w:b/>
                <w:sz w:val="18"/>
                <w:szCs w:val="18"/>
              </w:rPr>
            </w:pPr>
            <w:r w:rsidRPr="0037107B">
              <w:rPr>
                <w:rFonts w:cs="Cambria"/>
                <w:b/>
                <w:color w:val="000000"/>
                <w:sz w:val="18"/>
                <w:szCs w:val="18"/>
              </w:rPr>
              <w:t>M</w:t>
            </w:r>
            <w:r>
              <w:rPr>
                <w:rFonts w:cs="Cambria"/>
                <w:b/>
                <w:color w:val="000000"/>
                <w:sz w:val="18"/>
                <w:szCs w:val="18"/>
              </w:rPr>
              <w:t>odel 5.</w:t>
            </w:r>
            <w:r w:rsidRPr="0037107B">
              <w:rPr>
                <w:rFonts w:cs="Cambria"/>
                <w:b/>
                <w:color w:val="000000"/>
                <w:sz w:val="18"/>
                <w:szCs w:val="18"/>
              </w:rPr>
              <w:t>1</w:t>
            </w:r>
          </w:p>
        </w:tc>
        <w:tc>
          <w:tcPr>
            <w:tcW w:w="1350" w:type="dxa"/>
            <w:tcBorders>
              <w:top w:val="single" w:sz="6" w:space="0" w:color="auto"/>
              <w:left w:val="nil"/>
              <w:bottom w:val="nil"/>
              <w:right w:val="nil"/>
            </w:tcBorders>
            <w:vAlign w:val="center"/>
          </w:tcPr>
          <w:p w:rsidR="004B42C3" w:rsidRPr="0037107B" w:rsidRDefault="004B42C3" w:rsidP="00954447">
            <w:pPr>
              <w:jc w:val="center"/>
              <w:rPr>
                <w:b/>
                <w:sz w:val="18"/>
                <w:szCs w:val="18"/>
              </w:rPr>
            </w:pPr>
            <w:r w:rsidRPr="0037107B">
              <w:rPr>
                <w:rFonts w:cs="Cambria"/>
                <w:b/>
                <w:color w:val="000000"/>
                <w:sz w:val="18"/>
                <w:szCs w:val="18"/>
              </w:rPr>
              <w:t>M</w:t>
            </w:r>
            <w:r>
              <w:rPr>
                <w:rFonts w:cs="Cambria"/>
                <w:b/>
                <w:color w:val="000000"/>
                <w:sz w:val="18"/>
                <w:szCs w:val="18"/>
              </w:rPr>
              <w:t>odel 5.</w:t>
            </w:r>
            <w:r w:rsidRPr="0037107B">
              <w:rPr>
                <w:rFonts w:cs="Cambria"/>
                <w:b/>
                <w:color w:val="000000"/>
                <w:sz w:val="18"/>
                <w:szCs w:val="18"/>
              </w:rPr>
              <w:t>2</w:t>
            </w:r>
          </w:p>
        </w:tc>
        <w:tc>
          <w:tcPr>
            <w:tcW w:w="1350" w:type="dxa"/>
            <w:tcBorders>
              <w:top w:val="single" w:sz="6" w:space="0" w:color="auto"/>
              <w:left w:val="nil"/>
              <w:bottom w:val="nil"/>
              <w:right w:val="nil"/>
            </w:tcBorders>
            <w:vAlign w:val="center"/>
          </w:tcPr>
          <w:p w:rsidR="004B42C3" w:rsidRPr="0037107B" w:rsidRDefault="004B42C3" w:rsidP="00954447">
            <w:pPr>
              <w:jc w:val="center"/>
              <w:rPr>
                <w:b/>
                <w:sz w:val="18"/>
                <w:szCs w:val="18"/>
              </w:rPr>
            </w:pPr>
            <w:r w:rsidRPr="0037107B">
              <w:rPr>
                <w:rFonts w:cs="Cambria"/>
                <w:b/>
                <w:color w:val="000000"/>
                <w:sz w:val="18"/>
                <w:szCs w:val="18"/>
              </w:rPr>
              <w:t>M</w:t>
            </w:r>
            <w:r>
              <w:rPr>
                <w:rFonts w:cs="Cambria"/>
                <w:b/>
                <w:color w:val="000000"/>
                <w:sz w:val="18"/>
                <w:szCs w:val="18"/>
              </w:rPr>
              <w:t>odel 5.</w:t>
            </w:r>
            <w:r w:rsidRPr="0037107B">
              <w:rPr>
                <w:rFonts w:cs="Cambria"/>
                <w:b/>
                <w:color w:val="000000"/>
                <w:sz w:val="18"/>
                <w:szCs w:val="18"/>
              </w:rPr>
              <w:t>3</w:t>
            </w:r>
          </w:p>
        </w:tc>
        <w:tc>
          <w:tcPr>
            <w:tcW w:w="1350" w:type="dxa"/>
            <w:tcBorders>
              <w:top w:val="single" w:sz="6" w:space="0" w:color="auto"/>
              <w:left w:val="nil"/>
              <w:bottom w:val="nil"/>
              <w:right w:val="nil"/>
            </w:tcBorders>
            <w:vAlign w:val="center"/>
          </w:tcPr>
          <w:p w:rsidR="004B42C3" w:rsidRPr="0037107B" w:rsidRDefault="004B42C3" w:rsidP="00954447">
            <w:pPr>
              <w:jc w:val="center"/>
              <w:rPr>
                <w:b/>
                <w:sz w:val="18"/>
                <w:szCs w:val="18"/>
              </w:rPr>
            </w:pPr>
            <w:r w:rsidRPr="0037107B">
              <w:rPr>
                <w:rFonts w:cs="Cambria"/>
                <w:b/>
                <w:color w:val="000000"/>
                <w:sz w:val="18"/>
                <w:szCs w:val="18"/>
              </w:rPr>
              <w:t>M</w:t>
            </w:r>
            <w:r>
              <w:rPr>
                <w:rFonts w:cs="Cambria"/>
                <w:b/>
                <w:color w:val="000000"/>
                <w:sz w:val="18"/>
                <w:szCs w:val="18"/>
              </w:rPr>
              <w:t>odel 5.</w:t>
            </w:r>
            <w:r w:rsidRPr="0037107B">
              <w:rPr>
                <w:rFonts w:cs="Cambria"/>
                <w:b/>
                <w:color w:val="000000"/>
                <w:sz w:val="18"/>
                <w:szCs w:val="18"/>
              </w:rPr>
              <w:t>4</w:t>
            </w:r>
          </w:p>
        </w:tc>
        <w:tc>
          <w:tcPr>
            <w:tcW w:w="1350" w:type="dxa"/>
            <w:tcBorders>
              <w:top w:val="single" w:sz="6" w:space="0" w:color="auto"/>
              <w:left w:val="nil"/>
              <w:bottom w:val="nil"/>
              <w:right w:val="nil"/>
            </w:tcBorders>
            <w:vAlign w:val="center"/>
          </w:tcPr>
          <w:p w:rsidR="004B42C3" w:rsidRPr="0037107B" w:rsidRDefault="004B42C3" w:rsidP="00954447">
            <w:pPr>
              <w:jc w:val="center"/>
              <w:rPr>
                <w:b/>
                <w:sz w:val="18"/>
                <w:szCs w:val="18"/>
              </w:rPr>
            </w:pPr>
            <w:r w:rsidRPr="0037107B">
              <w:rPr>
                <w:rFonts w:cs="Cambria"/>
                <w:b/>
                <w:color w:val="000000"/>
                <w:sz w:val="18"/>
                <w:szCs w:val="18"/>
              </w:rPr>
              <w:t>M</w:t>
            </w:r>
            <w:r>
              <w:rPr>
                <w:rFonts w:cs="Cambria"/>
                <w:b/>
                <w:color w:val="000000"/>
                <w:sz w:val="18"/>
                <w:szCs w:val="18"/>
              </w:rPr>
              <w:t>odel 5.</w:t>
            </w:r>
            <w:r w:rsidRPr="0037107B">
              <w:rPr>
                <w:rFonts w:cs="Cambria"/>
                <w:b/>
                <w:color w:val="000000"/>
                <w:sz w:val="18"/>
                <w:szCs w:val="18"/>
              </w:rPr>
              <w:t>5</w:t>
            </w:r>
          </w:p>
        </w:tc>
      </w:tr>
      <w:tr w:rsidR="004B42C3" w:rsidRPr="006E78E0" w:rsidTr="00954447">
        <w:tblPrEx>
          <w:tblBorders>
            <w:top w:val="none" w:sz="0" w:space="0" w:color="auto"/>
          </w:tblBorders>
        </w:tblPrEx>
        <w:trPr>
          <w:trHeight w:val="432"/>
          <w:jc w:val="center"/>
        </w:trPr>
        <w:tc>
          <w:tcPr>
            <w:tcW w:w="3330" w:type="dxa"/>
            <w:tcBorders>
              <w:top w:val="nil"/>
              <w:left w:val="nil"/>
              <w:bottom w:val="nil"/>
              <w:right w:val="nil"/>
            </w:tcBorders>
            <w:vAlign w:val="center"/>
          </w:tcPr>
          <w:p w:rsidR="004B42C3" w:rsidRDefault="004B42C3" w:rsidP="00954447">
            <w:pPr>
              <w:ind w:left="252" w:hanging="252"/>
              <w:rPr>
                <w:i/>
                <w:iCs/>
                <w:sz w:val="20"/>
                <w:szCs w:val="20"/>
              </w:rPr>
            </w:pPr>
            <w:r>
              <w:rPr>
                <w:rFonts w:cs="Cambria"/>
                <w:color w:val="000000"/>
                <w:sz w:val="20"/>
                <w:szCs w:val="20"/>
                <w:u w:val="single"/>
              </w:rPr>
              <w:t>Variance Components</w:t>
            </w:r>
          </w:p>
        </w:tc>
        <w:tc>
          <w:tcPr>
            <w:tcW w:w="1350" w:type="dxa"/>
            <w:tcBorders>
              <w:top w:val="nil"/>
              <w:left w:val="nil"/>
              <w:bottom w:val="nil"/>
              <w:right w:val="nil"/>
            </w:tcBorders>
            <w:vAlign w:val="center"/>
          </w:tcPr>
          <w:p w:rsidR="004B42C3" w:rsidRPr="006E78E0" w:rsidRDefault="004B42C3" w:rsidP="00954447">
            <w:pPr>
              <w:rPr>
                <w:sz w:val="20"/>
                <w:szCs w:val="20"/>
              </w:rPr>
            </w:pPr>
          </w:p>
        </w:tc>
        <w:tc>
          <w:tcPr>
            <w:tcW w:w="1350" w:type="dxa"/>
            <w:tcBorders>
              <w:top w:val="nil"/>
              <w:left w:val="nil"/>
              <w:bottom w:val="nil"/>
              <w:right w:val="nil"/>
            </w:tcBorders>
            <w:vAlign w:val="center"/>
          </w:tcPr>
          <w:p w:rsidR="004B42C3" w:rsidRPr="006E78E0" w:rsidRDefault="004B42C3" w:rsidP="00954447">
            <w:pPr>
              <w:rPr>
                <w:sz w:val="20"/>
                <w:szCs w:val="20"/>
              </w:rPr>
            </w:pPr>
          </w:p>
        </w:tc>
        <w:tc>
          <w:tcPr>
            <w:tcW w:w="1350" w:type="dxa"/>
            <w:tcBorders>
              <w:top w:val="nil"/>
              <w:left w:val="nil"/>
              <w:bottom w:val="nil"/>
              <w:right w:val="nil"/>
            </w:tcBorders>
            <w:vAlign w:val="center"/>
          </w:tcPr>
          <w:p w:rsidR="004B42C3" w:rsidRPr="006E78E0" w:rsidRDefault="004B42C3" w:rsidP="00954447">
            <w:pPr>
              <w:rPr>
                <w:sz w:val="20"/>
                <w:szCs w:val="20"/>
              </w:rPr>
            </w:pPr>
          </w:p>
        </w:tc>
        <w:tc>
          <w:tcPr>
            <w:tcW w:w="1350" w:type="dxa"/>
            <w:tcBorders>
              <w:top w:val="nil"/>
              <w:left w:val="nil"/>
              <w:bottom w:val="nil"/>
              <w:right w:val="single" w:sz="6" w:space="0" w:color="BFBFBF"/>
            </w:tcBorders>
            <w:vAlign w:val="center"/>
          </w:tcPr>
          <w:p w:rsidR="004B42C3" w:rsidRPr="006E78E0" w:rsidRDefault="004B42C3" w:rsidP="00954447">
            <w:pPr>
              <w:rPr>
                <w:sz w:val="20"/>
                <w:szCs w:val="20"/>
              </w:rPr>
            </w:pPr>
          </w:p>
        </w:tc>
        <w:tc>
          <w:tcPr>
            <w:tcW w:w="1350" w:type="dxa"/>
            <w:tcBorders>
              <w:top w:val="nil"/>
              <w:left w:val="single" w:sz="6" w:space="0" w:color="BFBFBF"/>
              <w:bottom w:val="nil"/>
              <w:right w:val="nil"/>
            </w:tcBorders>
            <w:vAlign w:val="center"/>
          </w:tcPr>
          <w:p w:rsidR="004B42C3" w:rsidRPr="006E78E0" w:rsidRDefault="004B42C3" w:rsidP="00954447">
            <w:pPr>
              <w:rPr>
                <w:sz w:val="20"/>
                <w:szCs w:val="20"/>
              </w:rPr>
            </w:pPr>
          </w:p>
        </w:tc>
      </w:tr>
      <w:tr w:rsidR="004B42C3" w:rsidRPr="006E78E0" w:rsidTr="00954447">
        <w:tblPrEx>
          <w:tblBorders>
            <w:top w:val="none" w:sz="0" w:space="0" w:color="auto"/>
          </w:tblBorders>
        </w:tblPrEx>
        <w:trPr>
          <w:trHeight w:val="432"/>
          <w:jc w:val="center"/>
        </w:trPr>
        <w:tc>
          <w:tcPr>
            <w:tcW w:w="3330" w:type="dxa"/>
            <w:tcBorders>
              <w:top w:val="nil"/>
              <w:left w:val="nil"/>
              <w:bottom w:val="nil"/>
              <w:right w:val="nil"/>
            </w:tcBorders>
            <w:vAlign w:val="center"/>
          </w:tcPr>
          <w:p w:rsidR="004B42C3" w:rsidRPr="00F64382" w:rsidRDefault="00B91530" w:rsidP="00954447">
            <w:pPr>
              <w:rPr>
                <w:rFonts w:cs="Cambria"/>
                <w:color w:val="000000"/>
                <w:sz w:val="20"/>
                <w:szCs w:val="20"/>
              </w:rPr>
            </w:pPr>
            <m:oMathPara>
              <m:oMathParaPr>
                <m:jc m:val="left"/>
              </m:oMathParaPr>
              <m:oMath>
                <m:sSubSup>
                  <m:sSubSupPr>
                    <m:ctrlPr>
                      <w:rPr>
                        <w:rFonts w:ascii="Cambria Math" w:hAnsi="Cambria Math" w:cs="Cambria"/>
                        <w:i/>
                        <w:color w:val="000000"/>
                        <w:sz w:val="20"/>
                        <w:szCs w:val="20"/>
                      </w:rPr>
                    </m:ctrlPr>
                  </m:sSubSupPr>
                  <m:e>
                    <m:acc>
                      <m:accPr>
                        <m:ctrlPr>
                          <w:rPr>
                            <w:rFonts w:ascii="Cambria Math" w:hAnsi="Cambria Math" w:cs="Cambria"/>
                            <w:i/>
                            <w:color w:val="000000"/>
                            <w:sz w:val="20"/>
                            <w:szCs w:val="20"/>
                          </w:rPr>
                        </m:ctrlPr>
                      </m:accPr>
                      <m:e>
                        <m:r>
                          <w:rPr>
                            <w:rFonts w:ascii="Cambria Math" w:hAnsi="Cambria Math" w:cs="Cambria"/>
                            <w:color w:val="000000"/>
                            <w:sz w:val="20"/>
                            <w:szCs w:val="20"/>
                          </w:rPr>
                          <m:t>σ</m:t>
                        </m:r>
                      </m:e>
                    </m:acc>
                  </m:e>
                  <m:sub>
                    <m:r>
                      <w:rPr>
                        <w:rFonts w:ascii="Cambria Math" w:hAnsi="Cambria Math" w:cs="Cambria"/>
                        <w:color w:val="000000"/>
                        <w:sz w:val="20"/>
                        <w:szCs w:val="20"/>
                      </w:rPr>
                      <m:t>ε</m:t>
                    </m:r>
                  </m:sub>
                  <m:sup>
                    <m:r>
                      <w:rPr>
                        <w:rFonts w:ascii="Cambria Math" w:hAnsi="Cambria Math" w:cs="Cambria"/>
                        <w:color w:val="000000"/>
                        <w:sz w:val="20"/>
                        <w:szCs w:val="20"/>
                      </w:rPr>
                      <m:t>2</m:t>
                    </m:r>
                  </m:sup>
                </m:sSubSup>
              </m:oMath>
            </m:oMathPara>
          </w:p>
        </w:tc>
        <w:tc>
          <w:tcPr>
            <w:tcW w:w="1350" w:type="dxa"/>
            <w:tcBorders>
              <w:top w:val="nil"/>
              <w:left w:val="nil"/>
              <w:bottom w:val="nil"/>
              <w:right w:val="nil"/>
            </w:tcBorders>
            <w:vAlign w:val="center"/>
          </w:tcPr>
          <w:p w:rsidR="004B42C3" w:rsidRPr="00375639" w:rsidRDefault="004B42C3" w:rsidP="00954447">
            <w:pPr>
              <w:tabs>
                <w:tab w:val="decimal" w:pos="432"/>
              </w:tabs>
              <w:rPr>
                <w:sz w:val="20"/>
                <w:szCs w:val="20"/>
              </w:rPr>
            </w:pPr>
            <w:r w:rsidRPr="00375639">
              <w:rPr>
                <w:sz w:val="20"/>
                <w:szCs w:val="20"/>
              </w:rPr>
              <w:t>18.86**</w:t>
            </w:r>
          </w:p>
        </w:tc>
        <w:tc>
          <w:tcPr>
            <w:tcW w:w="1350" w:type="dxa"/>
            <w:tcBorders>
              <w:top w:val="nil"/>
              <w:left w:val="nil"/>
              <w:bottom w:val="nil"/>
              <w:right w:val="nil"/>
            </w:tcBorders>
            <w:vAlign w:val="center"/>
          </w:tcPr>
          <w:p w:rsidR="004B42C3" w:rsidRPr="007A7C86" w:rsidRDefault="004B42C3" w:rsidP="00954447">
            <w:pPr>
              <w:tabs>
                <w:tab w:val="decimal" w:pos="432"/>
              </w:tabs>
              <w:rPr>
                <w:sz w:val="20"/>
                <w:szCs w:val="20"/>
              </w:rPr>
            </w:pPr>
            <w:r w:rsidRPr="007A7C86">
              <w:rPr>
                <w:sz w:val="20"/>
                <w:szCs w:val="20"/>
              </w:rPr>
              <w:t>13.48**</w:t>
            </w:r>
          </w:p>
        </w:tc>
        <w:tc>
          <w:tcPr>
            <w:tcW w:w="1350" w:type="dxa"/>
            <w:tcBorders>
              <w:top w:val="nil"/>
              <w:left w:val="nil"/>
              <w:bottom w:val="nil"/>
              <w:right w:val="nil"/>
            </w:tcBorders>
            <w:vAlign w:val="center"/>
          </w:tcPr>
          <w:p w:rsidR="004B42C3" w:rsidRPr="006E78E0" w:rsidRDefault="004B42C3" w:rsidP="00954447">
            <w:pPr>
              <w:tabs>
                <w:tab w:val="decimal" w:pos="432"/>
              </w:tabs>
              <w:rPr>
                <w:sz w:val="20"/>
                <w:szCs w:val="20"/>
              </w:rPr>
            </w:pPr>
            <w:r w:rsidRPr="006E78E0">
              <w:rPr>
                <w:sz w:val="20"/>
                <w:szCs w:val="20"/>
              </w:rPr>
              <w:t>4.08**</w:t>
            </w:r>
          </w:p>
        </w:tc>
        <w:tc>
          <w:tcPr>
            <w:tcW w:w="1350" w:type="dxa"/>
            <w:tcBorders>
              <w:top w:val="nil"/>
              <w:left w:val="nil"/>
              <w:bottom w:val="nil"/>
              <w:right w:val="single" w:sz="6" w:space="0" w:color="BFBFBF"/>
            </w:tcBorders>
            <w:vAlign w:val="center"/>
          </w:tcPr>
          <w:p w:rsidR="004B42C3" w:rsidRPr="006E78E0" w:rsidRDefault="004B42C3" w:rsidP="00954447">
            <w:pPr>
              <w:tabs>
                <w:tab w:val="decimal" w:pos="432"/>
              </w:tabs>
              <w:rPr>
                <w:sz w:val="20"/>
                <w:szCs w:val="20"/>
              </w:rPr>
            </w:pPr>
            <w:r w:rsidRPr="006E78E0">
              <w:rPr>
                <w:sz w:val="20"/>
                <w:szCs w:val="20"/>
              </w:rPr>
              <w:t>4.33**</w:t>
            </w:r>
          </w:p>
        </w:tc>
        <w:tc>
          <w:tcPr>
            <w:tcW w:w="1350" w:type="dxa"/>
            <w:tcBorders>
              <w:top w:val="nil"/>
              <w:left w:val="single" w:sz="6" w:space="0" w:color="BFBFBF"/>
              <w:bottom w:val="nil"/>
              <w:right w:val="nil"/>
            </w:tcBorders>
            <w:vAlign w:val="center"/>
          </w:tcPr>
          <w:p w:rsidR="004B42C3" w:rsidRPr="006E78E0" w:rsidRDefault="004B42C3" w:rsidP="00954447">
            <w:pPr>
              <w:tabs>
                <w:tab w:val="decimal" w:pos="432"/>
              </w:tabs>
              <w:rPr>
                <w:sz w:val="20"/>
                <w:szCs w:val="20"/>
              </w:rPr>
            </w:pPr>
            <w:r w:rsidRPr="006E78E0">
              <w:rPr>
                <w:sz w:val="20"/>
                <w:szCs w:val="20"/>
              </w:rPr>
              <w:t>3.67**</w:t>
            </w:r>
          </w:p>
        </w:tc>
      </w:tr>
      <w:tr w:rsidR="004B42C3" w:rsidRPr="006E78E0" w:rsidTr="00954447">
        <w:tblPrEx>
          <w:tblBorders>
            <w:top w:val="none" w:sz="0" w:space="0" w:color="auto"/>
          </w:tblBorders>
        </w:tblPrEx>
        <w:trPr>
          <w:trHeight w:val="432"/>
          <w:jc w:val="center"/>
        </w:trPr>
        <w:tc>
          <w:tcPr>
            <w:tcW w:w="3330" w:type="dxa"/>
            <w:tcBorders>
              <w:top w:val="nil"/>
              <w:left w:val="nil"/>
              <w:bottom w:val="nil"/>
              <w:right w:val="nil"/>
            </w:tcBorders>
            <w:vAlign w:val="center"/>
          </w:tcPr>
          <w:p w:rsidR="004B42C3" w:rsidRPr="00F64382" w:rsidRDefault="00B91530" w:rsidP="00954447">
            <w:pPr>
              <w:rPr>
                <w:rFonts w:cs="Cambria"/>
                <w:color w:val="000000"/>
                <w:sz w:val="20"/>
                <w:szCs w:val="20"/>
              </w:rPr>
            </w:pPr>
            <m:oMathPara>
              <m:oMathParaPr>
                <m:jc m:val="left"/>
              </m:oMathParaPr>
              <m:oMath>
                <m:sSubSup>
                  <m:sSubSupPr>
                    <m:ctrlPr>
                      <w:rPr>
                        <w:rFonts w:ascii="Cambria Math" w:hAnsi="Cambria Math" w:cs="Cambria"/>
                        <w:i/>
                        <w:color w:val="000000"/>
                        <w:sz w:val="20"/>
                        <w:szCs w:val="20"/>
                      </w:rPr>
                    </m:ctrlPr>
                  </m:sSubSupPr>
                  <m:e>
                    <m:acc>
                      <m:accPr>
                        <m:ctrlPr>
                          <w:rPr>
                            <w:rFonts w:ascii="Cambria Math" w:hAnsi="Cambria Math" w:cs="Cambria"/>
                            <w:i/>
                            <w:color w:val="000000"/>
                            <w:sz w:val="20"/>
                            <w:szCs w:val="20"/>
                          </w:rPr>
                        </m:ctrlPr>
                      </m:accPr>
                      <m:e>
                        <m:r>
                          <w:rPr>
                            <w:rFonts w:ascii="Cambria Math" w:hAnsi="Cambria Math" w:cs="Cambria"/>
                            <w:color w:val="000000"/>
                            <w:sz w:val="20"/>
                            <w:szCs w:val="20"/>
                          </w:rPr>
                          <m:t>σ</m:t>
                        </m:r>
                      </m:e>
                    </m:acc>
                  </m:e>
                  <m:sub>
                    <m:r>
                      <w:rPr>
                        <w:rFonts w:ascii="Cambria Math" w:hAnsi="Cambria Math" w:cs="Cambria"/>
                        <w:color w:val="000000"/>
                        <w:sz w:val="20"/>
                        <w:szCs w:val="20"/>
                      </w:rPr>
                      <m:t>u</m:t>
                    </m:r>
                  </m:sub>
                  <m:sup>
                    <m:r>
                      <w:rPr>
                        <w:rFonts w:ascii="Cambria Math" w:hAnsi="Cambria Math" w:cs="Cambria"/>
                        <w:color w:val="000000"/>
                        <w:sz w:val="20"/>
                        <w:szCs w:val="20"/>
                      </w:rPr>
                      <m:t>2</m:t>
                    </m:r>
                  </m:sup>
                </m:sSubSup>
              </m:oMath>
            </m:oMathPara>
          </w:p>
        </w:tc>
        <w:tc>
          <w:tcPr>
            <w:tcW w:w="1350" w:type="dxa"/>
            <w:tcBorders>
              <w:top w:val="nil"/>
              <w:left w:val="nil"/>
              <w:bottom w:val="nil"/>
              <w:right w:val="nil"/>
            </w:tcBorders>
            <w:vAlign w:val="center"/>
          </w:tcPr>
          <w:p w:rsidR="004B42C3" w:rsidRPr="00375639" w:rsidRDefault="004B42C3" w:rsidP="00954447">
            <w:pPr>
              <w:tabs>
                <w:tab w:val="decimal" w:pos="432"/>
              </w:tabs>
              <w:rPr>
                <w:sz w:val="20"/>
                <w:szCs w:val="20"/>
              </w:rPr>
            </w:pPr>
            <w:r w:rsidRPr="00375639">
              <w:rPr>
                <w:sz w:val="20"/>
                <w:szCs w:val="20"/>
              </w:rPr>
              <w:t>98.85**</w:t>
            </w:r>
          </w:p>
        </w:tc>
        <w:tc>
          <w:tcPr>
            <w:tcW w:w="1350" w:type="dxa"/>
            <w:tcBorders>
              <w:top w:val="nil"/>
              <w:left w:val="nil"/>
              <w:bottom w:val="nil"/>
              <w:right w:val="nil"/>
            </w:tcBorders>
            <w:vAlign w:val="center"/>
          </w:tcPr>
          <w:p w:rsidR="004B42C3" w:rsidRPr="007A7C86" w:rsidRDefault="004B42C3" w:rsidP="00954447">
            <w:pPr>
              <w:tabs>
                <w:tab w:val="decimal" w:pos="432"/>
              </w:tabs>
              <w:rPr>
                <w:sz w:val="20"/>
                <w:szCs w:val="20"/>
              </w:rPr>
            </w:pPr>
            <w:r w:rsidRPr="007A7C86">
              <w:rPr>
                <w:sz w:val="20"/>
                <w:szCs w:val="20"/>
              </w:rPr>
              <w:t>88.23**</w:t>
            </w:r>
          </w:p>
        </w:tc>
        <w:tc>
          <w:tcPr>
            <w:tcW w:w="1350" w:type="dxa"/>
            <w:tcBorders>
              <w:top w:val="nil"/>
              <w:left w:val="nil"/>
              <w:bottom w:val="nil"/>
              <w:right w:val="nil"/>
            </w:tcBorders>
            <w:vAlign w:val="center"/>
          </w:tcPr>
          <w:p w:rsidR="004B42C3" w:rsidRPr="006E78E0" w:rsidRDefault="004B42C3" w:rsidP="00954447">
            <w:pPr>
              <w:tabs>
                <w:tab w:val="decimal" w:pos="432"/>
              </w:tabs>
              <w:rPr>
                <w:sz w:val="20"/>
                <w:szCs w:val="20"/>
              </w:rPr>
            </w:pPr>
            <w:r w:rsidRPr="006E78E0">
              <w:rPr>
                <w:sz w:val="20"/>
                <w:szCs w:val="20"/>
              </w:rPr>
              <w:t>88.24**</w:t>
            </w:r>
          </w:p>
        </w:tc>
        <w:tc>
          <w:tcPr>
            <w:tcW w:w="1350" w:type="dxa"/>
            <w:tcBorders>
              <w:top w:val="nil"/>
              <w:left w:val="nil"/>
              <w:bottom w:val="nil"/>
              <w:right w:val="single" w:sz="6" w:space="0" w:color="BFBFBF"/>
            </w:tcBorders>
            <w:vAlign w:val="center"/>
          </w:tcPr>
          <w:p w:rsidR="004B42C3" w:rsidRPr="006E78E0" w:rsidRDefault="004B42C3" w:rsidP="00954447">
            <w:pPr>
              <w:tabs>
                <w:tab w:val="decimal" w:pos="432"/>
              </w:tabs>
              <w:rPr>
                <w:sz w:val="20"/>
                <w:szCs w:val="20"/>
              </w:rPr>
            </w:pPr>
            <w:r w:rsidRPr="006E78E0">
              <w:rPr>
                <w:sz w:val="20"/>
                <w:szCs w:val="20"/>
              </w:rPr>
              <w:t>86.87**</w:t>
            </w:r>
          </w:p>
        </w:tc>
        <w:tc>
          <w:tcPr>
            <w:tcW w:w="1350" w:type="dxa"/>
            <w:tcBorders>
              <w:top w:val="nil"/>
              <w:left w:val="single" w:sz="6" w:space="0" w:color="BFBFBF"/>
              <w:bottom w:val="nil"/>
              <w:right w:val="nil"/>
            </w:tcBorders>
            <w:vAlign w:val="center"/>
          </w:tcPr>
          <w:p w:rsidR="004B42C3" w:rsidRPr="006E78E0" w:rsidRDefault="004B42C3" w:rsidP="00954447">
            <w:pPr>
              <w:tabs>
                <w:tab w:val="decimal" w:pos="432"/>
              </w:tabs>
              <w:rPr>
                <w:sz w:val="20"/>
                <w:szCs w:val="20"/>
              </w:rPr>
            </w:pPr>
            <w:r w:rsidRPr="006E78E0">
              <w:rPr>
                <w:sz w:val="20"/>
                <w:szCs w:val="20"/>
              </w:rPr>
              <w:t>86.87**</w:t>
            </w:r>
          </w:p>
        </w:tc>
      </w:tr>
      <w:tr w:rsidR="004B42C3" w:rsidRPr="006E78E0" w:rsidTr="00954447">
        <w:tblPrEx>
          <w:tblBorders>
            <w:top w:val="none" w:sz="0" w:space="0" w:color="auto"/>
          </w:tblBorders>
        </w:tblPrEx>
        <w:trPr>
          <w:trHeight w:val="144"/>
          <w:jc w:val="center"/>
        </w:trPr>
        <w:tc>
          <w:tcPr>
            <w:tcW w:w="3330" w:type="dxa"/>
            <w:tcBorders>
              <w:top w:val="nil"/>
              <w:left w:val="nil"/>
              <w:bottom w:val="nil"/>
              <w:right w:val="nil"/>
            </w:tcBorders>
            <w:vAlign w:val="center"/>
          </w:tcPr>
          <w:p w:rsidR="004B42C3" w:rsidRPr="0078678B" w:rsidRDefault="004B42C3" w:rsidP="00954447">
            <w:pPr>
              <w:rPr>
                <w:rFonts w:cs="Cambria"/>
                <w:color w:val="000000"/>
                <w:sz w:val="14"/>
                <w:szCs w:val="14"/>
              </w:rPr>
            </w:pPr>
          </w:p>
        </w:tc>
        <w:tc>
          <w:tcPr>
            <w:tcW w:w="1350" w:type="dxa"/>
            <w:tcBorders>
              <w:top w:val="nil"/>
              <w:left w:val="nil"/>
              <w:bottom w:val="nil"/>
              <w:right w:val="nil"/>
            </w:tcBorders>
            <w:vAlign w:val="center"/>
          </w:tcPr>
          <w:p w:rsidR="004B42C3" w:rsidRPr="0078678B" w:rsidRDefault="004B42C3" w:rsidP="00954447">
            <w:pPr>
              <w:tabs>
                <w:tab w:val="decimal" w:pos="432"/>
              </w:tabs>
              <w:rPr>
                <w:sz w:val="14"/>
                <w:szCs w:val="14"/>
              </w:rPr>
            </w:pPr>
          </w:p>
        </w:tc>
        <w:tc>
          <w:tcPr>
            <w:tcW w:w="1350" w:type="dxa"/>
            <w:tcBorders>
              <w:top w:val="nil"/>
              <w:left w:val="nil"/>
              <w:bottom w:val="nil"/>
              <w:right w:val="nil"/>
            </w:tcBorders>
            <w:vAlign w:val="center"/>
          </w:tcPr>
          <w:p w:rsidR="004B42C3" w:rsidRPr="0078678B" w:rsidRDefault="004B42C3" w:rsidP="00954447">
            <w:pPr>
              <w:tabs>
                <w:tab w:val="decimal" w:pos="432"/>
              </w:tabs>
              <w:rPr>
                <w:sz w:val="14"/>
                <w:szCs w:val="14"/>
              </w:rPr>
            </w:pPr>
          </w:p>
        </w:tc>
        <w:tc>
          <w:tcPr>
            <w:tcW w:w="1350" w:type="dxa"/>
            <w:tcBorders>
              <w:top w:val="nil"/>
              <w:left w:val="nil"/>
              <w:bottom w:val="nil"/>
              <w:right w:val="nil"/>
            </w:tcBorders>
            <w:vAlign w:val="center"/>
          </w:tcPr>
          <w:p w:rsidR="004B42C3" w:rsidRPr="0078678B" w:rsidRDefault="004B42C3" w:rsidP="00954447">
            <w:pPr>
              <w:tabs>
                <w:tab w:val="decimal" w:pos="432"/>
              </w:tabs>
              <w:rPr>
                <w:sz w:val="14"/>
                <w:szCs w:val="14"/>
              </w:rPr>
            </w:pPr>
          </w:p>
        </w:tc>
        <w:tc>
          <w:tcPr>
            <w:tcW w:w="1350" w:type="dxa"/>
            <w:tcBorders>
              <w:top w:val="nil"/>
              <w:left w:val="nil"/>
              <w:bottom w:val="nil"/>
              <w:right w:val="single" w:sz="6" w:space="0" w:color="BFBFBF"/>
            </w:tcBorders>
            <w:vAlign w:val="center"/>
          </w:tcPr>
          <w:p w:rsidR="004B42C3" w:rsidRPr="0078678B" w:rsidRDefault="004B42C3" w:rsidP="00954447">
            <w:pPr>
              <w:tabs>
                <w:tab w:val="decimal" w:pos="432"/>
              </w:tabs>
              <w:rPr>
                <w:sz w:val="14"/>
                <w:szCs w:val="14"/>
              </w:rPr>
            </w:pPr>
          </w:p>
        </w:tc>
        <w:tc>
          <w:tcPr>
            <w:tcW w:w="1350" w:type="dxa"/>
            <w:tcBorders>
              <w:top w:val="nil"/>
              <w:left w:val="single" w:sz="6" w:space="0" w:color="BFBFBF"/>
              <w:bottom w:val="nil"/>
              <w:right w:val="nil"/>
            </w:tcBorders>
            <w:vAlign w:val="center"/>
          </w:tcPr>
          <w:p w:rsidR="004B42C3" w:rsidRPr="0078678B" w:rsidRDefault="004B42C3" w:rsidP="00954447">
            <w:pPr>
              <w:tabs>
                <w:tab w:val="decimal" w:pos="432"/>
              </w:tabs>
              <w:rPr>
                <w:sz w:val="14"/>
                <w:szCs w:val="14"/>
              </w:rPr>
            </w:pPr>
          </w:p>
        </w:tc>
      </w:tr>
      <w:tr w:rsidR="004B42C3" w:rsidRPr="006E78E0" w:rsidTr="00954447">
        <w:tblPrEx>
          <w:tblBorders>
            <w:top w:val="none" w:sz="0" w:space="0" w:color="auto"/>
          </w:tblBorders>
        </w:tblPrEx>
        <w:trPr>
          <w:trHeight w:val="432"/>
          <w:jc w:val="center"/>
        </w:trPr>
        <w:tc>
          <w:tcPr>
            <w:tcW w:w="3330" w:type="dxa"/>
            <w:tcBorders>
              <w:top w:val="nil"/>
              <w:left w:val="nil"/>
              <w:bottom w:val="nil"/>
              <w:right w:val="nil"/>
            </w:tcBorders>
            <w:vAlign w:val="center"/>
          </w:tcPr>
          <w:p w:rsidR="004B42C3" w:rsidRPr="006E78E0" w:rsidRDefault="004B42C3" w:rsidP="00954447">
            <w:pPr>
              <w:rPr>
                <w:rFonts w:cs="Cambria"/>
                <w:color w:val="000000"/>
                <w:sz w:val="20"/>
                <w:szCs w:val="20"/>
              </w:rPr>
            </w:pPr>
            <w:r w:rsidRPr="006E78E0">
              <w:rPr>
                <w:rFonts w:cs="Cambria"/>
                <w:color w:val="000000"/>
                <w:sz w:val="20"/>
                <w:szCs w:val="20"/>
              </w:rPr>
              <w:t>ICC</w:t>
            </w:r>
          </w:p>
        </w:tc>
        <w:tc>
          <w:tcPr>
            <w:tcW w:w="1350" w:type="dxa"/>
            <w:tcBorders>
              <w:top w:val="nil"/>
              <w:left w:val="nil"/>
              <w:bottom w:val="nil"/>
              <w:right w:val="nil"/>
            </w:tcBorders>
            <w:vAlign w:val="center"/>
          </w:tcPr>
          <w:p w:rsidR="004B42C3" w:rsidRPr="006E78E0" w:rsidRDefault="004B42C3" w:rsidP="00954447">
            <w:pPr>
              <w:tabs>
                <w:tab w:val="decimal" w:pos="432"/>
              </w:tabs>
              <w:rPr>
                <w:sz w:val="20"/>
                <w:szCs w:val="20"/>
              </w:rPr>
            </w:pPr>
            <w:r w:rsidRPr="006E78E0">
              <w:rPr>
                <w:sz w:val="20"/>
                <w:szCs w:val="20"/>
              </w:rPr>
              <w:t>.11</w:t>
            </w:r>
          </w:p>
        </w:tc>
        <w:tc>
          <w:tcPr>
            <w:tcW w:w="1350" w:type="dxa"/>
            <w:tcBorders>
              <w:top w:val="nil"/>
              <w:left w:val="nil"/>
              <w:bottom w:val="nil"/>
              <w:right w:val="nil"/>
            </w:tcBorders>
            <w:vAlign w:val="center"/>
          </w:tcPr>
          <w:p w:rsidR="004B42C3" w:rsidRPr="006E78E0" w:rsidRDefault="004B42C3" w:rsidP="00954447">
            <w:pPr>
              <w:tabs>
                <w:tab w:val="decimal" w:pos="432"/>
              </w:tabs>
              <w:rPr>
                <w:sz w:val="20"/>
                <w:szCs w:val="20"/>
              </w:rPr>
            </w:pPr>
            <w:r w:rsidRPr="006E78E0">
              <w:rPr>
                <w:sz w:val="20"/>
                <w:szCs w:val="20"/>
              </w:rPr>
              <w:t>.13</w:t>
            </w:r>
          </w:p>
        </w:tc>
        <w:tc>
          <w:tcPr>
            <w:tcW w:w="1350" w:type="dxa"/>
            <w:tcBorders>
              <w:top w:val="nil"/>
              <w:left w:val="nil"/>
              <w:bottom w:val="nil"/>
              <w:right w:val="nil"/>
            </w:tcBorders>
            <w:vAlign w:val="center"/>
          </w:tcPr>
          <w:p w:rsidR="004B42C3" w:rsidRPr="006E78E0" w:rsidRDefault="004B42C3" w:rsidP="00954447">
            <w:pPr>
              <w:tabs>
                <w:tab w:val="decimal" w:pos="432"/>
              </w:tabs>
              <w:rPr>
                <w:sz w:val="20"/>
                <w:szCs w:val="20"/>
              </w:rPr>
            </w:pPr>
            <w:r w:rsidRPr="006E78E0">
              <w:rPr>
                <w:sz w:val="20"/>
                <w:szCs w:val="20"/>
              </w:rPr>
              <w:t>.04</w:t>
            </w:r>
          </w:p>
        </w:tc>
        <w:tc>
          <w:tcPr>
            <w:tcW w:w="1350" w:type="dxa"/>
            <w:tcBorders>
              <w:top w:val="nil"/>
              <w:left w:val="nil"/>
              <w:bottom w:val="nil"/>
              <w:right w:val="single" w:sz="6" w:space="0" w:color="BFBFBF"/>
            </w:tcBorders>
            <w:vAlign w:val="center"/>
          </w:tcPr>
          <w:p w:rsidR="004B42C3" w:rsidRPr="006E78E0" w:rsidRDefault="004B42C3" w:rsidP="00954447">
            <w:pPr>
              <w:tabs>
                <w:tab w:val="decimal" w:pos="432"/>
              </w:tabs>
              <w:rPr>
                <w:sz w:val="20"/>
                <w:szCs w:val="20"/>
              </w:rPr>
            </w:pPr>
            <w:r w:rsidRPr="006E78E0">
              <w:rPr>
                <w:sz w:val="20"/>
                <w:szCs w:val="20"/>
              </w:rPr>
              <w:t>.05</w:t>
            </w:r>
          </w:p>
        </w:tc>
        <w:tc>
          <w:tcPr>
            <w:tcW w:w="1350" w:type="dxa"/>
            <w:tcBorders>
              <w:top w:val="nil"/>
              <w:left w:val="single" w:sz="6" w:space="0" w:color="BFBFBF"/>
              <w:bottom w:val="nil"/>
              <w:right w:val="nil"/>
            </w:tcBorders>
            <w:vAlign w:val="center"/>
          </w:tcPr>
          <w:p w:rsidR="004B42C3" w:rsidRPr="006E78E0" w:rsidRDefault="004B42C3" w:rsidP="00954447">
            <w:pPr>
              <w:tabs>
                <w:tab w:val="decimal" w:pos="432"/>
              </w:tabs>
              <w:rPr>
                <w:sz w:val="20"/>
                <w:szCs w:val="20"/>
              </w:rPr>
            </w:pPr>
            <w:r w:rsidRPr="006E78E0">
              <w:rPr>
                <w:sz w:val="20"/>
                <w:szCs w:val="20"/>
              </w:rPr>
              <w:t>.04</w:t>
            </w:r>
          </w:p>
        </w:tc>
      </w:tr>
      <w:tr w:rsidR="004B42C3" w:rsidRPr="006E78E0" w:rsidTr="00954447">
        <w:tblPrEx>
          <w:tblBorders>
            <w:top w:val="none" w:sz="0" w:space="0" w:color="auto"/>
          </w:tblBorders>
        </w:tblPrEx>
        <w:trPr>
          <w:trHeight w:val="144"/>
          <w:jc w:val="center"/>
        </w:trPr>
        <w:tc>
          <w:tcPr>
            <w:tcW w:w="3330" w:type="dxa"/>
            <w:tcBorders>
              <w:top w:val="nil"/>
              <w:left w:val="nil"/>
              <w:bottom w:val="nil"/>
              <w:right w:val="nil"/>
            </w:tcBorders>
            <w:vAlign w:val="center"/>
          </w:tcPr>
          <w:p w:rsidR="004B42C3" w:rsidRPr="0078678B" w:rsidRDefault="004B42C3" w:rsidP="00954447">
            <w:pPr>
              <w:rPr>
                <w:rFonts w:cs="Cambria"/>
                <w:color w:val="000000"/>
                <w:sz w:val="14"/>
                <w:szCs w:val="14"/>
                <w:u w:val="single"/>
              </w:rPr>
            </w:pPr>
          </w:p>
        </w:tc>
        <w:tc>
          <w:tcPr>
            <w:tcW w:w="1350" w:type="dxa"/>
            <w:tcBorders>
              <w:top w:val="nil"/>
              <w:left w:val="nil"/>
              <w:bottom w:val="nil"/>
              <w:right w:val="nil"/>
            </w:tcBorders>
            <w:vAlign w:val="center"/>
          </w:tcPr>
          <w:p w:rsidR="004B42C3" w:rsidRPr="0078678B" w:rsidRDefault="004B42C3" w:rsidP="00954447">
            <w:pPr>
              <w:rPr>
                <w:sz w:val="14"/>
                <w:szCs w:val="14"/>
              </w:rPr>
            </w:pPr>
          </w:p>
        </w:tc>
        <w:tc>
          <w:tcPr>
            <w:tcW w:w="1350" w:type="dxa"/>
            <w:tcBorders>
              <w:top w:val="nil"/>
              <w:left w:val="nil"/>
              <w:bottom w:val="nil"/>
              <w:right w:val="nil"/>
            </w:tcBorders>
            <w:vAlign w:val="center"/>
          </w:tcPr>
          <w:p w:rsidR="004B42C3" w:rsidRPr="0078678B" w:rsidRDefault="004B42C3" w:rsidP="00954447">
            <w:pPr>
              <w:rPr>
                <w:sz w:val="14"/>
                <w:szCs w:val="14"/>
              </w:rPr>
            </w:pPr>
          </w:p>
        </w:tc>
        <w:tc>
          <w:tcPr>
            <w:tcW w:w="1350" w:type="dxa"/>
            <w:tcBorders>
              <w:top w:val="nil"/>
              <w:left w:val="nil"/>
              <w:bottom w:val="nil"/>
              <w:right w:val="nil"/>
            </w:tcBorders>
            <w:vAlign w:val="center"/>
          </w:tcPr>
          <w:p w:rsidR="004B42C3" w:rsidRPr="0078678B" w:rsidRDefault="004B42C3" w:rsidP="00954447">
            <w:pPr>
              <w:rPr>
                <w:sz w:val="14"/>
                <w:szCs w:val="14"/>
              </w:rPr>
            </w:pPr>
          </w:p>
        </w:tc>
        <w:tc>
          <w:tcPr>
            <w:tcW w:w="1350" w:type="dxa"/>
            <w:tcBorders>
              <w:top w:val="nil"/>
              <w:left w:val="nil"/>
              <w:bottom w:val="nil"/>
              <w:right w:val="single" w:sz="6" w:space="0" w:color="BFBFBF"/>
            </w:tcBorders>
            <w:vAlign w:val="center"/>
          </w:tcPr>
          <w:p w:rsidR="004B42C3" w:rsidRPr="0078678B" w:rsidRDefault="004B42C3" w:rsidP="00954447">
            <w:pPr>
              <w:rPr>
                <w:sz w:val="14"/>
                <w:szCs w:val="14"/>
              </w:rPr>
            </w:pPr>
          </w:p>
        </w:tc>
        <w:tc>
          <w:tcPr>
            <w:tcW w:w="1350" w:type="dxa"/>
            <w:tcBorders>
              <w:top w:val="nil"/>
              <w:left w:val="single" w:sz="6" w:space="0" w:color="BFBFBF"/>
              <w:bottom w:val="nil"/>
              <w:right w:val="nil"/>
            </w:tcBorders>
            <w:vAlign w:val="center"/>
          </w:tcPr>
          <w:p w:rsidR="004B42C3" w:rsidRPr="0078678B" w:rsidRDefault="004B42C3" w:rsidP="00954447">
            <w:pPr>
              <w:rPr>
                <w:sz w:val="14"/>
                <w:szCs w:val="14"/>
              </w:rPr>
            </w:pPr>
          </w:p>
        </w:tc>
      </w:tr>
      <w:tr w:rsidR="004B42C3" w:rsidRPr="006E78E0" w:rsidTr="00954447">
        <w:tblPrEx>
          <w:tblBorders>
            <w:top w:val="none" w:sz="0" w:space="0" w:color="auto"/>
          </w:tblBorders>
        </w:tblPrEx>
        <w:trPr>
          <w:trHeight w:val="432"/>
          <w:jc w:val="center"/>
        </w:trPr>
        <w:tc>
          <w:tcPr>
            <w:tcW w:w="3330" w:type="dxa"/>
            <w:tcBorders>
              <w:top w:val="nil"/>
              <w:left w:val="nil"/>
              <w:bottom w:val="nil"/>
              <w:right w:val="nil"/>
            </w:tcBorders>
            <w:vAlign w:val="center"/>
          </w:tcPr>
          <w:p w:rsidR="004B42C3" w:rsidRPr="006E78E0" w:rsidRDefault="004B42C3" w:rsidP="00954447">
            <w:pPr>
              <w:rPr>
                <w:rFonts w:cs="Cambria"/>
                <w:color w:val="000000"/>
                <w:sz w:val="20"/>
                <w:szCs w:val="20"/>
              </w:rPr>
            </w:pPr>
            <w:r w:rsidRPr="006E78E0">
              <w:rPr>
                <w:rFonts w:cs="Cambria"/>
                <w:color w:val="000000"/>
                <w:sz w:val="20"/>
                <w:szCs w:val="20"/>
                <w:u w:val="single"/>
              </w:rPr>
              <w:t>Goodness of Fit:</w:t>
            </w:r>
          </w:p>
        </w:tc>
        <w:tc>
          <w:tcPr>
            <w:tcW w:w="1350" w:type="dxa"/>
            <w:tcBorders>
              <w:top w:val="nil"/>
              <w:left w:val="nil"/>
              <w:bottom w:val="nil"/>
              <w:right w:val="nil"/>
            </w:tcBorders>
            <w:vAlign w:val="center"/>
          </w:tcPr>
          <w:p w:rsidR="004B42C3" w:rsidRPr="006E78E0" w:rsidRDefault="004B42C3" w:rsidP="00954447">
            <w:pPr>
              <w:rPr>
                <w:sz w:val="20"/>
                <w:szCs w:val="20"/>
              </w:rPr>
            </w:pPr>
          </w:p>
        </w:tc>
        <w:tc>
          <w:tcPr>
            <w:tcW w:w="1350" w:type="dxa"/>
            <w:tcBorders>
              <w:top w:val="nil"/>
              <w:left w:val="nil"/>
              <w:bottom w:val="nil"/>
              <w:right w:val="nil"/>
            </w:tcBorders>
            <w:vAlign w:val="center"/>
          </w:tcPr>
          <w:p w:rsidR="004B42C3" w:rsidRPr="006E78E0" w:rsidRDefault="004B42C3" w:rsidP="00954447">
            <w:pPr>
              <w:rPr>
                <w:sz w:val="20"/>
                <w:szCs w:val="20"/>
              </w:rPr>
            </w:pPr>
          </w:p>
        </w:tc>
        <w:tc>
          <w:tcPr>
            <w:tcW w:w="1350" w:type="dxa"/>
            <w:tcBorders>
              <w:top w:val="nil"/>
              <w:left w:val="nil"/>
              <w:bottom w:val="nil"/>
              <w:right w:val="nil"/>
            </w:tcBorders>
            <w:vAlign w:val="center"/>
          </w:tcPr>
          <w:p w:rsidR="004B42C3" w:rsidRPr="006E78E0" w:rsidRDefault="004B42C3" w:rsidP="00954447">
            <w:pPr>
              <w:rPr>
                <w:sz w:val="20"/>
                <w:szCs w:val="20"/>
              </w:rPr>
            </w:pPr>
          </w:p>
        </w:tc>
        <w:tc>
          <w:tcPr>
            <w:tcW w:w="1350" w:type="dxa"/>
            <w:tcBorders>
              <w:top w:val="nil"/>
              <w:left w:val="nil"/>
              <w:bottom w:val="nil"/>
              <w:right w:val="single" w:sz="6" w:space="0" w:color="BFBFBF"/>
            </w:tcBorders>
            <w:vAlign w:val="center"/>
          </w:tcPr>
          <w:p w:rsidR="004B42C3" w:rsidRPr="006E78E0" w:rsidRDefault="004B42C3" w:rsidP="00954447">
            <w:pPr>
              <w:rPr>
                <w:sz w:val="20"/>
                <w:szCs w:val="20"/>
              </w:rPr>
            </w:pPr>
          </w:p>
        </w:tc>
        <w:tc>
          <w:tcPr>
            <w:tcW w:w="1350" w:type="dxa"/>
            <w:tcBorders>
              <w:top w:val="nil"/>
              <w:left w:val="single" w:sz="6" w:space="0" w:color="BFBFBF"/>
              <w:bottom w:val="nil"/>
              <w:right w:val="nil"/>
            </w:tcBorders>
            <w:vAlign w:val="center"/>
          </w:tcPr>
          <w:p w:rsidR="004B42C3" w:rsidRPr="006E78E0" w:rsidRDefault="004B42C3" w:rsidP="00954447">
            <w:pPr>
              <w:rPr>
                <w:sz w:val="20"/>
                <w:szCs w:val="20"/>
              </w:rPr>
            </w:pPr>
          </w:p>
        </w:tc>
      </w:tr>
      <w:tr w:rsidR="004B42C3" w:rsidRPr="006E78E0" w:rsidTr="00954447">
        <w:tblPrEx>
          <w:tblBorders>
            <w:top w:val="none" w:sz="0" w:space="0" w:color="auto"/>
          </w:tblBorders>
        </w:tblPrEx>
        <w:trPr>
          <w:trHeight w:val="432"/>
          <w:jc w:val="center"/>
        </w:trPr>
        <w:tc>
          <w:tcPr>
            <w:tcW w:w="3330" w:type="dxa"/>
            <w:tcBorders>
              <w:top w:val="nil"/>
              <w:left w:val="nil"/>
              <w:bottom w:val="nil"/>
              <w:right w:val="nil"/>
            </w:tcBorders>
            <w:vAlign w:val="center"/>
          </w:tcPr>
          <w:p w:rsidR="004B42C3" w:rsidRPr="006E78E0" w:rsidRDefault="004B42C3" w:rsidP="00954447">
            <w:pPr>
              <w:rPr>
                <w:rFonts w:cs="Cambria"/>
                <w:color w:val="000000"/>
                <w:sz w:val="20"/>
                <w:szCs w:val="20"/>
              </w:rPr>
            </w:pPr>
            <w:r w:rsidRPr="006E78E0">
              <w:rPr>
                <w:i/>
                <w:iCs/>
                <w:sz w:val="20"/>
                <w:szCs w:val="20"/>
              </w:rPr>
              <w:t>Pseudo R</w:t>
            </w:r>
            <w:r w:rsidRPr="006E78E0">
              <w:rPr>
                <w:i/>
                <w:iCs/>
                <w:sz w:val="20"/>
                <w:szCs w:val="20"/>
                <w:vertAlign w:val="superscript"/>
              </w:rPr>
              <w:t>2</w:t>
            </w:r>
            <w:r w:rsidRPr="006E78E0">
              <w:rPr>
                <w:i/>
                <w:iCs/>
                <w:sz w:val="20"/>
                <w:szCs w:val="20"/>
                <w:vertAlign w:val="subscript"/>
              </w:rPr>
              <w:t>μ</w:t>
            </w:r>
          </w:p>
        </w:tc>
        <w:tc>
          <w:tcPr>
            <w:tcW w:w="1350" w:type="dxa"/>
            <w:tcBorders>
              <w:top w:val="nil"/>
              <w:left w:val="nil"/>
              <w:bottom w:val="nil"/>
              <w:right w:val="nil"/>
            </w:tcBorders>
            <w:vAlign w:val="center"/>
          </w:tcPr>
          <w:p w:rsidR="004B42C3" w:rsidRPr="006E78E0" w:rsidRDefault="004B42C3" w:rsidP="00954447">
            <w:pPr>
              <w:jc w:val="center"/>
              <w:rPr>
                <w:sz w:val="20"/>
                <w:szCs w:val="20"/>
              </w:rPr>
            </w:pPr>
            <w:r w:rsidRPr="006E78E0">
              <w:rPr>
                <w:sz w:val="20"/>
                <w:szCs w:val="20"/>
              </w:rPr>
              <w:t>0.15</w:t>
            </w:r>
          </w:p>
        </w:tc>
        <w:tc>
          <w:tcPr>
            <w:tcW w:w="1350" w:type="dxa"/>
            <w:tcBorders>
              <w:top w:val="nil"/>
              <w:left w:val="nil"/>
              <w:bottom w:val="nil"/>
              <w:right w:val="nil"/>
            </w:tcBorders>
            <w:vAlign w:val="center"/>
          </w:tcPr>
          <w:p w:rsidR="004B42C3" w:rsidRPr="006E78E0" w:rsidRDefault="004B42C3" w:rsidP="00954447">
            <w:pPr>
              <w:jc w:val="center"/>
              <w:rPr>
                <w:sz w:val="20"/>
                <w:szCs w:val="20"/>
              </w:rPr>
            </w:pPr>
            <w:r w:rsidRPr="006E78E0">
              <w:rPr>
                <w:sz w:val="20"/>
                <w:szCs w:val="20"/>
              </w:rPr>
              <w:t>0.39</w:t>
            </w:r>
          </w:p>
        </w:tc>
        <w:tc>
          <w:tcPr>
            <w:tcW w:w="1350" w:type="dxa"/>
            <w:tcBorders>
              <w:top w:val="nil"/>
              <w:left w:val="nil"/>
              <w:bottom w:val="nil"/>
              <w:right w:val="nil"/>
            </w:tcBorders>
            <w:vAlign w:val="center"/>
          </w:tcPr>
          <w:p w:rsidR="004B42C3" w:rsidRPr="006E78E0" w:rsidRDefault="004B42C3" w:rsidP="00954447">
            <w:pPr>
              <w:jc w:val="center"/>
              <w:rPr>
                <w:sz w:val="20"/>
                <w:szCs w:val="20"/>
              </w:rPr>
            </w:pPr>
            <w:r w:rsidRPr="006E78E0">
              <w:rPr>
                <w:sz w:val="20"/>
                <w:szCs w:val="20"/>
              </w:rPr>
              <w:t>0.82</w:t>
            </w:r>
          </w:p>
        </w:tc>
        <w:tc>
          <w:tcPr>
            <w:tcW w:w="1350" w:type="dxa"/>
            <w:tcBorders>
              <w:top w:val="nil"/>
              <w:left w:val="nil"/>
              <w:bottom w:val="nil"/>
              <w:right w:val="single" w:sz="6" w:space="0" w:color="BFBFBF"/>
            </w:tcBorders>
            <w:vAlign w:val="center"/>
          </w:tcPr>
          <w:p w:rsidR="004B42C3" w:rsidRPr="006E78E0" w:rsidRDefault="004B42C3" w:rsidP="00954447">
            <w:pPr>
              <w:jc w:val="center"/>
              <w:rPr>
                <w:sz w:val="20"/>
                <w:szCs w:val="20"/>
              </w:rPr>
            </w:pPr>
            <w:r w:rsidRPr="006E78E0">
              <w:rPr>
                <w:sz w:val="20"/>
                <w:szCs w:val="20"/>
              </w:rPr>
              <w:t>0.80</w:t>
            </w:r>
          </w:p>
        </w:tc>
        <w:tc>
          <w:tcPr>
            <w:tcW w:w="1350" w:type="dxa"/>
            <w:tcBorders>
              <w:top w:val="nil"/>
              <w:left w:val="single" w:sz="6" w:space="0" w:color="BFBFBF"/>
              <w:bottom w:val="nil"/>
              <w:right w:val="nil"/>
            </w:tcBorders>
            <w:vAlign w:val="center"/>
          </w:tcPr>
          <w:p w:rsidR="004B42C3" w:rsidRPr="006E78E0" w:rsidRDefault="004B42C3" w:rsidP="00954447">
            <w:pPr>
              <w:jc w:val="center"/>
              <w:rPr>
                <w:sz w:val="20"/>
                <w:szCs w:val="20"/>
              </w:rPr>
            </w:pPr>
            <w:r w:rsidRPr="006E78E0">
              <w:rPr>
                <w:sz w:val="20"/>
                <w:szCs w:val="20"/>
              </w:rPr>
              <w:t>0.83</w:t>
            </w:r>
          </w:p>
        </w:tc>
      </w:tr>
      <w:tr w:rsidR="004B42C3" w:rsidRPr="006E78E0" w:rsidTr="00954447">
        <w:tblPrEx>
          <w:tblBorders>
            <w:top w:val="none" w:sz="0" w:space="0" w:color="auto"/>
          </w:tblBorders>
        </w:tblPrEx>
        <w:trPr>
          <w:trHeight w:val="432"/>
          <w:jc w:val="center"/>
        </w:trPr>
        <w:tc>
          <w:tcPr>
            <w:tcW w:w="3330" w:type="dxa"/>
            <w:tcBorders>
              <w:top w:val="nil"/>
              <w:left w:val="nil"/>
              <w:bottom w:val="nil"/>
              <w:right w:val="nil"/>
            </w:tcBorders>
            <w:vAlign w:val="center"/>
          </w:tcPr>
          <w:p w:rsidR="004B42C3" w:rsidRPr="006E78E0" w:rsidRDefault="004B42C3" w:rsidP="00954447">
            <w:pPr>
              <w:rPr>
                <w:rFonts w:cs="Cambria"/>
                <w:color w:val="000000"/>
                <w:sz w:val="20"/>
                <w:szCs w:val="20"/>
              </w:rPr>
            </w:pPr>
            <w:r w:rsidRPr="006E78E0">
              <w:rPr>
                <w:i/>
                <w:iCs/>
                <w:sz w:val="20"/>
                <w:szCs w:val="20"/>
              </w:rPr>
              <w:t>Pseudo R</w:t>
            </w:r>
            <w:r w:rsidRPr="006E78E0">
              <w:rPr>
                <w:i/>
                <w:iCs/>
                <w:sz w:val="20"/>
                <w:szCs w:val="20"/>
                <w:vertAlign w:val="superscript"/>
              </w:rPr>
              <w:t>2</w:t>
            </w:r>
            <w:r w:rsidRPr="006E78E0">
              <w:rPr>
                <w:i/>
                <w:iCs/>
                <w:sz w:val="20"/>
                <w:szCs w:val="20"/>
                <w:vertAlign w:val="subscript"/>
              </w:rPr>
              <w:t>ε</w:t>
            </w:r>
          </w:p>
        </w:tc>
        <w:tc>
          <w:tcPr>
            <w:tcW w:w="1350" w:type="dxa"/>
            <w:tcBorders>
              <w:top w:val="nil"/>
              <w:left w:val="nil"/>
              <w:bottom w:val="nil"/>
              <w:right w:val="nil"/>
            </w:tcBorders>
            <w:vAlign w:val="center"/>
          </w:tcPr>
          <w:p w:rsidR="004B42C3" w:rsidRPr="006E78E0" w:rsidRDefault="004B42C3" w:rsidP="00954447">
            <w:pPr>
              <w:jc w:val="center"/>
              <w:rPr>
                <w:sz w:val="20"/>
                <w:szCs w:val="20"/>
              </w:rPr>
            </w:pPr>
            <w:r w:rsidRPr="006E78E0">
              <w:rPr>
                <w:sz w:val="20"/>
                <w:szCs w:val="20"/>
              </w:rPr>
              <w:t>0.19</w:t>
            </w:r>
          </w:p>
        </w:tc>
        <w:tc>
          <w:tcPr>
            <w:tcW w:w="1350" w:type="dxa"/>
            <w:tcBorders>
              <w:top w:val="nil"/>
              <w:left w:val="nil"/>
              <w:bottom w:val="nil"/>
              <w:right w:val="nil"/>
            </w:tcBorders>
            <w:vAlign w:val="center"/>
          </w:tcPr>
          <w:p w:rsidR="004B42C3" w:rsidRPr="006E78E0" w:rsidRDefault="004B42C3" w:rsidP="00954447">
            <w:pPr>
              <w:jc w:val="center"/>
              <w:rPr>
                <w:sz w:val="20"/>
                <w:szCs w:val="20"/>
              </w:rPr>
            </w:pPr>
            <w:r w:rsidRPr="006E78E0">
              <w:rPr>
                <w:sz w:val="20"/>
                <w:szCs w:val="20"/>
              </w:rPr>
              <w:t>0.28</w:t>
            </w:r>
          </w:p>
        </w:tc>
        <w:tc>
          <w:tcPr>
            <w:tcW w:w="1350" w:type="dxa"/>
            <w:tcBorders>
              <w:top w:val="nil"/>
              <w:left w:val="nil"/>
              <w:bottom w:val="nil"/>
              <w:right w:val="nil"/>
            </w:tcBorders>
            <w:vAlign w:val="center"/>
          </w:tcPr>
          <w:p w:rsidR="004B42C3" w:rsidRPr="006E78E0" w:rsidRDefault="004B42C3" w:rsidP="00954447">
            <w:pPr>
              <w:jc w:val="center"/>
              <w:rPr>
                <w:sz w:val="20"/>
                <w:szCs w:val="20"/>
              </w:rPr>
            </w:pPr>
            <w:r w:rsidRPr="006E78E0">
              <w:rPr>
                <w:sz w:val="20"/>
                <w:szCs w:val="20"/>
              </w:rPr>
              <w:t>0.28</w:t>
            </w:r>
          </w:p>
        </w:tc>
        <w:tc>
          <w:tcPr>
            <w:tcW w:w="1350" w:type="dxa"/>
            <w:tcBorders>
              <w:top w:val="nil"/>
              <w:left w:val="nil"/>
              <w:bottom w:val="nil"/>
              <w:right w:val="single" w:sz="6" w:space="0" w:color="BFBFBF"/>
            </w:tcBorders>
            <w:vAlign w:val="center"/>
          </w:tcPr>
          <w:p w:rsidR="004B42C3" w:rsidRPr="006E78E0" w:rsidRDefault="004B42C3" w:rsidP="00954447">
            <w:pPr>
              <w:jc w:val="center"/>
              <w:rPr>
                <w:sz w:val="20"/>
                <w:szCs w:val="20"/>
              </w:rPr>
            </w:pPr>
            <w:r w:rsidRPr="006E78E0">
              <w:rPr>
                <w:sz w:val="20"/>
                <w:szCs w:val="20"/>
              </w:rPr>
              <w:t>0.29</w:t>
            </w:r>
          </w:p>
        </w:tc>
        <w:tc>
          <w:tcPr>
            <w:tcW w:w="1350" w:type="dxa"/>
            <w:tcBorders>
              <w:top w:val="nil"/>
              <w:left w:val="single" w:sz="6" w:space="0" w:color="BFBFBF"/>
              <w:bottom w:val="nil"/>
              <w:right w:val="nil"/>
            </w:tcBorders>
            <w:vAlign w:val="center"/>
          </w:tcPr>
          <w:p w:rsidR="004B42C3" w:rsidRPr="006E78E0" w:rsidRDefault="004B42C3" w:rsidP="00954447">
            <w:pPr>
              <w:jc w:val="center"/>
              <w:rPr>
                <w:sz w:val="20"/>
                <w:szCs w:val="20"/>
              </w:rPr>
            </w:pPr>
            <w:r w:rsidRPr="006E78E0">
              <w:rPr>
                <w:sz w:val="20"/>
                <w:szCs w:val="20"/>
              </w:rPr>
              <w:t>0.29</w:t>
            </w:r>
          </w:p>
        </w:tc>
      </w:tr>
      <w:tr w:rsidR="004B42C3" w:rsidRPr="006E78E0" w:rsidTr="00954447">
        <w:tblPrEx>
          <w:tblBorders>
            <w:top w:val="none" w:sz="0" w:space="0" w:color="auto"/>
          </w:tblBorders>
        </w:tblPrEx>
        <w:trPr>
          <w:trHeight w:val="432"/>
          <w:jc w:val="center"/>
        </w:trPr>
        <w:tc>
          <w:tcPr>
            <w:tcW w:w="3330" w:type="dxa"/>
            <w:tcBorders>
              <w:top w:val="nil"/>
              <w:left w:val="nil"/>
              <w:bottom w:val="single" w:sz="6" w:space="0" w:color="auto"/>
              <w:right w:val="nil"/>
            </w:tcBorders>
            <w:vAlign w:val="center"/>
          </w:tcPr>
          <w:p w:rsidR="004B42C3" w:rsidRPr="006E78E0" w:rsidRDefault="004B42C3" w:rsidP="00954447">
            <w:pPr>
              <w:rPr>
                <w:rFonts w:cs="Cambria"/>
                <w:color w:val="000000"/>
                <w:sz w:val="20"/>
                <w:szCs w:val="20"/>
              </w:rPr>
            </w:pPr>
            <w:r w:rsidRPr="00D54D38">
              <w:rPr>
                <w:rFonts w:cs="Cambria"/>
                <w:i/>
                <w:color w:val="000000"/>
                <w:sz w:val="20"/>
                <w:szCs w:val="20"/>
              </w:rPr>
              <w:t>n</w:t>
            </w:r>
            <w:r w:rsidRPr="006E78E0">
              <w:rPr>
                <w:rFonts w:cs="Cambria"/>
                <w:color w:val="000000"/>
                <w:sz w:val="20"/>
                <w:szCs w:val="20"/>
              </w:rPr>
              <w:t xml:space="preserve"> (students)</w:t>
            </w:r>
          </w:p>
        </w:tc>
        <w:tc>
          <w:tcPr>
            <w:tcW w:w="1350" w:type="dxa"/>
            <w:tcBorders>
              <w:top w:val="nil"/>
              <w:left w:val="nil"/>
              <w:bottom w:val="single" w:sz="6" w:space="0" w:color="auto"/>
              <w:right w:val="nil"/>
            </w:tcBorders>
            <w:vAlign w:val="center"/>
          </w:tcPr>
          <w:p w:rsidR="004B42C3" w:rsidRPr="006E78E0" w:rsidRDefault="004B42C3" w:rsidP="00954447">
            <w:pPr>
              <w:jc w:val="center"/>
              <w:rPr>
                <w:sz w:val="20"/>
                <w:szCs w:val="20"/>
              </w:rPr>
            </w:pPr>
            <w:r w:rsidRPr="006E78E0">
              <w:rPr>
                <w:sz w:val="20"/>
                <w:szCs w:val="20"/>
              </w:rPr>
              <w:t>71,327</w:t>
            </w:r>
          </w:p>
        </w:tc>
        <w:tc>
          <w:tcPr>
            <w:tcW w:w="1350" w:type="dxa"/>
            <w:tcBorders>
              <w:top w:val="nil"/>
              <w:left w:val="nil"/>
              <w:bottom w:val="single" w:sz="6" w:space="0" w:color="auto"/>
              <w:right w:val="nil"/>
            </w:tcBorders>
            <w:vAlign w:val="center"/>
          </w:tcPr>
          <w:p w:rsidR="004B42C3" w:rsidRPr="006E78E0" w:rsidRDefault="004B42C3" w:rsidP="00954447">
            <w:pPr>
              <w:jc w:val="center"/>
              <w:rPr>
                <w:sz w:val="20"/>
                <w:szCs w:val="20"/>
              </w:rPr>
            </w:pPr>
            <w:r w:rsidRPr="006E78E0">
              <w:rPr>
                <w:sz w:val="20"/>
                <w:szCs w:val="20"/>
              </w:rPr>
              <w:t>71,319</w:t>
            </w:r>
          </w:p>
        </w:tc>
        <w:tc>
          <w:tcPr>
            <w:tcW w:w="1350" w:type="dxa"/>
            <w:tcBorders>
              <w:top w:val="nil"/>
              <w:left w:val="nil"/>
              <w:bottom w:val="single" w:sz="6" w:space="0" w:color="auto"/>
              <w:right w:val="nil"/>
            </w:tcBorders>
            <w:vAlign w:val="center"/>
          </w:tcPr>
          <w:p w:rsidR="004B42C3" w:rsidRPr="006E78E0" w:rsidRDefault="004B42C3" w:rsidP="00954447">
            <w:pPr>
              <w:jc w:val="center"/>
              <w:rPr>
                <w:sz w:val="20"/>
                <w:szCs w:val="20"/>
              </w:rPr>
            </w:pPr>
            <w:r w:rsidRPr="006E78E0">
              <w:rPr>
                <w:sz w:val="20"/>
                <w:szCs w:val="20"/>
              </w:rPr>
              <w:t>68,775</w:t>
            </w:r>
          </w:p>
        </w:tc>
        <w:tc>
          <w:tcPr>
            <w:tcW w:w="1350" w:type="dxa"/>
            <w:tcBorders>
              <w:top w:val="nil"/>
              <w:left w:val="nil"/>
              <w:bottom w:val="single" w:sz="6" w:space="0" w:color="auto"/>
              <w:right w:val="single" w:sz="6" w:space="0" w:color="BFBFBF" w:themeColor="background1" w:themeShade="BF"/>
            </w:tcBorders>
            <w:vAlign w:val="center"/>
          </w:tcPr>
          <w:p w:rsidR="004B42C3" w:rsidRPr="006E78E0" w:rsidRDefault="004B42C3" w:rsidP="00954447">
            <w:pPr>
              <w:jc w:val="center"/>
              <w:rPr>
                <w:sz w:val="20"/>
                <w:szCs w:val="20"/>
              </w:rPr>
            </w:pPr>
            <w:r w:rsidRPr="006E78E0">
              <w:rPr>
                <w:sz w:val="20"/>
                <w:szCs w:val="20"/>
              </w:rPr>
              <w:t>68,775</w:t>
            </w:r>
          </w:p>
        </w:tc>
        <w:tc>
          <w:tcPr>
            <w:tcW w:w="1350" w:type="dxa"/>
            <w:tcBorders>
              <w:top w:val="nil"/>
              <w:left w:val="single" w:sz="6" w:space="0" w:color="BFBFBF" w:themeColor="background1" w:themeShade="BF"/>
              <w:bottom w:val="single" w:sz="6" w:space="0" w:color="auto"/>
              <w:right w:val="nil"/>
            </w:tcBorders>
            <w:vAlign w:val="center"/>
          </w:tcPr>
          <w:p w:rsidR="004B42C3" w:rsidRPr="006E78E0" w:rsidRDefault="004B42C3" w:rsidP="00954447">
            <w:pPr>
              <w:jc w:val="center"/>
              <w:rPr>
                <w:sz w:val="20"/>
                <w:szCs w:val="20"/>
              </w:rPr>
            </w:pPr>
            <w:r w:rsidRPr="006E78E0">
              <w:rPr>
                <w:sz w:val="20"/>
                <w:szCs w:val="20"/>
              </w:rPr>
              <w:t>68,775</w:t>
            </w:r>
          </w:p>
        </w:tc>
      </w:tr>
      <w:tr w:rsidR="004B42C3" w:rsidRPr="006E78E0" w:rsidTr="00954447">
        <w:tblPrEx>
          <w:tblBorders>
            <w:top w:val="none" w:sz="0" w:space="0" w:color="auto"/>
            <w:bottom w:val="single" w:sz="6" w:space="0" w:color="BFBFBF"/>
          </w:tblBorders>
        </w:tblPrEx>
        <w:trPr>
          <w:jc w:val="center"/>
        </w:trPr>
        <w:tc>
          <w:tcPr>
            <w:tcW w:w="10080" w:type="dxa"/>
            <w:gridSpan w:val="6"/>
            <w:tcBorders>
              <w:top w:val="single" w:sz="6" w:space="0" w:color="auto"/>
              <w:left w:val="nil"/>
              <w:bottom w:val="nil"/>
              <w:right w:val="nil"/>
            </w:tcBorders>
            <w:vAlign w:val="center"/>
          </w:tcPr>
          <w:p w:rsidR="004B42C3" w:rsidRPr="00F5063E" w:rsidRDefault="004B42C3" w:rsidP="00954447">
            <w:pPr>
              <w:rPr>
                <w:sz w:val="20"/>
                <w:szCs w:val="20"/>
              </w:rPr>
            </w:pPr>
            <w:r w:rsidRPr="00B64354">
              <w:rPr>
                <w:sz w:val="19"/>
                <w:szCs w:val="19"/>
              </w:rPr>
              <w:t xml:space="preserve">* </w:t>
            </w:r>
            <w:r w:rsidRPr="00B64354">
              <w:rPr>
                <w:i/>
                <w:iCs/>
                <w:sz w:val="19"/>
                <w:szCs w:val="19"/>
              </w:rPr>
              <w:t>p</w:t>
            </w:r>
            <w:r w:rsidRPr="00B64354">
              <w:rPr>
                <w:sz w:val="19"/>
                <w:szCs w:val="19"/>
              </w:rPr>
              <w:t xml:space="preserve">&lt;0.05; ** </w:t>
            </w:r>
            <w:r w:rsidRPr="00B64354">
              <w:rPr>
                <w:i/>
                <w:iCs/>
                <w:sz w:val="19"/>
                <w:szCs w:val="19"/>
              </w:rPr>
              <w:t>p</w:t>
            </w:r>
            <w:r w:rsidRPr="00B64354">
              <w:rPr>
                <w:sz w:val="19"/>
                <w:szCs w:val="19"/>
              </w:rPr>
              <w:t>&lt;0.01</w:t>
            </w:r>
          </w:p>
        </w:tc>
      </w:tr>
    </w:tbl>
    <w:p w:rsidR="004B42C3" w:rsidRDefault="004B42C3" w:rsidP="004B42C3"/>
    <w:p w:rsidR="0074685E" w:rsidRDefault="0074685E">
      <w:pPr>
        <w:rPr>
          <w:rFonts w:cs="Cambria"/>
          <w:b/>
          <w:color w:val="000000"/>
        </w:rPr>
      </w:pPr>
      <w:r>
        <w:rPr>
          <w:rFonts w:cs="Cambria"/>
          <w:b/>
          <w:color w:val="000000"/>
        </w:rPr>
        <w:br w:type="page"/>
      </w:r>
    </w:p>
    <w:p w:rsidR="0074685E" w:rsidRDefault="0074685E" w:rsidP="00BF1A3B">
      <w:pPr>
        <w:rPr>
          <w:rFonts w:cs="Cambria"/>
          <w:b/>
          <w:color w:val="000000"/>
        </w:rPr>
        <w:sectPr w:rsidR="0074685E" w:rsidSect="00BF1A3B">
          <w:headerReference w:type="even" r:id="rId32"/>
          <w:footerReference w:type="even" r:id="rId33"/>
          <w:footerReference w:type="default" r:id="rId34"/>
          <w:footnotePr>
            <w:numRestart w:val="eachPage"/>
          </w:footnotePr>
          <w:type w:val="continuous"/>
          <w:pgSz w:w="12240" w:h="15840"/>
          <w:pgMar w:top="720" w:right="720" w:bottom="720" w:left="720" w:header="720" w:footer="720" w:gutter="0"/>
          <w:cols w:space="720"/>
          <w:docGrid w:linePitch="360"/>
        </w:sectPr>
      </w:pPr>
    </w:p>
    <w:p w:rsidR="00BF1A3B" w:rsidRDefault="00BF1A3B" w:rsidP="00BF1A3B">
      <w:pPr>
        <w:rPr>
          <w:rFonts w:cs="Cambria"/>
          <w:b/>
          <w:color w:val="000000"/>
        </w:rPr>
      </w:pPr>
    </w:p>
    <w:sectPr w:rsidR="00BF1A3B" w:rsidSect="00BF1A3B">
      <w:headerReference w:type="default" r:id="rId35"/>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414" w:rsidRDefault="00F00414" w:rsidP="008D2AB8">
      <w:r>
        <w:separator/>
      </w:r>
    </w:p>
  </w:endnote>
  <w:endnote w:type="continuationSeparator" w:id="0">
    <w:p w:rsidR="00F00414" w:rsidRDefault="00F00414" w:rsidP="008D2A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20002A87" w:usb1="80000000" w:usb2="00000008"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414" w:rsidRDefault="00F00414" w:rsidP="00BF1A3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0414" w:rsidRDefault="00F00414" w:rsidP="00BF1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414" w:rsidRDefault="00F00414" w:rsidP="00BF1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414" w:rsidRDefault="00F00414" w:rsidP="008D2AB8">
      <w:r>
        <w:separator/>
      </w:r>
    </w:p>
  </w:footnote>
  <w:footnote w:type="continuationSeparator" w:id="0">
    <w:p w:rsidR="00F00414" w:rsidRDefault="00F00414" w:rsidP="008D2AB8">
      <w:r>
        <w:continuationSeparator/>
      </w:r>
    </w:p>
  </w:footnote>
  <w:footnote w:id="1">
    <w:p w:rsidR="00F00414" w:rsidRDefault="00F00414" w:rsidP="008D2AB8">
      <w:pPr>
        <w:pStyle w:val="FootnoteText"/>
        <w:spacing w:after="80"/>
      </w:pPr>
      <w:r w:rsidRPr="00C50668">
        <w:rPr>
          <w:rStyle w:val="FootnoteReference"/>
        </w:rPr>
        <w:footnoteRef/>
      </w:r>
      <w:r w:rsidRPr="00C50668">
        <w:t xml:space="preserve"> Here ‘identification’ refers to the identification of students as eligible for special education services.</w:t>
      </w:r>
    </w:p>
  </w:footnote>
  <w:footnote w:id="2">
    <w:p w:rsidR="00F00414" w:rsidRDefault="00F00414" w:rsidP="008D2AB8">
      <w:pPr>
        <w:pStyle w:val="FootnoteText"/>
        <w:spacing w:after="80"/>
      </w:pPr>
      <w:r w:rsidRPr="00C50668">
        <w:rPr>
          <w:rStyle w:val="FootnoteReference"/>
        </w:rPr>
        <w:footnoteRef/>
      </w:r>
      <w:r w:rsidRPr="00C50668">
        <w:t xml:space="preserve"> Here ‘placement’ refers to the proportion of the school day that students eligible for special education services spend with their typically developing peers.</w:t>
      </w:r>
    </w:p>
  </w:footnote>
  <w:footnote w:id="3">
    <w:p w:rsidR="00F00414" w:rsidRDefault="00F00414" w:rsidP="008D2AB8">
      <w:pPr>
        <w:pStyle w:val="FootnoteText"/>
        <w:spacing w:after="80"/>
      </w:pPr>
      <w:r w:rsidRPr="00C50668">
        <w:rPr>
          <w:rStyle w:val="FootnoteReference"/>
        </w:rPr>
        <w:footnoteRef/>
      </w:r>
      <w:r w:rsidRPr="00C50668">
        <w:t xml:space="preserve"> For this analysis, we will use </w:t>
      </w:r>
      <w:r w:rsidRPr="00C67685">
        <w:t xml:space="preserve">Massachusetts Comprehensive Assessment </w:t>
      </w:r>
      <w:r>
        <w:t xml:space="preserve">System (MCAS) </w:t>
      </w:r>
      <w:r w:rsidRPr="00C50668">
        <w:t>scores as a measure of student academic performance.</w:t>
      </w:r>
    </w:p>
  </w:footnote>
  <w:footnote w:id="4">
    <w:p w:rsidR="00F00414" w:rsidRPr="0083443D" w:rsidRDefault="00F00414">
      <w:pPr>
        <w:pStyle w:val="FootnoteText"/>
      </w:pPr>
      <w:r>
        <w:rPr>
          <w:rStyle w:val="FootnoteReference"/>
        </w:rPr>
        <w:footnoteRef/>
      </w:r>
      <w:r>
        <w:t xml:space="preserve"> The </w:t>
      </w:r>
      <w:r>
        <w:rPr>
          <w:i/>
        </w:rPr>
        <w:t xml:space="preserve">Neurological Impairment </w:t>
      </w:r>
      <w:r>
        <w:t xml:space="preserve">designation does not clearly fall into any of the three patterns we describe here. In part because of the very small proportion of Massachusetts children represented in this category and in part due to variability in the use of this designation in the state, we do not include this category in most of the analyses presented in this report.  </w:t>
      </w:r>
    </w:p>
  </w:footnote>
  <w:footnote w:id="5">
    <w:p w:rsidR="00F00414" w:rsidRPr="00E92A13" w:rsidRDefault="00F00414" w:rsidP="008D2AB8">
      <w:pPr>
        <w:pStyle w:val="FootnoteText"/>
      </w:pPr>
      <w:r>
        <w:rPr>
          <w:rStyle w:val="FootnoteReference"/>
        </w:rPr>
        <w:footnoteRef/>
      </w:r>
      <w:r>
        <w:t xml:space="preserve"> See methods section (p. 6 above) for details on how we identified districts for these analyses. </w:t>
      </w:r>
    </w:p>
  </w:footnote>
  <w:footnote w:id="6">
    <w:p w:rsidR="00F00414" w:rsidRPr="00047DE8" w:rsidRDefault="00F00414" w:rsidP="00047DE8">
      <w:pPr>
        <w:pStyle w:val="FootnoteText"/>
      </w:pPr>
      <w:r>
        <w:rPr>
          <w:rStyle w:val="FootnoteReference"/>
        </w:rPr>
        <w:footnoteRef/>
      </w:r>
      <w:r>
        <w:t xml:space="preserve"> </w:t>
      </w:r>
      <w:r w:rsidRPr="00047DE8">
        <w:t>In cases where th</w:t>
      </w:r>
      <w:r>
        <w:t xml:space="preserve">ere were overlapping geographic </w:t>
      </w:r>
      <w:r w:rsidRPr="00047DE8">
        <w:t>bound</w:t>
      </w:r>
      <w:r>
        <w:t>aries (</w:t>
      </w:r>
      <w:r w:rsidRPr="00047DE8">
        <w:t xml:space="preserve">e.g. </w:t>
      </w:r>
      <w:r>
        <w:t xml:space="preserve">an </w:t>
      </w:r>
      <w:r w:rsidRPr="00047DE8">
        <w:t xml:space="preserve">area in which </w:t>
      </w:r>
      <w:r>
        <w:t xml:space="preserve">several small </w:t>
      </w:r>
      <w:r w:rsidRPr="00047DE8">
        <w:t>school district</w:t>
      </w:r>
      <w:r>
        <w:t>s</w:t>
      </w:r>
      <w:r w:rsidRPr="00047DE8">
        <w:t xml:space="preserve"> s</w:t>
      </w:r>
      <w:r>
        <w:t>erving</w:t>
      </w:r>
      <w:r w:rsidRPr="00047DE8">
        <w:t xml:space="preserve"> elementary school students </w:t>
      </w:r>
      <w:r>
        <w:t xml:space="preserve">occupy the same geographic space as one larger district that </w:t>
      </w:r>
      <w:r w:rsidRPr="00047DE8">
        <w:t>supports high schools</w:t>
      </w:r>
      <w:r>
        <w:t xml:space="preserve"> students</w:t>
      </w:r>
      <w:r w:rsidRPr="00047DE8">
        <w:t>)</w:t>
      </w:r>
      <w:r>
        <w:t>,</w:t>
      </w:r>
      <w:r w:rsidRPr="00047DE8">
        <w:t xml:space="preserve"> we display the larger geographic unit</w:t>
      </w:r>
      <w:r>
        <w:t>.</w:t>
      </w:r>
      <w:r w:rsidRPr="00047DE8">
        <w:t xml:space="preserve"> </w:t>
      </w:r>
    </w:p>
    <w:p w:rsidR="00F00414" w:rsidRPr="00047DE8" w:rsidRDefault="00F00414">
      <w:pPr>
        <w:pStyle w:val="FootnoteText"/>
      </w:pPr>
    </w:p>
  </w:footnote>
  <w:footnote w:id="7">
    <w:p w:rsidR="00F00414" w:rsidRPr="00B07377" w:rsidRDefault="00F00414" w:rsidP="008D2AB8">
      <w:pPr>
        <w:pStyle w:val="FootnoteText"/>
        <w:spacing w:after="80"/>
        <w:rPr>
          <w:sz w:val="10"/>
          <w:szCs w:val="10"/>
        </w:rPr>
      </w:pPr>
      <w:r w:rsidRPr="00B36DC1">
        <w:rPr>
          <w:rStyle w:val="FootnoteReference"/>
        </w:rPr>
        <w:footnoteRef/>
      </w:r>
      <w:r w:rsidRPr="00B36DC1">
        <w:t xml:space="preserve"> In this </w:t>
      </w:r>
      <w:r>
        <w:t>report</w:t>
      </w:r>
      <w:r w:rsidRPr="00B36DC1">
        <w:t xml:space="preserve">, a student is considered low-income if he or she </w:t>
      </w:r>
      <w:r>
        <w:t xml:space="preserve">was eligible to receive a </w:t>
      </w:r>
      <w:r w:rsidRPr="00B36DC1">
        <w:t>free or reduced priced lunch</w:t>
      </w:r>
      <w:r>
        <w:t xml:space="preserve">. </w:t>
      </w:r>
    </w:p>
  </w:footnote>
  <w:footnote w:id="8">
    <w:p w:rsidR="00F00414" w:rsidRPr="00B07377" w:rsidRDefault="00F00414" w:rsidP="008D2AB8">
      <w:pPr>
        <w:pStyle w:val="FootnoteText"/>
        <w:spacing w:after="80"/>
        <w:rPr>
          <w:sz w:val="10"/>
          <w:szCs w:val="10"/>
        </w:rPr>
      </w:pPr>
      <w:r w:rsidRPr="00577CBF">
        <w:rPr>
          <w:rStyle w:val="FootnoteReference"/>
        </w:rPr>
        <w:footnoteRef/>
      </w:r>
      <w:r>
        <w:t>Unless otherwise stated, t</w:t>
      </w:r>
      <w:r w:rsidRPr="00577CBF">
        <w:t xml:space="preserve">hroughout this </w:t>
      </w:r>
      <w:r>
        <w:t>report</w:t>
      </w:r>
      <w:r w:rsidRPr="00577CBF">
        <w:t xml:space="preserve"> the term </w:t>
      </w:r>
      <w:r w:rsidRPr="00022B00">
        <w:rPr>
          <w:i/>
        </w:rPr>
        <w:t>‘High Incidence’</w:t>
      </w:r>
      <w:r w:rsidRPr="00577CBF">
        <w:t xml:space="preserve"> will refer to students in the </w:t>
      </w:r>
      <w:r w:rsidRPr="009A4D5A">
        <w:rPr>
          <w:rFonts w:cs="Cambria"/>
          <w:color w:val="000000"/>
        </w:rPr>
        <w:t>Specific Learning Disabilitiy, Health, or Communication</w:t>
      </w:r>
      <w:r w:rsidRPr="00577CBF">
        <w:rPr>
          <w:rFonts w:cs="Cambria"/>
          <w:i/>
          <w:color w:val="000000"/>
        </w:rPr>
        <w:t xml:space="preserve"> </w:t>
      </w:r>
      <w:r w:rsidRPr="00D27F60">
        <w:rPr>
          <w:rFonts w:cs="Cambria"/>
          <w:color w:val="000000"/>
        </w:rPr>
        <w:t>disability</w:t>
      </w:r>
      <w:r>
        <w:rPr>
          <w:rFonts w:cs="Cambria"/>
          <w:color w:val="000000"/>
        </w:rPr>
        <w:t xml:space="preserve"> </w:t>
      </w:r>
      <w:r w:rsidRPr="00577CBF">
        <w:rPr>
          <w:rFonts w:cs="Cambria"/>
          <w:color w:val="000000"/>
        </w:rPr>
        <w:t>categories</w:t>
      </w:r>
      <w:r>
        <w:rPr>
          <w:rFonts w:cs="Cambria"/>
          <w:color w:val="000000"/>
        </w:rPr>
        <w:t>.</w:t>
      </w:r>
    </w:p>
  </w:footnote>
  <w:footnote w:id="9">
    <w:p w:rsidR="00F00414" w:rsidRDefault="00F00414" w:rsidP="008D2AB8">
      <w:pPr>
        <w:pStyle w:val="FootnoteText"/>
        <w:spacing w:after="80"/>
      </w:pPr>
      <w:r>
        <w:rPr>
          <w:rStyle w:val="FootnoteReference"/>
        </w:rPr>
        <w:footnoteRef/>
      </w:r>
      <w:r>
        <w:t xml:space="preserve"> In these analyses we controlled for whether the district was classified by the National Center of Education Statistics (NCES) as rural, city, suburban or town (see </w:t>
      </w:r>
      <w:hyperlink r:id="rId1" w:history="1">
        <w:r w:rsidRPr="00C6444F">
          <w:rPr>
            <w:rStyle w:val="Hyperlink"/>
          </w:rPr>
          <w:t>http://nces.ed.gov/ccd/rural_locales.asp</w:t>
        </w:r>
      </w:hyperlink>
      <w:r>
        <w:t xml:space="preserve"> for more information); the percentage of white students in a district; the percentage of students who demonstrated limited English proficiency in a district; the percentage of a district’s students who are in elementary school; and whether the district participated in the METCO program. We found all of these potential predictors of rates of </w:t>
      </w:r>
      <w:r w:rsidRPr="00022B00">
        <w:rPr>
          <w:i/>
        </w:rPr>
        <w:t>‘High Incidence’</w:t>
      </w:r>
      <w:r>
        <w:rPr>
          <w:i/>
        </w:rPr>
        <w:t xml:space="preserve"> identification</w:t>
      </w:r>
      <w:r>
        <w:t xml:space="preserve"> to  be trivial and non-significant.  </w:t>
      </w:r>
    </w:p>
  </w:footnote>
  <w:footnote w:id="10">
    <w:p w:rsidR="00F00414" w:rsidRDefault="00F00414">
      <w:pPr>
        <w:pStyle w:val="FootnoteText"/>
      </w:pPr>
      <w:r>
        <w:rPr>
          <w:rStyle w:val="FootnoteReference"/>
        </w:rPr>
        <w:footnoteRef/>
      </w:r>
      <w:r>
        <w:t xml:space="preserve"> In these regression models we controlled for the percentage of students in the district with a </w:t>
      </w:r>
      <w:r w:rsidRPr="00022B00">
        <w:rPr>
          <w:i/>
        </w:rPr>
        <w:t>‘High Incidence’</w:t>
      </w:r>
      <w:r>
        <w:rPr>
          <w:i/>
        </w:rPr>
        <w:t xml:space="preserve"> </w:t>
      </w:r>
      <w:r>
        <w:t xml:space="preserve">designation, the percentage of students in the district who were White, district enrollment and district </w:t>
      </w:r>
      <w:proofErr w:type="spellStart"/>
      <w:r>
        <w:t>urbanicity</w:t>
      </w:r>
      <w:proofErr w:type="spellEnd"/>
      <w:r>
        <w:t xml:space="preserve">. Control variables that were trivial and/or non-significant were excluded from the final model (see Appendix B, Table 2 for an example).  </w:t>
      </w:r>
    </w:p>
  </w:footnote>
  <w:footnote w:id="11">
    <w:p w:rsidR="00F00414" w:rsidRDefault="00F00414" w:rsidP="008D2AB8">
      <w:pPr>
        <w:pStyle w:val="FootnoteText"/>
        <w:spacing w:after="80"/>
      </w:pPr>
      <w:r>
        <w:rPr>
          <w:rStyle w:val="FootnoteReference"/>
        </w:rPr>
        <w:footnoteRef/>
      </w:r>
      <w:r>
        <w:rPr>
          <w:rFonts w:cs="Cambria"/>
          <w:color w:val="000000"/>
        </w:rPr>
        <w:t xml:space="preserve"> See appendix B, tables 2 &amp; 3, for results from sample multi-level regression analyses in support of this finding. </w:t>
      </w:r>
    </w:p>
  </w:footnote>
  <w:footnote w:id="12">
    <w:p w:rsidR="00F00414" w:rsidRPr="003931D4" w:rsidRDefault="00F00414" w:rsidP="008D2AB8">
      <w:pPr>
        <w:pStyle w:val="FootnoteText"/>
        <w:spacing w:after="80"/>
        <w:rPr>
          <w:color w:val="000000"/>
        </w:rPr>
      </w:pPr>
      <w:r w:rsidRPr="00447D3B">
        <w:rPr>
          <w:rStyle w:val="FootnoteReference"/>
        </w:rPr>
        <w:footnoteRef/>
      </w:r>
      <w:r w:rsidRPr="003931D4">
        <w:t>We conducted these analyses sep</w:t>
      </w:r>
      <w:r>
        <w:t>a</w:t>
      </w:r>
      <w:r w:rsidRPr="003931D4">
        <w:t xml:space="preserve">rately for students in grades 4, 8 and 10.  We excluded students enrolled in </w:t>
      </w:r>
      <w:r w:rsidRPr="003931D4">
        <w:rPr>
          <w:color w:val="000000"/>
        </w:rPr>
        <w:t xml:space="preserve">vocational </w:t>
      </w:r>
      <w:r>
        <w:rPr>
          <w:color w:val="000000"/>
        </w:rPr>
        <w:t xml:space="preserve">or </w:t>
      </w:r>
      <w:r w:rsidRPr="003931D4">
        <w:rPr>
          <w:color w:val="000000"/>
        </w:rPr>
        <w:t>technical schools, charter schools or out-of-</w:t>
      </w:r>
      <w:r>
        <w:rPr>
          <w:color w:val="000000"/>
        </w:rPr>
        <w:t>di</w:t>
      </w:r>
      <w:r w:rsidRPr="003931D4">
        <w:rPr>
          <w:color w:val="000000"/>
        </w:rPr>
        <w:t>str</w:t>
      </w:r>
      <w:r>
        <w:rPr>
          <w:color w:val="000000"/>
        </w:rPr>
        <w:t>i</w:t>
      </w:r>
      <w:r w:rsidRPr="003931D4">
        <w:rPr>
          <w:color w:val="000000"/>
        </w:rPr>
        <w:t xml:space="preserve">ct placements.  </w:t>
      </w:r>
      <w:r w:rsidRPr="003931D4">
        <w:t>In these analyses we control</w:t>
      </w:r>
      <w:r>
        <w:t>l</w:t>
      </w:r>
      <w:r w:rsidRPr="003931D4">
        <w:t xml:space="preserve">ed for </w:t>
      </w:r>
      <w:r w:rsidRPr="003931D4">
        <w:rPr>
          <w:color w:val="000000"/>
        </w:rPr>
        <w:t>student race (African American, Latino, Asian, American Indian</w:t>
      </w:r>
      <w:r>
        <w:rPr>
          <w:color w:val="000000"/>
        </w:rPr>
        <w:t xml:space="preserve"> and</w:t>
      </w:r>
      <w:r w:rsidRPr="003931D4">
        <w:rPr>
          <w:color w:val="000000"/>
        </w:rPr>
        <w:t xml:space="preserve"> </w:t>
      </w:r>
      <w:r w:rsidRPr="00447D3B">
        <w:rPr>
          <w:color w:val="000000"/>
        </w:rPr>
        <w:t>‘</w:t>
      </w:r>
      <w:r w:rsidRPr="003931D4">
        <w:rPr>
          <w:color w:val="000000"/>
        </w:rPr>
        <w:t>Other</w:t>
      </w:r>
      <w:r w:rsidRPr="00447D3B">
        <w:rPr>
          <w:color w:val="000000"/>
        </w:rPr>
        <w:t>’</w:t>
      </w:r>
      <w:r w:rsidRPr="003931D4">
        <w:rPr>
          <w:color w:val="000000"/>
        </w:rPr>
        <w:t xml:space="preserve"> race</w:t>
      </w:r>
      <w:r>
        <w:rPr>
          <w:color w:val="000000"/>
        </w:rPr>
        <w:t>,</w:t>
      </w:r>
      <w:r w:rsidRPr="003931D4">
        <w:rPr>
          <w:color w:val="000000"/>
        </w:rPr>
        <w:t xml:space="preserve"> with White as the reference category)</w:t>
      </w:r>
      <w:r>
        <w:rPr>
          <w:color w:val="000000"/>
        </w:rPr>
        <w:t>;</w:t>
      </w:r>
      <w:r w:rsidRPr="003931D4">
        <w:rPr>
          <w:color w:val="000000"/>
        </w:rPr>
        <w:t xml:space="preserve"> whether the child </w:t>
      </w:r>
      <w:r>
        <w:rPr>
          <w:color w:val="000000"/>
        </w:rPr>
        <w:t>has a</w:t>
      </w:r>
      <w:r w:rsidRPr="003931D4">
        <w:rPr>
          <w:color w:val="000000"/>
        </w:rPr>
        <w:t xml:space="preserve"> </w:t>
      </w:r>
      <w:r w:rsidRPr="00022B00">
        <w:rPr>
          <w:i/>
        </w:rPr>
        <w:t>‘High Incidence’</w:t>
      </w:r>
      <w:r>
        <w:t xml:space="preserve"> disability</w:t>
      </w:r>
      <w:r w:rsidRPr="003931D4">
        <w:rPr>
          <w:color w:val="000000"/>
        </w:rPr>
        <w:t xml:space="preserve"> or </w:t>
      </w:r>
      <w:r>
        <w:rPr>
          <w:color w:val="000000"/>
        </w:rPr>
        <w:t>is eligible for special education in a different disability category</w:t>
      </w:r>
      <w:r>
        <w:t xml:space="preserve">; the extent to which a child spent their school day in classrooms with their typically developing peers (inclusiveness); </w:t>
      </w:r>
      <w:r w:rsidRPr="003931D4">
        <w:rPr>
          <w:color w:val="000000"/>
        </w:rPr>
        <w:t xml:space="preserve">child </w:t>
      </w:r>
      <w:r>
        <w:rPr>
          <w:color w:val="000000"/>
        </w:rPr>
        <w:t>gender;</w:t>
      </w:r>
      <w:r w:rsidRPr="003931D4">
        <w:rPr>
          <w:color w:val="000000"/>
        </w:rPr>
        <w:t xml:space="preserve"> child eligib</w:t>
      </w:r>
      <w:r>
        <w:rPr>
          <w:color w:val="000000"/>
        </w:rPr>
        <w:t>i</w:t>
      </w:r>
      <w:r w:rsidRPr="003931D4">
        <w:rPr>
          <w:color w:val="000000"/>
        </w:rPr>
        <w:t>l</w:t>
      </w:r>
      <w:r>
        <w:rPr>
          <w:color w:val="000000"/>
        </w:rPr>
        <w:t>ity for</w:t>
      </w:r>
      <w:r w:rsidRPr="003931D4">
        <w:rPr>
          <w:color w:val="000000"/>
        </w:rPr>
        <w:t xml:space="preserve"> free or reduced-priced lunch</w:t>
      </w:r>
      <w:r>
        <w:rPr>
          <w:color w:val="000000"/>
        </w:rPr>
        <w:t>;</w:t>
      </w:r>
      <w:r w:rsidRPr="003931D4">
        <w:rPr>
          <w:color w:val="000000"/>
        </w:rPr>
        <w:t xml:space="preserve"> whether the child</w:t>
      </w:r>
      <w:r w:rsidRPr="00447D3B">
        <w:rPr>
          <w:color w:val="000000"/>
        </w:rPr>
        <w:t>’</w:t>
      </w:r>
      <w:r w:rsidRPr="003931D4">
        <w:rPr>
          <w:color w:val="000000"/>
        </w:rPr>
        <w:t>s school district participates in the METCO program</w:t>
      </w:r>
      <w:r>
        <w:rPr>
          <w:color w:val="000000"/>
        </w:rPr>
        <w:t>; d</w:t>
      </w:r>
      <w:r w:rsidRPr="003931D4">
        <w:rPr>
          <w:color w:val="000000"/>
        </w:rPr>
        <w:t>istrict median family income (from 2000 census</w:t>
      </w:r>
      <w:r>
        <w:rPr>
          <w:color w:val="000000"/>
        </w:rPr>
        <w:t xml:space="preserve"> data</w:t>
      </w:r>
      <w:r w:rsidRPr="003931D4">
        <w:rPr>
          <w:color w:val="000000"/>
        </w:rPr>
        <w:t>)</w:t>
      </w:r>
      <w:r>
        <w:rPr>
          <w:color w:val="000000"/>
        </w:rPr>
        <w:t>;</w:t>
      </w:r>
      <w:r w:rsidRPr="003931D4">
        <w:rPr>
          <w:color w:val="000000"/>
        </w:rPr>
        <w:t xml:space="preserve"> overall inclusiv</w:t>
      </w:r>
      <w:r>
        <w:rPr>
          <w:color w:val="000000"/>
        </w:rPr>
        <w:t>eness</w:t>
      </w:r>
      <w:r w:rsidRPr="003931D4">
        <w:rPr>
          <w:color w:val="000000"/>
        </w:rPr>
        <w:t xml:space="preserve"> of the district</w:t>
      </w:r>
      <w:r>
        <w:rPr>
          <w:color w:val="000000"/>
        </w:rPr>
        <w:t>;</w:t>
      </w:r>
      <w:r w:rsidRPr="003931D4">
        <w:rPr>
          <w:color w:val="000000"/>
        </w:rPr>
        <w:t xml:space="preserve"> percentage of LEP students in the district</w:t>
      </w:r>
      <w:r>
        <w:rPr>
          <w:color w:val="000000"/>
        </w:rPr>
        <w:t xml:space="preserve"> and </w:t>
      </w:r>
      <w:r w:rsidRPr="003931D4">
        <w:rPr>
          <w:color w:val="000000"/>
        </w:rPr>
        <w:t>percentage of a district</w:t>
      </w:r>
      <w:r w:rsidRPr="00447D3B">
        <w:rPr>
          <w:color w:val="000000"/>
        </w:rPr>
        <w:t>’</w:t>
      </w:r>
      <w:r w:rsidRPr="003931D4">
        <w:rPr>
          <w:color w:val="000000"/>
        </w:rPr>
        <w:t>s students who receive free or reduced</w:t>
      </w:r>
      <w:r>
        <w:rPr>
          <w:color w:val="000000"/>
        </w:rPr>
        <w:t>-</w:t>
      </w:r>
      <w:r w:rsidRPr="003931D4">
        <w:rPr>
          <w:color w:val="000000"/>
        </w:rPr>
        <w:t xml:space="preserve">priced lunches. </w:t>
      </w:r>
      <w:r>
        <w:rPr>
          <w:color w:val="000000"/>
        </w:rPr>
        <w:t xml:space="preserve">Models </w:t>
      </w:r>
      <w:r w:rsidRPr="003931D4">
        <w:rPr>
          <w:color w:val="000000"/>
        </w:rPr>
        <w:t>also include</w:t>
      </w:r>
      <w:r>
        <w:rPr>
          <w:color w:val="000000"/>
        </w:rPr>
        <w:t xml:space="preserve">d two-way statistical </w:t>
      </w:r>
      <w:r w:rsidRPr="003931D4">
        <w:rPr>
          <w:color w:val="000000"/>
        </w:rPr>
        <w:t>interaction</w:t>
      </w:r>
      <w:r>
        <w:rPr>
          <w:color w:val="000000"/>
        </w:rPr>
        <w:t xml:space="preserve">s between: </w:t>
      </w:r>
      <w:r w:rsidRPr="003931D4">
        <w:rPr>
          <w:color w:val="000000"/>
        </w:rPr>
        <w:t xml:space="preserve">child </w:t>
      </w:r>
      <w:r>
        <w:rPr>
          <w:color w:val="000000"/>
        </w:rPr>
        <w:t>inclusiveness</w:t>
      </w:r>
      <w:r w:rsidRPr="003931D4">
        <w:rPr>
          <w:color w:val="000000"/>
        </w:rPr>
        <w:t xml:space="preserve"> and special </w:t>
      </w:r>
      <w:r>
        <w:rPr>
          <w:color w:val="000000"/>
        </w:rPr>
        <w:t>e</w:t>
      </w:r>
      <w:r w:rsidRPr="003931D4">
        <w:rPr>
          <w:color w:val="000000"/>
        </w:rPr>
        <w:t>ducation category (</w:t>
      </w:r>
      <w:r w:rsidRPr="00022B00">
        <w:rPr>
          <w:i/>
        </w:rPr>
        <w:t>‘High Incidence’</w:t>
      </w:r>
      <w:r w:rsidRPr="003931D4">
        <w:rPr>
          <w:color w:val="000000"/>
        </w:rPr>
        <w:t xml:space="preserve"> v</w:t>
      </w:r>
      <w:r>
        <w:rPr>
          <w:color w:val="000000"/>
        </w:rPr>
        <w:t>s</w:t>
      </w:r>
      <w:r w:rsidRPr="003931D4">
        <w:rPr>
          <w:color w:val="000000"/>
        </w:rPr>
        <w:t xml:space="preserve">. </w:t>
      </w:r>
      <w:r>
        <w:rPr>
          <w:color w:val="000000"/>
        </w:rPr>
        <w:t>a different disability category</w:t>
      </w:r>
      <w:r w:rsidRPr="003931D4">
        <w:rPr>
          <w:color w:val="000000"/>
        </w:rPr>
        <w:t>)</w:t>
      </w:r>
      <w:r>
        <w:rPr>
          <w:color w:val="000000"/>
        </w:rPr>
        <w:t xml:space="preserve">;and </w:t>
      </w:r>
      <w:r w:rsidRPr="003931D4">
        <w:rPr>
          <w:color w:val="000000"/>
        </w:rPr>
        <w:t>child special education category (</w:t>
      </w:r>
      <w:r w:rsidRPr="00022B00">
        <w:rPr>
          <w:i/>
        </w:rPr>
        <w:t>‘High Incidence’</w:t>
      </w:r>
      <w:r w:rsidRPr="003931D4">
        <w:rPr>
          <w:color w:val="000000"/>
        </w:rPr>
        <w:t xml:space="preserve"> v</w:t>
      </w:r>
      <w:r>
        <w:rPr>
          <w:color w:val="000000"/>
        </w:rPr>
        <w:t>s</w:t>
      </w:r>
      <w:r w:rsidRPr="003931D4">
        <w:rPr>
          <w:color w:val="000000"/>
        </w:rPr>
        <w:t xml:space="preserve">. </w:t>
      </w:r>
      <w:r>
        <w:rPr>
          <w:color w:val="000000"/>
        </w:rPr>
        <w:t>a different disability category</w:t>
      </w:r>
      <w:r w:rsidRPr="003931D4">
        <w:rPr>
          <w:color w:val="000000"/>
        </w:rPr>
        <w:t>)and the percentage of students in the district identified as</w:t>
      </w:r>
      <w:r>
        <w:rPr>
          <w:color w:val="000000"/>
        </w:rPr>
        <w:t xml:space="preserve"> having a </w:t>
      </w:r>
      <w:r w:rsidRPr="00022B00">
        <w:rPr>
          <w:i/>
        </w:rPr>
        <w:t>‘High Incidence’</w:t>
      </w:r>
      <w:r>
        <w:rPr>
          <w:i/>
        </w:rPr>
        <w:t xml:space="preserve"> </w:t>
      </w:r>
      <w:r>
        <w:t>disability</w:t>
      </w:r>
      <w:r w:rsidRPr="003931D4">
        <w:rPr>
          <w:color w:val="000000"/>
        </w:rPr>
        <w:t>. We tested a number of other main effects and interactions and found them to be non-significant.</w:t>
      </w:r>
    </w:p>
    <w:p w:rsidR="00F00414" w:rsidRDefault="00F00414">
      <w:pPr>
        <w:pStyle w:val="FootnoteText"/>
      </w:pPr>
    </w:p>
  </w:footnote>
  <w:footnote w:id="13">
    <w:p w:rsidR="00F00414" w:rsidRDefault="00F00414" w:rsidP="008D2AB8">
      <w:pPr>
        <w:pStyle w:val="FootnoteText"/>
      </w:pPr>
      <w:r w:rsidRPr="00C50668">
        <w:rPr>
          <w:rStyle w:val="FootnoteReference"/>
        </w:rPr>
        <w:footnoteRef/>
      </w:r>
      <w:r>
        <w:t xml:space="preserve"> </w:t>
      </w:r>
      <w:r w:rsidRPr="00C50668">
        <w:t xml:space="preserve">These models </w:t>
      </w:r>
      <w:r>
        <w:t>(</w:t>
      </w:r>
      <w:r w:rsidRPr="003875C2">
        <w:rPr>
          <w:color w:val="000000"/>
        </w:rPr>
        <w:t xml:space="preserve">School Districts </w:t>
      </w:r>
      <w:r w:rsidRPr="00855A26">
        <w:rPr>
          <w:i/>
          <w:color w:val="000000"/>
        </w:rPr>
        <w:t>n</w:t>
      </w:r>
      <w:r w:rsidRPr="003875C2">
        <w:rPr>
          <w:color w:val="000000"/>
        </w:rPr>
        <w:t>=299</w:t>
      </w:r>
      <w:r>
        <w:rPr>
          <w:color w:val="000000"/>
        </w:rPr>
        <w:t>; C</w:t>
      </w:r>
      <w:r w:rsidRPr="003875C2">
        <w:rPr>
          <w:color w:val="000000"/>
        </w:rPr>
        <w:t xml:space="preserve">hildren </w:t>
      </w:r>
      <w:r w:rsidRPr="00855A26">
        <w:rPr>
          <w:i/>
          <w:color w:val="000000"/>
        </w:rPr>
        <w:t>n</w:t>
      </w:r>
      <w:r w:rsidRPr="003875C2">
        <w:rPr>
          <w:color w:val="000000"/>
        </w:rPr>
        <w:t>=468,158</w:t>
      </w:r>
      <w:r>
        <w:rPr>
          <w:color w:val="000000"/>
        </w:rPr>
        <w:t xml:space="preserve">) </w:t>
      </w:r>
      <w:r w:rsidRPr="00C50668">
        <w:t>control for student race (African American, Latino, Asian, American Indian</w:t>
      </w:r>
      <w:r>
        <w:t xml:space="preserve"> and</w:t>
      </w:r>
      <w:r w:rsidRPr="00C50668">
        <w:t xml:space="preserve"> ‘Other’ race with White as the reference category)</w:t>
      </w:r>
      <w:r>
        <w:t>;</w:t>
      </w:r>
      <w:r w:rsidRPr="00C50668">
        <w:t xml:space="preserve"> child </w:t>
      </w:r>
      <w:r>
        <w:t xml:space="preserve">gender; </w:t>
      </w:r>
      <w:r w:rsidRPr="003931D4">
        <w:rPr>
          <w:color w:val="000000"/>
        </w:rPr>
        <w:t>child eligib</w:t>
      </w:r>
      <w:r>
        <w:rPr>
          <w:color w:val="000000"/>
        </w:rPr>
        <w:t>i</w:t>
      </w:r>
      <w:r w:rsidRPr="003931D4">
        <w:rPr>
          <w:color w:val="000000"/>
        </w:rPr>
        <w:t>l</w:t>
      </w:r>
      <w:r>
        <w:rPr>
          <w:color w:val="000000"/>
        </w:rPr>
        <w:t>ity for</w:t>
      </w:r>
      <w:r w:rsidRPr="003931D4">
        <w:rPr>
          <w:color w:val="000000"/>
        </w:rPr>
        <w:t xml:space="preserve"> free or reduced-priced lunch</w:t>
      </w:r>
      <w:r>
        <w:rPr>
          <w:color w:val="000000"/>
        </w:rPr>
        <w:t>;</w:t>
      </w:r>
      <w:r w:rsidRPr="003931D4">
        <w:rPr>
          <w:color w:val="000000"/>
        </w:rPr>
        <w:t xml:space="preserve"> whether the child</w:t>
      </w:r>
      <w:r w:rsidRPr="00447D3B">
        <w:rPr>
          <w:color w:val="000000"/>
        </w:rPr>
        <w:t>’</w:t>
      </w:r>
      <w:r w:rsidRPr="003931D4">
        <w:rPr>
          <w:color w:val="000000"/>
        </w:rPr>
        <w:t>s school district participates in the METCO program</w:t>
      </w:r>
      <w:r>
        <w:rPr>
          <w:color w:val="000000"/>
        </w:rPr>
        <w:t>;</w:t>
      </w:r>
      <w:r w:rsidRPr="003931D4">
        <w:rPr>
          <w:color w:val="000000"/>
        </w:rPr>
        <w:t xml:space="preserve"> percentage of </w:t>
      </w:r>
      <w:r>
        <w:rPr>
          <w:color w:val="000000"/>
        </w:rPr>
        <w:t>White</w:t>
      </w:r>
      <w:r w:rsidRPr="003931D4">
        <w:rPr>
          <w:color w:val="000000"/>
        </w:rPr>
        <w:t xml:space="preserve"> students in the district</w:t>
      </w:r>
      <w:r>
        <w:rPr>
          <w:color w:val="000000"/>
        </w:rPr>
        <w:t xml:space="preserve">; and </w:t>
      </w:r>
      <w:r w:rsidRPr="00C50668">
        <w:t>log</w:t>
      </w:r>
      <w:r w:rsidRPr="00C50668">
        <w:rPr>
          <w:vertAlign w:val="subscript"/>
        </w:rPr>
        <w:t xml:space="preserve">2 </w:t>
      </w:r>
      <w:r w:rsidRPr="00C50668">
        <w:t xml:space="preserve">of </w:t>
      </w:r>
      <w:r w:rsidRPr="003931D4">
        <w:rPr>
          <w:color w:val="000000"/>
        </w:rPr>
        <w:t>percentage of a district</w:t>
      </w:r>
      <w:r w:rsidRPr="00447D3B">
        <w:rPr>
          <w:color w:val="000000"/>
        </w:rPr>
        <w:t>’</w:t>
      </w:r>
      <w:r w:rsidRPr="003931D4">
        <w:rPr>
          <w:color w:val="000000"/>
        </w:rPr>
        <w:t>s students who receive free or reduced</w:t>
      </w:r>
      <w:r>
        <w:rPr>
          <w:color w:val="000000"/>
        </w:rPr>
        <w:t>-</w:t>
      </w:r>
      <w:r w:rsidRPr="003931D4">
        <w:rPr>
          <w:color w:val="000000"/>
        </w:rPr>
        <w:t xml:space="preserve">priced lunches. </w:t>
      </w:r>
      <w:r>
        <w:rPr>
          <w:color w:val="000000"/>
        </w:rPr>
        <w:t xml:space="preserve">Models </w:t>
      </w:r>
      <w:r w:rsidRPr="003931D4">
        <w:rPr>
          <w:color w:val="000000"/>
        </w:rPr>
        <w:t>also include</w:t>
      </w:r>
      <w:r>
        <w:rPr>
          <w:color w:val="000000"/>
        </w:rPr>
        <w:t xml:space="preserve">d two-way statistical </w:t>
      </w:r>
      <w:r w:rsidRPr="003931D4">
        <w:rPr>
          <w:color w:val="000000"/>
        </w:rPr>
        <w:t>interaction</w:t>
      </w:r>
      <w:r>
        <w:rPr>
          <w:color w:val="000000"/>
        </w:rPr>
        <w:t xml:space="preserve">s between: </w:t>
      </w:r>
      <w:r>
        <w:t>student race and d</w:t>
      </w:r>
      <w:r w:rsidRPr="00C50668">
        <w:t>istrict percentage of white students</w:t>
      </w:r>
      <w:r>
        <w:rPr>
          <w:color w:val="000000"/>
        </w:rPr>
        <w:t xml:space="preserve">; </w:t>
      </w:r>
      <w:r w:rsidRPr="00C50668">
        <w:t>student race and district M</w:t>
      </w:r>
      <w:r>
        <w:t>ETCO</w:t>
      </w:r>
      <w:r w:rsidRPr="00C50668">
        <w:t xml:space="preserve"> status</w:t>
      </w:r>
      <w:r>
        <w:t>;</w:t>
      </w:r>
      <w:r w:rsidRPr="00C50668">
        <w:t xml:space="preserve"> and </w:t>
      </w:r>
      <w:r w:rsidRPr="003931D4">
        <w:rPr>
          <w:color w:val="000000"/>
        </w:rPr>
        <w:t>child eligib</w:t>
      </w:r>
      <w:r>
        <w:rPr>
          <w:color w:val="000000"/>
        </w:rPr>
        <w:t>i</w:t>
      </w:r>
      <w:r w:rsidRPr="003931D4">
        <w:rPr>
          <w:color w:val="000000"/>
        </w:rPr>
        <w:t>l</w:t>
      </w:r>
      <w:r>
        <w:rPr>
          <w:color w:val="000000"/>
        </w:rPr>
        <w:t>ity for</w:t>
      </w:r>
      <w:r w:rsidRPr="003931D4">
        <w:rPr>
          <w:color w:val="000000"/>
        </w:rPr>
        <w:t xml:space="preserve"> free or reduced-priced lunch</w:t>
      </w:r>
      <w:r w:rsidRPr="00C50668">
        <w:t xml:space="preserve"> and log</w:t>
      </w:r>
      <w:r w:rsidRPr="00C50668">
        <w:rPr>
          <w:vertAlign w:val="subscript"/>
        </w:rPr>
        <w:t xml:space="preserve">2 </w:t>
      </w:r>
      <w:r w:rsidRPr="00C50668">
        <w:t xml:space="preserve">of </w:t>
      </w:r>
      <w:r w:rsidRPr="003931D4">
        <w:rPr>
          <w:color w:val="000000"/>
        </w:rPr>
        <w:t>percentage of a district</w:t>
      </w:r>
      <w:r w:rsidRPr="00447D3B">
        <w:rPr>
          <w:color w:val="000000"/>
        </w:rPr>
        <w:t>’</w:t>
      </w:r>
      <w:r w:rsidRPr="003931D4">
        <w:rPr>
          <w:color w:val="000000"/>
        </w:rPr>
        <w:t>s students who receive free or reduced</w:t>
      </w:r>
      <w:r>
        <w:rPr>
          <w:color w:val="000000"/>
        </w:rPr>
        <w:t>-</w:t>
      </w:r>
      <w:r w:rsidRPr="003931D4">
        <w:rPr>
          <w:color w:val="000000"/>
        </w:rPr>
        <w:t>priced lunches</w:t>
      </w:r>
      <w:r w:rsidRPr="00C50668">
        <w:t xml:space="preserve">. </w:t>
      </w:r>
    </w:p>
  </w:footnote>
  <w:footnote w:id="14">
    <w:p w:rsidR="00F00414" w:rsidRDefault="00F00414">
      <w:pPr>
        <w:pStyle w:val="FootnoteText"/>
      </w:pPr>
      <w:r>
        <w:rPr>
          <w:rStyle w:val="FootnoteReference"/>
        </w:rPr>
        <w:footnoteRef/>
      </w:r>
      <w:r>
        <w:rPr>
          <w:color w:val="000000"/>
        </w:rPr>
        <w:t xml:space="preserve"> These findings are drawn from the same models discussed in Finding 4a (above).</w:t>
      </w:r>
    </w:p>
  </w:footnote>
  <w:footnote w:id="15">
    <w:p w:rsidR="00F00414" w:rsidRPr="00B07377" w:rsidRDefault="00F00414" w:rsidP="008D2AB8">
      <w:pPr>
        <w:pStyle w:val="FootnoteText"/>
        <w:spacing w:after="80"/>
      </w:pPr>
      <w:r w:rsidRPr="00B07377">
        <w:rPr>
          <w:rStyle w:val="FootnoteReference"/>
        </w:rPr>
        <w:footnoteRef/>
      </w:r>
      <w:r w:rsidRPr="00B07377">
        <w:t xml:space="preserve"> These rates of low-income student represent the </w:t>
      </w:r>
      <w:r w:rsidRPr="00F410E7">
        <w:t>90</w:t>
      </w:r>
      <w:r w:rsidRPr="00F410E7">
        <w:rPr>
          <w:vertAlign w:val="superscript"/>
        </w:rPr>
        <w:t>th</w:t>
      </w:r>
      <w:r w:rsidRPr="00F410E7">
        <w:t xml:space="preserve"> and 10</w:t>
      </w:r>
      <w:r w:rsidRPr="00F410E7">
        <w:rPr>
          <w:vertAlign w:val="superscript"/>
        </w:rPr>
        <w:t>th</w:t>
      </w:r>
      <w:r w:rsidRPr="00F410E7">
        <w:t xml:space="preserve"> </w:t>
      </w:r>
      <w:r w:rsidRPr="00B07377">
        <w:t>percentiles in the state.</w:t>
      </w:r>
    </w:p>
  </w:footnote>
  <w:footnote w:id="16">
    <w:p w:rsidR="00F00414" w:rsidRDefault="00F00414" w:rsidP="008D2AB8">
      <w:pPr>
        <w:pStyle w:val="FootnoteText"/>
        <w:spacing w:after="80"/>
      </w:pPr>
      <w:r w:rsidRPr="00C50668">
        <w:rPr>
          <w:rStyle w:val="FootnoteReference"/>
        </w:rPr>
        <w:footnoteRef/>
      </w:r>
      <w:r w:rsidRPr="00C50668">
        <w:t xml:space="preserve"> All other student- and district-level factors in the dataset were not meaningfully related to the probability of a student’s eligibility for special education services.</w:t>
      </w:r>
    </w:p>
  </w:footnote>
  <w:footnote w:id="17">
    <w:p w:rsidR="00F00414" w:rsidRDefault="00F00414" w:rsidP="008D2AB8">
      <w:pPr>
        <w:pStyle w:val="FootnoteText"/>
        <w:spacing w:after="80"/>
      </w:pPr>
      <w:r>
        <w:rPr>
          <w:rStyle w:val="FootnoteReference"/>
        </w:rPr>
        <w:footnoteRef/>
      </w:r>
      <w:r>
        <w:rPr>
          <w:rFonts w:cs="Cambria"/>
          <w:color w:val="000000"/>
        </w:rPr>
        <w:t xml:space="preserve"> See appendix B, Table 1, for results from sample multi-level logistic regression analyses in support of this finding.</w:t>
      </w:r>
    </w:p>
  </w:footnote>
  <w:footnote w:id="18">
    <w:p w:rsidR="00F00414" w:rsidRDefault="00F00414" w:rsidP="008D2AB8">
      <w:pPr>
        <w:pStyle w:val="FootnoteText"/>
        <w:spacing w:after="80"/>
      </w:pPr>
      <w:r w:rsidRPr="00541C5C">
        <w:rPr>
          <w:rStyle w:val="FootnoteReference"/>
        </w:rPr>
        <w:footnoteRef/>
      </w:r>
      <w:r>
        <w:t xml:space="preserve"> </w:t>
      </w:r>
      <w:r w:rsidRPr="00541C5C">
        <w:t>These patterns hold when examined using multi-level logistic regression controlling for relevant student and district level characteristics.</w:t>
      </w:r>
    </w:p>
  </w:footnote>
  <w:footnote w:id="19">
    <w:p w:rsidR="00F00414" w:rsidRDefault="00F00414" w:rsidP="008D2AB8">
      <w:pPr>
        <w:pStyle w:val="FootnoteText"/>
        <w:spacing w:after="80"/>
      </w:pPr>
      <w:r>
        <w:rPr>
          <w:rStyle w:val="FootnoteReference"/>
        </w:rPr>
        <w:footnoteRef/>
      </w:r>
      <w:r>
        <w:t xml:space="preserve"> </w:t>
      </w:r>
      <w:r w:rsidRPr="009E6922">
        <w:t>Th</w:t>
      </w:r>
      <w:r>
        <w:t>e</w:t>
      </w:r>
      <w:r w:rsidRPr="009E6922">
        <w:t>s</w:t>
      </w:r>
      <w:r>
        <w:t>e results come from a model including only elementary school students, although the</w:t>
      </w:r>
      <w:r w:rsidRPr="009E6922">
        <w:t xml:space="preserve"> pattern was consistent for students in middle and high schools</w:t>
      </w:r>
      <w:r>
        <w:t xml:space="preserve"> as well.</w:t>
      </w:r>
    </w:p>
  </w:footnote>
  <w:footnote w:id="20">
    <w:p w:rsidR="00F00414" w:rsidRDefault="00F00414" w:rsidP="008D2AB8">
      <w:pPr>
        <w:pStyle w:val="FootnoteText"/>
        <w:spacing w:after="80"/>
      </w:pPr>
      <w:r w:rsidRPr="00C50668">
        <w:rPr>
          <w:rStyle w:val="FootnoteReference"/>
        </w:rPr>
        <w:footnoteRef/>
      </w:r>
      <w:r w:rsidRPr="00C50668">
        <w:t xml:space="preserve"> All other student- and district-level factors in the dataset were not meaningfully related to the probability of a student’s eligibility for special education services.</w:t>
      </w:r>
    </w:p>
  </w:footnote>
  <w:footnote w:id="21">
    <w:p w:rsidR="00F00414" w:rsidRDefault="00F00414" w:rsidP="008D2AB8">
      <w:pPr>
        <w:pStyle w:val="FootnoteText"/>
        <w:spacing w:after="80"/>
      </w:pPr>
      <w:r>
        <w:rPr>
          <w:rStyle w:val="FootnoteReference"/>
        </w:rPr>
        <w:footnoteRef/>
      </w:r>
      <w:r>
        <w:rPr>
          <w:color w:val="000000"/>
        </w:rPr>
        <w:t xml:space="preserve"> In these models we control for student gender, low-income status, district percentage of low-income students, district METCO participation, the interaction between student LEP status and district percentage of low-income students and the interaction between student low-income status and district percentage of low-income students (</w:t>
      </w:r>
      <w:r w:rsidRPr="00A764FF">
        <w:rPr>
          <w:i/>
          <w:color w:val="000000"/>
        </w:rPr>
        <w:t>n</w:t>
      </w:r>
      <w:r w:rsidRPr="004E12D1">
        <w:rPr>
          <w:color w:val="000000"/>
        </w:rPr>
        <w:t>=307,193 children</w:t>
      </w:r>
      <w:r>
        <w:rPr>
          <w:color w:val="000000"/>
        </w:rPr>
        <w:t>, nested in</w:t>
      </w:r>
      <w:r w:rsidRPr="00A764FF">
        <w:rPr>
          <w:i/>
          <w:color w:val="000000"/>
        </w:rPr>
        <w:t xml:space="preserve"> n</w:t>
      </w:r>
      <w:r w:rsidRPr="004E12D1">
        <w:rPr>
          <w:color w:val="000000"/>
        </w:rPr>
        <w:t xml:space="preserve">=252 </w:t>
      </w:r>
      <w:r>
        <w:rPr>
          <w:color w:val="000000"/>
        </w:rPr>
        <w:t>s</w:t>
      </w:r>
      <w:r w:rsidRPr="004E12D1">
        <w:rPr>
          <w:color w:val="000000"/>
        </w:rPr>
        <w:t xml:space="preserve">chool </w:t>
      </w:r>
      <w:r>
        <w:rPr>
          <w:color w:val="000000"/>
        </w:rPr>
        <w:t>d</w:t>
      </w:r>
      <w:r w:rsidRPr="004E12D1">
        <w:rPr>
          <w:color w:val="000000"/>
        </w:rPr>
        <w:t>istricts</w:t>
      </w:r>
      <w:r>
        <w:rPr>
          <w:color w:val="000000"/>
        </w:rPr>
        <w:t xml:space="preserve">). </w:t>
      </w:r>
    </w:p>
  </w:footnote>
  <w:footnote w:id="22">
    <w:p w:rsidR="00F00414" w:rsidRDefault="00F00414">
      <w:pPr>
        <w:pStyle w:val="FootnoteText"/>
      </w:pPr>
      <w:r>
        <w:rPr>
          <w:rStyle w:val="FootnoteReference"/>
        </w:rPr>
        <w:footnoteRef/>
      </w:r>
      <w:r>
        <w:t xml:space="preserve"> Note: Students in “</w:t>
      </w:r>
      <w:r w:rsidRPr="006373FC">
        <w:t>Other setting</w:t>
      </w:r>
      <w:r>
        <w:t xml:space="preserve">s” are not included in this graph. The “Other settings” category </w:t>
      </w:r>
      <w:r w:rsidRPr="006373FC">
        <w:t>includes students educated in public and private separate day schools, residential schools, public residential institutional facilities as well as hospital or homebound students.</w:t>
      </w:r>
    </w:p>
  </w:footnote>
  <w:footnote w:id="23">
    <w:p w:rsidR="00F00414" w:rsidRDefault="00F00414" w:rsidP="008D2AB8">
      <w:pPr>
        <w:pStyle w:val="FootnoteText"/>
      </w:pPr>
      <w:r>
        <w:rPr>
          <w:rStyle w:val="FootnoteReference"/>
        </w:rPr>
        <w:footnoteRef/>
      </w:r>
      <w:r w:rsidRPr="00C50668">
        <w:t>These models control for student race (African American, Latino, Asian, American Indian</w:t>
      </w:r>
      <w:r>
        <w:t xml:space="preserve"> and</w:t>
      </w:r>
      <w:r w:rsidRPr="00C50668">
        <w:t xml:space="preserve"> ‘Other’ race with White as the reference category), </w:t>
      </w:r>
      <w:r>
        <w:t xml:space="preserve">whether the child is in the </w:t>
      </w:r>
      <w:r w:rsidRPr="00022B00">
        <w:rPr>
          <w:i/>
        </w:rPr>
        <w:t>‘High Incidence’</w:t>
      </w:r>
      <w:r w:rsidRPr="006E78E0">
        <w:rPr>
          <w:i/>
        </w:rPr>
        <w:t xml:space="preserve"> </w:t>
      </w:r>
      <w:r>
        <w:t xml:space="preserve">or </w:t>
      </w:r>
      <w:r w:rsidRPr="00C24A6B">
        <w:t>another special education category</w:t>
      </w:r>
      <w:r>
        <w:t xml:space="preserve">, </w:t>
      </w:r>
      <w:r w:rsidRPr="00C50668">
        <w:t xml:space="preserve">whether the child is female, whether the child </w:t>
      </w:r>
      <w:r>
        <w:t>is eligible</w:t>
      </w:r>
      <w:r w:rsidRPr="00C50668">
        <w:t xml:space="preserve"> </w:t>
      </w:r>
      <w:r>
        <w:t xml:space="preserve">for </w:t>
      </w:r>
      <w:r w:rsidRPr="00C50668">
        <w:t>a free or reduced-priced lunch, whether the child’s school district participates in the METCO</w:t>
      </w:r>
      <w:r>
        <w:t xml:space="preserve"> </w:t>
      </w:r>
      <w:r w:rsidRPr="00C50668">
        <w:t xml:space="preserve">program, </w:t>
      </w:r>
      <w:r>
        <w:t xml:space="preserve">District median family income (from 2000 census), the overall inclusivity of the district </w:t>
      </w:r>
      <w:r w:rsidRPr="00C50668">
        <w:t xml:space="preserve">the percentage of </w:t>
      </w:r>
      <w:r>
        <w:t>LEP</w:t>
      </w:r>
      <w:r w:rsidRPr="00C50668">
        <w:t xml:space="preserve"> students in the district, the percentage of a district’s students who receive free or reduced priced lunches</w:t>
      </w:r>
      <w:r>
        <w:t>. It also includes interaction of child inclusivity and special education category (</w:t>
      </w:r>
      <w:r w:rsidRPr="00022B00">
        <w:rPr>
          <w:i/>
        </w:rPr>
        <w:t>‘High Incidence’</w:t>
      </w:r>
      <w:r w:rsidRPr="006E78E0">
        <w:rPr>
          <w:i/>
        </w:rPr>
        <w:t xml:space="preserve"> </w:t>
      </w:r>
      <w:r>
        <w:t xml:space="preserve">v. </w:t>
      </w:r>
      <w:r w:rsidRPr="00C24A6B">
        <w:t>other special education categories</w:t>
      </w:r>
      <w:r>
        <w:t xml:space="preserve">), the interaction of the child’s special education category and the percentage of students in the district who are identified as </w:t>
      </w:r>
      <w:r w:rsidRPr="00022B00">
        <w:rPr>
          <w:i/>
        </w:rPr>
        <w:t>‘High Incidence’</w:t>
      </w:r>
      <w:r>
        <w:t xml:space="preserve">. We tested a number of other main effects and interactions and found them to be non-significant. </w:t>
      </w:r>
    </w:p>
  </w:footnote>
  <w:footnote w:id="24">
    <w:p w:rsidR="00F00414" w:rsidRDefault="00F00414" w:rsidP="008D2AB8">
      <w:pPr>
        <w:pStyle w:val="FootnoteText"/>
        <w:spacing w:after="80"/>
      </w:pPr>
      <w:r>
        <w:rPr>
          <w:rStyle w:val="FootnoteReference"/>
        </w:rPr>
        <w:footnoteRef/>
      </w:r>
      <w:r>
        <w:rPr>
          <w:rFonts w:cs="Cambria"/>
          <w:color w:val="000000"/>
        </w:rPr>
        <w:t xml:space="preserve"> See appendix B tables 2 &amp; 3 for results from sample multi-level regression analyses in support of this finding.</w:t>
      </w:r>
    </w:p>
  </w:footnote>
  <w:footnote w:id="25">
    <w:p w:rsidR="00F00414" w:rsidRPr="003C6362" w:rsidRDefault="00F00414">
      <w:pPr>
        <w:pStyle w:val="FootnoteText"/>
      </w:pPr>
      <w:r>
        <w:rPr>
          <w:rStyle w:val="FootnoteReference"/>
        </w:rPr>
        <w:footnoteRef/>
      </w:r>
      <w:r>
        <w:t xml:space="preserve"> </w:t>
      </w:r>
      <w:r>
        <w:rPr>
          <w:rFonts w:cs="Cambria"/>
          <w:color w:val="000000"/>
        </w:rPr>
        <w:t>We believe that the work of the department’s newly developed Massachusetts Tiered System of Supports (MTSS) is well aligned with these recommendations and provides much of the infrastructure necessary to promote their implementation.</w:t>
      </w:r>
    </w:p>
  </w:footnote>
  <w:footnote w:id="26">
    <w:p w:rsidR="00F00414" w:rsidRPr="00191333" w:rsidRDefault="00F00414" w:rsidP="00BF1A3B">
      <w:pPr>
        <w:pStyle w:val="FootnoteText"/>
      </w:pPr>
      <w:r>
        <w:rPr>
          <w:rStyle w:val="FootnoteReference"/>
        </w:rPr>
        <w:footnoteRef/>
      </w:r>
      <w:r>
        <w:t xml:space="preserve"> In these models we included dichotomous variables representing whether the district was classified by the National Center of Education Statistics (NCES) as rural, city, or town, with suburban districts as the reference category (see </w:t>
      </w:r>
      <w:hyperlink r:id="rId2" w:history="1">
        <w:r w:rsidRPr="00C6444F">
          <w:rPr>
            <w:rStyle w:val="Hyperlink"/>
          </w:rPr>
          <w:t>http://nces.ed.gov/ccd/rural_locales.asp</w:t>
        </w:r>
      </w:hyperlink>
      <w:r>
        <w:t xml:space="preserve"> for more information on NCES classification of district </w:t>
      </w:r>
      <w:proofErr w:type="spellStart"/>
      <w:r>
        <w:t>urbanicity</w:t>
      </w:r>
      <w:proofErr w:type="spellEnd"/>
      <w:r>
        <w:t xml:space="preserve">). </w:t>
      </w:r>
    </w:p>
  </w:footnote>
  <w:footnote w:id="27">
    <w:p w:rsidR="00F00414" w:rsidRPr="00E650DB" w:rsidRDefault="00F00414" w:rsidP="00BF1A3B">
      <w:pPr>
        <w:pStyle w:val="FootnoteText"/>
      </w:pPr>
      <w:r>
        <w:rPr>
          <w:rStyle w:val="FootnoteReference"/>
        </w:rPr>
        <w:footnoteRef/>
      </w:r>
      <w:r>
        <w:t xml:space="preserve"> Standard errors are not displayed in this table because of space constraints. Additional information is available by request.</w:t>
      </w:r>
    </w:p>
  </w:footnote>
  <w:footnote w:id="28">
    <w:p w:rsidR="00F00414" w:rsidRPr="004310DA" w:rsidRDefault="00F00414" w:rsidP="00BF1A3B">
      <w:pPr>
        <w:pStyle w:val="FootnoteText"/>
      </w:pPr>
      <w:r>
        <w:rPr>
          <w:rStyle w:val="FootnoteReference"/>
        </w:rPr>
        <w:footnoteRef/>
      </w:r>
      <w:r>
        <w:t xml:space="preserve"> </w:t>
      </w:r>
      <w:r w:rsidRPr="006E78E0">
        <w:rPr>
          <w:rFonts w:cs="Cambria"/>
          <w:color w:val="000000"/>
        </w:rPr>
        <w:t>Excludes students attending charter schools, vocational schools</w:t>
      </w:r>
      <w:r>
        <w:rPr>
          <w:rFonts w:cs="Cambria"/>
          <w:color w:val="000000"/>
        </w:rPr>
        <w:t>, or out-of-</w:t>
      </w:r>
      <w:r w:rsidRPr="006E78E0">
        <w:rPr>
          <w:rFonts w:cs="Cambria"/>
          <w:color w:val="000000"/>
        </w:rPr>
        <w:t>district placements</w:t>
      </w:r>
      <w:r>
        <w:rPr>
          <w:rFonts w:cs="Cambria"/>
          <w:color w:val="000000"/>
        </w:rPr>
        <w:t>.</w:t>
      </w:r>
    </w:p>
  </w:footnote>
  <w:footnote w:id="29">
    <w:p w:rsidR="00F00414" w:rsidRPr="00E650DB" w:rsidRDefault="00F00414" w:rsidP="00BF1A3B">
      <w:pPr>
        <w:pStyle w:val="FootnoteText"/>
      </w:pPr>
      <w:r>
        <w:rPr>
          <w:rStyle w:val="FootnoteReference"/>
        </w:rPr>
        <w:footnoteRef/>
      </w:r>
      <w:r>
        <w:t xml:space="preserve"> Standard errors are not displayed in this table because of space constraints. Additional information is available by request.</w:t>
      </w:r>
    </w:p>
  </w:footnote>
  <w:footnote w:id="30">
    <w:p w:rsidR="00F00414" w:rsidRPr="004310DA" w:rsidRDefault="00F00414" w:rsidP="00BF1A3B">
      <w:pPr>
        <w:pStyle w:val="FootnoteText"/>
      </w:pPr>
      <w:r>
        <w:rPr>
          <w:rStyle w:val="FootnoteReference"/>
        </w:rPr>
        <w:footnoteRef/>
      </w:r>
      <w:r>
        <w:t xml:space="preserve"> </w:t>
      </w:r>
      <w:r w:rsidRPr="006E78E0">
        <w:rPr>
          <w:rFonts w:cs="Cambria"/>
          <w:color w:val="000000"/>
        </w:rPr>
        <w:t>Excludes students attending charter schools, vocational schools</w:t>
      </w:r>
      <w:r>
        <w:rPr>
          <w:rFonts w:cs="Cambria"/>
          <w:color w:val="000000"/>
        </w:rPr>
        <w:t>, or</w:t>
      </w:r>
      <w:r w:rsidRPr="006E78E0">
        <w:rPr>
          <w:rFonts w:cs="Cambria"/>
          <w:color w:val="000000"/>
        </w:rPr>
        <w:t xml:space="preserve"> out of district placements</w:t>
      </w:r>
      <w:r>
        <w:rPr>
          <w:rFonts w:cs="Cambria"/>
          <w:color w:val="000000"/>
        </w:rPr>
        <w:t>.</w:t>
      </w:r>
    </w:p>
  </w:footnote>
  <w:footnote w:id="31">
    <w:p w:rsidR="00F00414" w:rsidRPr="00E650DB" w:rsidRDefault="00F00414" w:rsidP="00BF1A3B">
      <w:pPr>
        <w:pStyle w:val="FootnoteText"/>
      </w:pPr>
      <w:r>
        <w:rPr>
          <w:rStyle w:val="FootnoteReference"/>
        </w:rPr>
        <w:footnoteRef/>
      </w:r>
      <w:r>
        <w:t xml:space="preserve"> Standard errors are not displayed in this table because of space constraints. Additional information is available by request.</w:t>
      </w:r>
    </w:p>
  </w:footnote>
  <w:footnote w:id="32">
    <w:p w:rsidR="00F00414" w:rsidRPr="004310DA" w:rsidRDefault="00F00414" w:rsidP="00BF1A3B">
      <w:pPr>
        <w:pStyle w:val="FootnoteText"/>
      </w:pPr>
      <w:r>
        <w:rPr>
          <w:rStyle w:val="FootnoteReference"/>
        </w:rPr>
        <w:footnoteRef/>
      </w:r>
      <w:r>
        <w:t xml:space="preserve"> </w:t>
      </w:r>
      <w:r w:rsidRPr="006E78E0">
        <w:rPr>
          <w:rFonts w:cs="Cambria"/>
          <w:color w:val="000000"/>
        </w:rPr>
        <w:t>Excludes students attending charter schools, vocational schools</w:t>
      </w:r>
      <w:r>
        <w:rPr>
          <w:rFonts w:cs="Cambria"/>
          <w:color w:val="000000"/>
        </w:rPr>
        <w:t>, or</w:t>
      </w:r>
      <w:r w:rsidRPr="006E78E0">
        <w:rPr>
          <w:rFonts w:cs="Cambria"/>
          <w:color w:val="000000"/>
        </w:rPr>
        <w:t xml:space="preserve"> out of district placements</w:t>
      </w:r>
      <w:r>
        <w:rPr>
          <w:rFonts w:cs="Cambria"/>
          <w:color w:val="000000"/>
        </w:rPr>
        <w:t>.</w:t>
      </w:r>
    </w:p>
  </w:footnote>
  <w:footnote w:id="33">
    <w:p w:rsidR="00F00414" w:rsidRPr="00E650DB" w:rsidRDefault="00F00414" w:rsidP="00BF1A3B">
      <w:pPr>
        <w:pStyle w:val="FootnoteText"/>
      </w:pPr>
      <w:r>
        <w:rPr>
          <w:rStyle w:val="FootnoteReference"/>
        </w:rPr>
        <w:footnoteRef/>
      </w:r>
      <w:r>
        <w:t xml:space="preserve"> Standard errors are not displayed in this table because of space constraints. Additional information is available by request.</w:t>
      </w:r>
    </w:p>
  </w:footnote>
  <w:footnote w:id="34">
    <w:p w:rsidR="00F00414" w:rsidRPr="004310DA" w:rsidRDefault="00F00414" w:rsidP="00BF1A3B">
      <w:pPr>
        <w:pStyle w:val="FootnoteText"/>
      </w:pPr>
      <w:r>
        <w:rPr>
          <w:rStyle w:val="FootnoteReference"/>
        </w:rPr>
        <w:footnoteRef/>
      </w:r>
      <w:r>
        <w:t xml:space="preserve"> </w:t>
      </w:r>
      <w:r w:rsidRPr="006E78E0">
        <w:rPr>
          <w:rFonts w:cs="Cambria"/>
          <w:color w:val="000000"/>
        </w:rPr>
        <w:t>Excludes students attending charter schools, vocational schools</w:t>
      </w:r>
      <w:r>
        <w:rPr>
          <w:rFonts w:cs="Cambria"/>
          <w:color w:val="000000"/>
        </w:rPr>
        <w:t>, or</w:t>
      </w:r>
      <w:r w:rsidRPr="006E78E0">
        <w:rPr>
          <w:rFonts w:cs="Cambria"/>
          <w:color w:val="000000"/>
        </w:rPr>
        <w:t xml:space="preserve"> out of district placements</w:t>
      </w:r>
      <w:r>
        <w:rPr>
          <w:rFonts w:cs="Cambria"/>
          <w:color w:val="000000"/>
        </w:rPr>
        <w:t>.</w:t>
      </w:r>
    </w:p>
  </w:footnote>
  <w:footnote w:id="35">
    <w:p w:rsidR="00F00414" w:rsidRPr="00E650DB" w:rsidRDefault="00F00414" w:rsidP="00BF1A3B">
      <w:pPr>
        <w:pStyle w:val="FootnoteText"/>
      </w:pPr>
      <w:r>
        <w:rPr>
          <w:rStyle w:val="FootnoteReference"/>
        </w:rPr>
        <w:footnoteRef/>
      </w:r>
      <w:r>
        <w:t xml:space="preserve"> Standard errors are not displayed in this table because of space constraints. Additional information is available by request.</w:t>
      </w:r>
    </w:p>
  </w:footnote>
  <w:footnote w:id="36">
    <w:p w:rsidR="00F00414" w:rsidRPr="004310DA" w:rsidRDefault="00F00414" w:rsidP="004B42C3">
      <w:pPr>
        <w:pStyle w:val="FootnoteText"/>
      </w:pPr>
      <w:r>
        <w:rPr>
          <w:rStyle w:val="FootnoteReference"/>
        </w:rPr>
        <w:footnoteRef/>
      </w:r>
      <w:r>
        <w:t xml:space="preserve"> </w:t>
      </w:r>
      <w:r w:rsidRPr="006E78E0">
        <w:rPr>
          <w:rFonts w:cs="Cambria"/>
          <w:color w:val="000000"/>
        </w:rPr>
        <w:t>Excludes students attending charter schools, vocational schools</w:t>
      </w:r>
      <w:r>
        <w:rPr>
          <w:rFonts w:cs="Cambria"/>
          <w:color w:val="000000"/>
        </w:rPr>
        <w:t>, or</w:t>
      </w:r>
      <w:r w:rsidRPr="006E78E0">
        <w:rPr>
          <w:rFonts w:cs="Cambria"/>
          <w:color w:val="000000"/>
        </w:rPr>
        <w:t xml:space="preserve"> out of district placements</w:t>
      </w:r>
      <w:r>
        <w:rPr>
          <w:rFonts w:cs="Cambria"/>
          <w:color w:val="000000"/>
        </w:rPr>
        <w:t>.</w:t>
      </w:r>
    </w:p>
  </w:footnote>
  <w:footnote w:id="37">
    <w:p w:rsidR="00F00414" w:rsidRPr="00E650DB" w:rsidRDefault="00F00414" w:rsidP="004B42C3">
      <w:pPr>
        <w:pStyle w:val="FootnoteText"/>
      </w:pPr>
      <w:r>
        <w:rPr>
          <w:rStyle w:val="FootnoteReference"/>
        </w:rPr>
        <w:footnoteRef/>
      </w:r>
      <w:r>
        <w:t xml:space="preserve"> Standard errors are not displayed in this table because of space constraints. Additional information is available by request.</w:t>
      </w:r>
    </w:p>
  </w:footnote>
  <w:footnote w:id="38">
    <w:p w:rsidR="00F00414" w:rsidRPr="004310DA" w:rsidRDefault="00F00414" w:rsidP="004B42C3">
      <w:pPr>
        <w:pStyle w:val="FootnoteText"/>
      </w:pPr>
      <w:r>
        <w:rPr>
          <w:rStyle w:val="FootnoteReference"/>
        </w:rPr>
        <w:footnoteRef/>
      </w:r>
      <w:r>
        <w:t xml:space="preserve"> </w:t>
      </w:r>
      <w:r w:rsidRPr="006E78E0">
        <w:rPr>
          <w:rFonts w:cs="Cambria"/>
          <w:color w:val="000000"/>
        </w:rPr>
        <w:t>Excludes students attending charter schools, vocational schools</w:t>
      </w:r>
      <w:r>
        <w:rPr>
          <w:rFonts w:cs="Cambria"/>
          <w:color w:val="000000"/>
        </w:rPr>
        <w:t>, or</w:t>
      </w:r>
      <w:r w:rsidRPr="006E78E0">
        <w:rPr>
          <w:rFonts w:cs="Cambria"/>
          <w:color w:val="000000"/>
        </w:rPr>
        <w:t xml:space="preserve"> out of district placements</w:t>
      </w:r>
      <w:r>
        <w:rPr>
          <w:rFonts w:cs="Cambria"/>
          <w:color w:val="000000"/>
        </w:rPr>
        <w:t>.</w:t>
      </w:r>
    </w:p>
  </w:footnote>
  <w:footnote w:id="39">
    <w:p w:rsidR="00F00414" w:rsidRPr="00E650DB" w:rsidRDefault="00F00414" w:rsidP="004B42C3">
      <w:pPr>
        <w:pStyle w:val="FootnoteText"/>
      </w:pPr>
      <w:r>
        <w:rPr>
          <w:rStyle w:val="FootnoteReference"/>
        </w:rPr>
        <w:footnoteRef/>
      </w:r>
      <w:r>
        <w:t xml:space="preserve"> Standard errors are not displayed in this table because of space constraints. Additional information is available by request.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414" w:rsidRPr="0074685E" w:rsidRDefault="00F00414">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414" w:rsidRDefault="00F00414">
    <w:pPr>
      <w:pStyle w:val="Header"/>
      <w:jc w:val="right"/>
    </w:pPr>
    <w:fldSimple w:instr=" PAGE   \* MERGEFORMAT ">
      <w:r w:rsidR="008B2E79">
        <w:rPr>
          <w:noProof/>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414" w:rsidRDefault="00F00414">
    <w:pPr>
      <w:pStyle w:val="Header"/>
      <w:jc w:val="right"/>
    </w:pPr>
    <w:fldSimple w:instr=" PAGE   \* MERGEFORMAT ">
      <w:r w:rsidR="008B2E79">
        <w:rPr>
          <w:noProof/>
        </w:rPr>
        <w:t>42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414" w:rsidRDefault="00F00414" w:rsidP="00BF1A3B">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0414" w:rsidRDefault="00F00414" w:rsidP="00BF1A3B">
    <w:pPr>
      <w:pStyle w:val="Header"/>
      <w:ind w:right="360"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414" w:rsidRPr="0074685E" w:rsidRDefault="00F0041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3BD"/>
    <w:multiLevelType w:val="hybridMultilevel"/>
    <w:tmpl w:val="18280F18"/>
    <w:lvl w:ilvl="0" w:tplc="0409000F">
      <w:start w:val="1"/>
      <w:numFmt w:val="decimal"/>
      <w:lvlText w:val="%1."/>
      <w:lvlJc w:val="left"/>
      <w:pPr>
        <w:ind w:left="45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0D326F59"/>
    <w:multiLevelType w:val="hybridMultilevel"/>
    <w:tmpl w:val="F6885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D91144B"/>
    <w:multiLevelType w:val="hybridMultilevel"/>
    <w:tmpl w:val="25209CF4"/>
    <w:lvl w:ilvl="0" w:tplc="7E1449A2">
      <w:start w:val="1"/>
      <w:numFmt w:val="decimal"/>
      <w:lvlText w:val="(%1)"/>
      <w:lvlJc w:val="left"/>
      <w:pPr>
        <w:ind w:left="400" w:hanging="40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nsid w:val="11BA361C"/>
    <w:multiLevelType w:val="hybridMultilevel"/>
    <w:tmpl w:val="5900C482"/>
    <w:lvl w:ilvl="0" w:tplc="CA826A2A">
      <w:numFmt w:val="bullet"/>
      <w:lvlText w:val="-"/>
      <w:lvlJc w:val="left"/>
      <w:pPr>
        <w:ind w:left="1080" w:hanging="360"/>
      </w:pPr>
      <w:rPr>
        <w:rFonts w:ascii="Cambria" w:eastAsia="MS ??" w:hAnsi="Cambria"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7752BEF"/>
    <w:multiLevelType w:val="hybridMultilevel"/>
    <w:tmpl w:val="283AB3AA"/>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A224F91"/>
    <w:multiLevelType w:val="hybridMultilevel"/>
    <w:tmpl w:val="5B6835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1D440223"/>
    <w:multiLevelType w:val="hybridMultilevel"/>
    <w:tmpl w:val="30266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DDA7D41"/>
    <w:multiLevelType w:val="hybridMultilevel"/>
    <w:tmpl w:val="D02E30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E36381A"/>
    <w:multiLevelType w:val="hybridMultilevel"/>
    <w:tmpl w:val="018835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220D723A"/>
    <w:multiLevelType w:val="hybridMultilevel"/>
    <w:tmpl w:val="F3387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A611683"/>
    <w:multiLevelType w:val="hybridMultilevel"/>
    <w:tmpl w:val="2042DC4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34794246"/>
    <w:multiLevelType w:val="hybridMultilevel"/>
    <w:tmpl w:val="C72C5CE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12">
    <w:nsid w:val="373E05B0"/>
    <w:multiLevelType w:val="hybridMultilevel"/>
    <w:tmpl w:val="C74C6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7741C6E"/>
    <w:multiLevelType w:val="hybridMultilevel"/>
    <w:tmpl w:val="D9FAC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77E1F4E"/>
    <w:multiLevelType w:val="hybridMultilevel"/>
    <w:tmpl w:val="6FAEC1C2"/>
    <w:lvl w:ilvl="0" w:tplc="C714017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7B9787A"/>
    <w:multiLevelType w:val="hybridMultilevel"/>
    <w:tmpl w:val="70A63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AE5216A"/>
    <w:multiLevelType w:val="hybridMultilevel"/>
    <w:tmpl w:val="242ABE3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nsid w:val="40D2678F"/>
    <w:multiLevelType w:val="hybridMultilevel"/>
    <w:tmpl w:val="67827212"/>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hint="default"/>
      </w:rPr>
    </w:lvl>
    <w:lvl w:ilvl="8" w:tplc="04090005">
      <w:start w:val="1"/>
      <w:numFmt w:val="bullet"/>
      <w:lvlText w:val=""/>
      <w:lvlJc w:val="left"/>
      <w:pPr>
        <w:ind w:left="6533" w:hanging="360"/>
      </w:pPr>
      <w:rPr>
        <w:rFonts w:ascii="Wingdings" w:hAnsi="Wingdings" w:hint="default"/>
      </w:rPr>
    </w:lvl>
  </w:abstractNum>
  <w:abstractNum w:abstractNumId="18">
    <w:nsid w:val="46F85716"/>
    <w:multiLevelType w:val="hybridMultilevel"/>
    <w:tmpl w:val="3B022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7537173"/>
    <w:multiLevelType w:val="hybridMultilevel"/>
    <w:tmpl w:val="BDA26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2C34336"/>
    <w:multiLevelType w:val="hybridMultilevel"/>
    <w:tmpl w:val="79C05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CE45686"/>
    <w:multiLevelType w:val="hybridMultilevel"/>
    <w:tmpl w:val="4A46E6B0"/>
    <w:lvl w:ilvl="0" w:tplc="C714017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4EB6915"/>
    <w:multiLevelType w:val="hybridMultilevel"/>
    <w:tmpl w:val="19124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F487393"/>
    <w:multiLevelType w:val="hybridMultilevel"/>
    <w:tmpl w:val="2042DC4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75592BC5"/>
    <w:multiLevelType w:val="hybridMultilevel"/>
    <w:tmpl w:val="C6C61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A32136E"/>
    <w:multiLevelType w:val="hybridMultilevel"/>
    <w:tmpl w:val="20443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13"/>
  </w:num>
  <w:num w:numId="4">
    <w:abstractNumId w:val="1"/>
  </w:num>
  <w:num w:numId="5">
    <w:abstractNumId w:val="15"/>
  </w:num>
  <w:num w:numId="6">
    <w:abstractNumId w:val="17"/>
  </w:num>
  <w:num w:numId="7">
    <w:abstractNumId w:val="7"/>
  </w:num>
  <w:num w:numId="8">
    <w:abstractNumId w:val="14"/>
  </w:num>
  <w:num w:numId="9">
    <w:abstractNumId w:val="12"/>
  </w:num>
  <w:num w:numId="10">
    <w:abstractNumId w:val="9"/>
  </w:num>
  <w:num w:numId="11">
    <w:abstractNumId w:val="22"/>
  </w:num>
  <w:num w:numId="12">
    <w:abstractNumId w:val="4"/>
  </w:num>
  <w:num w:numId="13">
    <w:abstractNumId w:val="5"/>
  </w:num>
  <w:num w:numId="14">
    <w:abstractNumId w:val="21"/>
  </w:num>
  <w:num w:numId="15">
    <w:abstractNumId w:val="19"/>
  </w:num>
  <w:num w:numId="16">
    <w:abstractNumId w:val="8"/>
  </w:num>
  <w:num w:numId="17">
    <w:abstractNumId w:val="24"/>
  </w:num>
  <w:num w:numId="18">
    <w:abstractNumId w:val="20"/>
  </w:num>
  <w:num w:numId="19">
    <w:abstractNumId w:val="23"/>
  </w:num>
  <w:num w:numId="20">
    <w:abstractNumId w:val="3"/>
  </w:num>
  <w:num w:numId="21">
    <w:abstractNumId w:val="10"/>
  </w:num>
  <w:num w:numId="22">
    <w:abstractNumId w:val="2"/>
  </w:num>
  <w:num w:numId="23">
    <w:abstractNumId w:val="0"/>
  </w:num>
  <w:num w:numId="24">
    <w:abstractNumId w:val="11"/>
  </w:num>
  <w:num w:numId="25">
    <w:abstractNumId w:val="6"/>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defaultTabStop w:val="720"/>
  <w:doNotHyphenateCaps/>
  <w:drawingGridHorizontalSpacing w:val="120"/>
  <w:displayHorizontalDrawingGridEvery w:val="2"/>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useFELayout/>
  </w:compat>
  <w:rsids>
    <w:rsidRoot w:val="00DB576F"/>
    <w:rsid w:val="00003C4D"/>
    <w:rsid w:val="00007857"/>
    <w:rsid w:val="00016214"/>
    <w:rsid w:val="000162E8"/>
    <w:rsid w:val="00047DE8"/>
    <w:rsid w:val="000812B4"/>
    <w:rsid w:val="00081431"/>
    <w:rsid w:val="00083780"/>
    <w:rsid w:val="000879AE"/>
    <w:rsid w:val="000B6E15"/>
    <w:rsid w:val="000E45EC"/>
    <w:rsid w:val="00101C89"/>
    <w:rsid w:val="0013335E"/>
    <w:rsid w:val="00137565"/>
    <w:rsid w:val="001435CE"/>
    <w:rsid w:val="00153C6C"/>
    <w:rsid w:val="0015483A"/>
    <w:rsid w:val="00160218"/>
    <w:rsid w:val="00176579"/>
    <w:rsid w:val="0018604B"/>
    <w:rsid w:val="001971A1"/>
    <w:rsid w:val="001A14D1"/>
    <w:rsid w:val="001F5A2B"/>
    <w:rsid w:val="001F6374"/>
    <w:rsid w:val="002318A0"/>
    <w:rsid w:val="002657E0"/>
    <w:rsid w:val="00270F2C"/>
    <w:rsid w:val="00282D37"/>
    <w:rsid w:val="00283721"/>
    <w:rsid w:val="002B0A44"/>
    <w:rsid w:val="002C4975"/>
    <w:rsid w:val="002D3A6D"/>
    <w:rsid w:val="002E2293"/>
    <w:rsid w:val="002E334F"/>
    <w:rsid w:val="00350EF3"/>
    <w:rsid w:val="00356F7E"/>
    <w:rsid w:val="00363441"/>
    <w:rsid w:val="00382F64"/>
    <w:rsid w:val="003928F5"/>
    <w:rsid w:val="003C6362"/>
    <w:rsid w:val="003D3206"/>
    <w:rsid w:val="003E25CA"/>
    <w:rsid w:val="003E761F"/>
    <w:rsid w:val="003F53F3"/>
    <w:rsid w:val="0045511B"/>
    <w:rsid w:val="00456ABD"/>
    <w:rsid w:val="0046283F"/>
    <w:rsid w:val="00483553"/>
    <w:rsid w:val="00483E3E"/>
    <w:rsid w:val="004A1DB0"/>
    <w:rsid w:val="004A348F"/>
    <w:rsid w:val="004B42C3"/>
    <w:rsid w:val="004C0222"/>
    <w:rsid w:val="004C02D4"/>
    <w:rsid w:val="004D22F1"/>
    <w:rsid w:val="004D7338"/>
    <w:rsid w:val="004F15E3"/>
    <w:rsid w:val="0054274A"/>
    <w:rsid w:val="00544439"/>
    <w:rsid w:val="00557656"/>
    <w:rsid w:val="005A2FBF"/>
    <w:rsid w:val="005F0F54"/>
    <w:rsid w:val="00612A31"/>
    <w:rsid w:val="006240D9"/>
    <w:rsid w:val="00647D7E"/>
    <w:rsid w:val="00667E3A"/>
    <w:rsid w:val="00670A29"/>
    <w:rsid w:val="00683B15"/>
    <w:rsid w:val="006A1A60"/>
    <w:rsid w:val="006B700E"/>
    <w:rsid w:val="006F3E6F"/>
    <w:rsid w:val="006F7EBC"/>
    <w:rsid w:val="00703305"/>
    <w:rsid w:val="007115C1"/>
    <w:rsid w:val="0073073E"/>
    <w:rsid w:val="00731EBB"/>
    <w:rsid w:val="0074685E"/>
    <w:rsid w:val="00780640"/>
    <w:rsid w:val="00782ACF"/>
    <w:rsid w:val="007C27DB"/>
    <w:rsid w:val="007F334F"/>
    <w:rsid w:val="0081486E"/>
    <w:rsid w:val="0082230C"/>
    <w:rsid w:val="00822570"/>
    <w:rsid w:val="008239E5"/>
    <w:rsid w:val="00882FCF"/>
    <w:rsid w:val="008B29AE"/>
    <w:rsid w:val="008B2E79"/>
    <w:rsid w:val="008C3B3E"/>
    <w:rsid w:val="008C5DF1"/>
    <w:rsid w:val="008D2AB8"/>
    <w:rsid w:val="008D56E5"/>
    <w:rsid w:val="008F1C1A"/>
    <w:rsid w:val="008F70E6"/>
    <w:rsid w:val="009176F2"/>
    <w:rsid w:val="00945DC9"/>
    <w:rsid w:val="0095299F"/>
    <w:rsid w:val="009531EE"/>
    <w:rsid w:val="00954447"/>
    <w:rsid w:val="009657E3"/>
    <w:rsid w:val="009A4D5A"/>
    <w:rsid w:val="009C129C"/>
    <w:rsid w:val="009D06F8"/>
    <w:rsid w:val="009E0A7A"/>
    <w:rsid w:val="009E466B"/>
    <w:rsid w:val="009F3BCE"/>
    <w:rsid w:val="00A13057"/>
    <w:rsid w:val="00A2434C"/>
    <w:rsid w:val="00A31C0D"/>
    <w:rsid w:val="00A32806"/>
    <w:rsid w:val="00A37EE8"/>
    <w:rsid w:val="00A54ECF"/>
    <w:rsid w:val="00A9675C"/>
    <w:rsid w:val="00AA3560"/>
    <w:rsid w:val="00AB739C"/>
    <w:rsid w:val="00AC26A1"/>
    <w:rsid w:val="00AD2355"/>
    <w:rsid w:val="00AF099B"/>
    <w:rsid w:val="00AF6830"/>
    <w:rsid w:val="00B028CD"/>
    <w:rsid w:val="00B65C3A"/>
    <w:rsid w:val="00B83201"/>
    <w:rsid w:val="00B91489"/>
    <w:rsid w:val="00B91530"/>
    <w:rsid w:val="00BA3B6C"/>
    <w:rsid w:val="00BE08C5"/>
    <w:rsid w:val="00BF1A3B"/>
    <w:rsid w:val="00BF4C95"/>
    <w:rsid w:val="00C31308"/>
    <w:rsid w:val="00C560A7"/>
    <w:rsid w:val="00C7598A"/>
    <w:rsid w:val="00C821B8"/>
    <w:rsid w:val="00C90B39"/>
    <w:rsid w:val="00CE7289"/>
    <w:rsid w:val="00CF12E3"/>
    <w:rsid w:val="00CF5DC6"/>
    <w:rsid w:val="00CF678F"/>
    <w:rsid w:val="00D17C3C"/>
    <w:rsid w:val="00D300D9"/>
    <w:rsid w:val="00D346EE"/>
    <w:rsid w:val="00D35969"/>
    <w:rsid w:val="00D40578"/>
    <w:rsid w:val="00D435B4"/>
    <w:rsid w:val="00D612AE"/>
    <w:rsid w:val="00D65032"/>
    <w:rsid w:val="00D67C77"/>
    <w:rsid w:val="00D76A58"/>
    <w:rsid w:val="00D82DE0"/>
    <w:rsid w:val="00DA6117"/>
    <w:rsid w:val="00DB1AE1"/>
    <w:rsid w:val="00DB2421"/>
    <w:rsid w:val="00DB5622"/>
    <w:rsid w:val="00DB576F"/>
    <w:rsid w:val="00DE5323"/>
    <w:rsid w:val="00E074E5"/>
    <w:rsid w:val="00E13844"/>
    <w:rsid w:val="00E3025F"/>
    <w:rsid w:val="00E57A56"/>
    <w:rsid w:val="00E7153D"/>
    <w:rsid w:val="00E92A13"/>
    <w:rsid w:val="00EC4AFC"/>
    <w:rsid w:val="00EE1EA1"/>
    <w:rsid w:val="00F00414"/>
    <w:rsid w:val="00F25695"/>
    <w:rsid w:val="00F30A72"/>
    <w:rsid w:val="00F32A1C"/>
    <w:rsid w:val="00FB4643"/>
    <w:rsid w:val="00FC47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locked="1"/>
    <w:lsdException w:name="caption" w:locked="1" w:qFormat="1"/>
    <w:lsdException w:name="footnote reference" w:locked="1"/>
    <w:lsdException w:name="annotation reference" w:uiPriority="99"/>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F00DD"/>
    <w:rPr>
      <w:sz w:val="24"/>
      <w:szCs w:val="24"/>
    </w:rPr>
  </w:style>
  <w:style w:type="paragraph" w:styleId="Heading3">
    <w:name w:val="heading 3"/>
    <w:basedOn w:val="Normal"/>
    <w:next w:val="Normal"/>
    <w:link w:val="Heading3Char"/>
    <w:qFormat/>
    <w:locked/>
    <w:rsid w:val="007F00DD"/>
    <w:pPr>
      <w:keepNext/>
      <w:keepLines/>
      <w:spacing w:before="200"/>
      <w:outlineLvl w:val="2"/>
    </w:pPr>
    <w:rPr>
      <w:rFonts w:ascii="Calibri" w:eastAsia="MS ????"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7F00DD"/>
    <w:rPr>
      <w:rFonts w:ascii="Lucida Grande" w:hAnsi="Lucida Grande"/>
      <w:sz w:val="18"/>
      <w:szCs w:val="20"/>
    </w:rPr>
  </w:style>
  <w:style w:type="character" w:customStyle="1" w:styleId="BalloonTextChar">
    <w:name w:val="Balloon Text Char"/>
    <w:semiHidden/>
    <w:locked/>
    <w:rsid w:val="00B91530"/>
    <w:rPr>
      <w:rFonts w:ascii="Lucida Grande" w:hAnsi="Lucida Grande" w:cs="Times New Roman"/>
      <w:sz w:val="18"/>
      <w:szCs w:val="18"/>
    </w:rPr>
  </w:style>
  <w:style w:type="paragraph" w:customStyle="1" w:styleId="ColorfulList-Accent11">
    <w:name w:val="Colorful List - Accent 11"/>
    <w:basedOn w:val="Normal"/>
    <w:rsid w:val="007F00DD"/>
    <w:pPr>
      <w:ind w:left="720"/>
    </w:pPr>
  </w:style>
  <w:style w:type="paragraph" w:styleId="FootnoteText">
    <w:name w:val="footnote text"/>
    <w:basedOn w:val="Normal"/>
    <w:link w:val="FootnoteTextChar"/>
    <w:semiHidden/>
    <w:rsid w:val="007F00DD"/>
    <w:rPr>
      <w:sz w:val="20"/>
      <w:szCs w:val="20"/>
    </w:rPr>
  </w:style>
  <w:style w:type="character" w:customStyle="1" w:styleId="FootnoteTextChar">
    <w:name w:val="Footnote Text Char"/>
    <w:link w:val="FootnoteText"/>
    <w:locked/>
    <w:rsid w:val="007F00DD"/>
    <w:rPr>
      <w:rFonts w:ascii="Cambria" w:hAnsi="Cambria"/>
    </w:rPr>
  </w:style>
  <w:style w:type="character" w:styleId="FootnoteReference">
    <w:name w:val="footnote reference"/>
    <w:semiHidden/>
    <w:rsid w:val="007F00DD"/>
    <w:rPr>
      <w:rFonts w:cs="Times New Roman"/>
      <w:vertAlign w:val="superscript"/>
    </w:rPr>
  </w:style>
  <w:style w:type="character" w:customStyle="1" w:styleId="BalloonTextChar1">
    <w:name w:val="Balloon Text Char1"/>
    <w:link w:val="BalloonText"/>
    <w:semiHidden/>
    <w:locked/>
    <w:rsid w:val="007F00DD"/>
    <w:rPr>
      <w:rFonts w:ascii="Lucida Grande" w:hAnsi="Lucida Grande"/>
      <w:sz w:val="18"/>
    </w:rPr>
  </w:style>
  <w:style w:type="paragraph" w:styleId="NormalWeb">
    <w:name w:val="Normal (Web)"/>
    <w:basedOn w:val="Normal"/>
    <w:semiHidden/>
    <w:rsid w:val="007F00DD"/>
    <w:pPr>
      <w:spacing w:before="100" w:beforeAutospacing="1" w:after="100" w:afterAutospacing="1"/>
    </w:pPr>
    <w:rPr>
      <w:rFonts w:ascii="Times" w:hAnsi="Times"/>
      <w:sz w:val="20"/>
      <w:szCs w:val="20"/>
    </w:rPr>
  </w:style>
  <w:style w:type="paragraph" w:styleId="Caption">
    <w:name w:val="caption"/>
    <w:basedOn w:val="Normal"/>
    <w:next w:val="Normal"/>
    <w:qFormat/>
    <w:rsid w:val="007F00DD"/>
    <w:pPr>
      <w:spacing w:after="200"/>
    </w:pPr>
    <w:rPr>
      <w:b/>
      <w:bCs/>
      <w:color w:val="4F81BD"/>
      <w:sz w:val="18"/>
      <w:szCs w:val="18"/>
    </w:rPr>
  </w:style>
  <w:style w:type="paragraph" w:styleId="Header">
    <w:name w:val="header"/>
    <w:basedOn w:val="Normal"/>
    <w:link w:val="HeaderChar"/>
    <w:rsid w:val="007F00DD"/>
    <w:pPr>
      <w:tabs>
        <w:tab w:val="center" w:pos="4320"/>
        <w:tab w:val="right" w:pos="8640"/>
      </w:tabs>
    </w:pPr>
    <w:rPr>
      <w:sz w:val="20"/>
      <w:szCs w:val="20"/>
    </w:rPr>
  </w:style>
  <w:style w:type="character" w:customStyle="1" w:styleId="HeaderChar">
    <w:name w:val="Header Char"/>
    <w:link w:val="Header"/>
    <w:locked/>
    <w:rsid w:val="007F00DD"/>
    <w:rPr>
      <w:rFonts w:ascii="Cambria" w:hAnsi="Cambria"/>
    </w:rPr>
  </w:style>
  <w:style w:type="paragraph" w:styleId="Footer">
    <w:name w:val="footer"/>
    <w:basedOn w:val="Normal"/>
    <w:link w:val="FooterChar"/>
    <w:rsid w:val="007F00DD"/>
    <w:pPr>
      <w:tabs>
        <w:tab w:val="center" w:pos="4320"/>
        <w:tab w:val="right" w:pos="8640"/>
      </w:tabs>
    </w:pPr>
    <w:rPr>
      <w:sz w:val="20"/>
      <w:szCs w:val="20"/>
    </w:rPr>
  </w:style>
  <w:style w:type="character" w:customStyle="1" w:styleId="FooterChar">
    <w:name w:val="Footer Char"/>
    <w:link w:val="Footer"/>
    <w:locked/>
    <w:rsid w:val="007F00DD"/>
    <w:rPr>
      <w:rFonts w:ascii="Cambria" w:hAnsi="Cambria"/>
    </w:rPr>
  </w:style>
  <w:style w:type="character" w:styleId="PageNumber">
    <w:name w:val="page number"/>
    <w:rsid w:val="007F00DD"/>
    <w:rPr>
      <w:rFonts w:cs="Times New Roman"/>
    </w:rPr>
  </w:style>
  <w:style w:type="character" w:styleId="CommentReference">
    <w:name w:val="annotation reference"/>
    <w:uiPriority w:val="99"/>
    <w:semiHidden/>
    <w:rsid w:val="007F00DD"/>
    <w:rPr>
      <w:rFonts w:cs="Times New Roman"/>
      <w:sz w:val="16"/>
    </w:rPr>
  </w:style>
  <w:style w:type="paragraph" w:styleId="CommentText">
    <w:name w:val="annotation text"/>
    <w:basedOn w:val="Normal"/>
    <w:semiHidden/>
    <w:rsid w:val="007F00DD"/>
    <w:rPr>
      <w:sz w:val="20"/>
      <w:szCs w:val="20"/>
    </w:rPr>
  </w:style>
  <w:style w:type="paragraph" w:styleId="CommentSubject">
    <w:name w:val="annotation subject"/>
    <w:basedOn w:val="CommentText"/>
    <w:next w:val="CommentText"/>
    <w:semiHidden/>
    <w:rsid w:val="007F00DD"/>
    <w:rPr>
      <w:b/>
      <w:bCs/>
    </w:rPr>
  </w:style>
  <w:style w:type="character" w:styleId="Hyperlink">
    <w:name w:val="Hyperlink"/>
    <w:rsid w:val="007F00DD"/>
    <w:rPr>
      <w:rFonts w:cs="Times New Roman"/>
      <w:color w:val="0000FF"/>
      <w:u w:val="single"/>
    </w:rPr>
  </w:style>
  <w:style w:type="character" w:customStyle="1" w:styleId="Heading3Char">
    <w:name w:val="Heading 3 Char"/>
    <w:link w:val="Heading3"/>
    <w:semiHidden/>
    <w:locked/>
    <w:rsid w:val="007F00DD"/>
    <w:rPr>
      <w:rFonts w:ascii="Calibri" w:eastAsia="MS ????" w:hAnsi="Calibri" w:cs="Times New Roman"/>
      <w:b/>
      <w:bCs/>
      <w:color w:val="4F81BD"/>
      <w:sz w:val="24"/>
      <w:szCs w:val="24"/>
    </w:rPr>
  </w:style>
  <w:style w:type="character" w:customStyle="1" w:styleId="apple-style-span">
    <w:name w:val="apple-style-span"/>
    <w:rsid w:val="007F00DD"/>
    <w:rPr>
      <w:rFonts w:cs="Times New Roman"/>
    </w:rPr>
  </w:style>
  <w:style w:type="character" w:styleId="FollowedHyperlink">
    <w:name w:val="FollowedHyperlink"/>
    <w:rsid w:val="007F00DD"/>
    <w:rPr>
      <w:rFonts w:cs="Times New Roman"/>
      <w:color w:val="800080"/>
      <w:u w:val="single"/>
    </w:rPr>
  </w:style>
  <w:style w:type="character" w:customStyle="1" w:styleId="apple-converted-space">
    <w:name w:val="apple-converted-space"/>
    <w:rsid w:val="006E78E0"/>
    <w:rPr>
      <w:rFonts w:cs="Times New Roman"/>
    </w:rPr>
  </w:style>
  <w:style w:type="character" w:customStyle="1" w:styleId="slug-vol">
    <w:name w:val="slug-vol"/>
    <w:rsid w:val="006E78E0"/>
    <w:rPr>
      <w:rFonts w:cs="Times New Roman"/>
    </w:rPr>
  </w:style>
  <w:style w:type="character" w:customStyle="1" w:styleId="slug-issue">
    <w:name w:val="slug-issue"/>
    <w:rsid w:val="006E78E0"/>
    <w:rPr>
      <w:rFonts w:cs="Times New Roman"/>
    </w:rPr>
  </w:style>
  <w:style w:type="character" w:customStyle="1" w:styleId="slug-pub-date">
    <w:name w:val="slug-pub-date"/>
    <w:rsid w:val="006E78E0"/>
    <w:rPr>
      <w:rFonts w:cs="Times New Roman"/>
    </w:rPr>
  </w:style>
  <w:style w:type="character" w:customStyle="1" w:styleId="slug-pages">
    <w:name w:val="slug-pages"/>
    <w:rsid w:val="006E78E0"/>
    <w:rPr>
      <w:rFonts w:cs="Times New Roman"/>
    </w:rPr>
  </w:style>
  <w:style w:type="paragraph" w:customStyle="1" w:styleId="ColorfulShading-Accent11">
    <w:name w:val="Colorful Shading - Accent 11"/>
    <w:hidden/>
    <w:semiHidden/>
    <w:rsid w:val="00A30D24"/>
    <w:rPr>
      <w:sz w:val="24"/>
      <w:szCs w:val="24"/>
    </w:rPr>
  </w:style>
  <w:style w:type="paragraph" w:customStyle="1" w:styleId="ColorfulList-Accent12">
    <w:name w:val="Colorful List - Accent 12"/>
    <w:basedOn w:val="Normal"/>
    <w:qFormat/>
    <w:rsid w:val="007E4C64"/>
    <w:pPr>
      <w:ind w:left="720"/>
      <w:contextualSpacing/>
    </w:pPr>
  </w:style>
  <w:style w:type="paragraph" w:customStyle="1" w:styleId="ColorfulShading-Accent12">
    <w:name w:val="Colorful Shading - Accent 12"/>
    <w:hidden/>
    <w:uiPriority w:val="99"/>
    <w:semiHidden/>
    <w:rsid w:val="009A4D5A"/>
    <w:rPr>
      <w:sz w:val="24"/>
      <w:szCs w:val="24"/>
    </w:rPr>
  </w:style>
  <w:style w:type="paragraph" w:styleId="DocumentMap">
    <w:name w:val="Document Map"/>
    <w:basedOn w:val="Normal"/>
    <w:link w:val="DocumentMapChar"/>
    <w:rsid w:val="009A4D5A"/>
    <w:rPr>
      <w:rFonts w:ascii="Lucida Grande" w:hAnsi="Lucida Grande"/>
    </w:rPr>
  </w:style>
  <w:style w:type="character" w:customStyle="1" w:styleId="DocumentMapChar">
    <w:name w:val="Document Map Char"/>
    <w:link w:val="DocumentMap"/>
    <w:rsid w:val="009A4D5A"/>
    <w:rPr>
      <w:rFonts w:ascii="Lucida Grande" w:hAnsi="Lucida Grande" w:cs="Lucida Grande"/>
      <w:sz w:val="24"/>
      <w:szCs w:val="24"/>
    </w:rPr>
  </w:style>
  <w:style w:type="paragraph" w:customStyle="1" w:styleId="Default">
    <w:name w:val="Default"/>
    <w:rsid w:val="009F3BCE"/>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64429257">
      <w:bodyDiv w:val="1"/>
      <w:marLeft w:val="0"/>
      <w:marRight w:val="0"/>
      <w:marTop w:val="0"/>
      <w:marBottom w:val="0"/>
      <w:divBdr>
        <w:top w:val="none" w:sz="0" w:space="0" w:color="auto"/>
        <w:left w:val="none" w:sz="0" w:space="0" w:color="auto"/>
        <w:bottom w:val="none" w:sz="0" w:space="0" w:color="auto"/>
        <w:right w:val="none" w:sz="0" w:space="0" w:color="auto"/>
      </w:divBdr>
    </w:div>
    <w:div w:id="168073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hyperlink" Target="http://www.sri.com/nlts2/" TargetMode="External"/><Relationship Id="rId3" Type="http://schemas.openxmlformats.org/officeDocument/2006/relationships/styles" Target="styles.xml"/><Relationship Id="rId21" Type="http://schemas.openxmlformats.org/officeDocument/2006/relationships/hyperlink" Target="http://www.cdc.gov/mmwr/PDF/ss/ss5501.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http://www.cdc.gov/mmwr/preview/mmwrhtml/ss5810a1.ht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package" Target="embeddings/Microsoft_Office_PowerPoint_Slide1.sldx"/><Relationship Id="rId29" Type="http://schemas.openxmlformats.org/officeDocument/2006/relationships/hyperlink" Target="https://www.ideadata.org/IDEAData.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www.bostonglobe.com/magazine/2011/10/08/the-test-ahead/89zgadwU7F5ckhFxu7JOdN/story.html"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houstonisd.org/HISDConnectEnglish/Images/PDF/HISD__Special_Education_Report_2011_Final.pdf" TargetMode="External"/><Relationship Id="rId28" Type="http://schemas.openxmlformats.org/officeDocument/2006/relationships/hyperlink" Target="http://nces.ed.gov/" TargetMode="External"/><Relationship Id="rId36" Type="http://schemas.openxmlformats.org/officeDocument/2006/relationships/fontTable" Target="fontTable.xml"/><Relationship Id="rId10" Type="http://schemas.openxmlformats.org/officeDocument/2006/relationships/hyperlink" Target="http://www.ideadata.org" TargetMode="External"/><Relationship Id="rId19" Type="http://schemas.openxmlformats.org/officeDocument/2006/relationships/image" Target="media/image9.emf"/><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hyperlink" Target="http://old.sandi.net/depts/specialed/hehir_issues.pdf" TargetMode="External"/><Relationship Id="rId27" Type="http://schemas.openxmlformats.org/officeDocument/2006/relationships/hyperlink" Target="mailto:TAG844@mail.harvard.edu" TargetMode="External"/><Relationship Id="rId30" Type="http://schemas.openxmlformats.org/officeDocument/2006/relationships/hyperlink" Target="http://www.cdc.gov/" TargetMode="External"/><Relationship Id="rId35"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nces.ed.gov/ccd/rural_locales.asp" TargetMode="External"/><Relationship Id="rId1" Type="http://schemas.openxmlformats.org/officeDocument/2006/relationships/hyperlink" Target="http://nces.ed.gov/ccd/rural_local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FE3C4-A656-4637-B8A9-1396065F0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51</Pages>
  <Words>13444</Words>
  <Characters>79716</Characters>
  <Application>Microsoft Office Word</Application>
  <DocSecurity>0</DocSecurity>
  <Lines>2728</Lines>
  <Paragraphs>952</Paragraphs>
  <ScaleCrop>false</ScaleCrop>
  <HeadingPairs>
    <vt:vector size="2" baseType="variant">
      <vt:variant>
        <vt:lpstr>Title</vt:lpstr>
      </vt:variant>
      <vt:variant>
        <vt:i4>1</vt:i4>
      </vt:variant>
    </vt:vector>
  </HeadingPairs>
  <TitlesOfParts>
    <vt:vector size="1" baseType="lpstr">
      <vt:lpstr>Review of Special Education in theCommonwealth of Massachusetts  </vt:lpstr>
    </vt:vector>
  </TitlesOfParts>
  <Company/>
  <LinksUpToDate>false</LinksUpToDate>
  <CharactersWithSpaces>92586</CharactersWithSpaces>
  <SharedDoc>false</SharedDoc>
  <HLinks>
    <vt:vector size="72" baseType="variant">
      <vt:variant>
        <vt:i4>3801205</vt:i4>
      </vt:variant>
      <vt:variant>
        <vt:i4>36</vt:i4>
      </vt:variant>
      <vt:variant>
        <vt:i4>0</vt:i4>
      </vt:variant>
      <vt:variant>
        <vt:i4>5</vt:i4>
      </vt:variant>
      <vt:variant>
        <vt:lpwstr>http://www.cdc.gov/</vt:lpwstr>
      </vt:variant>
      <vt:variant>
        <vt:lpwstr/>
      </vt:variant>
      <vt:variant>
        <vt:i4>262219</vt:i4>
      </vt:variant>
      <vt:variant>
        <vt:i4>33</vt:i4>
      </vt:variant>
      <vt:variant>
        <vt:i4>0</vt:i4>
      </vt:variant>
      <vt:variant>
        <vt:i4>5</vt:i4>
      </vt:variant>
      <vt:variant>
        <vt:lpwstr>https://www.ideadata.org/IDEAData.asp</vt:lpwstr>
      </vt:variant>
      <vt:variant>
        <vt:lpwstr/>
      </vt:variant>
      <vt:variant>
        <vt:i4>8060989</vt:i4>
      </vt:variant>
      <vt:variant>
        <vt:i4>30</vt:i4>
      </vt:variant>
      <vt:variant>
        <vt:i4>0</vt:i4>
      </vt:variant>
      <vt:variant>
        <vt:i4>5</vt:i4>
      </vt:variant>
      <vt:variant>
        <vt:lpwstr>http://nces.ed.gov/</vt:lpwstr>
      </vt:variant>
      <vt:variant>
        <vt:lpwstr/>
      </vt:variant>
      <vt:variant>
        <vt:i4>458786</vt:i4>
      </vt:variant>
      <vt:variant>
        <vt:i4>27</vt:i4>
      </vt:variant>
      <vt:variant>
        <vt:i4>0</vt:i4>
      </vt:variant>
      <vt:variant>
        <vt:i4>5</vt:i4>
      </vt:variant>
      <vt:variant>
        <vt:lpwstr>mailto:TAG844@mail.harvard.edu</vt:lpwstr>
      </vt:variant>
      <vt:variant>
        <vt:lpwstr/>
      </vt:variant>
      <vt:variant>
        <vt:i4>1507411</vt:i4>
      </vt:variant>
      <vt:variant>
        <vt:i4>24</vt:i4>
      </vt:variant>
      <vt:variant>
        <vt:i4>0</vt:i4>
      </vt:variant>
      <vt:variant>
        <vt:i4>5</vt:i4>
      </vt:variant>
      <vt:variant>
        <vt:lpwstr>http://www.sri.com/nlts2/</vt:lpwstr>
      </vt:variant>
      <vt:variant>
        <vt:lpwstr/>
      </vt:variant>
      <vt:variant>
        <vt:i4>655452</vt:i4>
      </vt:variant>
      <vt:variant>
        <vt:i4>21</vt:i4>
      </vt:variant>
      <vt:variant>
        <vt:i4>0</vt:i4>
      </vt:variant>
      <vt:variant>
        <vt:i4>5</vt:i4>
      </vt:variant>
      <vt:variant>
        <vt:lpwstr>http://www.cdc.gov/mmwr/preview/mmwrhtml/ss5810a1.htm</vt:lpwstr>
      </vt:variant>
      <vt:variant>
        <vt:lpwstr/>
      </vt:variant>
      <vt:variant>
        <vt:i4>3211309</vt:i4>
      </vt:variant>
      <vt:variant>
        <vt:i4>18</vt:i4>
      </vt:variant>
      <vt:variant>
        <vt:i4>0</vt:i4>
      </vt:variant>
      <vt:variant>
        <vt:i4>5</vt:i4>
      </vt:variant>
      <vt:variant>
        <vt:lpwstr>http://www.bostonglobe.com/magazine/2011/10/08/the-test-ahead/89zgadwU7F5ckhFxu7JOdN/story.html</vt:lpwstr>
      </vt:variant>
      <vt:variant>
        <vt:lpwstr/>
      </vt:variant>
      <vt:variant>
        <vt:i4>1376267</vt:i4>
      </vt:variant>
      <vt:variant>
        <vt:i4>15</vt:i4>
      </vt:variant>
      <vt:variant>
        <vt:i4>0</vt:i4>
      </vt:variant>
      <vt:variant>
        <vt:i4>5</vt:i4>
      </vt:variant>
      <vt:variant>
        <vt:lpwstr>http://www.houstonisd.org/HISDConnectEnglish/Images/PDF/HISD__Special_Education_Report_2011_Final.pdf</vt:lpwstr>
      </vt:variant>
      <vt:variant>
        <vt:lpwstr/>
      </vt:variant>
      <vt:variant>
        <vt:i4>1638522</vt:i4>
      </vt:variant>
      <vt:variant>
        <vt:i4>12</vt:i4>
      </vt:variant>
      <vt:variant>
        <vt:i4>0</vt:i4>
      </vt:variant>
      <vt:variant>
        <vt:i4>5</vt:i4>
      </vt:variant>
      <vt:variant>
        <vt:lpwstr>http://old.sandi.net/depts/specialed/hehir_issues.pdf</vt:lpwstr>
      </vt:variant>
      <vt:variant>
        <vt:lpwstr/>
      </vt:variant>
      <vt:variant>
        <vt:i4>720904</vt:i4>
      </vt:variant>
      <vt:variant>
        <vt:i4>9</vt:i4>
      </vt:variant>
      <vt:variant>
        <vt:i4>0</vt:i4>
      </vt:variant>
      <vt:variant>
        <vt:i4>5</vt:i4>
      </vt:variant>
      <vt:variant>
        <vt:lpwstr>http://www.cdc.gov/mmwr/PDF/ss/ss5501.pdf</vt:lpwstr>
      </vt:variant>
      <vt:variant>
        <vt:lpwstr/>
      </vt:variant>
      <vt:variant>
        <vt:i4>4456541</vt:i4>
      </vt:variant>
      <vt:variant>
        <vt:i4>0</vt:i4>
      </vt:variant>
      <vt:variant>
        <vt:i4>0</vt:i4>
      </vt:variant>
      <vt:variant>
        <vt:i4>5</vt:i4>
      </vt:variant>
      <vt:variant>
        <vt:lpwstr>http://www.ideadata.org/</vt:lpwstr>
      </vt:variant>
      <vt:variant>
        <vt:lpwstr/>
      </vt:variant>
      <vt:variant>
        <vt:i4>1114147</vt:i4>
      </vt:variant>
      <vt:variant>
        <vt:i4>0</vt:i4>
      </vt:variant>
      <vt:variant>
        <vt:i4>0</vt:i4>
      </vt:variant>
      <vt:variant>
        <vt:i4>5</vt:i4>
      </vt:variant>
      <vt:variant>
        <vt:lpwstr>http://nces.ed.gov/ccd/rural_locales.asp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Special Education in the Commonwealth of Massachusetts - Thomas Hehir and Associates </dc:title>
  <dc:subject/>
  <dc:creator/>
  <cp:keywords/>
  <cp:lastModifiedBy>chc</cp:lastModifiedBy>
  <cp:revision>3</cp:revision>
  <cp:lastPrinted>2011-11-23T15:24:00Z</cp:lastPrinted>
  <dcterms:created xsi:type="dcterms:W3CDTF">2012-04-09T16:58:00Z</dcterms:created>
  <dcterms:modified xsi:type="dcterms:W3CDTF">2012-04-09T17:14:00Z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9, 2012</vt:lpwstr>
  </property>
</Properties>
</file>