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F1" w:rsidRDefault="001E2CF1" w:rsidP="0033035E">
      <w:pPr>
        <w:pStyle w:val="CoverTextRed16pt"/>
      </w:pPr>
      <w:bookmarkStart w:id="0" w:name="_GoBack"/>
      <w:bookmarkEnd w:id="0"/>
      <w:r>
        <w:rPr>
          <w:noProof/>
          <w:lang w:eastAsia="zh-CN"/>
        </w:rPr>
        <w:drawing>
          <wp:anchor distT="0" distB="0" distL="114300" distR="114300" simplePos="0" relativeHeight="251664384" behindDoc="0" locked="0" layoutInCell="1" allowOverlap="1">
            <wp:simplePos x="0" y="0"/>
            <wp:positionH relativeFrom="column">
              <wp:posOffset>200660</wp:posOffset>
            </wp:positionH>
            <wp:positionV relativeFrom="paragraph">
              <wp:posOffset>-366395</wp:posOffset>
            </wp:positionV>
            <wp:extent cx="1196340" cy="1196340"/>
            <wp:effectExtent l="0" t="0" r="0" b="0"/>
            <wp:wrapNone/>
            <wp:docPr id="11" name="Picture 11" descr="abt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anchor>
        </w:drawing>
      </w:r>
      <w:r w:rsidR="00E22AD1">
        <w:t xml:space="preserve">Measuring Implementation in Massachusetts Expanded Learning Time Schools </w:t>
      </w:r>
    </w:p>
    <w:p w:rsidR="00E22AD1" w:rsidRDefault="00E22AD1" w:rsidP="00E22AD1">
      <w:pPr>
        <w:pStyle w:val="CoverTextRed16pt"/>
        <w:jc w:val="left"/>
      </w:pPr>
    </w:p>
    <w:p w:rsidR="009565D4" w:rsidRDefault="009565D4" w:rsidP="00E22AD1">
      <w:pPr>
        <w:pStyle w:val="CoverText-Address"/>
        <w:ind w:left="0"/>
        <w:jc w:val="left"/>
        <w:rPr>
          <w:noProof/>
        </w:rPr>
      </w:pPr>
    </w:p>
    <w:p w:rsidR="009565D4" w:rsidRDefault="009565D4" w:rsidP="009565D4">
      <w:pPr>
        <w:pStyle w:val="CoverText-Address"/>
        <w:rPr>
          <w:noProof/>
        </w:rPr>
      </w:pPr>
    </w:p>
    <w:p w:rsidR="001E2CF1" w:rsidRDefault="001E2CF1" w:rsidP="00E22AD1">
      <w:pPr>
        <w:pStyle w:val="CoverText-Address"/>
        <w:jc w:val="center"/>
      </w:pPr>
    </w:p>
    <w:p w:rsidR="00BE572D" w:rsidRDefault="00BE572D" w:rsidP="00E22AD1">
      <w:pPr>
        <w:pStyle w:val="CoverText-Address"/>
        <w:jc w:val="center"/>
      </w:pPr>
    </w:p>
    <w:p w:rsidR="0033035E" w:rsidRDefault="0033035E" w:rsidP="00E22AD1">
      <w:pPr>
        <w:pStyle w:val="CoverText-Address"/>
        <w:jc w:val="center"/>
      </w:pPr>
    </w:p>
    <w:p w:rsidR="0033035E" w:rsidRDefault="0033035E" w:rsidP="00E22AD1">
      <w:pPr>
        <w:pStyle w:val="CoverText-Address"/>
        <w:jc w:val="center"/>
      </w:pPr>
    </w:p>
    <w:p w:rsidR="0033035E" w:rsidRDefault="0033035E" w:rsidP="00E22AD1">
      <w:pPr>
        <w:pStyle w:val="CoverText-Address"/>
        <w:jc w:val="center"/>
      </w:pPr>
    </w:p>
    <w:p w:rsidR="0033035E" w:rsidRDefault="0033035E" w:rsidP="00E22AD1">
      <w:pPr>
        <w:pStyle w:val="CoverText-Address"/>
        <w:jc w:val="center"/>
      </w:pPr>
    </w:p>
    <w:p w:rsidR="00BE572D" w:rsidRDefault="00BE572D" w:rsidP="00E22AD1">
      <w:pPr>
        <w:pStyle w:val="CoverText-Address"/>
        <w:jc w:val="center"/>
      </w:pPr>
    </w:p>
    <w:p w:rsidR="009565D4" w:rsidRDefault="009565D4" w:rsidP="00744E2C">
      <w:pPr>
        <w:pStyle w:val="CoverText-Address"/>
      </w:pPr>
    </w:p>
    <w:p w:rsidR="00E22AD1" w:rsidRPr="001E2CF1" w:rsidRDefault="003E0A77" w:rsidP="00744E2C">
      <w:pPr>
        <w:pStyle w:val="CoverText-Address"/>
      </w:pPr>
      <w:r>
        <w:t>May</w:t>
      </w:r>
      <w:r w:rsidR="003B3F8E">
        <w:t xml:space="preserve"> 2013</w:t>
      </w:r>
    </w:p>
    <w:p w:rsidR="001E2CF1" w:rsidRPr="001E2CF1" w:rsidRDefault="001E2CF1" w:rsidP="001E2CF1">
      <w:pPr>
        <w:tabs>
          <w:tab w:val="left" w:pos="720"/>
          <w:tab w:val="left" w:pos="1080"/>
          <w:tab w:val="left" w:pos="1440"/>
          <w:tab w:val="left" w:pos="1800"/>
          <w:tab w:val="left" w:pos="6660"/>
        </w:tabs>
        <w:spacing w:after="0"/>
        <w:ind w:left="6490" w:right="-540"/>
        <w:jc w:val="right"/>
        <w:rPr>
          <w:rFonts w:ascii="Arial" w:hAnsi="Arial"/>
          <w:szCs w:val="24"/>
        </w:rPr>
      </w:pPr>
    </w:p>
    <w:p w:rsidR="009565D4" w:rsidRDefault="001E2CF1" w:rsidP="009565D4">
      <w:pPr>
        <w:pStyle w:val="CoverText11pt"/>
      </w:pPr>
      <w:r w:rsidRPr="001E2CF1">
        <w:t>Prepared for:</w:t>
      </w:r>
    </w:p>
    <w:p w:rsidR="009565D4" w:rsidRPr="009565D4" w:rsidRDefault="00A43D7E" w:rsidP="009565D4">
      <w:pPr>
        <w:pStyle w:val="CoverText-Address"/>
        <w:rPr>
          <w:b/>
          <w:color w:val="DA291C"/>
        </w:rPr>
      </w:pPr>
      <w:r>
        <w:rPr>
          <w:b/>
          <w:color w:val="DA291C"/>
        </w:rPr>
        <w:t>Massachusetts Department of Elementary and Secondary Education (ESE)</w:t>
      </w:r>
    </w:p>
    <w:p w:rsidR="009565D4" w:rsidRDefault="00A43D7E" w:rsidP="00A43D7E">
      <w:pPr>
        <w:pStyle w:val="CoverText-Address"/>
        <w:ind w:left="0"/>
      </w:pPr>
      <w:r>
        <w:t>75 Pleasant Street, 5</w:t>
      </w:r>
      <w:r w:rsidRPr="00A43D7E">
        <w:rPr>
          <w:vertAlign w:val="superscript"/>
        </w:rPr>
        <w:t>th</w:t>
      </w:r>
      <w:r>
        <w:t xml:space="preserve"> Floor</w:t>
      </w:r>
    </w:p>
    <w:p w:rsidR="00A43D7E" w:rsidRDefault="00A43D7E" w:rsidP="00A43D7E">
      <w:pPr>
        <w:pStyle w:val="CoverText-Address"/>
        <w:ind w:left="0"/>
      </w:pPr>
      <w:r>
        <w:t>Malden, MA 02148</w:t>
      </w:r>
    </w:p>
    <w:p w:rsidR="001E2CF1" w:rsidRDefault="001E2CF1" w:rsidP="009565D4">
      <w:pPr>
        <w:pStyle w:val="CoverText-Address"/>
      </w:pPr>
    </w:p>
    <w:p w:rsidR="009565D4" w:rsidRDefault="009565D4" w:rsidP="009565D4">
      <w:pPr>
        <w:pStyle w:val="CoverText-Address"/>
      </w:pPr>
    </w:p>
    <w:p w:rsidR="00BE572D" w:rsidRDefault="00BE572D" w:rsidP="009565D4">
      <w:pPr>
        <w:pStyle w:val="CoverText-Address"/>
      </w:pPr>
    </w:p>
    <w:p w:rsidR="00BE572D" w:rsidRDefault="00BE572D" w:rsidP="009565D4">
      <w:pPr>
        <w:pStyle w:val="CoverText-Address"/>
      </w:pPr>
    </w:p>
    <w:p w:rsidR="009565D4" w:rsidRPr="001E2CF1" w:rsidRDefault="009565D4" w:rsidP="009565D4">
      <w:pPr>
        <w:pStyle w:val="CoverText-Address"/>
      </w:pPr>
    </w:p>
    <w:p w:rsidR="001E2CF1" w:rsidRPr="001E2CF1" w:rsidRDefault="001E2CF1" w:rsidP="00744E2C">
      <w:pPr>
        <w:pStyle w:val="CoverText-Address"/>
      </w:pPr>
    </w:p>
    <w:p w:rsidR="0033035E" w:rsidRPr="00BE572D" w:rsidRDefault="001E2CF1" w:rsidP="0033035E">
      <w:pPr>
        <w:pStyle w:val="CoverText11pt"/>
      </w:pPr>
      <w:r w:rsidRPr="001E2CF1">
        <w:t>Submitted by:</w:t>
      </w:r>
    </w:p>
    <w:p w:rsidR="00BE572D" w:rsidRPr="00354503" w:rsidRDefault="001E2CF1" w:rsidP="00BE572D">
      <w:pPr>
        <w:pStyle w:val="CoverText-Address"/>
        <w:rPr>
          <w:b/>
          <w:color w:val="DA291C"/>
        </w:rPr>
      </w:pPr>
      <w:r w:rsidRPr="00354503">
        <w:rPr>
          <w:b/>
          <w:color w:val="DA291C"/>
        </w:rPr>
        <w:t>Abt Associates Inc.</w:t>
      </w:r>
    </w:p>
    <w:p w:rsidR="0033035E" w:rsidRDefault="0033035E" w:rsidP="00354503">
      <w:pPr>
        <w:pStyle w:val="CoverText-Address"/>
      </w:pPr>
      <w:r>
        <w:t>Beth Gamse</w:t>
      </w:r>
    </w:p>
    <w:p w:rsidR="0033035E" w:rsidRDefault="0033035E" w:rsidP="00354503">
      <w:pPr>
        <w:pStyle w:val="CoverText-Address"/>
      </w:pPr>
      <w:r>
        <w:t>Amy Checkoway</w:t>
      </w:r>
    </w:p>
    <w:p w:rsidR="0033035E" w:rsidRDefault="0033035E" w:rsidP="00354503">
      <w:pPr>
        <w:pStyle w:val="CoverText-Address"/>
      </w:pPr>
      <w:r>
        <w:t>Catherine Darrow</w:t>
      </w:r>
    </w:p>
    <w:p w:rsidR="001E2CF1" w:rsidRDefault="00A43D7E" w:rsidP="00354503">
      <w:pPr>
        <w:pStyle w:val="CoverText-Address"/>
      </w:pPr>
      <w:r>
        <w:t>55 Wheeler Street</w:t>
      </w:r>
    </w:p>
    <w:p w:rsidR="00157E04" w:rsidRDefault="00A43D7E" w:rsidP="00A43D7E">
      <w:pPr>
        <w:pStyle w:val="CoverText-Address"/>
        <w:sectPr w:rsidR="00157E04" w:rsidSect="007969A4">
          <w:headerReference w:type="default" r:id="rId9"/>
          <w:footerReference w:type="default" r:id="rId10"/>
          <w:pgSz w:w="12240" w:h="15840" w:code="1"/>
          <w:pgMar w:top="1440" w:right="1440" w:bottom="1440" w:left="1800" w:header="720" w:footer="720" w:gutter="0"/>
          <w:pgNumType w:fmt="lowerRoman" w:start="1"/>
          <w:cols w:space="720"/>
          <w:docGrid w:linePitch="299"/>
        </w:sectPr>
      </w:pPr>
      <w:r>
        <w:t>Cambridge, MA 02138</w:t>
      </w:r>
    </w:p>
    <w:p w:rsidR="00E07025" w:rsidRPr="00E07025" w:rsidRDefault="00E07025" w:rsidP="00EF2780">
      <w:pPr>
        <w:pStyle w:val="Heading1"/>
        <w:numPr>
          <w:ilvl w:val="0"/>
          <w:numId w:val="0"/>
        </w:numPr>
        <w:rPr>
          <w:rStyle w:val="CommentReference"/>
          <w:sz w:val="32"/>
        </w:rPr>
      </w:pPr>
      <w:r>
        <w:lastRenderedPageBreak/>
        <w:t xml:space="preserve">Measuring Implementation in Massachusetts Expanded Learning Time Schools </w:t>
      </w:r>
    </w:p>
    <w:p w:rsidR="006033FF" w:rsidRDefault="00A75A73" w:rsidP="00EC0260">
      <w:pPr>
        <w:pStyle w:val="BodyText"/>
      </w:pPr>
      <w:r w:rsidRPr="00027F5C">
        <w:rPr>
          <w:rStyle w:val="CommentReference"/>
          <w:sz w:val="24"/>
          <w:szCs w:val="24"/>
        </w:rPr>
        <w:t>Identifying programs that demonstrably improve educational experiences and outcomes for students is essential for reducing educational disparities.</w:t>
      </w:r>
      <w:r>
        <w:rPr>
          <w:rStyle w:val="CommentReference"/>
          <w:sz w:val="24"/>
          <w:szCs w:val="24"/>
        </w:rPr>
        <w:t xml:space="preserve"> </w:t>
      </w:r>
      <w:r w:rsidRPr="00027F5C">
        <w:t>Yet</w:t>
      </w:r>
      <w:r w:rsidRPr="006507DB">
        <w:t xml:space="preserve"> over the past several decades, few interventions </w:t>
      </w:r>
      <w:r w:rsidR="00FB5C48">
        <w:t xml:space="preserve">at any level of the educational system </w:t>
      </w:r>
      <w:r w:rsidRPr="006507DB">
        <w:t xml:space="preserve">have produced the desired </w:t>
      </w:r>
      <w:r w:rsidR="00FB5C48">
        <w:t xml:space="preserve">positive </w:t>
      </w:r>
      <w:r w:rsidRPr="006507DB">
        <w:t>effects</w:t>
      </w:r>
      <w:r>
        <w:t xml:space="preserve"> </w:t>
      </w:r>
      <w:r w:rsidR="00FB5C48">
        <w:t xml:space="preserve">at </w:t>
      </w:r>
      <w:r>
        <w:t>scale</w:t>
      </w:r>
      <w:r w:rsidR="0033035E">
        <w:t xml:space="preserve">. </w:t>
      </w:r>
      <w:r>
        <w:t xml:space="preserve">When </w:t>
      </w:r>
      <w:r w:rsidR="000019F5">
        <w:t>small</w:t>
      </w:r>
      <w:r w:rsidR="00464DEC">
        <w:t xml:space="preserve"> </w:t>
      </w:r>
      <w:r w:rsidR="000019F5">
        <w:t xml:space="preserve">scale </w:t>
      </w:r>
      <w:r>
        <w:t>interventions implemented by program developer</w:t>
      </w:r>
      <w:r w:rsidR="000019F5">
        <w:t>s</w:t>
      </w:r>
      <w:r>
        <w:t xml:space="preserve"> appear promising, yet </w:t>
      </w:r>
      <w:r w:rsidR="000019F5">
        <w:t xml:space="preserve">falter </w:t>
      </w:r>
      <w:r>
        <w:t xml:space="preserve">when implemented more widely, policymakers and researchers alike </w:t>
      </w:r>
      <w:r w:rsidR="000019F5">
        <w:t>seek</w:t>
      </w:r>
      <w:r>
        <w:t xml:space="preserve"> </w:t>
      </w:r>
      <w:r w:rsidR="000019F5">
        <w:t xml:space="preserve">to </w:t>
      </w:r>
      <w:r>
        <w:t xml:space="preserve">understand </w:t>
      </w:r>
      <w:r>
        <w:rPr>
          <w:i/>
        </w:rPr>
        <w:t xml:space="preserve">why </w:t>
      </w:r>
      <w:r>
        <w:t>the r</w:t>
      </w:r>
      <w:r w:rsidR="00BC1062">
        <w:t xml:space="preserve">esults differ across settings. </w:t>
      </w:r>
      <w:r>
        <w:t xml:space="preserve">Increased understanding of variation in outcomes has led to </w:t>
      </w:r>
      <w:r w:rsidR="000019F5">
        <w:t xml:space="preserve">more systematic </w:t>
      </w:r>
      <w:r>
        <w:t>examin</w:t>
      </w:r>
      <w:r w:rsidR="00464DEC">
        <w:t>ation of</w:t>
      </w:r>
      <w:r>
        <w:t xml:space="preserve"> </w:t>
      </w:r>
      <w:r w:rsidRPr="006507DB">
        <w:t xml:space="preserve">program adoption and implementation </w:t>
      </w:r>
      <w:r>
        <w:t xml:space="preserve">elements </w:t>
      </w:r>
      <w:r w:rsidRPr="006507DB">
        <w:t>(</w:t>
      </w:r>
      <w:r w:rsidRPr="00096F7C">
        <w:t>Fixsen,</w:t>
      </w:r>
      <w:r w:rsidR="00D106A7">
        <w:t xml:space="preserve"> Blasé, Naoom, &amp; Wallace,</w:t>
      </w:r>
      <w:r w:rsidRPr="00096F7C">
        <w:t xml:space="preserve"> 2009</w:t>
      </w:r>
      <w:r w:rsidRPr="006507DB">
        <w:t xml:space="preserve">). </w:t>
      </w:r>
    </w:p>
    <w:p w:rsidR="00796D80" w:rsidRDefault="002C304F" w:rsidP="00EC0260">
      <w:pPr>
        <w:pStyle w:val="BodyText"/>
      </w:pPr>
      <w:r>
        <w:t xml:space="preserve">This paper </w:t>
      </w:r>
      <w:r w:rsidR="000019F5">
        <w:t xml:space="preserve">describes </w:t>
      </w:r>
      <w:r w:rsidR="00464DEC">
        <w:t xml:space="preserve">methodical </w:t>
      </w:r>
      <w:r w:rsidR="000019F5">
        <w:t xml:space="preserve">efforts </w:t>
      </w:r>
      <w:r>
        <w:t>to measure</w:t>
      </w:r>
      <w:r w:rsidR="00E3432F">
        <w:t xml:space="preserve"> the</w:t>
      </w:r>
      <w:r>
        <w:t xml:space="preserve"> implementation</w:t>
      </w:r>
      <w:r w:rsidR="000019F5">
        <w:t xml:space="preserve"> </w:t>
      </w:r>
      <w:r>
        <w:t>of a</w:t>
      </w:r>
      <w:r w:rsidR="00340283">
        <w:t xml:space="preserve">n </w:t>
      </w:r>
      <w:r>
        <w:t xml:space="preserve">initiative </w:t>
      </w:r>
      <w:r w:rsidR="000019F5">
        <w:t xml:space="preserve">designed </w:t>
      </w:r>
      <w:r>
        <w:t>to increase instructional time for</w:t>
      </w:r>
      <w:r w:rsidR="00E3432F">
        <w:t xml:space="preserve"> students in </w:t>
      </w:r>
      <w:r w:rsidR="000019F5">
        <w:t xml:space="preserve">a sample of Massachusetts </w:t>
      </w:r>
      <w:r w:rsidR="00E3432F">
        <w:t xml:space="preserve">schools. </w:t>
      </w:r>
      <w:r w:rsidR="008E3180">
        <w:t xml:space="preserve">Although </w:t>
      </w:r>
      <w:r w:rsidR="005B6D4E">
        <w:t xml:space="preserve">efforts to implement </w:t>
      </w:r>
      <w:r w:rsidR="008E3180">
        <w:t xml:space="preserve">expanded instructional time had </w:t>
      </w:r>
      <w:r w:rsidR="005B6D4E">
        <w:t xml:space="preserve">occurred </w:t>
      </w:r>
      <w:r w:rsidR="00340283">
        <w:t>in</w:t>
      </w:r>
      <w:r w:rsidR="005B6D4E">
        <w:t xml:space="preserve"> individual schools within Massachusetts (either as stand-alone initiatives or as part of larger school restructuring reforms)</w:t>
      </w:r>
      <w:r w:rsidR="008E3180">
        <w:t xml:space="preserve">, the </w:t>
      </w:r>
      <w:r w:rsidR="005B6D4E">
        <w:t xml:space="preserve">2005 </w:t>
      </w:r>
      <w:r w:rsidR="008E3180">
        <w:t>establishment of a</w:t>
      </w:r>
      <w:r w:rsidR="00927761">
        <w:t xml:space="preserve"> state-</w:t>
      </w:r>
      <w:r w:rsidR="005B6D4E">
        <w:t xml:space="preserve">level </w:t>
      </w:r>
      <w:r w:rsidR="008E3180">
        <w:t xml:space="preserve">initiative </w:t>
      </w:r>
      <w:r w:rsidR="005B6D4E">
        <w:t>represented the first example of large</w:t>
      </w:r>
      <w:r w:rsidR="00340283">
        <w:t>r</w:t>
      </w:r>
      <w:r w:rsidR="005B6D4E">
        <w:t>-scale implementation</w:t>
      </w:r>
      <w:r w:rsidR="00404663">
        <w:t>.</w:t>
      </w:r>
      <w:r w:rsidR="00F13194">
        <w:t xml:space="preserve"> </w:t>
      </w:r>
    </w:p>
    <w:p w:rsidR="00DD701C" w:rsidRDefault="00F52187" w:rsidP="00EC0260">
      <w:pPr>
        <w:pStyle w:val="BodyText"/>
      </w:pPr>
      <w:r>
        <w:t>I</w:t>
      </w:r>
      <w:r w:rsidR="00DD701C">
        <w:t xml:space="preserve">ncreasing the amount of instructional time is often perceived as a promising initiative for </w:t>
      </w:r>
      <w:r w:rsidR="00DD701C" w:rsidRPr="005B3138">
        <w:t>improving student achievement</w:t>
      </w:r>
      <w:r>
        <w:t>,</w:t>
      </w:r>
      <w:r w:rsidR="00DD701C" w:rsidRPr="005B3138">
        <w:t xml:space="preserve"> and </w:t>
      </w:r>
      <w:r w:rsidR="00E33CDD">
        <w:t xml:space="preserve">there is </w:t>
      </w:r>
      <w:r w:rsidR="00DD701C" w:rsidRPr="005B3138">
        <w:t xml:space="preserve">some research </w:t>
      </w:r>
      <w:r>
        <w:t xml:space="preserve">evidence of </w:t>
      </w:r>
      <w:r w:rsidR="00DD701C" w:rsidRPr="005B3138">
        <w:t>a positive relatio</w:t>
      </w:r>
      <w:r w:rsidR="009C5ADD" w:rsidRPr="005B3138">
        <w:t xml:space="preserve">nship between </w:t>
      </w:r>
      <w:r w:rsidR="00DD701C" w:rsidRPr="005B3138">
        <w:t xml:space="preserve">increased </w:t>
      </w:r>
      <w:r w:rsidR="005B3138" w:rsidRPr="005B3138">
        <w:t xml:space="preserve">instructional </w:t>
      </w:r>
      <w:r w:rsidR="00DD701C" w:rsidRPr="005B3138">
        <w:t>time and academic outcomes</w:t>
      </w:r>
      <w:r w:rsidR="009C5ADD" w:rsidRPr="005B3138">
        <w:t xml:space="preserve"> (</w:t>
      </w:r>
      <w:r w:rsidR="009C5ADD" w:rsidRPr="00E33CDD">
        <w:rPr>
          <w:color w:val="000000"/>
        </w:rPr>
        <w:t>Angrist</w:t>
      </w:r>
      <w:r w:rsidR="00D106A7">
        <w:rPr>
          <w:color w:val="000000"/>
        </w:rPr>
        <w:t xml:space="preserve">, Dynarski, Kane, Pathak, &amp; Walters, </w:t>
      </w:r>
      <w:r w:rsidR="009C5ADD" w:rsidRPr="00E33CDD">
        <w:rPr>
          <w:color w:val="000000"/>
        </w:rPr>
        <w:t xml:space="preserve">2010; Atwater </w:t>
      </w:r>
      <w:r w:rsidR="00D106A7">
        <w:rPr>
          <w:color w:val="000000"/>
        </w:rPr>
        <w:t>&amp; Morre</w:t>
      </w:r>
      <w:r w:rsidR="009C5ADD" w:rsidRPr="00E33CDD">
        <w:rPr>
          <w:color w:val="000000"/>
        </w:rPr>
        <w:t xml:space="preserve">, 1991; Doran </w:t>
      </w:r>
      <w:r w:rsidR="00D106A7">
        <w:rPr>
          <w:color w:val="000000"/>
        </w:rPr>
        <w:t>&amp; Drury</w:t>
      </w:r>
      <w:r w:rsidR="009C5ADD" w:rsidRPr="00E33CDD">
        <w:rPr>
          <w:color w:val="000000"/>
        </w:rPr>
        <w:t>, 2002; E</w:t>
      </w:r>
      <w:r w:rsidR="00D106A7">
        <w:rPr>
          <w:color w:val="000000"/>
        </w:rPr>
        <w:t>ducational</w:t>
      </w:r>
      <w:r w:rsidR="009C5ADD" w:rsidRPr="00E33CDD">
        <w:rPr>
          <w:color w:val="000000"/>
        </w:rPr>
        <w:t xml:space="preserve"> Policy Institute, 2005; Gallagher &amp; Ross, 2005; Hoxby</w:t>
      </w:r>
      <w:r w:rsidR="00D106A7">
        <w:rPr>
          <w:color w:val="000000"/>
        </w:rPr>
        <w:t>, Murarka, &amp; Kang</w:t>
      </w:r>
      <w:r w:rsidR="009C5ADD" w:rsidRPr="00E33CDD">
        <w:rPr>
          <w:color w:val="000000"/>
        </w:rPr>
        <w:t xml:space="preserve">, 2009; </w:t>
      </w:r>
      <w:r w:rsidR="000F4B6F">
        <w:rPr>
          <w:color w:val="000000"/>
        </w:rPr>
        <w:t>T</w:t>
      </w:r>
      <w:r w:rsidR="00D106A7">
        <w:rPr>
          <w:color w:val="000000"/>
        </w:rPr>
        <w:t>uttle, The, Nichols-Barrer, Gill, &amp; Gleason</w:t>
      </w:r>
      <w:r w:rsidR="000F4B6F">
        <w:rPr>
          <w:color w:val="000000"/>
        </w:rPr>
        <w:t>, 2010</w:t>
      </w:r>
      <w:r w:rsidR="009C5ADD" w:rsidRPr="00E33CDD">
        <w:rPr>
          <w:color w:val="000000"/>
        </w:rPr>
        <w:t>)</w:t>
      </w:r>
      <w:r>
        <w:rPr>
          <w:color w:val="000000"/>
        </w:rPr>
        <w:t>.</w:t>
      </w:r>
      <w:r w:rsidR="009C5ADD" w:rsidRPr="00E33CDD">
        <w:rPr>
          <w:color w:val="000000"/>
        </w:rPr>
        <w:t xml:space="preserve"> </w:t>
      </w:r>
      <w:r>
        <w:t xml:space="preserve">However, </w:t>
      </w:r>
      <w:r w:rsidR="008E3180" w:rsidRPr="005B3138">
        <w:t>there is</w:t>
      </w:r>
      <w:r>
        <w:t>,</w:t>
      </w:r>
      <w:r w:rsidR="008E3180" w:rsidRPr="005B3138">
        <w:t xml:space="preserve"> </w:t>
      </w:r>
      <w:r w:rsidR="005B6D4E" w:rsidRPr="005B3138">
        <w:t>as yet</w:t>
      </w:r>
      <w:r>
        <w:t>,</w:t>
      </w:r>
      <w:r w:rsidR="005B6D4E" w:rsidRPr="005B3138">
        <w:t xml:space="preserve"> </w:t>
      </w:r>
      <w:r w:rsidR="008E3180" w:rsidRPr="005B3138">
        <w:t>limited rigorous research that has</w:t>
      </w:r>
      <w:r w:rsidR="005B6D4E" w:rsidRPr="00796D80">
        <w:t xml:space="preserve"> demonstrated positive impacts of </w:t>
      </w:r>
      <w:r w:rsidR="00927761" w:rsidRPr="00796D80">
        <w:t xml:space="preserve">expanded instructional time </w:t>
      </w:r>
      <w:r w:rsidR="005B6D4E" w:rsidRPr="00796D80">
        <w:t xml:space="preserve">on </w:t>
      </w:r>
      <w:r w:rsidR="00927761" w:rsidRPr="00796D80">
        <w:t>student outcomes</w:t>
      </w:r>
      <w:r w:rsidR="00B53B3B">
        <w:t xml:space="preserve"> (Patall et al., 2010)</w:t>
      </w:r>
      <w:r>
        <w:t>,</w:t>
      </w:r>
      <w:r w:rsidR="009C5ADD" w:rsidRPr="005B3138">
        <w:t xml:space="preserve"> </w:t>
      </w:r>
      <w:r w:rsidR="005B3138" w:rsidRPr="005B3138">
        <w:t xml:space="preserve">and </w:t>
      </w:r>
      <w:r>
        <w:t xml:space="preserve">further, </w:t>
      </w:r>
      <w:r w:rsidR="00796D80">
        <w:t xml:space="preserve">existing </w:t>
      </w:r>
      <w:r w:rsidR="005B3138" w:rsidRPr="00E33CDD">
        <w:rPr>
          <w:color w:val="000000"/>
        </w:rPr>
        <w:t>studies have focused</w:t>
      </w:r>
      <w:r w:rsidR="005B3138">
        <w:rPr>
          <w:color w:val="000000"/>
        </w:rPr>
        <w:t xml:space="preserve"> primarily</w:t>
      </w:r>
      <w:r w:rsidR="005B3138" w:rsidRPr="005B3138">
        <w:rPr>
          <w:color w:val="000000"/>
        </w:rPr>
        <w:t xml:space="preserve"> o</w:t>
      </w:r>
      <w:r w:rsidR="005B3138">
        <w:rPr>
          <w:color w:val="000000"/>
        </w:rPr>
        <w:t>n</w:t>
      </w:r>
      <w:r w:rsidR="005B3138" w:rsidRPr="00E33CDD">
        <w:rPr>
          <w:color w:val="000000"/>
        </w:rPr>
        <w:t xml:space="preserve"> models that </w:t>
      </w:r>
      <w:r>
        <w:rPr>
          <w:color w:val="000000"/>
        </w:rPr>
        <w:t xml:space="preserve">examine the </w:t>
      </w:r>
      <w:r w:rsidR="005B3138" w:rsidRPr="00E33CDD">
        <w:rPr>
          <w:color w:val="000000"/>
        </w:rPr>
        <w:t>combine</w:t>
      </w:r>
      <w:r>
        <w:rPr>
          <w:color w:val="000000"/>
        </w:rPr>
        <w:t>d effects of</w:t>
      </w:r>
      <w:r w:rsidR="005B3138" w:rsidRPr="00E33CDD">
        <w:rPr>
          <w:color w:val="000000"/>
        </w:rPr>
        <w:t xml:space="preserve"> an extended school day with other reforms</w:t>
      </w:r>
      <w:r w:rsidR="005B3138">
        <w:rPr>
          <w:color w:val="000000"/>
        </w:rPr>
        <w:t xml:space="preserve"> (Redd et al</w:t>
      </w:r>
      <w:r w:rsidR="000F4B6F">
        <w:rPr>
          <w:color w:val="000000"/>
        </w:rPr>
        <w:t>.</w:t>
      </w:r>
      <w:r w:rsidR="005B3138">
        <w:rPr>
          <w:color w:val="000000"/>
        </w:rPr>
        <w:t>, 2012)</w:t>
      </w:r>
      <w:r w:rsidR="005B3138" w:rsidRPr="00E33CDD">
        <w:rPr>
          <w:color w:val="000000"/>
        </w:rPr>
        <w:t>.</w:t>
      </w:r>
    </w:p>
    <w:p w:rsidR="00A75A73" w:rsidRDefault="000019F5" w:rsidP="00EC0260">
      <w:pPr>
        <w:pStyle w:val="BodyText"/>
      </w:pPr>
      <w:r>
        <w:t xml:space="preserve">The implementation-focused study </w:t>
      </w:r>
      <w:r w:rsidR="00927761">
        <w:t xml:space="preserve">that is discussed in this paper </w:t>
      </w:r>
      <w:r>
        <w:t xml:space="preserve">was part of a larger evaluation of the Massachusetts Expanded Learning Time (ELT) </w:t>
      </w:r>
      <w:r w:rsidR="00404663">
        <w:t>i</w:t>
      </w:r>
      <w:r>
        <w:t>nitiative conducted by Abt Associates</w:t>
      </w:r>
      <w:r w:rsidR="00927761">
        <w:t xml:space="preserve"> that provides further evidence about ELT implementation, outcomes, and the relationship between them.</w:t>
      </w:r>
      <w:r>
        <w:t xml:space="preserve"> </w:t>
      </w:r>
      <w:r w:rsidR="00927761">
        <w:t>T</w:t>
      </w:r>
      <w:r>
        <w:t>he evaluation was</w:t>
      </w:r>
      <w:r w:rsidR="00723438">
        <w:t xml:space="preserve"> </w:t>
      </w:r>
      <w:r>
        <w:t>supported by a grant from the</w:t>
      </w:r>
      <w:r w:rsidR="00464DEC">
        <w:t xml:space="preserve"> </w:t>
      </w:r>
      <w:r>
        <w:t>Institute of Education Sciences</w:t>
      </w:r>
      <w:r w:rsidR="00464DEC">
        <w:t xml:space="preserve"> in the U.S. Department of Education</w:t>
      </w:r>
      <w:r w:rsidR="008E3180">
        <w:t xml:space="preserve"> to the Massachusetts Department of Elementary and Secondary Education (ESE)</w:t>
      </w:r>
      <w:r w:rsidR="005B6D4E">
        <w:t>; the initiative (and its evaluation) also received some support from</w:t>
      </w:r>
      <w:r w:rsidR="00404663">
        <w:t xml:space="preserve"> additional sources including</w:t>
      </w:r>
      <w:r w:rsidR="005B6D4E">
        <w:t xml:space="preserve"> ESE and </w:t>
      </w:r>
      <w:r w:rsidR="00D106A7">
        <w:t xml:space="preserve">initial funds </w:t>
      </w:r>
      <w:r w:rsidR="005B6D4E">
        <w:t>from Massachusetts 2020</w:t>
      </w:r>
      <w:r w:rsidR="00A061FF">
        <w:t>.</w:t>
      </w:r>
      <w:r w:rsidR="00BF0E0B">
        <w:rPr>
          <w:rStyle w:val="FootnoteReference"/>
          <w:sz w:val="24"/>
          <w:szCs w:val="24"/>
        </w:rPr>
        <w:footnoteReference w:id="1"/>
      </w:r>
    </w:p>
    <w:p w:rsidR="00A75A73" w:rsidRPr="00DF539D" w:rsidRDefault="00A75A73" w:rsidP="00EC0260">
      <w:pPr>
        <w:pStyle w:val="BodyText"/>
      </w:pPr>
      <w:r w:rsidRPr="00DF539D">
        <w:t xml:space="preserve">The paper </w:t>
      </w:r>
      <w:r w:rsidR="000019F5">
        <w:t xml:space="preserve">begins by </w:t>
      </w:r>
      <w:r w:rsidR="00927761">
        <w:t xml:space="preserve">briefly </w:t>
      </w:r>
      <w:r w:rsidR="000019F5">
        <w:t xml:space="preserve">summarizing </w:t>
      </w:r>
      <w:r w:rsidRPr="00DF539D">
        <w:t xml:space="preserve">the value and purposes of </w:t>
      </w:r>
      <w:r>
        <w:t>measuring implementation</w:t>
      </w:r>
      <w:r w:rsidRPr="00DF539D">
        <w:t>. We then present a detailed d</w:t>
      </w:r>
      <w:r>
        <w:t xml:space="preserve">escription of </w:t>
      </w:r>
      <w:r w:rsidR="00464DEC">
        <w:t>an</w:t>
      </w:r>
      <w:r w:rsidRPr="00DF539D">
        <w:t xml:space="preserve"> index developed to examine </w:t>
      </w:r>
      <w:r>
        <w:t xml:space="preserve">implementation of </w:t>
      </w:r>
      <w:r w:rsidRPr="00DF539D">
        <w:t xml:space="preserve">the Massachusetts </w:t>
      </w:r>
      <w:r w:rsidR="006033FF">
        <w:t xml:space="preserve">ELT </w:t>
      </w:r>
      <w:r>
        <w:t>initiative, followed by a discussion of the i</w:t>
      </w:r>
      <w:r w:rsidRPr="00DF539D">
        <w:t>mplications</w:t>
      </w:r>
      <w:r w:rsidR="00927761">
        <w:t xml:space="preserve"> of this work</w:t>
      </w:r>
      <w:r w:rsidRPr="00DF539D">
        <w:t xml:space="preserve"> for </w:t>
      </w:r>
      <w:r w:rsidR="006033FF">
        <w:t>future efforts</w:t>
      </w:r>
      <w:r>
        <w:t xml:space="preserve">. </w:t>
      </w:r>
    </w:p>
    <w:p w:rsidR="00A75A73" w:rsidRPr="006507DB" w:rsidRDefault="00A75A73" w:rsidP="00A75A73">
      <w:pPr>
        <w:pStyle w:val="Heading2"/>
        <w:numPr>
          <w:ilvl w:val="0"/>
          <w:numId w:val="0"/>
        </w:numPr>
      </w:pPr>
      <w:r>
        <w:t xml:space="preserve">Why Measure Implementation? </w:t>
      </w:r>
    </w:p>
    <w:p w:rsidR="00464DEC" w:rsidRDefault="00A75A73" w:rsidP="00EC0260">
      <w:pPr>
        <w:pStyle w:val="BodyText"/>
      </w:pPr>
      <w:r>
        <w:t>Especially when a progra</w:t>
      </w:r>
      <w:r w:rsidR="000A03A5">
        <w:t>m is in its earl</w:t>
      </w:r>
      <w:r w:rsidR="00927761">
        <w:t>ier</w:t>
      </w:r>
      <w:r w:rsidR="000A03A5">
        <w:t xml:space="preserve"> stages, </w:t>
      </w:r>
      <w:r>
        <w:t>learn</w:t>
      </w:r>
      <w:r w:rsidR="00EB00D3">
        <w:t>ing</w:t>
      </w:r>
      <w:r>
        <w:t xml:space="preserve"> about d</w:t>
      </w:r>
      <w:r w:rsidRPr="006507DB">
        <w:t xml:space="preserve">ifferences </w:t>
      </w:r>
      <w:r w:rsidR="00B955E6">
        <w:t>in how</w:t>
      </w:r>
      <w:r>
        <w:t xml:space="preserve"> </w:t>
      </w:r>
      <w:r w:rsidR="00B955E6">
        <w:t>core elements</w:t>
      </w:r>
      <w:r>
        <w:t xml:space="preserve"> are </w:t>
      </w:r>
      <w:r w:rsidRPr="006507DB">
        <w:t>deliver</w:t>
      </w:r>
      <w:r>
        <w:t>ed</w:t>
      </w:r>
      <w:r w:rsidR="00EB00D3">
        <w:t xml:space="preserve"> is helpful</w:t>
      </w:r>
      <w:r w:rsidR="00723438">
        <w:t xml:space="preserve"> </w:t>
      </w:r>
      <w:r w:rsidR="00EB00D3">
        <w:t>for clarifying program guidance and refining activities, as well as for understanding whether and how local circumstances shape program delivery</w:t>
      </w:r>
      <w:r>
        <w:t xml:space="preserve">. </w:t>
      </w:r>
      <w:r w:rsidR="00EB00D3">
        <w:t>Many</w:t>
      </w:r>
      <w:r>
        <w:t xml:space="preserve"> program developers have a theory of action</w:t>
      </w:r>
      <w:r w:rsidR="00EB00D3">
        <w:t xml:space="preserve">, or a model of change, </w:t>
      </w:r>
      <w:r>
        <w:t>about the program elements</w:t>
      </w:r>
      <w:r w:rsidR="00EB00D3">
        <w:t xml:space="preserve"> </w:t>
      </w:r>
      <w:r>
        <w:t xml:space="preserve">that </w:t>
      </w:r>
      <w:r w:rsidR="00EB00D3">
        <w:t xml:space="preserve">they believe will </w:t>
      </w:r>
      <w:r>
        <w:t xml:space="preserve">lead to </w:t>
      </w:r>
      <w:r w:rsidR="00EB00D3">
        <w:t xml:space="preserve">specific </w:t>
      </w:r>
      <w:r>
        <w:t>outcomes for participating individuals and</w:t>
      </w:r>
      <w:r w:rsidR="00EB00D3">
        <w:t xml:space="preserve">/or </w:t>
      </w:r>
      <w:r>
        <w:t>organizations</w:t>
      </w:r>
      <w:r w:rsidR="003052ED">
        <w:t xml:space="preserve"> such as schools</w:t>
      </w:r>
      <w:r>
        <w:t xml:space="preserve">. </w:t>
      </w:r>
      <w:r w:rsidRPr="006507DB">
        <w:t>Monitoring and document</w:t>
      </w:r>
      <w:r>
        <w:t xml:space="preserve">ing </w:t>
      </w:r>
      <w:r w:rsidR="00EB00D3">
        <w:t xml:space="preserve">a </w:t>
      </w:r>
      <w:r w:rsidR="00EB00D3">
        <w:lastRenderedPageBreak/>
        <w:t xml:space="preserve">program’s </w:t>
      </w:r>
      <w:r>
        <w:t xml:space="preserve">resources, </w:t>
      </w:r>
      <w:r w:rsidR="000A03A5">
        <w:t xml:space="preserve">training, support, and </w:t>
      </w:r>
      <w:r w:rsidRPr="006507DB">
        <w:t xml:space="preserve">practices </w:t>
      </w:r>
      <w:r>
        <w:t xml:space="preserve">can </w:t>
      </w:r>
      <w:r w:rsidR="006839F1">
        <w:t xml:space="preserve">be used for planning expansion or replication efforts as well as </w:t>
      </w:r>
      <w:r w:rsidRPr="006507DB">
        <w:t>provide</w:t>
      </w:r>
      <w:r>
        <w:t xml:space="preserve"> information about </w:t>
      </w:r>
      <w:r w:rsidR="00723438">
        <w:t>if</w:t>
      </w:r>
      <w:r w:rsidRPr="006507DB">
        <w:t xml:space="preserve"> the intervention </w:t>
      </w:r>
      <w:r w:rsidR="00723438">
        <w:t xml:space="preserve">was implemented </w:t>
      </w:r>
      <w:r w:rsidRPr="006507DB">
        <w:t xml:space="preserve">as intended. Program monitoring </w:t>
      </w:r>
      <w:r>
        <w:t>can reveal</w:t>
      </w:r>
      <w:r w:rsidRPr="006507DB">
        <w:t xml:space="preserve"> </w:t>
      </w:r>
      <w:r w:rsidR="00723438">
        <w:t>cases</w:t>
      </w:r>
      <w:r w:rsidRPr="006507DB">
        <w:t xml:space="preserve"> of high implementation as well as occurrences of program drift (Bond</w:t>
      </w:r>
      <w:r w:rsidR="00643782">
        <w:t>, Evans, Salyers, &amp; Kim,</w:t>
      </w:r>
      <w:r w:rsidRPr="006507DB">
        <w:t xml:space="preserve"> 2000; Mowbray</w:t>
      </w:r>
      <w:r w:rsidR="00643782">
        <w:t>, Holter, Teague, &amp; Bybee</w:t>
      </w:r>
      <w:r w:rsidRPr="006507DB">
        <w:t xml:space="preserve">, 2003). </w:t>
      </w:r>
    </w:p>
    <w:p w:rsidR="00A75A73" w:rsidRPr="006507DB" w:rsidRDefault="00A75A73" w:rsidP="00EC0260">
      <w:pPr>
        <w:pStyle w:val="BodyText"/>
      </w:pPr>
      <w:r w:rsidRPr="006507DB">
        <w:t xml:space="preserve">When </w:t>
      </w:r>
      <w:r w:rsidR="00723438">
        <w:t xml:space="preserve">evidence emerges that an initiative </w:t>
      </w:r>
      <w:r w:rsidR="00742DA9">
        <w:t>was</w:t>
      </w:r>
      <w:r w:rsidR="00723438">
        <w:t xml:space="preserve"> not implemented as intended</w:t>
      </w:r>
      <w:r w:rsidRPr="006507DB">
        <w:t>, technical assistance</w:t>
      </w:r>
      <w:r w:rsidR="0017704B">
        <w:t xml:space="preserve"> providers</w:t>
      </w:r>
      <w:r w:rsidRPr="006507DB">
        <w:t xml:space="preserve">, coaches, and other </w:t>
      </w:r>
      <w:r w:rsidR="0017704B">
        <w:t xml:space="preserve">support </w:t>
      </w:r>
      <w:r w:rsidR="00723438">
        <w:t>staff</w:t>
      </w:r>
      <w:r w:rsidR="0017704B">
        <w:t xml:space="preserve"> </w:t>
      </w:r>
      <w:r w:rsidRPr="006507DB">
        <w:t>can target</w:t>
      </w:r>
      <w:r w:rsidR="00B955E6">
        <w:t xml:space="preserve"> those</w:t>
      </w:r>
      <w:r w:rsidRPr="006507DB">
        <w:t xml:space="preserve"> facing</w:t>
      </w:r>
      <w:r w:rsidR="00B955E6">
        <w:t xml:space="preserve"> implementation</w:t>
      </w:r>
      <w:r w:rsidRPr="006507DB">
        <w:t xml:space="preserve"> challenges t</w:t>
      </w:r>
      <w:r>
        <w:t>o refocus efforts</w:t>
      </w:r>
      <w:r w:rsidR="000A03A5">
        <w:t xml:space="preserve">. </w:t>
      </w:r>
      <w:r w:rsidRPr="006507DB">
        <w:t xml:space="preserve">Additional assistance </w:t>
      </w:r>
      <w:r w:rsidR="00404663">
        <w:t>can s</w:t>
      </w:r>
      <w:r>
        <w:t xml:space="preserve">erve multiple purposes, including strengthening aspects of </w:t>
      </w:r>
      <w:r w:rsidR="006839F1">
        <w:t xml:space="preserve">problematic </w:t>
      </w:r>
      <w:r>
        <w:t>implementation,</w:t>
      </w:r>
      <w:r w:rsidR="00E060CD">
        <w:t xml:space="preserve"> </w:t>
      </w:r>
      <w:r>
        <w:t>ensuring greater consistency in multi-site implementation efforts, and helping program developers</w:t>
      </w:r>
      <w:r w:rsidR="00B955E6">
        <w:t xml:space="preserve">, funders, and </w:t>
      </w:r>
      <w:r w:rsidR="006839F1">
        <w:t>other</w:t>
      </w:r>
      <w:r w:rsidR="00B955E6">
        <w:t xml:space="preserve"> stakeholders</w:t>
      </w:r>
      <w:r>
        <w:t xml:space="preserve"> articulate which supports are necessary for meaningful implementation of program components.</w:t>
      </w:r>
      <w:r w:rsidR="0017704B">
        <w:t xml:space="preserve"> </w:t>
      </w:r>
      <w:r w:rsidR="00723438">
        <w:t>In the case of the Massachusetts ELT initiative, earl</w:t>
      </w:r>
      <w:r w:rsidR="006839F1">
        <w:t>ier</w:t>
      </w:r>
      <w:r w:rsidR="00723438">
        <w:t xml:space="preserve"> data about implementation variation contributed to </w:t>
      </w:r>
      <w:r w:rsidR="006839F1">
        <w:t xml:space="preserve">more specific and detailed </w:t>
      </w:r>
      <w:r w:rsidR="00723438">
        <w:t>guidance from the Massachusetts Department of Elementary and Secondary Education as well as changes in the nature of technical assistance provided to ELT schools.</w:t>
      </w:r>
      <w:r w:rsidR="006839F1">
        <w:t xml:space="preserve"> </w:t>
      </w:r>
    </w:p>
    <w:p w:rsidR="00A75A73" w:rsidRPr="006507DB" w:rsidRDefault="00A75A73" w:rsidP="00EC0260">
      <w:pPr>
        <w:pStyle w:val="BodyText"/>
      </w:pPr>
      <w:r>
        <w:t>Further, m</w:t>
      </w:r>
      <w:r w:rsidRPr="006507DB">
        <w:t xml:space="preserve">easuring implementation fidelity </w:t>
      </w:r>
      <w:r>
        <w:t xml:space="preserve">represents one strategy for </w:t>
      </w:r>
      <w:r w:rsidR="00742DA9">
        <w:t>examining if</w:t>
      </w:r>
      <w:r w:rsidR="00742DA9" w:rsidRPr="006507DB">
        <w:t xml:space="preserve"> </w:t>
      </w:r>
      <w:r w:rsidRPr="006507DB">
        <w:t xml:space="preserve">outcomes of interest </w:t>
      </w:r>
      <w:r w:rsidR="00742DA9">
        <w:t>are indeed</w:t>
      </w:r>
      <w:r w:rsidRPr="006507DB">
        <w:t xml:space="preserve"> related to the delivery of an intervention</w:t>
      </w:r>
      <w:r>
        <w:t>, and therefore can help establish internal validity</w:t>
      </w:r>
      <w:r w:rsidRPr="006507DB">
        <w:t xml:space="preserve">. In other words, researchers </w:t>
      </w:r>
      <w:r>
        <w:t>can only confirm that</w:t>
      </w:r>
      <w:r w:rsidR="00723438">
        <w:t xml:space="preserve"> </w:t>
      </w:r>
      <w:r>
        <w:t xml:space="preserve">outcomes </w:t>
      </w:r>
      <w:r w:rsidR="00723438">
        <w:t>can</w:t>
      </w:r>
      <w:r>
        <w:t xml:space="preserve"> be attributed to a program if </w:t>
      </w:r>
      <w:r w:rsidRPr="006507DB">
        <w:t xml:space="preserve">the critical components of </w:t>
      </w:r>
      <w:r>
        <w:t xml:space="preserve">that program </w:t>
      </w:r>
      <w:r w:rsidRPr="006507DB">
        <w:t>were indeed delivered as intended</w:t>
      </w:r>
      <w:r w:rsidR="00866680">
        <w:t>;</w:t>
      </w:r>
      <w:r w:rsidRPr="006507DB">
        <w:t xml:space="preserve"> evidence of high levels of fidelity is a necessary (though not sufficient) ingredient in establishing the relationship between elements of the intervention and the resulting outcome</w:t>
      </w:r>
      <w:r>
        <w:t>(s)</w:t>
      </w:r>
      <w:r w:rsidRPr="006507DB">
        <w:t xml:space="preserve"> of interest</w:t>
      </w:r>
      <w:r w:rsidR="00866680">
        <w:t xml:space="preserve"> (</w:t>
      </w:r>
      <w:r w:rsidR="00866680" w:rsidRPr="006507DB">
        <w:t>Gresham</w:t>
      </w:r>
      <w:r w:rsidR="00643782">
        <w:t>, Gansle, &amp; Noell</w:t>
      </w:r>
      <w:r w:rsidR="00866680">
        <w:t>,</w:t>
      </w:r>
      <w:r w:rsidR="00866680" w:rsidRPr="006507DB">
        <w:t xml:space="preserve"> 1993)</w:t>
      </w:r>
      <w:r w:rsidRPr="006507DB">
        <w:t xml:space="preserve">. </w:t>
      </w:r>
    </w:p>
    <w:p w:rsidR="00A75A73" w:rsidRPr="006507DB" w:rsidRDefault="00A75A73" w:rsidP="00EC0260">
      <w:pPr>
        <w:pStyle w:val="BodyText"/>
      </w:pPr>
      <w:r w:rsidRPr="006507DB">
        <w:t xml:space="preserve">Fidelity </w:t>
      </w:r>
      <w:r>
        <w:t xml:space="preserve">measures </w:t>
      </w:r>
      <w:r w:rsidRPr="006507DB">
        <w:t xml:space="preserve">can </w:t>
      </w:r>
      <w:r>
        <w:t xml:space="preserve">provide information about whether and how </w:t>
      </w:r>
      <w:r w:rsidRPr="006507DB">
        <w:t>critical programmatic elements are delivered in</w:t>
      </w:r>
      <w:r>
        <w:t xml:space="preserve"> </w:t>
      </w:r>
      <w:r w:rsidR="00B324AF">
        <w:t xml:space="preserve">the targeted </w:t>
      </w:r>
      <w:r>
        <w:t xml:space="preserve">settings </w:t>
      </w:r>
      <w:r w:rsidRPr="006507DB">
        <w:t>(</w:t>
      </w:r>
      <w:r>
        <w:t xml:space="preserve">in </w:t>
      </w:r>
      <w:r w:rsidR="00B324AF">
        <w:t xml:space="preserve">this </w:t>
      </w:r>
      <w:r>
        <w:t xml:space="preserve">case, </w:t>
      </w:r>
      <w:r w:rsidRPr="006507DB">
        <w:t>schools) a</w:t>
      </w:r>
      <w:r>
        <w:t xml:space="preserve">s well as </w:t>
      </w:r>
      <w:r w:rsidRPr="006507DB">
        <w:t xml:space="preserve">those </w:t>
      </w:r>
      <w:r>
        <w:t xml:space="preserve">settings (and their participants) </w:t>
      </w:r>
      <w:r w:rsidRPr="006507DB">
        <w:t>serving as comparisons</w:t>
      </w:r>
      <w:r>
        <w:t xml:space="preserve">. Researchers can assess whether the implementation elements were decidedly different for one or the other settings/groups. </w:t>
      </w:r>
      <w:r w:rsidR="00742DA9">
        <w:t>For the ELT</w:t>
      </w:r>
      <w:r w:rsidR="00B324AF">
        <w:t xml:space="preserve"> </w:t>
      </w:r>
      <w:r w:rsidR="00742DA9">
        <w:t>i</w:t>
      </w:r>
      <w:r w:rsidR="00B324AF">
        <w:t>nitiative</w:t>
      </w:r>
      <w:r w:rsidRPr="006507DB">
        <w:t xml:space="preserve">, implementation </w:t>
      </w:r>
      <w:r w:rsidR="00742DA9">
        <w:t>measures examined</w:t>
      </w:r>
      <w:r w:rsidRPr="006507DB">
        <w:t xml:space="preserve"> </w:t>
      </w:r>
      <w:r w:rsidR="00742DA9">
        <w:t>if</w:t>
      </w:r>
      <w:r w:rsidR="003052ED">
        <w:t xml:space="preserve"> </w:t>
      </w:r>
      <w:r w:rsidR="00B324AF">
        <w:t xml:space="preserve">ELT </w:t>
      </w:r>
      <w:r>
        <w:t>schools were implementing the requisite elements and th</w:t>
      </w:r>
      <w:r w:rsidR="00CE4691">
        <w:t>en if</w:t>
      </w:r>
      <w:r>
        <w:t xml:space="preserve"> </w:t>
      </w:r>
      <w:r w:rsidR="00CE4691">
        <w:t xml:space="preserve">and how the time in the school day was </w:t>
      </w:r>
      <w:r>
        <w:t>systematically differently than</w:t>
      </w:r>
      <w:r w:rsidR="00CE4691">
        <w:t xml:space="preserve"> for</w:t>
      </w:r>
      <w:r>
        <w:t xml:space="preserve"> students who attended </w:t>
      </w:r>
      <w:r w:rsidR="003052ED">
        <w:t xml:space="preserve">other </w:t>
      </w:r>
      <w:r w:rsidR="00B324AF">
        <w:t xml:space="preserve">(non-ELT) </w:t>
      </w:r>
      <w:r>
        <w:t xml:space="preserve">schools. </w:t>
      </w:r>
      <w:r w:rsidRPr="006507DB">
        <w:t xml:space="preserve">If differences are not verified, any subsequent differences in outcomes cannot justifiably be attributed to the intervention.    </w:t>
      </w:r>
    </w:p>
    <w:p w:rsidR="00A75A73" w:rsidRDefault="00CE4691" w:rsidP="00EC0260">
      <w:pPr>
        <w:pStyle w:val="BodyText"/>
      </w:pPr>
      <w:r>
        <w:t>In sum, g</w:t>
      </w:r>
      <w:r w:rsidR="00A75A73" w:rsidRPr="006507DB">
        <w:t>iven the importance of capturing the level of implementatio</w:t>
      </w:r>
      <w:r w:rsidR="00A75A73">
        <w:t>n fidelity accurately</w:t>
      </w:r>
      <w:r w:rsidR="00A75A73" w:rsidRPr="006507DB">
        <w:t xml:space="preserve">, </w:t>
      </w:r>
      <w:r w:rsidR="00A75A73">
        <w:t>research</w:t>
      </w:r>
      <w:r w:rsidR="00E060CD">
        <w:t xml:space="preserve"> needs to focus on</w:t>
      </w:r>
      <w:r w:rsidR="00A75A73">
        <w:t xml:space="preserve"> </w:t>
      </w:r>
      <w:r w:rsidR="00A75A73" w:rsidRPr="006507DB">
        <w:t xml:space="preserve">distinctive </w:t>
      </w:r>
      <w:r w:rsidR="00A75A73">
        <w:t xml:space="preserve">program </w:t>
      </w:r>
      <w:r w:rsidR="00A75A73" w:rsidRPr="006507DB">
        <w:t xml:space="preserve">components theorized to </w:t>
      </w:r>
      <w:r w:rsidR="00A75A73">
        <w:t>produce desired outcomes. Such measures</w:t>
      </w:r>
      <w:r w:rsidR="003052ED">
        <w:t xml:space="preserve"> can</w:t>
      </w:r>
      <w:r w:rsidR="00A75A73">
        <w:t xml:space="preserve"> capitalize upon data from multiple sources and </w:t>
      </w:r>
      <w:r w:rsidR="00A75A73" w:rsidRPr="006507DB">
        <w:t>across multiple time points</w:t>
      </w:r>
      <w:r w:rsidR="00A75A73">
        <w:t xml:space="preserve">. However, researchers </w:t>
      </w:r>
      <w:r w:rsidR="00E060CD">
        <w:t>should also</w:t>
      </w:r>
      <w:r w:rsidR="00A75A73">
        <w:t xml:space="preserve"> balance the availability of rich data about various aspects of implementation with the potentially daunting task of </w:t>
      </w:r>
      <w:r w:rsidR="00A75A73" w:rsidRPr="006507DB">
        <w:t xml:space="preserve">synthesizing </w:t>
      </w:r>
      <w:r w:rsidR="00A75A73">
        <w:t xml:space="preserve">those </w:t>
      </w:r>
      <w:r w:rsidR="00A75A73" w:rsidRPr="006507DB">
        <w:t>data to answer questions about how the program was implemented, by whom, and under what circumstances (Century</w:t>
      </w:r>
      <w:r w:rsidR="00D106A7">
        <w:t>, Rudnick, &amp; Freeman,</w:t>
      </w:r>
      <w:r w:rsidR="00A75A73" w:rsidRPr="006507DB">
        <w:t xml:space="preserve"> 2010). </w:t>
      </w:r>
      <w:r w:rsidR="00A75A73">
        <w:t xml:space="preserve">Recent </w:t>
      </w:r>
      <w:r w:rsidR="00B324AF">
        <w:t xml:space="preserve">research </w:t>
      </w:r>
      <w:r w:rsidR="00A75A73">
        <w:t>highlight</w:t>
      </w:r>
      <w:r w:rsidR="00B324AF">
        <w:t xml:space="preserve">s </w:t>
      </w:r>
      <w:r w:rsidR="00A75A73">
        <w:t>the importance of collecting and analyzing implementation data in program evaluation</w:t>
      </w:r>
      <w:r w:rsidR="00B324AF">
        <w:t xml:space="preserve">, whether within </w:t>
      </w:r>
      <w:r w:rsidR="00A75A73" w:rsidRPr="006507DB">
        <w:t>academic interventions (Century et al</w:t>
      </w:r>
      <w:r w:rsidR="00D106A7">
        <w:t>.</w:t>
      </w:r>
      <w:r w:rsidR="00A75A73" w:rsidRPr="006507DB">
        <w:t>, 2010), drug abuse preventions (Dusenbury</w:t>
      </w:r>
      <w:r w:rsidR="00D106A7">
        <w:t>, Brannigan, Falco, &amp; Hansen,</w:t>
      </w:r>
      <w:r w:rsidR="00A75A73" w:rsidRPr="006507DB">
        <w:t xml:space="preserve"> 2003), and across social and educational programs (</w:t>
      </w:r>
      <w:r w:rsidR="00A75A73">
        <w:t>Fixsen</w:t>
      </w:r>
      <w:r w:rsidR="00D106A7">
        <w:t xml:space="preserve">, Naoom, Blasé, Friedman, &amp; Wallace, 2005). </w:t>
      </w:r>
      <w:r w:rsidR="00A75A73">
        <w:t xml:space="preserve">Yet even </w:t>
      </w:r>
      <w:r w:rsidR="00B324AF">
        <w:t>as researchers increasingly acknowledge the importance of implementation data,</w:t>
      </w:r>
      <w:r w:rsidR="00A75A73">
        <w:t xml:space="preserve"> </w:t>
      </w:r>
      <w:r w:rsidR="00F52187">
        <w:t xml:space="preserve">comprehensive </w:t>
      </w:r>
      <w:r w:rsidR="00A75A73">
        <w:t xml:space="preserve">guidance about </w:t>
      </w:r>
      <w:r w:rsidR="00F52187">
        <w:t xml:space="preserve">to </w:t>
      </w:r>
      <w:r w:rsidR="00A75A73">
        <w:t>use implementation data well</w:t>
      </w:r>
      <w:r w:rsidR="00F52187">
        <w:t>—including</w:t>
      </w:r>
      <w:r w:rsidR="00B324AF">
        <w:t xml:space="preserve"> </w:t>
      </w:r>
      <w:r w:rsidR="00F52187">
        <w:t xml:space="preserve">transforming </w:t>
      </w:r>
      <w:r w:rsidR="00A75A73">
        <w:t xml:space="preserve">data into a </w:t>
      </w:r>
      <w:r w:rsidR="00B324AF">
        <w:t xml:space="preserve">meaningful </w:t>
      </w:r>
      <w:r w:rsidR="00F52187">
        <w:t xml:space="preserve">and systematic </w:t>
      </w:r>
      <w:r w:rsidR="00A75A73">
        <w:t>index</w:t>
      </w:r>
      <w:r w:rsidR="00F52187">
        <w:t>—</w:t>
      </w:r>
      <w:r w:rsidR="00E060CD">
        <w:t>is</w:t>
      </w:r>
      <w:r w:rsidR="00F52187">
        <w:t xml:space="preserve"> </w:t>
      </w:r>
      <w:r w:rsidR="00E060CD">
        <w:t xml:space="preserve">still in the </w:t>
      </w:r>
      <w:r w:rsidR="00796D80">
        <w:t xml:space="preserve">process of </w:t>
      </w:r>
      <w:r w:rsidR="00E060CD">
        <w:t xml:space="preserve">development </w:t>
      </w:r>
      <w:r w:rsidR="00796D80">
        <w:t>and refinement.</w:t>
      </w:r>
      <w:r w:rsidR="00A75A73">
        <w:t xml:space="preserve"> </w:t>
      </w:r>
    </w:p>
    <w:p w:rsidR="00A75A73" w:rsidRPr="0063646B" w:rsidRDefault="00A75A73" w:rsidP="00A75A73">
      <w:pPr>
        <w:pStyle w:val="Heading2"/>
        <w:numPr>
          <w:ilvl w:val="0"/>
          <w:numId w:val="0"/>
        </w:numPr>
      </w:pPr>
      <w:r>
        <w:t xml:space="preserve">Case of Massachusetts Expanded Learning Time (ELT) </w:t>
      </w:r>
    </w:p>
    <w:p w:rsidR="00154700" w:rsidRDefault="00A75A73" w:rsidP="00EC0260">
      <w:pPr>
        <w:pStyle w:val="BodyText"/>
      </w:pPr>
      <w:r>
        <w:t xml:space="preserve">We now </w:t>
      </w:r>
      <w:r w:rsidR="00F52187">
        <w:t xml:space="preserve">turn </w:t>
      </w:r>
      <w:r>
        <w:t xml:space="preserve">to </w:t>
      </w:r>
      <w:r w:rsidR="00A35A93">
        <w:t>describing</w:t>
      </w:r>
      <w:r w:rsidR="00F52187">
        <w:t xml:space="preserve"> the</w:t>
      </w:r>
      <w:r w:rsidR="00E060CD">
        <w:t xml:space="preserve"> </w:t>
      </w:r>
      <w:r>
        <w:t>develop</w:t>
      </w:r>
      <w:r w:rsidR="00F52187">
        <w:t xml:space="preserve">ment of </w:t>
      </w:r>
      <w:r>
        <w:t>an implementation index in the context of the Massachusetts Expanded Learning Time (ELT) initiative.</w:t>
      </w:r>
      <w:r w:rsidRPr="006507DB">
        <w:t xml:space="preserve"> </w:t>
      </w:r>
      <w:r>
        <w:t xml:space="preserve">The Massachusetts ELT initiative provides state-funded grants to selected schools across multiple districts to increase instructional time by at least </w:t>
      </w:r>
      <w:r>
        <w:lastRenderedPageBreak/>
        <w:t>300 hours per academic year. Participating schools receive an additional $1</w:t>
      </w:r>
      <w:r w:rsidR="00154700">
        <w:t>,</w:t>
      </w:r>
      <w:r>
        <w:t xml:space="preserve">300 per student to lengthen the day and/or year. </w:t>
      </w:r>
      <w:r w:rsidR="00154700">
        <w:t>Th</w:t>
      </w:r>
      <w:r w:rsidR="00A35A93">
        <w:t>e</w:t>
      </w:r>
      <w:r w:rsidR="00154700">
        <w:t xml:space="preserve"> evaluation included t</w:t>
      </w:r>
      <w:r>
        <w:t xml:space="preserve">he first cohort of 10 ELT schools (in five districts) </w:t>
      </w:r>
      <w:r w:rsidR="00154700">
        <w:t xml:space="preserve">that </w:t>
      </w:r>
      <w:r>
        <w:t xml:space="preserve">received implementation grants for their expanded programs in the fall of 2006, a second cohort of nine schools (and three new districts) </w:t>
      </w:r>
      <w:r w:rsidR="00154700">
        <w:t xml:space="preserve">that </w:t>
      </w:r>
      <w:r>
        <w:t xml:space="preserve">began implementation in the fall of 2007, and nine ELT schools (and four new districts) </w:t>
      </w:r>
      <w:r w:rsidR="00154700">
        <w:t xml:space="preserve">that </w:t>
      </w:r>
      <w:r>
        <w:t>began implementation in 2008-09.</w:t>
      </w:r>
      <w:r w:rsidR="00BE572D">
        <w:rPr>
          <w:rStyle w:val="FootnoteReference"/>
          <w:sz w:val="24"/>
          <w:szCs w:val="24"/>
        </w:rPr>
        <w:footnoteReference w:id="2"/>
      </w:r>
      <w:r>
        <w:t xml:space="preserve"> </w:t>
      </w:r>
    </w:p>
    <w:p w:rsidR="00A75A73" w:rsidRDefault="00A75A73" w:rsidP="00EC0260">
      <w:pPr>
        <w:pStyle w:val="BodyText"/>
      </w:pPr>
      <w:r>
        <w:t xml:space="preserve">While the specific expectations for how schools should use their additional time have evolved over time, the major objectives remain the same: 1) provide more instructional opportunities in core academic subjects; 2) integrate enrichment opportunities into student learning; and 3) provide educators with increased opportunities to plan </w:t>
      </w:r>
      <w:r w:rsidR="00CE4691">
        <w:t xml:space="preserve">instruction </w:t>
      </w:r>
      <w:r>
        <w:t xml:space="preserve">and participate in professional development. </w:t>
      </w:r>
      <w:r w:rsidR="00D408A7">
        <w:t>F</w:t>
      </w:r>
      <w:r w:rsidR="0030110F">
        <w:t xml:space="preserve">rom the beginning of the </w:t>
      </w:r>
      <w:r w:rsidR="00F52187">
        <w:t xml:space="preserve">Massachusetts </w:t>
      </w:r>
      <w:r w:rsidR="0030110F">
        <w:t xml:space="preserve">ELT </w:t>
      </w:r>
      <w:r w:rsidR="00A061FF">
        <w:t>i</w:t>
      </w:r>
      <w:r w:rsidR="0030110F">
        <w:t>nitiative</w:t>
      </w:r>
      <w:r>
        <w:t>, formal technical assistance was provided to</w:t>
      </w:r>
      <w:r w:rsidR="0017573A">
        <w:t xml:space="preserve"> most ELT schools from </w:t>
      </w:r>
      <w:r>
        <w:t>Massachusetts 2020</w:t>
      </w:r>
      <w:r w:rsidR="0017573A">
        <w:t xml:space="preserve"> (Mass 2020)</w:t>
      </w:r>
      <w:r w:rsidR="00796D80">
        <w:t>, now a state affiliate of the National Center on Time and Learning,</w:t>
      </w:r>
      <w:r>
        <w:t xml:space="preserve"> </w:t>
      </w:r>
      <w:r w:rsidR="003052ED">
        <w:t xml:space="preserve">and Focus on Results </w:t>
      </w:r>
      <w:r>
        <w:t>through leadership training sessions and/or ongoing individualized coaching.</w:t>
      </w:r>
    </w:p>
    <w:p w:rsidR="00A75A73" w:rsidRDefault="00A75A73" w:rsidP="00EC0260">
      <w:pPr>
        <w:pStyle w:val="BodyText"/>
      </w:pPr>
      <w:r w:rsidRPr="006507DB">
        <w:t xml:space="preserve">After </w:t>
      </w:r>
      <w:r>
        <w:t xml:space="preserve">three </w:t>
      </w:r>
      <w:r w:rsidRPr="006507DB">
        <w:t xml:space="preserve">years of </w:t>
      </w:r>
      <w:r>
        <w:t xml:space="preserve">examining </w:t>
      </w:r>
      <w:r w:rsidRPr="006507DB">
        <w:t>implementation and</w:t>
      </w:r>
      <w:r>
        <w:t xml:space="preserve"> early</w:t>
      </w:r>
      <w:r w:rsidRPr="006507DB">
        <w:t xml:space="preserve"> outcomes of the ELT </w:t>
      </w:r>
      <w:r w:rsidR="000A03A5">
        <w:t>i</w:t>
      </w:r>
      <w:r w:rsidRPr="006507DB">
        <w:t>nitiative</w:t>
      </w:r>
      <w:r>
        <w:t xml:space="preserve"> as successive cohorts of schools began to implement ELT</w:t>
      </w:r>
      <w:r w:rsidRPr="006507DB">
        <w:t xml:space="preserve">, </w:t>
      </w:r>
      <w:r>
        <w:t xml:space="preserve">we </w:t>
      </w:r>
      <w:r w:rsidR="00B955E6">
        <w:t xml:space="preserve">recognized </w:t>
      </w:r>
      <w:r w:rsidR="00B324AF">
        <w:t>that our efforts to describe and understand implementation of a multi-faceted initiative were too limited. W</w:t>
      </w:r>
      <w:r>
        <w:t xml:space="preserve">e </w:t>
      </w:r>
      <w:r w:rsidR="00B324AF">
        <w:t xml:space="preserve">believed that we needed </w:t>
      </w:r>
      <w:r>
        <w:t xml:space="preserve">to understand implementation </w:t>
      </w:r>
      <w:r w:rsidR="00B324AF">
        <w:t xml:space="preserve">of specific program components </w:t>
      </w:r>
      <w:r>
        <w:t>more thoroughly, and ultimately</w:t>
      </w:r>
      <w:r w:rsidR="00154700">
        <w:t xml:space="preserve"> explore</w:t>
      </w:r>
      <w:r>
        <w:t xml:space="preserve"> whether certain implementation factors might be influencing the</w:t>
      </w:r>
      <w:r w:rsidR="003052ED">
        <w:t xml:space="preserve"> study’s outcomes f</w:t>
      </w:r>
      <w:r w:rsidR="00465E1B">
        <w:t xml:space="preserve">indings. </w:t>
      </w:r>
      <w:r w:rsidR="00CE4691">
        <w:t xml:space="preserve">This interest was driven in part by </w:t>
      </w:r>
      <w:r w:rsidR="00465E1B">
        <w:t>the evaluation</w:t>
      </w:r>
      <w:r w:rsidR="00CE4691">
        <w:t>’s</w:t>
      </w:r>
      <w:r w:rsidR="00465E1B">
        <w:t xml:space="preserve"> </w:t>
      </w:r>
      <w:r w:rsidR="001050BA">
        <w:t xml:space="preserve">lack of </w:t>
      </w:r>
      <w:r>
        <w:t>consistent impact</w:t>
      </w:r>
      <w:r w:rsidR="001050BA">
        <w:t>s</w:t>
      </w:r>
      <w:r>
        <w:t xml:space="preserve"> on student</w:t>
      </w:r>
      <w:r w:rsidR="001050BA">
        <w:t xml:space="preserve"> achievement outcome</w:t>
      </w:r>
      <w:r>
        <w:t>s</w:t>
      </w:r>
      <w:r w:rsidR="00465E1B">
        <w:t xml:space="preserve"> over the course of the study period</w:t>
      </w:r>
      <w:r w:rsidR="00154700">
        <w:t xml:space="preserve"> and the desire to better understand the role of implementation</w:t>
      </w:r>
      <w:r>
        <w:t>.</w:t>
      </w:r>
    </w:p>
    <w:p w:rsidR="00A75A73" w:rsidRDefault="00154700" w:rsidP="00EC0260">
      <w:pPr>
        <w:pStyle w:val="BodyText"/>
      </w:pPr>
      <w:r>
        <w:t>As of the 2009-10 school year, t</w:t>
      </w:r>
      <w:r w:rsidR="00A75A73">
        <w:t xml:space="preserve">he study </w:t>
      </w:r>
      <w:r>
        <w:t xml:space="preserve">was </w:t>
      </w:r>
      <w:r w:rsidR="00A75A73">
        <w:t>collecting interview and survey data about various aspects of increas</w:t>
      </w:r>
      <w:r w:rsidR="00CE4691">
        <w:t>ed</w:t>
      </w:r>
      <w:r w:rsidR="00A75A73">
        <w:t xml:space="preserve"> instructional time (e.g., availability of staff support, professional development and technical assistance in general, satisfaction with the expanded day structure)</w:t>
      </w:r>
      <w:r>
        <w:t>.</w:t>
      </w:r>
      <w:r w:rsidR="00A345FB">
        <w:t xml:space="preserve"> </w:t>
      </w:r>
      <w:r>
        <w:t>H</w:t>
      </w:r>
      <w:r w:rsidR="00A345FB">
        <w:t>owever,</w:t>
      </w:r>
      <w:r w:rsidR="00A75A73">
        <w:t xml:space="preserve"> </w:t>
      </w:r>
      <w:r w:rsidR="0030110F">
        <w:t>such</w:t>
      </w:r>
      <w:r w:rsidR="00A75A73" w:rsidRPr="006507DB">
        <w:t xml:space="preserve"> information was </w:t>
      </w:r>
      <w:r w:rsidR="00A75A73">
        <w:t xml:space="preserve">not detailed enough </w:t>
      </w:r>
      <w:r w:rsidR="00A75A73" w:rsidRPr="006507DB">
        <w:t xml:space="preserve">to understand variation in implementation </w:t>
      </w:r>
      <w:r w:rsidR="0030110F">
        <w:t>systematically</w:t>
      </w:r>
      <w:r w:rsidR="0030110F" w:rsidRPr="006507DB">
        <w:t xml:space="preserve"> </w:t>
      </w:r>
      <w:r w:rsidR="00A75A73" w:rsidRPr="006507DB">
        <w:t>across the ELT schools.</w:t>
      </w:r>
      <w:r w:rsidR="00A75A73">
        <w:t xml:space="preserve"> </w:t>
      </w:r>
      <w:r w:rsidR="0030110F">
        <w:t xml:space="preserve">In particular, </w:t>
      </w:r>
      <w:r>
        <w:t>more</w:t>
      </w:r>
      <w:r w:rsidR="0030110F">
        <w:t xml:space="preserve"> </w:t>
      </w:r>
      <w:r w:rsidR="00A75A73">
        <w:t xml:space="preserve">specific information about student and staff schedules, </w:t>
      </w:r>
      <w:r w:rsidR="0030110F">
        <w:t xml:space="preserve">and </w:t>
      </w:r>
      <w:r w:rsidR="00A75A73">
        <w:t>about the amount of time available for different types of instruction and</w:t>
      </w:r>
      <w:r w:rsidR="0030110F">
        <w:t xml:space="preserve">/or </w:t>
      </w:r>
      <w:r w:rsidR="00444A68">
        <w:t>students</w:t>
      </w:r>
      <w:r w:rsidR="0030110F">
        <w:t xml:space="preserve"> </w:t>
      </w:r>
      <w:r>
        <w:t>was desired</w:t>
      </w:r>
      <w:r w:rsidR="00444A68">
        <w:t xml:space="preserve">. It should be noted that </w:t>
      </w:r>
      <w:r w:rsidR="00A75A73">
        <w:t>information about time allocations is not straightforward, especially in middle grades, when no</w:t>
      </w:r>
      <w:r w:rsidR="00B21C05">
        <w:t xml:space="preserve"> t</w:t>
      </w:r>
      <w:r w:rsidR="00A75A73">
        <w:t>wo students (or teachers) are likely to have the same schedule or spend the same amount of time on</w:t>
      </w:r>
      <w:r w:rsidR="00444A68">
        <w:t xml:space="preserve"> specific subject areas. In addition, </w:t>
      </w:r>
      <w:r w:rsidR="00A75A73">
        <w:t>schools</w:t>
      </w:r>
      <w:r w:rsidR="00444A68">
        <w:t xml:space="preserve"> do not</w:t>
      </w:r>
      <w:r w:rsidR="00A75A73">
        <w:t xml:space="preserve"> necessarily use the same terminology to identify certain instructional activities (e.g., “electives” </w:t>
      </w:r>
      <w:r w:rsidR="00465E1B">
        <w:t>versus</w:t>
      </w:r>
      <w:r w:rsidR="00A75A73">
        <w:t xml:space="preserve"> “specials,” “remediation”</w:t>
      </w:r>
      <w:r w:rsidR="00465E1B">
        <w:t xml:space="preserve"> versus</w:t>
      </w:r>
      <w:r w:rsidR="00A75A73">
        <w:t xml:space="preserve"> “academic support”)</w:t>
      </w:r>
      <w:r w:rsidR="00444A68">
        <w:t>.</w:t>
      </w:r>
      <w:r w:rsidR="00A75A73">
        <w:t xml:space="preserve"> </w:t>
      </w:r>
    </w:p>
    <w:p w:rsidR="00A75A73" w:rsidRDefault="00154700" w:rsidP="00EC0260">
      <w:pPr>
        <w:pStyle w:val="BodyText"/>
      </w:pPr>
      <w:r>
        <w:t xml:space="preserve">As a result of these discussions, </w:t>
      </w:r>
      <w:r w:rsidR="0017573A">
        <w:t>Abt Associates</w:t>
      </w:r>
      <w:r w:rsidR="00A75A73">
        <w:t xml:space="preserve"> </w:t>
      </w:r>
      <w:r w:rsidR="00A75A73" w:rsidRPr="006507DB">
        <w:t>developed an</w:t>
      </w:r>
      <w:r w:rsidR="00A75A73">
        <w:t xml:space="preserve"> implementation </w:t>
      </w:r>
      <w:r w:rsidR="00A75A73" w:rsidRPr="006507DB">
        <w:t>index</w:t>
      </w:r>
      <w:r w:rsidR="00A75A73">
        <w:t xml:space="preserve">, </w:t>
      </w:r>
      <w:r w:rsidR="00A75A73" w:rsidRPr="006507DB">
        <w:t>working collaboratively with ESE and Mass 2020</w:t>
      </w:r>
      <w:r w:rsidR="00A75A73">
        <w:t>. Our intent was to develop a measure that would incorporate data from multiple sources, especially data about the amount of time allocated to different elements of the ELT initiative. The index was designed to incorporate data from district, principal, and school partner interviews, teacher and student surveys, and master school schedules.</w:t>
      </w:r>
      <w:r w:rsidR="00A75A73" w:rsidRPr="006507DB">
        <w:t xml:space="preserve"> Th</w:t>
      </w:r>
      <w:r w:rsidR="00A75A73">
        <w:t xml:space="preserve">e </w:t>
      </w:r>
      <w:r w:rsidR="00A75A73" w:rsidRPr="006507DB">
        <w:t xml:space="preserve">index </w:t>
      </w:r>
      <w:r w:rsidR="00A75A73">
        <w:t xml:space="preserve">allowed the study team to describe implementation activities during the 2009-10 year more systematically; it was </w:t>
      </w:r>
      <w:r w:rsidR="00A75A73" w:rsidRPr="006507DB">
        <w:t xml:space="preserve">modified </w:t>
      </w:r>
      <w:r w:rsidR="00A75A73">
        <w:t xml:space="preserve">in the subsequent year to reflect changes in </w:t>
      </w:r>
      <w:r w:rsidR="00A75A73" w:rsidRPr="006507DB">
        <w:t>expectations of ELT schools a</w:t>
      </w:r>
      <w:r w:rsidR="00A75A73">
        <w:t>s well as</w:t>
      </w:r>
      <w:r w:rsidR="00A75A73" w:rsidRPr="006507DB">
        <w:t xml:space="preserve"> </w:t>
      </w:r>
      <w:r w:rsidR="00A75A73">
        <w:t xml:space="preserve">changes in data collection instruments. </w:t>
      </w:r>
    </w:p>
    <w:p w:rsidR="00A75A73" w:rsidRPr="006507DB" w:rsidRDefault="00A75A73" w:rsidP="00EC0260">
      <w:pPr>
        <w:pStyle w:val="BodyText"/>
      </w:pPr>
      <w:r>
        <w:t xml:space="preserve">It is important to acknowledge that the data used to construct the implementation index were collected at various time points during the academic year, and that the index scores for that year were ultimately </w:t>
      </w:r>
      <w:r>
        <w:lastRenderedPageBreak/>
        <w:t>ge</w:t>
      </w:r>
      <w:r w:rsidR="0017573A">
        <w:t xml:space="preserve">nerated in the following fall. </w:t>
      </w:r>
      <w:r>
        <w:t xml:space="preserve">Based on review by the study team, ESE, and Mass 2020, the </w:t>
      </w:r>
      <w:r w:rsidR="004A6C5B">
        <w:t xml:space="preserve">index </w:t>
      </w:r>
      <w:r>
        <w:t>wa</w:t>
      </w:r>
      <w:r w:rsidR="0017573A">
        <w:t>s revised in 2010</w:t>
      </w:r>
      <w:r w:rsidR="004A6C5B">
        <w:t xml:space="preserve"> to use in examining </w:t>
      </w:r>
      <w:r>
        <w:t xml:space="preserve">data collected in the 2010-11 academic year. </w:t>
      </w:r>
    </w:p>
    <w:p w:rsidR="00A75A73" w:rsidRDefault="00A75A73" w:rsidP="00EC0260">
      <w:pPr>
        <w:pStyle w:val="BodyText"/>
      </w:pPr>
      <w:r w:rsidRPr="006507DB">
        <w:t xml:space="preserve">The implementation index was </w:t>
      </w:r>
      <w:r>
        <w:t xml:space="preserve">designed to </w:t>
      </w:r>
      <w:r w:rsidRPr="00A1750A">
        <w:t>serve four major</w:t>
      </w:r>
      <w:r w:rsidR="0017573A">
        <w:t xml:space="preserve"> purposes. </w:t>
      </w:r>
      <w:r>
        <w:t xml:space="preserve">One, the evaluation team wanted to learn more systematically whether there were specific aspects of implementation that ELT schools were </w:t>
      </w:r>
      <w:r w:rsidR="00FE799B">
        <w:t xml:space="preserve">successfully or </w:t>
      </w:r>
      <w:r>
        <w:t>having difficulty putting into place; by applying the same implementation measure to all study schools, the evaluation team could describe implementat</w:t>
      </w:r>
      <w:r w:rsidR="0017573A">
        <w:t xml:space="preserve">ion efforts more consistently. </w:t>
      </w:r>
      <w:r>
        <w:t>Two, the index was intended to generate information for ESE about specific patterns in implementation, and that information then could help shape program guid</w:t>
      </w:r>
      <w:r w:rsidR="0017573A">
        <w:t xml:space="preserve">ance, monitoring and supports. </w:t>
      </w:r>
      <w:r>
        <w:t xml:space="preserve">Three, the index was designed to produce systematic data about implementation </w:t>
      </w:r>
      <w:r w:rsidRPr="00E25B29">
        <w:t>across</w:t>
      </w:r>
      <w:r w:rsidR="0017573A">
        <w:t xml:space="preserve"> participating schools for </w:t>
      </w:r>
      <w:r>
        <w:t>technical assistance providers to use in customizing</w:t>
      </w:r>
      <w:r w:rsidR="0017573A">
        <w:t xml:space="preserve"> subsequent supports</w:t>
      </w:r>
      <w:r>
        <w:t xml:space="preserve"> according to individual school needs. Fourth, the index was intended to inform exploratory outcome analyses linking outcomes to levels of implementation. </w:t>
      </w:r>
    </w:p>
    <w:p w:rsidR="00A75A73" w:rsidRPr="00811C00" w:rsidRDefault="00A75A73" w:rsidP="00EC0260">
      <w:pPr>
        <w:pStyle w:val="BodyText"/>
      </w:pPr>
      <w:r>
        <w:t xml:space="preserve">The index was purposefully designed to apply to ELT (i.e., program or treatment) and to non-ELT (i.e., comparison) schools, </w:t>
      </w:r>
      <w:bookmarkStart w:id="1" w:name="_Toc285630885"/>
      <w:r w:rsidRPr="006507DB">
        <w:t>an important feature given that (1) some districts ha</w:t>
      </w:r>
      <w:r>
        <w:t>d</w:t>
      </w:r>
      <w:r w:rsidRPr="006507DB">
        <w:t xml:space="preserve"> begun to expand time in additional schools beyond those funded by the state’s ELT initiative, and (2) some of the core expectations of ELT apply across multiple school reform initiatives, and consequently are not limited to the ELT initiative. As such, the index was used to measure levels of implementation in both ELT and matched comparison schools during 2010-11.</w:t>
      </w:r>
    </w:p>
    <w:bookmarkEnd w:id="1"/>
    <w:p w:rsidR="00A75A73" w:rsidRPr="006507DB" w:rsidRDefault="00A75A73" w:rsidP="00EC0260">
      <w:pPr>
        <w:pStyle w:val="BodyText"/>
      </w:pPr>
      <w:r w:rsidRPr="006507DB">
        <w:t xml:space="preserve">The index builds on five </w:t>
      </w:r>
      <w:r w:rsidR="00582F0C">
        <w:t xml:space="preserve">broad </w:t>
      </w:r>
      <w:r w:rsidRPr="006507DB">
        <w:t xml:space="preserve">foundational </w:t>
      </w:r>
      <w:r>
        <w:t xml:space="preserve">principles </w:t>
      </w:r>
      <w:r w:rsidRPr="006507DB">
        <w:t xml:space="preserve">of the ELT model </w:t>
      </w:r>
      <w:r>
        <w:t xml:space="preserve">that had been </w:t>
      </w:r>
      <w:r w:rsidRPr="006507DB">
        <w:t>articulated by Mass 2020</w:t>
      </w:r>
      <w:r>
        <w:t>.  These principles address such elements of ELT as additional time for core instruction, school leadership, time allocation for instruction, and teacher planning/collaboration</w:t>
      </w:r>
      <w:r w:rsidR="00582F0C">
        <w:t>,</w:t>
      </w:r>
      <w:r>
        <w:t xml:space="preserve"> and </w:t>
      </w:r>
      <w:r w:rsidRPr="006507DB">
        <w:t xml:space="preserve">are described in more detail below. The index uses data from interviews with principals as well as from surveys of teachers and students; as such, it provides a snapshot of ELT implementation at a particular point in time. </w:t>
      </w:r>
      <w:r w:rsidR="00582F0C">
        <w:t xml:space="preserve">Note </w:t>
      </w:r>
      <w:r w:rsidRPr="006507DB">
        <w:t xml:space="preserve">that information about school schedules (and time allocation) was collected only for fifth and eighth grade students, and only students in those grades </w:t>
      </w:r>
      <w:r w:rsidR="00582F0C">
        <w:t xml:space="preserve">were administered </w:t>
      </w:r>
      <w:r w:rsidRPr="006507DB">
        <w:t>surveys</w:t>
      </w:r>
      <w:r w:rsidR="00582F0C">
        <w:t xml:space="preserve">, although all </w:t>
      </w:r>
      <w:r w:rsidR="009979CD">
        <w:t xml:space="preserve">instructional staff </w:t>
      </w:r>
      <w:r w:rsidR="00582F0C">
        <w:t>in each study school were asked to complete surveys</w:t>
      </w:r>
      <w:r w:rsidRPr="006507DB">
        <w:t>.</w:t>
      </w:r>
    </w:p>
    <w:p w:rsidR="00A75A73" w:rsidRPr="006507DB" w:rsidRDefault="00A75A73" w:rsidP="00EC0260">
      <w:pPr>
        <w:pStyle w:val="BodyText"/>
      </w:pPr>
      <w:r w:rsidRPr="006507DB">
        <w:t>The implementati</w:t>
      </w:r>
      <w:r>
        <w:t xml:space="preserve">on index (see Exhibit </w:t>
      </w:r>
      <w:r w:rsidR="00A345FB">
        <w:t>1</w:t>
      </w:r>
      <w:r w:rsidRPr="006507DB">
        <w:t xml:space="preserve">) includes five criteria based on core expectations for </w:t>
      </w:r>
      <w:smartTag w:uri="urn:schemas-microsoft-com:office:smarttags" w:element="stockticker">
        <w:r w:rsidRPr="006507DB">
          <w:t>ELT</w:t>
        </w:r>
      </w:smartTag>
      <w:r w:rsidRPr="006507DB">
        <w:t xml:space="preserve"> implementation</w:t>
      </w:r>
      <w:r w:rsidR="00582F0C">
        <w:t>,</w:t>
      </w:r>
      <w:r w:rsidRPr="006507DB">
        <w:t xml:space="preserve"> including:</w:t>
      </w:r>
      <w:r>
        <w:t xml:space="preserve"> </w:t>
      </w:r>
      <w:r w:rsidRPr="006507DB">
        <w:tab/>
      </w:r>
    </w:p>
    <w:p w:rsidR="00A75A73" w:rsidRPr="006507DB" w:rsidRDefault="00A75A73" w:rsidP="00EC0260">
      <w:pPr>
        <w:pStyle w:val="BodyText"/>
        <w:ind w:left="360"/>
      </w:pPr>
      <w:r w:rsidRPr="006507DB">
        <w:t>1)</w:t>
      </w:r>
      <w:r w:rsidRPr="006507DB">
        <w:tab/>
        <w:t>school-wide academic focus;</w:t>
      </w:r>
    </w:p>
    <w:p w:rsidR="00A75A73" w:rsidRPr="006507DB" w:rsidRDefault="00A75A73" w:rsidP="00EC0260">
      <w:pPr>
        <w:pStyle w:val="BodyText"/>
        <w:ind w:left="360"/>
      </w:pPr>
      <w:r w:rsidRPr="006507DB">
        <w:t>2)</w:t>
      </w:r>
      <w:r w:rsidRPr="006507DB">
        <w:tab/>
        <w:t>core academics;</w:t>
      </w:r>
    </w:p>
    <w:p w:rsidR="00A75A73" w:rsidRPr="006507DB" w:rsidRDefault="00A75A73" w:rsidP="00EC0260">
      <w:pPr>
        <w:pStyle w:val="BodyText"/>
        <w:ind w:left="360"/>
      </w:pPr>
      <w:r w:rsidRPr="006507DB">
        <w:t>3)</w:t>
      </w:r>
      <w:r w:rsidRPr="006507DB">
        <w:tab/>
        <w:t>enrichment activities;</w:t>
      </w:r>
    </w:p>
    <w:p w:rsidR="00A75A73" w:rsidRPr="006507DB" w:rsidRDefault="00A75A73" w:rsidP="00EC0260">
      <w:pPr>
        <w:pStyle w:val="BodyText"/>
        <w:ind w:left="360"/>
      </w:pPr>
      <w:r w:rsidRPr="006507DB">
        <w:t>4)</w:t>
      </w:r>
      <w:r w:rsidRPr="006507DB">
        <w:tab/>
        <w:t>teacher leadership and collaboration; and</w:t>
      </w:r>
    </w:p>
    <w:p w:rsidR="00A75A73" w:rsidRPr="006507DB" w:rsidRDefault="00A75A73" w:rsidP="00EC0260">
      <w:pPr>
        <w:pStyle w:val="BodyText"/>
        <w:ind w:left="360"/>
      </w:pPr>
      <w:r>
        <w:t>5)</w:t>
      </w:r>
      <w:r>
        <w:tab/>
        <w:t>school leadership.</w:t>
      </w:r>
    </w:p>
    <w:p w:rsidR="00A75A73" w:rsidRPr="006507DB" w:rsidRDefault="00A75A73" w:rsidP="00EC0260">
      <w:pPr>
        <w:pStyle w:val="BodyText"/>
      </w:pPr>
      <w:r w:rsidRPr="006507DB">
        <w:t xml:space="preserve">Each criterion includes four levels, ranging from zero (indicating no or little discernable activity), to Level 1 (representing limited evidence that schools have implemented activities related to that criterion), to Level 2 (representing modest evidence that schools have implemented activities related to that criterion), to Level 3 (representing consistent evidence that schools have implemented activities related to that criterion). Each consecutive level assumes that all the conditions outlined in the prior level have been met. Three of the criteria described above (core academics, enrichment, and teacher leadership and </w:t>
      </w:r>
      <w:r w:rsidRPr="006507DB">
        <w:lastRenderedPageBreak/>
        <w:t>collaboration) are measured by two components</w:t>
      </w:r>
      <w:r w:rsidR="0030110F">
        <w:t>:</w:t>
      </w:r>
      <w:r w:rsidRPr="006507DB">
        <w:t xml:space="preserve"> amount of time engaged in the acti</w:t>
      </w:r>
      <w:r>
        <w:t xml:space="preserve">vity and how the time is used. </w:t>
      </w:r>
    </w:p>
    <w:p w:rsidR="00A75A73" w:rsidRDefault="00A75A73" w:rsidP="00EC0260">
      <w:pPr>
        <w:pStyle w:val="BodyText"/>
      </w:pPr>
      <w:r w:rsidRPr="006507DB">
        <w:t xml:space="preserve">The index also includes a sixth criterion </w:t>
      </w:r>
      <w:r>
        <w:t xml:space="preserve">applicable </w:t>
      </w:r>
      <w:r w:rsidRPr="006507DB">
        <w:t xml:space="preserve">only </w:t>
      </w:r>
      <w:r>
        <w:t xml:space="preserve">to </w:t>
      </w:r>
      <w:r w:rsidRPr="006507DB">
        <w:t>ELT schools</w:t>
      </w:r>
      <w:r w:rsidR="00A345FB">
        <w:t>,</w:t>
      </w:r>
      <w:r>
        <w:t xml:space="preserve"> about </w:t>
      </w:r>
      <w:r w:rsidRPr="006507DB">
        <w:t>the level of support for ELT within schools and districts</w:t>
      </w:r>
      <w:r w:rsidR="00A345FB">
        <w:t>.  T</w:t>
      </w:r>
      <w:r>
        <w:t>his criterion was not included in calculations of the overall score</w:t>
      </w:r>
      <w:r w:rsidRPr="006507DB">
        <w:t xml:space="preserve">. </w:t>
      </w:r>
      <w:r>
        <w:t xml:space="preserve">(See </w:t>
      </w:r>
      <w:r w:rsidR="009979CD">
        <w:t>appendix</w:t>
      </w:r>
      <w:r>
        <w:t xml:space="preserve"> for more detail on the criteria.)</w:t>
      </w:r>
    </w:p>
    <w:p w:rsidR="00A75A73" w:rsidRPr="00245F39" w:rsidRDefault="00A75A73" w:rsidP="00A75A73">
      <w:pPr>
        <w:pStyle w:val="Heading2"/>
        <w:numPr>
          <w:ilvl w:val="0"/>
          <w:numId w:val="0"/>
        </w:numPr>
      </w:pPr>
      <w:bookmarkStart w:id="2" w:name="_Toc285630887"/>
      <w:bookmarkStart w:id="3" w:name="_Toc317693312"/>
      <w:r w:rsidRPr="00245F39">
        <w:t>Applying the Implementation Index</w:t>
      </w:r>
      <w:bookmarkEnd w:id="2"/>
      <w:bookmarkEnd w:id="3"/>
    </w:p>
    <w:p w:rsidR="00A75A73" w:rsidRPr="00D339B9" w:rsidRDefault="00796D80" w:rsidP="00EC0260">
      <w:pPr>
        <w:pStyle w:val="BodyText"/>
      </w:pPr>
      <w:r>
        <w:t>T</w:t>
      </w:r>
      <w:r w:rsidR="00A75A73" w:rsidRPr="006507DB">
        <w:t xml:space="preserve">he specific thresholds for components of the index were determined using an iterative process, and decisions were tempered by expectations of what might be reasonable for schools to achieve after </w:t>
      </w:r>
      <w:r w:rsidR="00A75A73">
        <w:t xml:space="preserve">two, </w:t>
      </w:r>
      <w:r w:rsidR="00A75A73" w:rsidRPr="006507DB">
        <w:t>three, four, or five years of implementation</w:t>
      </w:r>
      <w:r w:rsidR="00A75A73">
        <w:t xml:space="preserve"> (corresponding both to the school year for which data were examined and to the staggered number of years each cohort had been implementing </w:t>
      </w:r>
      <w:smartTag w:uri="urn:schemas-microsoft-com:office:smarttags" w:element="stockticker">
        <w:r w:rsidR="00A75A73">
          <w:t>ELT</w:t>
        </w:r>
      </w:smartTag>
      <w:r w:rsidR="00A75A73">
        <w:t>)</w:t>
      </w:r>
      <w:r w:rsidR="00A75A73" w:rsidRPr="006507DB">
        <w:t xml:space="preserve">. </w:t>
      </w:r>
      <w:r w:rsidR="00A75A73">
        <w:t xml:space="preserve">Based on data from surveys, interviews, and school schedules, </w:t>
      </w:r>
      <w:r w:rsidR="00A75A73" w:rsidRPr="006507DB">
        <w:t>school</w:t>
      </w:r>
      <w:r w:rsidR="00A75A73">
        <w:t xml:space="preserve">s were assigned </w:t>
      </w:r>
      <w:r w:rsidR="00A75A73" w:rsidRPr="006507DB">
        <w:t xml:space="preserve">a </w:t>
      </w:r>
      <w:r w:rsidR="00A75A73">
        <w:t xml:space="preserve">criterion-specific </w:t>
      </w:r>
      <w:r w:rsidR="00A75A73" w:rsidRPr="006507DB">
        <w:t>score</w:t>
      </w:r>
      <w:r w:rsidR="00A75A73">
        <w:t xml:space="preserve"> that ranged </w:t>
      </w:r>
      <w:r w:rsidR="00A75A73" w:rsidRPr="006507DB">
        <w:t>from zero (insufficient evidence of achieving Level 1) to three (corresponding to Level 3 of implementation)</w:t>
      </w:r>
      <w:r w:rsidR="00A75A73">
        <w:t xml:space="preserve">.  </w:t>
      </w:r>
      <w:r>
        <w:t xml:space="preserve">The process used to define thresholds that would discern differences between levels of implementation for each of the core components required </w:t>
      </w:r>
      <w:r w:rsidR="00F52187">
        <w:t xml:space="preserve">both (1) substantive discussions </w:t>
      </w:r>
      <w:r>
        <w:t xml:space="preserve">about </w:t>
      </w:r>
      <w:r w:rsidR="00F52187">
        <w:t>what behaviors and perceptions would characterize minimal, moderate, or consistent implementation</w:t>
      </w:r>
      <w:r w:rsidR="00582F0C">
        <w:t xml:space="preserve"> of each </w:t>
      </w:r>
      <w:smartTag w:uri="urn:schemas-microsoft-com:office:smarttags" w:element="stockticker">
        <w:r w:rsidR="00582F0C">
          <w:t>ELT</w:t>
        </w:r>
      </w:smartTag>
      <w:r w:rsidR="00582F0C">
        <w:t xml:space="preserve"> expectation</w:t>
      </w:r>
      <w:r w:rsidR="00F52187">
        <w:t>, and (</w:t>
      </w:r>
      <w:r w:rsidR="00582F0C">
        <w:t>2) empirical discussions based on actual distributions of survey and interview responses.</w:t>
      </w:r>
      <w:r w:rsidR="00F52187">
        <w:t xml:space="preserve"> </w:t>
      </w:r>
      <w:r>
        <w:t xml:space="preserve"> </w:t>
      </w:r>
      <w:r w:rsidR="00A75A73">
        <w:t xml:space="preserve">Two criteria </w:t>
      </w:r>
      <w:r w:rsidR="00EA0425">
        <w:t xml:space="preserve">each </w:t>
      </w:r>
      <w:r w:rsidR="00A75A73">
        <w:t xml:space="preserve">had </w:t>
      </w:r>
      <w:r w:rsidR="00A75A73" w:rsidRPr="006507DB">
        <w:t xml:space="preserve">two components (amount of time </w:t>
      </w:r>
      <w:r w:rsidR="00A75A73">
        <w:t xml:space="preserve">allocated </w:t>
      </w:r>
      <w:r w:rsidR="00A75A73" w:rsidRPr="006507DB">
        <w:t>and how time was used)</w:t>
      </w:r>
      <w:r w:rsidR="00EA0425">
        <w:t>,</w:t>
      </w:r>
      <w:r w:rsidR="00A75A73" w:rsidRPr="006507DB">
        <w:t xml:space="preserve"> </w:t>
      </w:r>
      <w:r w:rsidR="00A75A73">
        <w:t xml:space="preserve">and therefore </w:t>
      </w:r>
      <w:r w:rsidR="00A75A73" w:rsidRPr="006507DB">
        <w:t>generated two scores</w:t>
      </w:r>
      <w:r w:rsidR="00EA0425">
        <w:t xml:space="preserve"> each</w:t>
      </w:r>
      <w:r w:rsidR="00A75A73">
        <w:t xml:space="preserve">. The index included </w:t>
      </w:r>
      <w:r w:rsidR="00A75A73" w:rsidRPr="006507DB">
        <w:t xml:space="preserve">eight separate scores, and a maximum total of 24 points. </w:t>
      </w:r>
      <w:r w:rsidR="00A75A73">
        <w:t>A</w:t>
      </w:r>
      <w:r w:rsidR="00A75A73" w:rsidRPr="006507DB">
        <w:t xml:space="preserve"> </w:t>
      </w:r>
      <w:r w:rsidR="00A75A73">
        <w:t>zero score did</w:t>
      </w:r>
      <w:r w:rsidR="00A75A73" w:rsidRPr="006507DB">
        <w:t xml:space="preserve"> not necessarily mean that a school did not implement a particular criterion at all</w:t>
      </w:r>
      <w:r w:rsidR="00A75A73">
        <w:t xml:space="preserve">, but rather </w:t>
      </w:r>
      <w:r w:rsidR="00A75A73" w:rsidRPr="006507DB">
        <w:t xml:space="preserve">that it did not meet the threshold necessary for Level 1. Each criterion was weighted equally. </w:t>
      </w:r>
    </w:p>
    <w:p w:rsidR="00A75A73" w:rsidRDefault="00A75A73" w:rsidP="00EC0260">
      <w:pPr>
        <w:pStyle w:val="BodyText"/>
      </w:pPr>
      <w:r w:rsidRPr="006507DB">
        <w:t>ELT schools, on average, scored higher than comparison schools on six of eight criteria. Comparison schools scored, on average, higher than ELT schools on the school-wide academic focus and school leadership criteria. Comparison school score</w:t>
      </w:r>
      <w:r>
        <w:t xml:space="preserve">s were generally </w:t>
      </w:r>
      <w:r w:rsidRPr="006507DB">
        <w:t xml:space="preserve">between Level 0 and Level 1 on how core academic time was used, enrichment time, and teacher leadership and collaboration time criteria (averages of 0.47, 0.44, and 0.53, respectively). ELT school </w:t>
      </w:r>
      <w:r>
        <w:t xml:space="preserve">scores were generally </w:t>
      </w:r>
      <w:r w:rsidRPr="006507DB">
        <w:t>between Level 0 and Level 1 on the school-wide academic focus criterion (0.78). Differences were not tested for statistical significance, so the meaning of any differences between schools or groups of schools is un</w:t>
      </w:r>
      <w:r w:rsidR="003E0A77">
        <w:t>known</w:t>
      </w:r>
      <w:r w:rsidRPr="006507DB">
        <w:t xml:space="preserve">. </w:t>
      </w:r>
    </w:p>
    <w:p w:rsidR="00A75A73" w:rsidRPr="00245F39" w:rsidRDefault="00A75A73" w:rsidP="00A75A73">
      <w:pPr>
        <w:pStyle w:val="Heading2"/>
        <w:numPr>
          <w:ilvl w:val="0"/>
          <w:numId w:val="0"/>
        </w:numPr>
      </w:pPr>
      <w:r w:rsidRPr="00245F39">
        <w:t>Discussion</w:t>
      </w:r>
    </w:p>
    <w:p w:rsidR="00A75A73" w:rsidRDefault="00A75A73" w:rsidP="00EC0260">
      <w:pPr>
        <w:pStyle w:val="BodyText"/>
      </w:pPr>
      <w:r>
        <w:t>We noted above that the index was designed to address multiple purposes, including learn</w:t>
      </w:r>
      <w:r w:rsidR="00EA0425">
        <w:t>ing whether</w:t>
      </w:r>
      <w:r>
        <w:t>: (1) certain aspects of implementation were more/less difficult for schools; (2) patterns in implementation could inform program guidance an</w:t>
      </w:r>
      <w:r w:rsidR="00353EB9">
        <w:t>d support from</w:t>
      </w:r>
      <w:r>
        <w:t xml:space="preserve"> ESE; (3) data about implementation across participating schools might help the technical assistance providers’ efforts to serve schools; and (4) whether variation in implementation was associated with variation in outcomes</w:t>
      </w:r>
      <w:r w:rsidR="0017573A">
        <w:t>.</w:t>
      </w:r>
      <w:r>
        <w:t xml:space="preserve"> </w:t>
      </w:r>
    </w:p>
    <w:p w:rsidR="00A75A73" w:rsidRDefault="00A75A73" w:rsidP="00EC0260">
      <w:pPr>
        <w:pStyle w:val="BodyText"/>
        <w:rPr>
          <w:i/>
        </w:rPr>
      </w:pPr>
      <w:r>
        <w:t>The index yielded</w:t>
      </w:r>
      <w:r w:rsidR="0017573A">
        <w:t xml:space="preserve"> valuable</w:t>
      </w:r>
      <w:r>
        <w:t xml:space="preserve"> information that served all four purposes</w:t>
      </w:r>
      <w:r w:rsidR="0030110F">
        <w:t xml:space="preserve"> to some degree</w:t>
      </w:r>
      <w:r>
        <w:t xml:space="preserve">. We learned that the structural elements of expanding the school day (i.e., adding the required number </w:t>
      </w:r>
      <w:r w:rsidR="0017573A">
        <w:t>of minutes each day) appeared to be</w:t>
      </w:r>
      <w:r>
        <w:t xml:space="preserve"> easier for schools to implement than were changes in how that additional time was used, for example.</w:t>
      </w:r>
      <w:r w:rsidR="00EA0425">
        <w:t xml:space="preserve"> ESE refined the content of performance agreements with all participating schools, b</w:t>
      </w:r>
      <w:r>
        <w:t>ased on its own review</w:t>
      </w:r>
      <w:r w:rsidR="00EA0425">
        <w:t xml:space="preserve"> processes,</w:t>
      </w:r>
      <w:r>
        <w:t xml:space="preserve"> along with the </w:t>
      </w:r>
      <w:r w:rsidR="00542351">
        <w:t xml:space="preserve">overall </w:t>
      </w:r>
      <w:r>
        <w:t>implem</w:t>
      </w:r>
      <w:r w:rsidR="00353EB9">
        <w:t xml:space="preserve">entation index scores, </w:t>
      </w:r>
      <w:r>
        <w:t>and began to customize the agreements to reflect school-specific achievements and goals. The technical assistance providers adapted their effo</w:t>
      </w:r>
      <w:r w:rsidR="0017573A">
        <w:t>rts (in the next school year) to strengthen implementation across schools</w:t>
      </w:r>
      <w:r>
        <w:t xml:space="preserve">, and we used the index </w:t>
      </w:r>
      <w:r>
        <w:lastRenderedPageBreak/>
        <w:t>scores in exploratory an</w:t>
      </w:r>
      <w:r w:rsidR="0017573A">
        <w:t>alyses, although preliminary analyses showed that</w:t>
      </w:r>
      <w:r>
        <w:t xml:space="preserve"> variation in implementation was not predictive of variation in student achievement.</w:t>
      </w:r>
      <w:r w:rsidR="0017573A">
        <w:t xml:space="preserve"> </w:t>
      </w:r>
    </w:p>
    <w:p w:rsidR="002D74DC" w:rsidRDefault="00A75A73" w:rsidP="00EC0260">
      <w:pPr>
        <w:pStyle w:val="BodyText"/>
      </w:pPr>
      <w:r>
        <w:t xml:space="preserve">Beyond its utility in serving various instrumental purposes, the index also provided systematic corroboration for the study’s persistent findings about the overwhelmingly important role of implementation.  </w:t>
      </w:r>
      <w:r w:rsidR="00EA0425">
        <w:t xml:space="preserve">In fact, </w:t>
      </w:r>
      <w:r>
        <w:t xml:space="preserve">variation in schools’ levels of implementation was </w:t>
      </w:r>
      <w:r w:rsidR="00EA0425">
        <w:t xml:space="preserve">one of the major takeaway </w:t>
      </w:r>
      <w:r>
        <w:t>finding</w:t>
      </w:r>
      <w:r w:rsidR="00EA0425">
        <w:t>s</w:t>
      </w:r>
      <w:r>
        <w:t xml:space="preserve"> from the study—across both program and comparison</w:t>
      </w:r>
      <w:r w:rsidR="00EA0425">
        <w:t xml:space="preserve"> </w:t>
      </w:r>
      <w:r>
        <w:t>schools, across middle and elementary schools,</w:t>
      </w:r>
      <w:r w:rsidR="00353EB9">
        <w:t xml:space="preserve"> and</w:t>
      </w:r>
      <w:r w:rsidR="0017573A">
        <w:t xml:space="preserve"> across all study schools. The</w:t>
      </w:r>
      <w:r>
        <w:t xml:space="preserve"> consistent variability led the study team to consider other possible explanations and influences, ranging from the initial selection process, to the staggered cohort approach, to the autonomy of school-by-school decision-making.</w:t>
      </w:r>
    </w:p>
    <w:p w:rsidR="009979CD" w:rsidRPr="009979CD" w:rsidRDefault="00465E1B" w:rsidP="00EC0260">
      <w:pPr>
        <w:pStyle w:val="BodyText"/>
      </w:pPr>
      <w:r>
        <w:t>Of course, the index also had</w:t>
      </w:r>
      <w:r w:rsidR="00922D6F" w:rsidRPr="00922D6F">
        <w:t xml:space="preserve"> </w:t>
      </w:r>
      <w:r w:rsidR="00ED0113">
        <w:t>limitations</w:t>
      </w:r>
      <w:r w:rsidR="004A6C5B">
        <w:t>,</w:t>
      </w:r>
      <w:r w:rsidR="00ED0113">
        <w:t xml:space="preserve"> and was </w:t>
      </w:r>
      <w:r w:rsidR="004A6C5B">
        <w:t xml:space="preserve">neither designed nor capable of addressing all possible </w:t>
      </w:r>
      <w:r>
        <w:t>question</w:t>
      </w:r>
      <w:r w:rsidR="00542351">
        <w:t>s</w:t>
      </w:r>
      <w:r>
        <w:t xml:space="preserve"> or need</w:t>
      </w:r>
      <w:r w:rsidR="00542351">
        <w:t>s</w:t>
      </w:r>
      <w:r w:rsidR="00ED0113">
        <w:t>.</w:t>
      </w:r>
      <w:r w:rsidR="00922D6F">
        <w:t xml:space="preserve"> </w:t>
      </w:r>
      <w:r w:rsidR="00B23FDC">
        <w:t>First, t</w:t>
      </w:r>
      <w:r w:rsidR="00ED0113">
        <w:t xml:space="preserve">he index was </w:t>
      </w:r>
      <w:r w:rsidR="00542351">
        <w:t xml:space="preserve">primarily constructed </w:t>
      </w:r>
      <w:r w:rsidR="002D74DC" w:rsidRPr="00C02BB2">
        <w:t xml:space="preserve">to reflect the presence or absence </w:t>
      </w:r>
      <w:r w:rsidR="00A061FF">
        <w:t xml:space="preserve">of </w:t>
      </w:r>
      <w:r w:rsidR="002D74DC" w:rsidRPr="00C02BB2">
        <w:t>structural elements</w:t>
      </w:r>
      <w:r w:rsidR="00B23FDC">
        <w:t>. T</w:t>
      </w:r>
      <w:r w:rsidR="00ED0113">
        <w:t xml:space="preserve">he </w:t>
      </w:r>
      <w:r w:rsidR="00B23FDC">
        <w:t>development of the index’s content during its first year</w:t>
      </w:r>
      <w:r w:rsidR="00ED0113">
        <w:t xml:space="preserve"> </w:t>
      </w:r>
      <w:r>
        <w:t>relied, out of necessity, upon</w:t>
      </w:r>
      <w:r w:rsidR="00B23FDC">
        <w:t xml:space="preserve"> </w:t>
      </w:r>
      <w:r w:rsidR="0030110F">
        <w:t xml:space="preserve">the </w:t>
      </w:r>
      <w:r w:rsidR="00B23FDC">
        <w:t>data</w:t>
      </w:r>
      <w:r>
        <w:t xml:space="preserve"> that </w:t>
      </w:r>
      <w:r w:rsidR="0030110F">
        <w:t xml:space="preserve">had </w:t>
      </w:r>
      <w:r>
        <w:t xml:space="preserve">already </w:t>
      </w:r>
      <w:r w:rsidR="0030110F">
        <w:t xml:space="preserve">been </w:t>
      </w:r>
      <w:r>
        <w:t>collected. A</w:t>
      </w:r>
      <w:r w:rsidR="00B23FDC">
        <w:t xml:space="preserve">lthough </w:t>
      </w:r>
      <w:r w:rsidR="0030110F">
        <w:t xml:space="preserve">the study team revised </w:t>
      </w:r>
      <w:r w:rsidR="00B23FDC">
        <w:t xml:space="preserve">data collection protocols </w:t>
      </w:r>
      <w:r w:rsidR="00542351">
        <w:t xml:space="preserve">in part due to a desire </w:t>
      </w:r>
      <w:r w:rsidR="0030110F">
        <w:t>fine-tune the index, those revisions applied only to the study’s final year of data collection</w:t>
      </w:r>
      <w:r w:rsidR="00542351">
        <w:t xml:space="preserve">. </w:t>
      </w:r>
      <w:r w:rsidR="0030110F">
        <w:t xml:space="preserve">And while the revised instruments allowed us to describe </w:t>
      </w:r>
      <w:r w:rsidR="00A414AE">
        <w:t xml:space="preserve">elements of </w:t>
      </w:r>
      <w:r w:rsidR="0030110F">
        <w:t xml:space="preserve">implementation </w:t>
      </w:r>
      <w:r w:rsidR="00A414AE">
        <w:t>in greater detail, the focus of the index continued to be on the level</w:t>
      </w:r>
      <w:r w:rsidR="00542351">
        <w:t xml:space="preserve"> versus the quality </w:t>
      </w:r>
      <w:r w:rsidR="00A414AE">
        <w:t xml:space="preserve">of program component implementation. </w:t>
      </w:r>
      <w:r>
        <w:t xml:space="preserve">Future efforts would certainly benefit from focus on </w:t>
      </w:r>
      <w:r w:rsidR="00A414AE">
        <w:t xml:space="preserve">both </w:t>
      </w:r>
      <w:r>
        <w:t>structural elements (i.e.,</w:t>
      </w:r>
      <w:r w:rsidR="00B23FDC">
        <w:t xml:space="preserve"> </w:t>
      </w:r>
      <w:r w:rsidR="00A414AE">
        <w:t xml:space="preserve">presence/absence </w:t>
      </w:r>
      <w:r w:rsidR="00B23FDC">
        <w:t>of key implementation</w:t>
      </w:r>
      <w:r w:rsidR="00A414AE">
        <w:t xml:space="preserve"> components</w:t>
      </w:r>
      <w:r>
        <w:t xml:space="preserve">) </w:t>
      </w:r>
      <w:r w:rsidR="00A414AE">
        <w:t xml:space="preserve">as well as indicators of program quality, which could then </w:t>
      </w:r>
      <w:r>
        <w:t>inform</w:t>
      </w:r>
      <w:r w:rsidR="00B23FDC">
        <w:t xml:space="preserve"> </w:t>
      </w:r>
      <w:r w:rsidR="00ED0113">
        <w:t xml:space="preserve">program </w:t>
      </w:r>
      <w:r w:rsidR="00B23FDC">
        <w:t>accountability</w:t>
      </w:r>
      <w:r>
        <w:t xml:space="preserve"> and monitoring activities,</w:t>
      </w:r>
      <w:r w:rsidR="00B23FDC">
        <w:t xml:space="preserve"> technical assistance efforts</w:t>
      </w:r>
      <w:r w:rsidR="00ED0113">
        <w:t xml:space="preserve">, and </w:t>
      </w:r>
      <w:r>
        <w:t>evaluation analyses</w:t>
      </w:r>
      <w:r w:rsidR="00B23FDC">
        <w:t xml:space="preserve"> </w:t>
      </w:r>
      <w:r>
        <w:t>focused on</w:t>
      </w:r>
      <w:r w:rsidR="00B23FDC">
        <w:t xml:space="preserve"> </w:t>
      </w:r>
      <w:r w:rsidR="00ED0113">
        <w:t>implementation</w:t>
      </w:r>
      <w:r w:rsidR="00B23FDC">
        <w:t xml:space="preserve"> variability</w:t>
      </w:r>
      <w:r w:rsidR="00ED0113">
        <w:t>.</w:t>
      </w:r>
    </w:p>
    <w:p w:rsidR="00B23FDC" w:rsidRDefault="00B23FDC" w:rsidP="00EC0260">
      <w:pPr>
        <w:pStyle w:val="BodyText"/>
      </w:pPr>
      <w:r>
        <w:t>Second,</w:t>
      </w:r>
      <w:r w:rsidR="00A414AE">
        <w:t xml:space="preserve"> the development and use of the index occurred within the context of the study’s pre-existing agreements with study schools to treat all data as confidential. That</w:t>
      </w:r>
      <w:r w:rsidR="00542351">
        <w:t xml:space="preserve"> decision</w:t>
      </w:r>
      <w:r w:rsidR="00A414AE">
        <w:t xml:space="preserve"> meant keeping schools’ identities confidential, even to ESE.</w:t>
      </w:r>
      <w:r w:rsidR="002C304F">
        <w:t xml:space="preserve"> </w:t>
      </w:r>
      <w:r w:rsidR="00E24E20">
        <w:t xml:space="preserve">This limited </w:t>
      </w:r>
      <w:r w:rsidR="00A414AE">
        <w:t xml:space="preserve">the state’s capacity to engage in </w:t>
      </w:r>
      <w:r w:rsidR="00E24E20">
        <w:t>p</w:t>
      </w:r>
      <w:r w:rsidR="002C304F">
        <w:t>rogrammatic follow-up with</w:t>
      </w:r>
      <w:r w:rsidR="00E24E20">
        <w:t xml:space="preserve"> specific schools about particular implementation</w:t>
      </w:r>
      <w:r w:rsidR="002C304F">
        <w:t xml:space="preserve"> </w:t>
      </w:r>
      <w:r w:rsidR="00E24E20">
        <w:t>challenges</w:t>
      </w:r>
      <w:r w:rsidR="002C304F">
        <w:t xml:space="preserve">.  Future </w:t>
      </w:r>
      <w:r w:rsidR="00A414AE">
        <w:t xml:space="preserve">evaluation efforts </w:t>
      </w:r>
      <w:r w:rsidR="002C304F">
        <w:t xml:space="preserve">might </w:t>
      </w:r>
      <w:r w:rsidR="00A414AE">
        <w:t xml:space="preserve">weigh the relative benefits and challenges of naming individual schools for certain evaluation purposes, even when data are aggregated to </w:t>
      </w:r>
      <w:r w:rsidR="00E24E20">
        <w:t>the school levels</w:t>
      </w:r>
      <w:r w:rsidR="00A414AE">
        <w:t xml:space="preserve">, to be able to </w:t>
      </w:r>
      <w:r w:rsidR="00E24E20">
        <w:t>identify schools with particular implementation successes or challenges. C</w:t>
      </w:r>
      <w:r w:rsidR="002C304F">
        <w:t xml:space="preserve">onsideration should be given to any effects that school-level reporting could have on the validity of data. Confidentiality agreements that include clear assurances about the purpose of school level aggregation </w:t>
      </w:r>
      <w:r w:rsidR="00E24E20">
        <w:t xml:space="preserve">and identification of schools </w:t>
      </w:r>
      <w:r w:rsidR="002C304F">
        <w:t>(e.g. for program improvement) may help assuage</w:t>
      </w:r>
      <w:r w:rsidR="00204B2C">
        <w:t xml:space="preserve"> </w:t>
      </w:r>
      <w:r w:rsidR="002C304F">
        <w:t>concerns about</w:t>
      </w:r>
      <w:r w:rsidR="00A061FF">
        <w:t xml:space="preserve"> </w:t>
      </w:r>
      <w:r w:rsidR="00A414AE">
        <w:t xml:space="preserve">how </w:t>
      </w:r>
      <w:r w:rsidR="002C304F">
        <w:t xml:space="preserve">data </w:t>
      </w:r>
      <w:r w:rsidR="00A414AE">
        <w:t xml:space="preserve">might </w:t>
      </w:r>
      <w:r w:rsidR="002C304F">
        <w:t>be used.</w:t>
      </w:r>
    </w:p>
    <w:p w:rsidR="00A75A73" w:rsidRPr="005C6361" w:rsidRDefault="008B4EFD" w:rsidP="00EC0260">
      <w:pPr>
        <w:pStyle w:val="BodyText"/>
      </w:pPr>
      <w:r>
        <w:t>In sum,</w:t>
      </w:r>
      <w:r w:rsidR="00E24E20">
        <w:t xml:space="preserve"> despite some limitations,</w:t>
      </w:r>
      <w:r>
        <w:t xml:space="preserve"> the development of the implementation index enabled </w:t>
      </w:r>
      <w:r w:rsidR="00EA0425">
        <w:t xml:space="preserve">us to integrate </w:t>
      </w:r>
      <w:r>
        <w:t>information from multiple data sources into one measure</w:t>
      </w:r>
      <w:r w:rsidR="007960D1">
        <w:t>,</w:t>
      </w:r>
      <w:r>
        <w:t xml:space="preserve"> to describe variation in implementation efforts</w:t>
      </w:r>
      <w:r w:rsidR="007960D1">
        <w:t>,</w:t>
      </w:r>
      <w:r>
        <w:t xml:space="preserve"> and </w:t>
      </w:r>
      <w:r w:rsidR="00EA0425">
        <w:t>to recognize how</w:t>
      </w:r>
      <w:r w:rsidR="007960D1">
        <w:t xml:space="preserve"> important </w:t>
      </w:r>
      <w:r w:rsidR="00AC6317">
        <w:t xml:space="preserve">understanding </w:t>
      </w:r>
      <w:r w:rsidR="007960D1">
        <w:t xml:space="preserve">that </w:t>
      </w:r>
      <w:r w:rsidR="00796D80">
        <w:t xml:space="preserve">variation </w:t>
      </w:r>
      <w:r w:rsidR="00AC6317">
        <w:t>was</w:t>
      </w:r>
      <w:r w:rsidR="007960D1">
        <w:t xml:space="preserve">. </w:t>
      </w:r>
      <w:r w:rsidR="00EA0425">
        <w:t xml:space="preserve">It also allowed us to apply </w:t>
      </w:r>
      <w:r>
        <w:t>a measure that could be used to ex</w:t>
      </w:r>
      <w:r w:rsidR="00EA0425">
        <w:t xml:space="preserve">plore </w:t>
      </w:r>
      <w:r>
        <w:t>relationship</w:t>
      </w:r>
      <w:r w:rsidR="00EA0425">
        <w:t>s</w:t>
      </w:r>
      <w:r>
        <w:t xml:space="preserve"> between level</w:t>
      </w:r>
      <w:r w:rsidR="00EA0425">
        <w:t>s</w:t>
      </w:r>
      <w:r>
        <w:t xml:space="preserve"> of implementation and student outcomes. </w:t>
      </w:r>
      <w:r w:rsidR="00EA0425">
        <w:t>Both of these results have proven useful, and the use of similar indices</w:t>
      </w:r>
      <w:r w:rsidR="00AC6317">
        <w:t xml:space="preserve"> and tools</w:t>
      </w:r>
      <w:r w:rsidR="00EA0425">
        <w:t xml:space="preserve"> </w:t>
      </w:r>
      <w:r w:rsidR="00542351">
        <w:t>should</w:t>
      </w:r>
      <w:r w:rsidR="00EA0425">
        <w:t xml:space="preserve"> prove beneficial to other researchers,</w:t>
      </w:r>
      <w:r w:rsidR="007960D1">
        <w:t xml:space="preserve"> program developers, and policymakers </w:t>
      </w:r>
      <w:r w:rsidR="00EA0425">
        <w:t>who seek</w:t>
      </w:r>
      <w:r w:rsidR="007960D1">
        <w:t xml:space="preserve"> to better understand implementation as well as understand the relationship between implementation and desired outcomes.</w:t>
      </w:r>
    </w:p>
    <w:p w:rsidR="00A75A73" w:rsidRPr="006507DB" w:rsidRDefault="00A75A73" w:rsidP="00A75A73">
      <w:pPr>
        <w:rPr>
          <w:sz w:val="24"/>
          <w:szCs w:val="24"/>
        </w:rPr>
      </w:pPr>
    </w:p>
    <w:p w:rsidR="00A75A73" w:rsidRDefault="00A75A73" w:rsidP="00A75A73">
      <w:pPr>
        <w:pStyle w:val="Heading1"/>
        <w:numPr>
          <w:ilvl w:val="0"/>
          <w:numId w:val="0"/>
        </w:numPr>
      </w:pPr>
      <w:r>
        <w:lastRenderedPageBreak/>
        <w:t>References</w:t>
      </w:r>
    </w:p>
    <w:p w:rsidR="00AC7FA7" w:rsidRPr="00AC7FA7" w:rsidRDefault="00EC0260" w:rsidP="00EC0260">
      <w:pPr>
        <w:pStyle w:val="BodyText"/>
        <w:spacing w:after="160"/>
        <w:ind w:left="360" w:hanging="360"/>
      </w:pPr>
      <w:r>
        <w:t>Angrist, J.D., Dynarski, S.M., Kane, T.J., Pathak, P.</w:t>
      </w:r>
      <w:r w:rsidR="000F4B6F" w:rsidRPr="00346836">
        <w:t>A</w:t>
      </w:r>
      <w:r>
        <w:t>., &amp; Walters, C.</w:t>
      </w:r>
      <w:r w:rsidR="000F4B6F" w:rsidRPr="00346836">
        <w:t xml:space="preserve">R. (2010). </w:t>
      </w:r>
      <w:r w:rsidR="000F4B6F" w:rsidRPr="00346836">
        <w:rPr>
          <w:i/>
        </w:rPr>
        <w:t>Who benefits</w:t>
      </w:r>
      <w:r>
        <w:rPr>
          <w:i/>
        </w:rPr>
        <w:t xml:space="preserve"> </w:t>
      </w:r>
      <w:r w:rsidR="000F4B6F" w:rsidRPr="00346836">
        <w:rPr>
          <w:i/>
        </w:rPr>
        <w:t xml:space="preserve">from KIPP? </w:t>
      </w:r>
      <w:r>
        <w:t>(</w:t>
      </w:r>
      <w:r w:rsidR="000F4B6F" w:rsidRPr="00EC0260">
        <w:t>NBER working paper</w:t>
      </w:r>
      <w:r>
        <w:t xml:space="preserve"> </w:t>
      </w:r>
      <w:r w:rsidR="000F4B6F" w:rsidRPr="00346836">
        <w:t>15740). Cambridge, MA: National Bureau of Economic</w:t>
      </w:r>
      <w:r w:rsidR="00C509A6">
        <w:t xml:space="preserve"> </w:t>
      </w:r>
      <w:r w:rsidR="000F4B6F" w:rsidRPr="00346836">
        <w:t>Research.</w:t>
      </w:r>
    </w:p>
    <w:p w:rsidR="000F4B6F" w:rsidRPr="00346836" w:rsidRDefault="000F4B6F" w:rsidP="00EC0260">
      <w:pPr>
        <w:pStyle w:val="BodyText"/>
        <w:spacing w:after="160"/>
        <w:ind w:left="360" w:hanging="360"/>
      </w:pPr>
      <w:r w:rsidRPr="00346836">
        <w:t xml:space="preserve">Atwater, J., &amp; Morre, W. (1990-1991). </w:t>
      </w:r>
      <w:r w:rsidRPr="00346836">
        <w:rPr>
          <w:i/>
        </w:rPr>
        <w:t>Learning magnet elementary schools: Achievement and</w:t>
      </w:r>
      <w:r w:rsidR="00EC0260">
        <w:rPr>
          <w:i/>
        </w:rPr>
        <w:t xml:space="preserve"> </w:t>
      </w:r>
      <w:r w:rsidRPr="00346836">
        <w:rPr>
          <w:i/>
        </w:rPr>
        <w:t xml:space="preserve">enrollment EVAL of the Applied Learning. </w:t>
      </w:r>
      <w:r w:rsidRPr="00346836">
        <w:t>Kansas City, MO: Kansas City School District.</w:t>
      </w:r>
    </w:p>
    <w:p w:rsidR="00A75A73" w:rsidRPr="00346836" w:rsidRDefault="00A75A73" w:rsidP="00EC0260">
      <w:pPr>
        <w:pStyle w:val="BodyText"/>
        <w:spacing w:after="160"/>
        <w:ind w:left="360" w:hanging="360"/>
      </w:pPr>
      <w:r w:rsidRPr="00346836">
        <w:t xml:space="preserve">Bond, G.R., Evans, L., Salyers, J.W., Kim, H-W. (2000). Measurement of fidelity in psychiatric rehabilitation. </w:t>
      </w:r>
      <w:r w:rsidRPr="00346836">
        <w:rPr>
          <w:i/>
        </w:rPr>
        <w:t>Mental Health Services Research, 2</w:t>
      </w:r>
      <w:r w:rsidRPr="00346836">
        <w:t>(2), 75-87.</w:t>
      </w:r>
    </w:p>
    <w:p w:rsidR="00A75A73" w:rsidRPr="00346836" w:rsidRDefault="00A75A73" w:rsidP="00EC0260">
      <w:pPr>
        <w:pStyle w:val="BodyText"/>
        <w:spacing w:after="160"/>
        <w:ind w:left="360" w:hanging="360"/>
        <w:rPr>
          <w:rFonts w:eastAsia="Calibri"/>
          <w:bCs/>
        </w:rPr>
      </w:pPr>
      <w:r w:rsidRPr="00346836">
        <w:rPr>
          <w:rFonts w:eastAsia="Calibri"/>
        </w:rPr>
        <w:t xml:space="preserve">Century, J., Rudnick, M., &amp; Freeman, C. (2010). </w:t>
      </w:r>
      <w:r w:rsidRPr="00346836">
        <w:rPr>
          <w:rFonts w:eastAsia="Calibri"/>
          <w:bCs/>
        </w:rPr>
        <w:t xml:space="preserve">A framework for measuring fidelity of implementation: A foundation for shared language and accumulation of knowledge. </w:t>
      </w:r>
      <w:r w:rsidRPr="00346836">
        <w:rPr>
          <w:rFonts w:eastAsia="Calibri"/>
          <w:bCs/>
          <w:i/>
        </w:rPr>
        <w:t>American Journal of Evaluation</w:t>
      </w:r>
      <w:r w:rsidRPr="00346836">
        <w:rPr>
          <w:rFonts w:eastAsia="Calibri"/>
          <w:bCs/>
        </w:rPr>
        <w:t>,</w:t>
      </w:r>
      <w:r w:rsidRPr="00346836">
        <w:rPr>
          <w:rFonts w:eastAsia="Calibri"/>
          <w:bCs/>
          <w:i/>
        </w:rPr>
        <w:t xml:space="preserve"> 31</w:t>
      </w:r>
      <w:r w:rsidRPr="00346836">
        <w:rPr>
          <w:rFonts w:eastAsia="Calibri"/>
          <w:bCs/>
        </w:rPr>
        <w:t>(2), 199-218.</w:t>
      </w:r>
    </w:p>
    <w:p w:rsidR="000F4B6F" w:rsidRPr="00AC7FA7" w:rsidRDefault="00EC0260" w:rsidP="00EC0260">
      <w:pPr>
        <w:pStyle w:val="BodyText"/>
        <w:spacing w:after="160"/>
        <w:ind w:left="360" w:hanging="360"/>
      </w:pPr>
      <w:r>
        <w:t>Doran, H.C., &amp; Drury, D.</w:t>
      </w:r>
      <w:r w:rsidR="000F4B6F" w:rsidRPr="00346836">
        <w:t xml:space="preserve">W. (2002). </w:t>
      </w:r>
      <w:r w:rsidR="000F4B6F" w:rsidRPr="00346836">
        <w:rPr>
          <w:i/>
        </w:rPr>
        <w:t>Evaluating Success: KIPP educational program evaluation.</w:t>
      </w:r>
      <w:r w:rsidR="00346836">
        <w:t xml:space="preserve"> </w:t>
      </w:r>
      <w:r w:rsidR="000F4B6F" w:rsidRPr="00346836">
        <w:t>Alexandria, VA: New American Schools.</w:t>
      </w:r>
    </w:p>
    <w:p w:rsidR="00A75A73" w:rsidRPr="00AC7FA7" w:rsidRDefault="00A75A73" w:rsidP="00EC0260">
      <w:pPr>
        <w:pStyle w:val="BodyText"/>
        <w:spacing w:after="160"/>
        <w:ind w:left="360" w:hanging="360"/>
      </w:pPr>
      <w:r w:rsidRPr="00C509A6">
        <w:t xml:space="preserve">Dusenbury, L., Brannigan, R., Falco, M., &amp; Hansen, W.B. (2003). A review of research on fidelity of implementation: Implications for drug abuse prevention in school settings. </w:t>
      </w:r>
      <w:r w:rsidRPr="00C509A6">
        <w:rPr>
          <w:i/>
        </w:rPr>
        <w:t>Health Education Research</w:t>
      </w:r>
      <w:r w:rsidRPr="00C509A6">
        <w:t xml:space="preserve">, </w:t>
      </w:r>
      <w:r w:rsidRPr="00C509A6">
        <w:rPr>
          <w:i/>
        </w:rPr>
        <w:t>28</w:t>
      </w:r>
      <w:r w:rsidRPr="00C509A6">
        <w:t>, 237-</w:t>
      </w:r>
      <w:r w:rsidRPr="00AC7FA7">
        <w:t>256.</w:t>
      </w:r>
    </w:p>
    <w:p w:rsidR="000F4B6F" w:rsidRPr="00346836" w:rsidRDefault="000F4B6F" w:rsidP="00EC0260">
      <w:pPr>
        <w:pStyle w:val="BodyText"/>
        <w:spacing w:after="160"/>
        <w:ind w:left="360" w:hanging="360"/>
      </w:pPr>
      <w:r w:rsidRPr="00346836">
        <w:t xml:space="preserve">Educational Policy Institute. (2005). </w:t>
      </w:r>
      <w:r w:rsidRPr="00346836">
        <w:rPr>
          <w:i/>
        </w:rPr>
        <w:t xml:space="preserve">Focus on results: An academic impact Knowledge is Power Program (KIPP). </w:t>
      </w:r>
      <w:r w:rsidRPr="00346836">
        <w:t>Virginia Beach, VA: Author.</w:t>
      </w:r>
    </w:p>
    <w:p w:rsidR="00A75A73" w:rsidRPr="00AC7FA7" w:rsidRDefault="00A75A73" w:rsidP="00EC0260">
      <w:pPr>
        <w:pStyle w:val="BodyText"/>
        <w:spacing w:after="160"/>
        <w:ind w:left="360" w:hanging="360"/>
      </w:pPr>
      <w:r w:rsidRPr="00C509A6">
        <w:t xml:space="preserve">Fixsen, D.L., Blasé, K.A., Naoom, S.F., &amp; Wallace, F. (2009). </w:t>
      </w:r>
      <w:r w:rsidRPr="00C509A6">
        <w:rPr>
          <w:bCs/>
        </w:rPr>
        <w:t xml:space="preserve">Core </w:t>
      </w:r>
      <w:r w:rsidR="00EC0260" w:rsidRPr="00C509A6">
        <w:rPr>
          <w:bCs/>
        </w:rPr>
        <w:t>implementation co</w:t>
      </w:r>
      <w:r w:rsidRPr="00C509A6">
        <w:rPr>
          <w:bCs/>
        </w:rPr>
        <w:t xml:space="preserve">mponents. </w:t>
      </w:r>
      <w:r w:rsidRPr="00C509A6">
        <w:rPr>
          <w:i/>
        </w:rPr>
        <w:t>Research on Social</w:t>
      </w:r>
      <w:r w:rsidRPr="00AC7FA7">
        <w:rPr>
          <w:i/>
        </w:rPr>
        <w:t xml:space="preserve"> Work Practice, 19</w:t>
      </w:r>
      <w:r w:rsidRPr="00AC7FA7">
        <w:t>(5), 531-540.</w:t>
      </w:r>
    </w:p>
    <w:p w:rsidR="00A75A73" w:rsidRPr="00AC7FA7" w:rsidRDefault="00A75A73" w:rsidP="00EC0260">
      <w:pPr>
        <w:pStyle w:val="BodyText"/>
        <w:spacing w:after="160"/>
        <w:ind w:left="360" w:hanging="360"/>
      </w:pPr>
      <w:r w:rsidRPr="00AC7FA7">
        <w:t xml:space="preserve">Fixsen, D.L., Naoom, S.F., Blase, K.A., Friedman, R.M., &amp; Wallace, F. (2005). </w:t>
      </w:r>
      <w:r w:rsidRPr="00AC7FA7">
        <w:rPr>
          <w:i/>
          <w:iCs/>
        </w:rPr>
        <w:t>Implementation research: A synthesis of the literature</w:t>
      </w:r>
      <w:r w:rsidRPr="00AC7FA7">
        <w:t>. Tampa, Florida: University of South Florida, Louis de la Parte Florida Mental Health Institute, The National Implementation Research Network.</w:t>
      </w:r>
    </w:p>
    <w:p w:rsidR="000F4B6F" w:rsidRPr="00346836" w:rsidRDefault="00EC0260" w:rsidP="00EC0260">
      <w:pPr>
        <w:pStyle w:val="BodyText"/>
        <w:spacing w:after="160"/>
        <w:ind w:left="360" w:hanging="360"/>
      </w:pPr>
      <w:r>
        <w:t>Gallagher, B.M., &amp; Ross, S.</w:t>
      </w:r>
      <w:r w:rsidR="000F4B6F" w:rsidRPr="00346836">
        <w:t xml:space="preserve">M. (2005). </w:t>
      </w:r>
      <w:r w:rsidR="000F4B6F" w:rsidRPr="00346836">
        <w:rPr>
          <w:i/>
        </w:rPr>
        <w:t>Analysis of year 2 (2003-2004) student achievement</w:t>
      </w:r>
      <w:r>
        <w:rPr>
          <w:i/>
        </w:rPr>
        <w:t xml:space="preserve"> </w:t>
      </w:r>
      <w:r w:rsidR="000F4B6F" w:rsidRPr="00346836">
        <w:rPr>
          <w:i/>
        </w:rPr>
        <w:t xml:space="preserve">outcomes for the Memphis KIPP DIAMOND Academy. </w:t>
      </w:r>
      <w:r w:rsidR="000F4B6F" w:rsidRPr="00346836">
        <w:t>Memphis, TN: Center for Research</w:t>
      </w:r>
      <w:r>
        <w:t xml:space="preserve"> </w:t>
      </w:r>
      <w:r w:rsidR="000F4B6F" w:rsidRPr="00346836">
        <w:t>in Educational Policy.</w:t>
      </w:r>
    </w:p>
    <w:p w:rsidR="00EC0260" w:rsidRDefault="00A75A73" w:rsidP="00EC0260">
      <w:pPr>
        <w:pStyle w:val="BodyText"/>
        <w:spacing w:after="160"/>
        <w:ind w:left="360" w:hanging="360"/>
      </w:pPr>
      <w:r w:rsidRPr="00C509A6">
        <w:t xml:space="preserve">Gresham, F.M., Gansle, K.A., &amp; Noell, G.H. (1993). Treatment integrity in applied behavior analysis with children. </w:t>
      </w:r>
      <w:r w:rsidRPr="00C509A6">
        <w:rPr>
          <w:i/>
        </w:rPr>
        <w:t>Journal of Applied Behavior Analysis</w:t>
      </w:r>
      <w:r w:rsidRPr="00C509A6">
        <w:t xml:space="preserve">, </w:t>
      </w:r>
      <w:r w:rsidRPr="00C509A6">
        <w:rPr>
          <w:i/>
        </w:rPr>
        <w:t>26</w:t>
      </w:r>
      <w:r w:rsidRPr="00C509A6">
        <w:t xml:space="preserve">(2), 257–263. </w:t>
      </w:r>
    </w:p>
    <w:p w:rsidR="00A75A73" w:rsidRPr="00AC7FA7" w:rsidRDefault="00A75A73" w:rsidP="00EC0260">
      <w:pPr>
        <w:pStyle w:val="BodyText"/>
        <w:spacing w:after="160"/>
        <w:ind w:left="360" w:hanging="360"/>
      </w:pPr>
      <w:r w:rsidRPr="00C509A6">
        <w:t xml:space="preserve">Hall, G.E. &amp; Hord, S.M. (1987). </w:t>
      </w:r>
      <w:r w:rsidRPr="00EC0260">
        <w:rPr>
          <w:i/>
        </w:rPr>
        <w:t xml:space="preserve">Change in Schools: </w:t>
      </w:r>
      <w:r w:rsidR="00EC0260" w:rsidRPr="00EC0260">
        <w:rPr>
          <w:i/>
        </w:rPr>
        <w:t xml:space="preserve">Facilitating </w:t>
      </w:r>
      <w:r w:rsidRPr="00EC0260">
        <w:rPr>
          <w:i/>
        </w:rPr>
        <w:t>the process.</w:t>
      </w:r>
      <w:r w:rsidRPr="00C509A6">
        <w:t xml:space="preserve"> Albany: State Unive</w:t>
      </w:r>
      <w:r w:rsidRPr="00AC7FA7">
        <w:t>rsity of New York Press.</w:t>
      </w:r>
    </w:p>
    <w:p w:rsidR="000F4B6F" w:rsidRPr="00C509A6" w:rsidRDefault="00EC0260" w:rsidP="00EC0260">
      <w:pPr>
        <w:pStyle w:val="BodyText"/>
        <w:spacing w:after="160"/>
        <w:ind w:left="360" w:hanging="360"/>
      </w:pPr>
      <w:r>
        <w:t>Hoxby, C.</w:t>
      </w:r>
      <w:r w:rsidR="000F4B6F" w:rsidRPr="00346836">
        <w:t xml:space="preserve">M., Murarka, S., &amp; Kang, J. (2009). </w:t>
      </w:r>
      <w:r w:rsidR="000F4B6F" w:rsidRPr="00346836">
        <w:rPr>
          <w:i/>
        </w:rPr>
        <w:t>How New York City’s charter schools affect</w:t>
      </w:r>
      <w:r>
        <w:rPr>
          <w:i/>
        </w:rPr>
        <w:t xml:space="preserve"> </w:t>
      </w:r>
      <w:r w:rsidR="000F4B6F" w:rsidRPr="00346836">
        <w:rPr>
          <w:i/>
        </w:rPr>
        <w:t xml:space="preserve">achievement, August 2009 report. </w:t>
      </w:r>
      <w:r w:rsidR="000F4B6F" w:rsidRPr="00346836">
        <w:t>Cambridge, MA: New York City Charter Schools</w:t>
      </w:r>
      <w:r>
        <w:t xml:space="preserve"> </w:t>
      </w:r>
      <w:r w:rsidR="000F4B6F" w:rsidRPr="00346836">
        <w:t>Evaluation Project.</w:t>
      </w:r>
    </w:p>
    <w:p w:rsidR="00A75A73" w:rsidRPr="00AC7FA7" w:rsidRDefault="00A75A73" w:rsidP="00EC0260">
      <w:pPr>
        <w:pStyle w:val="BodyText"/>
        <w:spacing w:after="160"/>
        <w:ind w:left="360" w:hanging="360"/>
        <w:rPr>
          <w:rFonts w:eastAsia="Calibri"/>
        </w:rPr>
      </w:pPr>
      <w:r w:rsidRPr="00C509A6">
        <w:rPr>
          <w:rFonts w:eastAsia="Calibri"/>
        </w:rPr>
        <w:t>Mowbray, C.T., Holter, M.C., Teague, G.B., &amp; Bybee, D. (2003). Fidelity criteria: Development, measurement, and validation. The American</w:t>
      </w:r>
      <w:r w:rsidRPr="00AC7FA7">
        <w:rPr>
          <w:rFonts w:eastAsia="Calibri"/>
        </w:rPr>
        <w:t xml:space="preserve"> Journal of Evaluation, </w:t>
      </w:r>
      <w:r w:rsidRPr="00EC0260">
        <w:rPr>
          <w:rFonts w:eastAsia="Calibri"/>
          <w:i/>
        </w:rPr>
        <w:t>24</w:t>
      </w:r>
      <w:r w:rsidRPr="00AC7FA7">
        <w:rPr>
          <w:rFonts w:eastAsia="Calibri"/>
        </w:rPr>
        <w:t>, 315-340.</w:t>
      </w:r>
    </w:p>
    <w:p w:rsidR="000F4B6F" w:rsidRPr="00EC0260" w:rsidRDefault="00EC0260" w:rsidP="00EC0260">
      <w:pPr>
        <w:pStyle w:val="BodyText"/>
        <w:spacing w:after="160"/>
        <w:ind w:left="360" w:hanging="360"/>
        <w:rPr>
          <w:rFonts w:eastAsia="Calibri"/>
        </w:rPr>
      </w:pPr>
      <w:r>
        <w:t>Patall, E.A., Cooper, H., &amp; Allen, A.</w:t>
      </w:r>
      <w:r w:rsidR="000F4B6F" w:rsidRPr="00AC7FA7">
        <w:t>B. (2010). Extending the school day or school year: A</w:t>
      </w:r>
      <w:r>
        <w:t xml:space="preserve"> </w:t>
      </w:r>
      <w:r w:rsidR="000F4B6F" w:rsidRPr="00AC7FA7">
        <w:t xml:space="preserve">systematic review of research (1985-2009). </w:t>
      </w:r>
      <w:r w:rsidR="000F4B6F" w:rsidRPr="00AC7FA7">
        <w:rPr>
          <w:i/>
        </w:rPr>
        <w:t>Rev</w:t>
      </w:r>
      <w:r>
        <w:rPr>
          <w:i/>
        </w:rPr>
        <w:t>iew of Educational Research, 80</w:t>
      </w:r>
      <w:r w:rsidR="000F4B6F" w:rsidRPr="00EC0260">
        <w:t>(3), 401-436.</w:t>
      </w:r>
    </w:p>
    <w:p w:rsidR="00265FDA" w:rsidRDefault="000F4B6F" w:rsidP="00EC0260">
      <w:pPr>
        <w:pStyle w:val="BodyText"/>
        <w:ind w:left="360" w:hanging="360"/>
        <w:rPr>
          <w:shd w:val="clear" w:color="auto" w:fill="FFFFFF"/>
        </w:rPr>
      </w:pPr>
      <w:r w:rsidRPr="00AC7FA7">
        <w:t>T</w:t>
      </w:r>
      <w:r w:rsidR="00EC0260">
        <w:t>uttle, C.C., Teh, B.-R., Nichols-Barrer, I., Gill, B.</w:t>
      </w:r>
      <w:r w:rsidRPr="00AC7FA7">
        <w:t xml:space="preserve">P., &amp; Gleason, P. (2010). </w:t>
      </w:r>
      <w:r w:rsidRPr="00AC7FA7">
        <w:rPr>
          <w:i/>
        </w:rPr>
        <w:t>Student characteristics</w:t>
      </w:r>
      <w:r w:rsidR="00C509A6">
        <w:rPr>
          <w:i/>
        </w:rPr>
        <w:t xml:space="preserve"> </w:t>
      </w:r>
      <w:r w:rsidRPr="00AC7FA7">
        <w:rPr>
          <w:i/>
        </w:rPr>
        <w:t xml:space="preserve">and achievement in 22 KIPP middle schools. </w:t>
      </w:r>
      <w:r w:rsidRPr="00AC7FA7">
        <w:t>Washington, DC: Mathematica Policy</w:t>
      </w:r>
      <w:r w:rsidR="00C509A6">
        <w:t xml:space="preserve"> </w:t>
      </w:r>
      <w:r w:rsidRPr="00AC7FA7">
        <w:t>Research Inc.</w:t>
      </w:r>
      <w:r w:rsidR="00A75A73">
        <w:t xml:space="preserve"> </w:t>
      </w:r>
    </w:p>
    <w:p w:rsidR="00265FDA" w:rsidRDefault="00265FDA" w:rsidP="00A75A73">
      <w:pPr>
        <w:tabs>
          <w:tab w:val="left" w:pos="720"/>
          <w:tab w:val="left" w:pos="1080"/>
          <w:tab w:val="left" w:pos="1440"/>
          <w:tab w:val="left" w:pos="1800"/>
        </w:tabs>
        <w:rPr>
          <w:rFonts w:ascii="Arial Narrow" w:hAnsi="Arial Narrow"/>
          <w:b/>
          <w:sz w:val="20"/>
          <w:szCs w:val="24"/>
        </w:rPr>
        <w:sectPr w:rsidR="00265FDA" w:rsidSect="00A75A73">
          <w:footerReference w:type="default" r:id="rId11"/>
          <w:pgSz w:w="12240" w:h="15840" w:code="1"/>
          <w:pgMar w:top="1440" w:right="1440" w:bottom="1440" w:left="1440" w:header="720" w:footer="720" w:gutter="0"/>
          <w:pgNumType w:start="1" w:chapStyle="1"/>
          <w:cols w:space="720"/>
          <w:docGrid w:linePitch="299"/>
        </w:sectPr>
      </w:pPr>
    </w:p>
    <w:p w:rsidR="00A75A73" w:rsidRPr="00380C59" w:rsidRDefault="009979CD" w:rsidP="00737879">
      <w:pPr>
        <w:pStyle w:val="Heading1"/>
        <w:numPr>
          <w:ilvl w:val="0"/>
          <w:numId w:val="0"/>
        </w:numPr>
      </w:pPr>
      <w:r>
        <w:lastRenderedPageBreak/>
        <w:t>Appendix</w:t>
      </w:r>
      <w:r w:rsidR="00EF2780">
        <w:t xml:space="preserve">: </w:t>
      </w:r>
      <w:r w:rsidR="00A75A73" w:rsidRPr="00380C59">
        <w:t>Massachusetts Implementation Index Criteri</w:t>
      </w:r>
      <w:r w:rsidR="00A75A73">
        <w:t>a</w:t>
      </w:r>
      <w:r w:rsidR="00A75A73" w:rsidRPr="00380C59">
        <w:t>, 2010-11</w:t>
      </w:r>
    </w:p>
    <w:p w:rsidR="00265FDA" w:rsidRDefault="00265FDA" w:rsidP="00A75A73">
      <w:pPr>
        <w:pStyle w:val="Heading3"/>
        <w:rPr>
          <w:rFonts w:ascii="Arial Narrow" w:hAnsi="Arial Narrow"/>
          <w:szCs w:val="24"/>
        </w:rPr>
        <w:sectPr w:rsidR="00265FDA" w:rsidSect="00737879">
          <w:headerReference w:type="default" r:id="rId12"/>
          <w:footerReference w:type="default" r:id="rId13"/>
          <w:pgSz w:w="12240" w:h="15840" w:code="1"/>
          <w:pgMar w:top="1440" w:right="1440" w:bottom="1440" w:left="1440" w:header="720" w:footer="720" w:gutter="0"/>
          <w:pgBorders w:offsetFrom="page">
            <w:top w:val="triple" w:sz="12" w:space="24" w:color="7F7F7F" w:themeColor="text1" w:themeTint="80"/>
            <w:left w:val="triple" w:sz="12" w:space="24" w:color="7F7F7F" w:themeColor="text1" w:themeTint="80"/>
            <w:bottom w:val="triple" w:sz="12" w:space="24" w:color="7F7F7F" w:themeColor="text1" w:themeTint="80"/>
            <w:right w:val="triple" w:sz="12" w:space="24" w:color="7F7F7F" w:themeColor="text1" w:themeTint="80"/>
          </w:pgBorders>
          <w:pgNumType w:start="1" w:chapStyle="1"/>
          <w:cols w:space="720"/>
          <w:docGrid w:linePitch="299"/>
        </w:sectPr>
      </w:pPr>
      <w:bookmarkStart w:id="4" w:name="_Toc317693306"/>
    </w:p>
    <w:p w:rsidR="00A75A73" w:rsidRPr="00380C59" w:rsidRDefault="00A75A73" w:rsidP="0008461D">
      <w:pPr>
        <w:pStyle w:val="Heading3"/>
        <w:numPr>
          <w:ilvl w:val="0"/>
          <w:numId w:val="0"/>
        </w:numPr>
        <w:rPr>
          <w:rFonts w:ascii="Arial Narrow" w:hAnsi="Arial Narrow"/>
          <w:szCs w:val="24"/>
        </w:rPr>
      </w:pPr>
      <w:r w:rsidRPr="00380C59">
        <w:rPr>
          <w:rFonts w:ascii="Arial Narrow" w:hAnsi="Arial Narrow"/>
          <w:szCs w:val="24"/>
        </w:rPr>
        <w:lastRenderedPageBreak/>
        <w:t>Criterion 1: School-Wide Academic Focus</w:t>
      </w:r>
      <w:bookmarkEnd w:id="4"/>
    </w:p>
    <w:p w:rsidR="00A75A73" w:rsidRPr="00380C59" w:rsidRDefault="00A75A73" w:rsidP="00A75A73">
      <w:pPr>
        <w:tabs>
          <w:tab w:val="left" w:pos="720"/>
          <w:tab w:val="left" w:pos="1080"/>
          <w:tab w:val="left" w:pos="1440"/>
          <w:tab w:val="left" w:pos="1800"/>
        </w:tabs>
        <w:rPr>
          <w:rFonts w:ascii="Arial Narrow" w:hAnsi="Arial Narrow"/>
          <w:sz w:val="20"/>
          <w:szCs w:val="24"/>
        </w:rPr>
      </w:pPr>
      <w:r w:rsidRPr="00380C59">
        <w:rPr>
          <w:rFonts w:ascii="Arial Narrow" w:hAnsi="Arial Narrow"/>
          <w:sz w:val="20"/>
          <w:szCs w:val="24"/>
        </w:rPr>
        <w:t>The academic focus criterion addresses whether a school-wide academic focus is present and consistently identified and disseminated (Level 1), whether the focus is linked to instruction (Level 2), and whether the focus is regularly monitored and used to adjust</w:t>
      </w:r>
      <w:r w:rsidR="00EC0260">
        <w:rPr>
          <w:rFonts w:ascii="Arial Narrow" w:hAnsi="Arial Narrow"/>
          <w:sz w:val="20"/>
          <w:szCs w:val="24"/>
        </w:rPr>
        <w:t xml:space="preserve"> instructional practices (Level </w:t>
      </w:r>
      <w:r w:rsidRPr="00380C59">
        <w:rPr>
          <w:rFonts w:ascii="Arial Narrow" w:hAnsi="Arial Narrow"/>
          <w:sz w:val="20"/>
          <w:szCs w:val="24"/>
        </w:rPr>
        <w:t>3).</w:t>
      </w:r>
    </w:p>
    <w:p w:rsidR="00A75A73" w:rsidRPr="00380C59" w:rsidRDefault="00A75A73" w:rsidP="0008461D">
      <w:pPr>
        <w:pStyle w:val="Heading3"/>
        <w:numPr>
          <w:ilvl w:val="0"/>
          <w:numId w:val="0"/>
        </w:numPr>
        <w:ind w:left="720" w:hanging="720"/>
        <w:rPr>
          <w:rFonts w:ascii="Arial Narrow" w:hAnsi="Arial Narrow"/>
          <w:szCs w:val="24"/>
        </w:rPr>
      </w:pPr>
      <w:bookmarkStart w:id="5" w:name="_Toc317693307"/>
      <w:r w:rsidRPr="00380C59">
        <w:rPr>
          <w:rFonts w:ascii="Arial Narrow" w:hAnsi="Arial Narrow"/>
          <w:szCs w:val="24"/>
        </w:rPr>
        <w:t>Criterion 2: Core Academics in Target Grades</w:t>
      </w:r>
      <w:bookmarkEnd w:id="5"/>
    </w:p>
    <w:p w:rsidR="00A75A73" w:rsidRPr="00380C59" w:rsidRDefault="00A75A73" w:rsidP="00A75A73">
      <w:pPr>
        <w:tabs>
          <w:tab w:val="left" w:pos="720"/>
          <w:tab w:val="left" w:pos="1080"/>
          <w:tab w:val="left" w:pos="1440"/>
          <w:tab w:val="left" w:pos="1800"/>
        </w:tabs>
        <w:rPr>
          <w:rFonts w:ascii="Arial Narrow" w:hAnsi="Arial Narrow"/>
          <w:sz w:val="20"/>
          <w:szCs w:val="24"/>
        </w:rPr>
      </w:pPr>
      <w:r w:rsidRPr="00380C59">
        <w:rPr>
          <w:rFonts w:ascii="Arial Narrow" w:hAnsi="Arial Narrow"/>
          <w:sz w:val="20"/>
          <w:szCs w:val="24"/>
        </w:rPr>
        <w:t xml:space="preserve">The time component of the core academics criterion addresses whether students in target grades receive at least 300 minutes of ELA and at least 250 minutes of math instruction per week (Level 1), at least 350 minutes of ELA instruction, at least 300 minutes of math instruction, and at least 150 minutes of science or social studies instruction per week (Level 2), and at least 200 minutes of both science and social studies instruction in addition to Level 2 ELA and math thresholds (Level 3). The “how” component addresses teacher support for improvements to academic instruction and student receipt of at least 50 minutes of dedicated academic support time per week (Level 1), student receipt of at least 100 minutes of academic support time per week and whether specific particular instructional practices are used (Level 2), and student receipt of at least 150 minutes of academic support time in addition to a higher threshold for the use of particular instructional strategies (Level 3). </w:t>
      </w:r>
    </w:p>
    <w:p w:rsidR="00A75A73" w:rsidRPr="00380C59" w:rsidRDefault="00A75A73" w:rsidP="0008461D">
      <w:pPr>
        <w:pStyle w:val="Heading3"/>
        <w:numPr>
          <w:ilvl w:val="0"/>
          <w:numId w:val="0"/>
        </w:numPr>
        <w:ind w:left="720" w:hanging="720"/>
        <w:rPr>
          <w:rFonts w:ascii="Arial Narrow" w:hAnsi="Arial Narrow"/>
          <w:szCs w:val="24"/>
        </w:rPr>
      </w:pPr>
      <w:bookmarkStart w:id="6" w:name="_Toc317693308"/>
      <w:r w:rsidRPr="00380C59">
        <w:rPr>
          <w:rFonts w:ascii="Arial Narrow" w:hAnsi="Arial Narrow"/>
          <w:szCs w:val="24"/>
        </w:rPr>
        <w:t>Criterion 3: Enrichment Activities in Target Grades</w:t>
      </w:r>
      <w:bookmarkEnd w:id="6"/>
    </w:p>
    <w:p w:rsidR="00A75A73" w:rsidRDefault="00A75A73" w:rsidP="00A75A73">
      <w:pPr>
        <w:tabs>
          <w:tab w:val="left" w:pos="720"/>
          <w:tab w:val="left" w:pos="1080"/>
          <w:tab w:val="left" w:pos="1440"/>
          <w:tab w:val="left" w:pos="1800"/>
        </w:tabs>
        <w:rPr>
          <w:rFonts w:ascii="Arial Narrow" w:hAnsi="Arial Narrow"/>
          <w:sz w:val="20"/>
          <w:szCs w:val="24"/>
        </w:rPr>
      </w:pPr>
      <w:r w:rsidRPr="00380C59">
        <w:rPr>
          <w:rFonts w:ascii="Arial Narrow" w:hAnsi="Arial Narrow"/>
          <w:sz w:val="20"/>
          <w:szCs w:val="24"/>
        </w:rPr>
        <w:t>The time component of the enrichment criterion addresses whether the school offers at least 45 minutes of enrichment activities and 45 minutes of specials per week (Level 1), at least 90 minutes of each per week (Level 2), and at least 135 minutes of each (Level 3). The “how” component addresses student access to enrichment (Level 1), student choice about and school integration of enrichment (Level 2), and the extent to which enrichment activities are influenced by the school’s academic focus, connected to grade level standards and/or curriculum frameworks, and perceived by teachers to be of high quality (Level 3).</w:t>
      </w:r>
      <w:r>
        <w:rPr>
          <w:rFonts w:ascii="Arial Narrow" w:hAnsi="Arial Narrow"/>
          <w:sz w:val="20"/>
          <w:szCs w:val="24"/>
        </w:rPr>
        <w:t xml:space="preserve">  </w:t>
      </w:r>
      <w:bookmarkStart w:id="7" w:name="_Toc317693309"/>
    </w:p>
    <w:p w:rsidR="00A75A73" w:rsidRPr="00380C59" w:rsidRDefault="00A75A73" w:rsidP="0008461D">
      <w:pPr>
        <w:pStyle w:val="Heading3"/>
        <w:numPr>
          <w:ilvl w:val="0"/>
          <w:numId w:val="0"/>
        </w:numPr>
        <w:spacing w:before="120"/>
        <w:ind w:left="720" w:hanging="720"/>
        <w:rPr>
          <w:rFonts w:ascii="Arial Narrow" w:hAnsi="Arial Narrow"/>
          <w:szCs w:val="24"/>
        </w:rPr>
      </w:pPr>
      <w:r w:rsidRPr="00380C59">
        <w:rPr>
          <w:rFonts w:ascii="Arial Narrow" w:hAnsi="Arial Narrow"/>
          <w:szCs w:val="24"/>
        </w:rPr>
        <w:lastRenderedPageBreak/>
        <w:t>Criterion 4: Teacher Leadership and Collaboration</w:t>
      </w:r>
      <w:bookmarkEnd w:id="7"/>
    </w:p>
    <w:p w:rsidR="00A75A73" w:rsidRPr="00380C59" w:rsidRDefault="00A75A73" w:rsidP="00A75A73">
      <w:pPr>
        <w:tabs>
          <w:tab w:val="left" w:pos="720"/>
          <w:tab w:val="left" w:pos="1080"/>
          <w:tab w:val="left" w:pos="1440"/>
          <w:tab w:val="left" w:pos="1800"/>
        </w:tabs>
        <w:rPr>
          <w:rFonts w:ascii="Arial Narrow" w:hAnsi="Arial Narrow"/>
          <w:sz w:val="20"/>
          <w:szCs w:val="24"/>
        </w:rPr>
      </w:pPr>
      <w:r w:rsidRPr="00380C59">
        <w:rPr>
          <w:rFonts w:ascii="Arial Narrow" w:hAnsi="Arial Narrow"/>
          <w:sz w:val="20"/>
          <w:szCs w:val="24"/>
        </w:rPr>
        <w:t>The time component of the teacher leadership and collaboration criterion addresses whether the majority of teachers attend collaborative planning meetings at least twice monthly for at least 45 minutes (Level 1), at least once per week and whether/how frequently collaborative planning time has been supplanted by other unrelated activities (Level 2), and more than once per week (Level 3). The “how” component addresses the structure and content of collaborative planning time (Level 1), the culture of collaboration (Level 2), and opportunities for teacher leadership in a school (Level 3).</w:t>
      </w:r>
    </w:p>
    <w:p w:rsidR="00A75A73" w:rsidRPr="00380C59" w:rsidRDefault="00A75A73" w:rsidP="0008461D">
      <w:pPr>
        <w:pStyle w:val="Heading3"/>
        <w:numPr>
          <w:ilvl w:val="0"/>
          <w:numId w:val="0"/>
        </w:numPr>
        <w:ind w:left="720" w:hanging="720"/>
        <w:rPr>
          <w:rFonts w:ascii="Arial Narrow" w:hAnsi="Arial Narrow"/>
          <w:szCs w:val="24"/>
        </w:rPr>
      </w:pPr>
      <w:bookmarkStart w:id="8" w:name="_Toc317693310"/>
      <w:r w:rsidRPr="00380C59">
        <w:rPr>
          <w:rFonts w:ascii="Arial Narrow" w:hAnsi="Arial Narrow"/>
          <w:szCs w:val="24"/>
        </w:rPr>
        <w:t>Criterion 5: School Leadership</w:t>
      </w:r>
      <w:bookmarkEnd w:id="8"/>
    </w:p>
    <w:p w:rsidR="00A75A73" w:rsidRPr="00380C59" w:rsidRDefault="00A75A73" w:rsidP="00A75A73">
      <w:pPr>
        <w:tabs>
          <w:tab w:val="left" w:pos="720"/>
          <w:tab w:val="left" w:pos="1080"/>
          <w:tab w:val="left" w:pos="1440"/>
          <w:tab w:val="left" w:pos="1800"/>
        </w:tabs>
        <w:rPr>
          <w:rFonts w:ascii="Arial Narrow" w:hAnsi="Arial Narrow"/>
          <w:sz w:val="20"/>
          <w:szCs w:val="24"/>
        </w:rPr>
      </w:pPr>
      <w:r w:rsidRPr="00380C59">
        <w:rPr>
          <w:rFonts w:ascii="Arial Narrow" w:hAnsi="Arial Narrow"/>
          <w:sz w:val="20"/>
          <w:szCs w:val="24"/>
        </w:rPr>
        <w:t>The school leadership criterion addresses teacher perceptions of school leadership direction setting (Level 1), school leadership involvement in instructional practice and staff development (Level 2), and school leadership focus on strengthening school culture (Level 3).</w:t>
      </w:r>
    </w:p>
    <w:p w:rsidR="00A75A73" w:rsidRPr="00380C59" w:rsidRDefault="00A75A73" w:rsidP="0008461D">
      <w:pPr>
        <w:pStyle w:val="Heading3"/>
        <w:numPr>
          <w:ilvl w:val="0"/>
          <w:numId w:val="0"/>
        </w:numPr>
        <w:ind w:left="720" w:hanging="720"/>
        <w:rPr>
          <w:rFonts w:ascii="Arial Narrow" w:hAnsi="Arial Narrow"/>
          <w:szCs w:val="24"/>
        </w:rPr>
      </w:pPr>
      <w:bookmarkStart w:id="9" w:name="_Toc317693311"/>
      <w:r w:rsidRPr="00380C59">
        <w:rPr>
          <w:rFonts w:ascii="Arial Narrow" w:hAnsi="Arial Narrow"/>
          <w:szCs w:val="24"/>
        </w:rPr>
        <w:t>Criterion 6: ELT Support</w:t>
      </w:r>
      <w:bookmarkEnd w:id="9"/>
    </w:p>
    <w:p w:rsidR="00A75A73" w:rsidRDefault="00A75A73" w:rsidP="00F40CB3">
      <w:pPr>
        <w:tabs>
          <w:tab w:val="left" w:pos="720"/>
          <w:tab w:val="left" w:pos="1080"/>
          <w:tab w:val="left" w:pos="1440"/>
          <w:tab w:val="left" w:pos="1800"/>
        </w:tabs>
        <w:rPr>
          <w:rFonts w:ascii="Arial Narrow" w:hAnsi="Arial Narrow"/>
          <w:sz w:val="20"/>
          <w:szCs w:val="24"/>
        </w:rPr>
      </w:pPr>
      <w:r w:rsidRPr="00380C59">
        <w:rPr>
          <w:rFonts w:ascii="Arial Narrow" w:hAnsi="Arial Narrow"/>
          <w:sz w:val="20"/>
          <w:szCs w:val="24"/>
        </w:rPr>
        <w:t>A subset of indicators of ELT implementation applicable only to funded ELT schools comprises the ELT support criterion. This criterion addresses the extent to which teachers are supportive of ELT and report that school leadership sets high expectations for ELT (Level 1), whether and how the leadership team involves others in designing and implementing ELT changes and teacher perceptions of district support for ELT implementation (Level 2), and if the majority of teachers report satisfaction with staffing provided to cover the entire school day (Level</w:t>
      </w:r>
      <w:r w:rsidR="00EC0260">
        <w:rPr>
          <w:rFonts w:ascii="Arial Narrow" w:hAnsi="Arial Narrow"/>
          <w:sz w:val="20"/>
          <w:szCs w:val="24"/>
        </w:rPr>
        <w:t> </w:t>
      </w:r>
      <w:r w:rsidRPr="00380C59">
        <w:rPr>
          <w:rFonts w:ascii="Arial Narrow" w:hAnsi="Arial Narrow"/>
          <w:sz w:val="20"/>
          <w:szCs w:val="24"/>
        </w:rPr>
        <w:t>3).</w:t>
      </w:r>
    </w:p>
    <w:p w:rsidR="00737879" w:rsidRDefault="00737879" w:rsidP="00A75A73">
      <w:pPr>
        <w:tabs>
          <w:tab w:val="left" w:pos="720"/>
          <w:tab w:val="left" w:pos="1080"/>
          <w:tab w:val="left" w:pos="1440"/>
          <w:tab w:val="left" w:pos="1800"/>
        </w:tabs>
        <w:rPr>
          <w:rFonts w:ascii="Arial Narrow" w:hAnsi="Arial Narrow"/>
          <w:sz w:val="20"/>
          <w:szCs w:val="24"/>
        </w:rPr>
      </w:pPr>
    </w:p>
    <w:p w:rsidR="00737879" w:rsidRDefault="00737879" w:rsidP="00A75A73">
      <w:pPr>
        <w:tabs>
          <w:tab w:val="left" w:pos="720"/>
          <w:tab w:val="left" w:pos="1080"/>
          <w:tab w:val="left" w:pos="1440"/>
          <w:tab w:val="left" w:pos="1800"/>
        </w:tabs>
        <w:rPr>
          <w:rFonts w:ascii="Arial Narrow" w:hAnsi="Arial Narrow"/>
          <w:sz w:val="20"/>
          <w:szCs w:val="24"/>
        </w:rPr>
      </w:pPr>
    </w:p>
    <w:p w:rsidR="00737879" w:rsidRDefault="00737879" w:rsidP="00A75A73">
      <w:pPr>
        <w:tabs>
          <w:tab w:val="left" w:pos="720"/>
          <w:tab w:val="left" w:pos="1080"/>
          <w:tab w:val="left" w:pos="1440"/>
          <w:tab w:val="left" w:pos="1800"/>
        </w:tabs>
        <w:rPr>
          <w:rFonts w:ascii="Arial Narrow" w:hAnsi="Arial Narrow"/>
          <w:sz w:val="20"/>
          <w:szCs w:val="24"/>
        </w:rPr>
      </w:pPr>
    </w:p>
    <w:p w:rsidR="00737879" w:rsidRPr="00380C59" w:rsidRDefault="00737879" w:rsidP="00A75A73">
      <w:pPr>
        <w:tabs>
          <w:tab w:val="left" w:pos="720"/>
          <w:tab w:val="left" w:pos="1080"/>
          <w:tab w:val="left" w:pos="1440"/>
          <w:tab w:val="left" w:pos="1800"/>
        </w:tabs>
        <w:rPr>
          <w:rFonts w:ascii="Arial Narrow" w:hAnsi="Arial Narrow"/>
          <w:sz w:val="20"/>
          <w:szCs w:val="24"/>
        </w:rPr>
      </w:pPr>
    </w:p>
    <w:p w:rsidR="00265FDA" w:rsidRDefault="00265FDA" w:rsidP="00A75A73">
      <w:pPr>
        <w:pStyle w:val="BodyText"/>
        <w:sectPr w:rsidR="00265FDA" w:rsidSect="00265FDA">
          <w:type w:val="continuous"/>
          <w:pgSz w:w="12240" w:h="15840" w:code="1"/>
          <w:pgMar w:top="1440" w:right="1440" w:bottom="1440" w:left="1440" w:header="720" w:footer="720" w:gutter="0"/>
          <w:pgNumType w:start="1" w:chapStyle="1"/>
          <w:cols w:num="2" w:space="720"/>
          <w:docGrid w:linePitch="299"/>
        </w:sectPr>
      </w:pPr>
    </w:p>
    <w:p w:rsidR="00A75A73" w:rsidRPr="00A75A73" w:rsidRDefault="00A75A73" w:rsidP="00A75A73">
      <w:pPr>
        <w:pStyle w:val="BodyText"/>
      </w:pPr>
    </w:p>
    <w:sectPr w:rsidR="00A75A73" w:rsidRPr="00A75A73" w:rsidSect="00265FDA">
      <w:type w:val="continuous"/>
      <w:pgSz w:w="12240" w:h="15840" w:code="1"/>
      <w:pgMar w:top="1440" w:right="1440" w:bottom="1440" w:left="1440" w:header="720" w:footer="720" w:gutter="0"/>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CD" w:rsidRDefault="009979CD" w:rsidP="00D979EA">
      <w:r>
        <w:separator/>
      </w:r>
    </w:p>
  </w:endnote>
  <w:endnote w:type="continuationSeparator" w:id="0">
    <w:p w:rsidR="009979CD" w:rsidRDefault="009979C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AFGTN+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CD" w:rsidRDefault="009979CD" w:rsidP="00744E2C">
    <w:pPr>
      <w:pStyle w:val="Footer"/>
      <w:pBdr>
        <w:top w:val="none" w:sz="0" w:space="0" w:color="auto"/>
      </w:pBd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CD" w:rsidRPr="0066134E" w:rsidRDefault="009979CD" w:rsidP="00A75A73">
    <w:pPr>
      <w:pStyle w:val="Footer"/>
      <w:tabs>
        <w:tab w:val="clear" w:pos="9000"/>
        <w:tab w:val="right" w:pos="9360"/>
      </w:tabs>
    </w:pPr>
    <w:r w:rsidRPr="00967D7C">
      <w:rPr>
        <w:color w:val="DA291C"/>
      </w:rPr>
      <w:t>Abt Associates Inc.</w:t>
    </w:r>
    <w:r w:rsidRPr="0066134E">
      <w:tab/>
    </w:r>
    <w:r w:rsidRPr="0066134E">
      <w:rPr>
        <w:rStyle w:val="PageNumber"/>
        <w:b/>
      </w:rPr>
      <w:tab/>
    </w:r>
    <w:r w:rsidR="007E03A1">
      <w:rPr>
        <w:rStyle w:val="PageNumber"/>
        <w:b/>
      </w:rPr>
      <w:t>May</w:t>
    </w:r>
    <w:r w:rsidRPr="00265FDA">
      <w:rPr>
        <w:rStyle w:val="PageNumber"/>
        <w:b/>
      </w:rPr>
      <w:t xml:space="preserve"> 2013</w:t>
    </w:r>
    <w:r>
      <w:rPr>
        <w:rStyle w:val="PageNumber"/>
        <w:b/>
      </w:rPr>
      <w:t> </w:t>
    </w:r>
    <w:r>
      <w:rPr>
        <w:rStyle w:val="PageNumber"/>
        <w:rFonts w:cs="Arial"/>
        <w:b/>
      </w:rPr>
      <w:t>▌</w:t>
    </w:r>
    <w:r>
      <w:rPr>
        <w:rStyle w:val="PageNumber"/>
        <w:b/>
      </w:rPr>
      <w:t xml:space="preserve">pg. </w:t>
    </w:r>
    <w:r w:rsidR="00FB3DDC" w:rsidRPr="002064D3">
      <w:rPr>
        <w:rStyle w:val="PageNumber"/>
        <w:b/>
        <w:color w:val="DA291C"/>
      </w:rPr>
      <w:fldChar w:fldCharType="begin"/>
    </w:r>
    <w:r w:rsidRPr="002064D3">
      <w:rPr>
        <w:rStyle w:val="PageNumber"/>
        <w:b/>
        <w:color w:val="DA291C"/>
      </w:rPr>
      <w:instrText xml:space="preserve"> PAGE   \* MERGEFORMAT </w:instrText>
    </w:r>
    <w:r w:rsidR="00FB3DDC" w:rsidRPr="002064D3">
      <w:rPr>
        <w:rStyle w:val="PageNumber"/>
        <w:b/>
        <w:color w:val="DA291C"/>
      </w:rPr>
      <w:fldChar w:fldCharType="separate"/>
    </w:r>
    <w:r w:rsidR="002C0F16">
      <w:rPr>
        <w:rStyle w:val="PageNumber"/>
        <w:b/>
        <w:noProof/>
        <w:color w:val="DA291C"/>
      </w:rPr>
      <w:t>1</w:t>
    </w:r>
    <w:r w:rsidR="00FB3DDC" w:rsidRPr="002064D3">
      <w:rPr>
        <w:rStyle w:val="PageNumber"/>
        <w:b/>
        <w:noProof/>
        <w:color w:val="DA291C"/>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CD" w:rsidRPr="00737879" w:rsidRDefault="009979CD" w:rsidP="00737879">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CD" w:rsidRDefault="009979CD" w:rsidP="00D979EA">
      <w:r>
        <w:separator/>
      </w:r>
    </w:p>
  </w:footnote>
  <w:footnote w:type="continuationSeparator" w:id="0">
    <w:p w:rsidR="009979CD" w:rsidRDefault="009979CD" w:rsidP="00D979EA">
      <w:r>
        <w:continuationSeparator/>
      </w:r>
    </w:p>
  </w:footnote>
  <w:footnote w:id="1">
    <w:p w:rsidR="009979CD" w:rsidRDefault="009979CD" w:rsidP="00D106A7">
      <w:pPr>
        <w:pStyle w:val="FootnoteText"/>
        <w:spacing w:after="0" w:line="240" w:lineRule="auto"/>
      </w:pPr>
      <w:r>
        <w:rPr>
          <w:rStyle w:val="FootnoteReference"/>
        </w:rPr>
        <w:footnoteRef/>
      </w:r>
      <w:r>
        <w:t xml:space="preserve"> </w:t>
      </w:r>
      <w:r w:rsidRPr="00464DEC">
        <w:t>The IES grant award number for this study is R305A080372</w:t>
      </w:r>
      <w:r>
        <w:t>.</w:t>
      </w:r>
    </w:p>
  </w:footnote>
  <w:footnote w:id="2">
    <w:p w:rsidR="009979CD" w:rsidRDefault="009979CD" w:rsidP="00D106A7">
      <w:pPr>
        <w:pStyle w:val="FootnoteText"/>
        <w:spacing w:after="0" w:line="240" w:lineRule="auto"/>
      </w:pPr>
      <w:r>
        <w:rPr>
          <w:rStyle w:val="FootnoteReference"/>
        </w:rPr>
        <w:footnoteRef/>
      </w:r>
      <w:r>
        <w:t xml:space="preserve"> Over the course of the ELT initiative, a handful of schools have restructured (e.g., merged with another school), closed, or exited. Two new ELT schools were funded in 2012-13.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CD" w:rsidRPr="0005750B" w:rsidRDefault="009979CD" w:rsidP="0005750B">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CD" w:rsidRPr="00A75A73" w:rsidRDefault="009979CD" w:rsidP="00A75A7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7E3"/>
    <w:multiLevelType w:val="hybridMultilevel"/>
    <w:tmpl w:val="E236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37488"/>
    <w:multiLevelType w:val="hybridMultilevel"/>
    <w:tmpl w:val="C178C81C"/>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07016FA1"/>
    <w:multiLevelType w:val="hybridMultilevel"/>
    <w:tmpl w:val="08922804"/>
    <w:lvl w:ilvl="0" w:tplc="A1327D78">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AD23BE"/>
    <w:multiLevelType w:val="hybridMultilevel"/>
    <w:tmpl w:val="458C9A44"/>
    <w:lvl w:ilvl="0" w:tplc="418CF0D2">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57062"/>
    <w:multiLevelType w:val="hybridMultilevel"/>
    <w:tmpl w:val="4A08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2D578FF"/>
    <w:multiLevelType w:val="multilevel"/>
    <w:tmpl w:val="62D86C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15:restartNumberingAfterBreak="0">
    <w:nsid w:val="286D2724"/>
    <w:multiLevelType w:val="hybridMultilevel"/>
    <w:tmpl w:val="DC928918"/>
    <w:lvl w:ilvl="0" w:tplc="07A82C04">
      <w:start w:val="21"/>
      <w:numFmt w:val="upperLetter"/>
      <w:lvlText w:val="%1.."/>
      <w:lvlJc w:val="left"/>
      <w:pPr>
        <w:tabs>
          <w:tab w:val="num" w:pos="900"/>
        </w:tabs>
        <w:ind w:left="900" w:hanging="720"/>
      </w:pPr>
      <w:rPr>
        <w:rFonts w:ascii="Arial Narrow" w:hAnsi="Arial Narrow" w:cs="Arial" w:hint="default"/>
        <w:b w:val="0"/>
        <w:color w:val="00000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8ED429C"/>
    <w:multiLevelType w:val="hybridMultilevel"/>
    <w:tmpl w:val="2F50602C"/>
    <w:lvl w:ilvl="0" w:tplc="E4D41808">
      <w:start w:val="1"/>
      <w:numFmt w:val="bullet"/>
      <w:lvlText w:val=""/>
      <w:lvlJc w:val="left"/>
      <w:pPr>
        <w:tabs>
          <w:tab w:val="num" w:pos="720"/>
        </w:tabs>
        <w:ind w:left="720" w:hanging="360"/>
      </w:pPr>
      <w:rPr>
        <w:rFonts w:ascii="Symbol" w:hAnsi="Symbol" w:hint="default"/>
        <w:b/>
        <w:bCs/>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6A11C1"/>
    <w:multiLevelType w:val="multilevel"/>
    <w:tmpl w:val="AA8094A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12" w15:restartNumberingAfterBreak="0">
    <w:nsid w:val="2E273932"/>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1DD176F"/>
    <w:multiLevelType w:val="hybridMultilevel"/>
    <w:tmpl w:val="62D86C48"/>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EB6C29"/>
    <w:multiLevelType w:val="hybridMultilevel"/>
    <w:tmpl w:val="5C1AE820"/>
    <w:lvl w:ilvl="0" w:tplc="27DEBE0C">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7456EA"/>
    <w:multiLevelType w:val="singleLevel"/>
    <w:tmpl w:val="FF18F624"/>
    <w:lvl w:ilvl="0">
      <w:start w:val="1"/>
      <w:numFmt w:val="decimal"/>
      <w:lvlText w:val="%1."/>
      <w:lvlJc w:val="left"/>
      <w:pPr>
        <w:tabs>
          <w:tab w:val="num" w:pos="432"/>
        </w:tabs>
        <w:ind w:left="360" w:hanging="288"/>
      </w:pPr>
    </w:lvl>
  </w:abstractNum>
  <w:abstractNum w:abstractNumId="16" w15:restartNumberingAfterBreak="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9220D6"/>
    <w:multiLevelType w:val="hybridMultilevel"/>
    <w:tmpl w:val="D2963CA6"/>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AE3DE4"/>
    <w:multiLevelType w:val="hybridMultilevel"/>
    <w:tmpl w:val="0502797E"/>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0"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418A190A"/>
    <w:multiLevelType w:val="multilevel"/>
    <w:tmpl w:val="2EC83F1C"/>
    <w:lvl w:ilvl="0">
      <w:start w:val="1"/>
      <w:numFmt w:val="bullet"/>
      <w:lvlText w:val=""/>
      <w:lvlJc w:val="left"/>
      <w:pPr>
        <w:tabs>
          <w:tab w:val="num" w:pos="720"/>
        </w:tabs>
        <w:ind w:left="720" w:hanging="360"/>
      </w:pPr>
      <w:rPr>
        <w:rFonts w:ascii="Symbol" w:hAnsi="Symbol" w:hint="default"/>
        <w:b/>
        <w:bCs/>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481441"/>
    <w:multiLevelType w:val="hybridMultilevel"/>
    <w:tmpl w:val="4D763F48"/>
    <w:lvl w:ilvl="0" w:tplc="27DEBE0C">
      <w:start w:val="1"/>
      <w:numFmt w:val="bullet"/>
      <w:lvlText w:val=""/>
      <w:lvlJc w:val="left"/>
      <w:pPr>
        <w:tabs>
          <w:tab w:val="num" w:pos="720"/>
        </w:tabs>
        <w:ind w:left="720" w:hanging="360"/>
      </w:pPr>
      <w:rPr>
        <w:rFonts w:ascii="Symbol" w:hAnsi="Symbol" w:hint="default"/>
        <w:b/>
        <w:bCs/>
        <w:color w:val="00008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C5625"/>
    <w:multiLevelType w:val="multilevel"/>
    <w:tmpl w:val="16E81AB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800"/>
        </w:tabs>
        <w:ind w:left="1800" w:hanging="1800"/>
      </w:pPr>
      <w:rPr>
        <w:rFonts w:ascii="Arial Narrow" w:hAnsi="Arial Narrow" w:cs="Arial" w:hint="default"/>
        <w:b w:val="0"/>
        <w:color w:val="000000"/>
        <w:sz w:val="20"/>
      </w:rPr>
    </w:lvl>
  </w:abstractNum>
  <w:abstractNum w:abstractNumId="24" w15:restartNumberingAfterBreak="0">
    <w:nsid w:val="4A0E370F"/>
    <w:multiLevelType w:val="singleLevel"/>
    <w:tmpl w:val="B20018D2"/>
    <w:lvl w:ilvl="0">
      <w:start w:val="1"/>
      <w:numFmt w:val="decimal"/>
      <w:lvlText w:val="%1."/>
      <w:lvlJc w:val="left"/>
      <w:pPr>
        <w:tabs>
          <w:tab w:val="num" w:pos="1080"/>
        </w:tabs>
        <w:ind w:left="1080" w:hanging="360"/>
      </w:pPr>
    </w:lvl>
  </w:abstractNum>
  <w:abstractNum w:abstractNumId="25" w15:restartNumberingAfterBreak="0">
    <w:nsid w:val="4E9C69DD"/>
    <w:multiLevelType w:val="multilevel"/>
    <w:tmpl w:val="3E6ABE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C456D6"/>
    <w:multiLevelType w:val="hybridMultilevel"/>
    <w:tmpl w:val="37F65F6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7" w15:restartNumberingAfterBreak="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8" w15:restartNumberingAfterBreak="0">
    <w:nsid w:val="5407582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29" w15:restartNumberingAfterBreak="0">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0" w15:restartNumberingAfterBreak="0">
    <w:nsid w:val="5CC655C1"/>
    <w:multiLevelType w:val="hybridMultilevel"/>
    <w:tmpl w:val="2EC83F1C"/>
    <w:lvl w:ilvl="0" w:tplc="E4D41808">
      <w:start w:val="1"/>
      <w:numFmt w:val="bullet"/>
      <w:lvlText w:val=""/>
      <w:lvlJc w:val="left"/>
      <w:pPr>
        <w:tabs>
          <w:tab w:val="num" w:pos="720"/>
        </w:tabs>
        <w:ind w:left="720" w:hanging="360"/>
      </w:pPr>
      <w:rPr>
        <w:rFonts w:ascii="Symbol" w:hAnsi="Symbol" w:hint="default"/>
        <w:b/>
        <w:bCs/>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664DA"/>
    <w:multiLevelType w:val="hybridMultilevel"/>
    <w:tmpl w:val="789C5EFC"/>
    <w:lvl w:ilvl="0" w:tplc="27DEBE0C">
      <w:start w:val="1"/>
      <w:numFmt w:val="bullet"/>
      <w:lvlText w:val=""/>
      <w:lvlJc w:val="left"/>
      <w:pPr>
        <w:tabs>
          <w:tab w:val="num" w:pos="720"/>
        </w:tabs>
        <w:ind w:left="720" w:hanging="360"/>
      </w:pPr>
      <w:rPr>
        <w:rFonts w:ascii="Symbol" w:hAnsi="Symbol" w:hint="default"/>
        <w:b/>
        <w:bCs/>
        <w:color w:val="00008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232C9E"/>
    <w:multiLevelType w:val="multilevel"/>
    <w:tmpl w:val="AA0ADFC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3" w15:restartNumberingAfterBreak="0">
    <w:nsid w:val="641C4989"/>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45F586D"/>
    <w:multiLevelType w:val="multilevel"/>
    <w:tmpl w:val="2A2C27A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5" w15:restartNumberingAfterBreak="0">
    <w:nsid w:val="6EE80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15:restartNumberingAfterBreak="0">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8" w15:restartNumberingAfterBreak="0">
    <w:nsid w:val="73054D1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9" w15:restartNumberingAfterBreak="0">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40" w15:restartNumberingAfterBreak="0">
    <w:nsid w:val="777769B3"/>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93F3B44"/>
    <w:multiLevelType w:val="hybridMultilevel"/>
    <w:tmpl w:val="AD66C504"/>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05703F"/>
    <w:multiLevelType w:val="multilevel"/>
    <w:tmpl w:val="2F50602C"/>
    <w:lvl w:ilvl="0">
      <w:start w:val="1"/>
      <w:numFmt w:val="bullet"/>
      <w:lvlText w:val=""/>
      <w:lvlJc w:val="left"/>
      <w:pPr>
        <w:tabs>
          <w:tab w:val="num" w:pos="720"/>
        </w:tabs>
        <w:ind w:left="720" w:hanging="360"/>
      </w:pPr>
      <w:rPr>
        <w:rFonts w:ascii="Symbol" w:hAnsi="Symbol" w:hint="default"/>
        <w:b/>
        <w:bCs/>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167ECB"/>
    <w:multiLevelType w:val="multilevel"/>
    <w:tmpl w:val="AD66C504"/>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5" w15:restartNumberingAfterBreak="0">
    <w:nsid w:val="7B775495"/>
    <w:multiLevelType w:val="multilevel"/>
    <w:tmpl w:val="8D2EA8EC"/>
    <w:lvl w:ilvl="0">
      <w:start w:val="1"/>
      <w:numFmt w:val="bullet"/>
      <w:lvlText w:val=""/>
      <w:lvlJc w:val="left"/>
      <w:pPr>
        <w:tabs>
          <w:tab w:val="num" w:pos="720"/>
        </w:tabs>
        <w:ind w:left="720" w:hanging="360"/>
      </w:pPr>
      <w:rPr>
        <w:rFonts w:ascii="Symbol" w:hAnsi="Symbol" w:hint="default"/>
        <w:color w:val="00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B041E7"/>
    <w:multiLevelType w:val="singleLevel"/>
    <w:tmpl w:val="0ADE279C"/>
    <w:lvl w:ilvl="0">
      <w:start w:val="1"/>
      <w:numFmt w:val="decimal"/>
      <w:lvlText w:val="%1."/>
      <w:lvlJc w:val="left"/>
      <w:pPr>
        <w:tabs>
          <w:tab w:val="num" w:pos="720"/>
        </w:tabs>
        <w:ind w:left="720" w:hanging="360"/>
      </w:pPr>
    </w:lvl>
  </w:abstractNum>
  <w:abstractNum w:abstractNumId="47"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9"/>
  </w:num>
  <w:num w:numId="4">
    <w:abstractNumId w:val="19"/>
  </w:num>
  <w:num w:numId="5">
    <w:abstractNumId w:val="37"/>
  </w:num>
  <w:num w:numId="6">
    <w:abstractNumId w:val="46"/>
  </w:num>
  <w:num w:numId="7">
    <w:abstractNumId w:val="39"/>
  </w:num>
  <w:num w:numId="8">
    <w:abstractNumId w:val="24"/>
  </w:num>
  <w:num w:numId="9">
    <w:abstractNumId w:val="2"/>
  </w:num>
  <w:num w:numId="10">
    <w:abstractNumId w:val="40"/>
  </w:num>
  <w:num w:numId="11">
    <w:abstractNumId w:val="27"/>
  </w:num>
  <w:num w:numId="12">
    <w:abstractNumId w:val="6"/>
  </w:num>
  <w:num w:numId="13">
    <w:abstractNumId w:val="6"/>
  </w:num>
  <w:num w:numId="14">
    <w:abstractNumId w:val="8"/>
  </w:num>
  <w:num w:numId="15">
    <w:abstractNumId w:val="36"/>
  </w:num>
  <w:num w:numId="16">
    <w:abstractNumId w:val="44"/>
  </w:num>
  <w:num w:numId="17">
    <w:abstractNumId w:val="33"/>
  </w:num>
  <w:num w:numId="18">
    <w:abstractNumId w:val="0"/>
  </w:num>
  <w:num w:numId="19">
    <w:abstractNumId w:val="30"/>
  </w:num>
  <w:num w:numId="20">
    <w:abstractNumId w:val="10"/>
  </w:num>
  <w:num w:numId="21">
    <w:abstractNumId w:val="13"/>
  </w:num>
  <w:num w:numId="22">
    <w:abstractNumId w:val="17"/>
  </w:num>
  <w:num w:numId="23">
    <w:abstractNumId w:val="7"/>
  </w:num>
  <w:num w:numId="24">
    <w:abstractNumId w:val="14"/>
  </w:num>
  <w:num w:numId="25">
    <w:abstractNumId w:val="21"/>
  </w:num>
  <w:num w:numId="26">
    <w:abstractNumId w:val="22"/>
  </w:num>
  <w:num w:numId="27">
    <w:abstractNumId w:val="42"/>
  </w:num>
  <w:num w:numId="28">
    <w:abstractNumId w:val="31"/>
  </w:num>
  <w:num w:numId="29">
    <w:abstractNumId w:val="3"/>
  </w:num>
  <w:num w:numId="30">
    <w:abstractNumId w:val="23"/>
  </w:num>
  <w:num w:numId="31">
    <w:abstractNumId w:val="41"/>
  </w:num>
  <w:num w:numId="32">
    <w:abstractNumId w:val="43"/>
  </w:num>
  <w:num w:numId="33">
    <w:abstractNumId w:val="1"/>
  </w:num>
  <w:num w:numId="34">
    <w:abstractNumId w:val="18"/>
  </w:num>
  <w:num w:numId="35">
    <w:abstractNumId w:val="11"/>
  </w:num>
  <w:num w:numId="36">
    <w:abstractNumId w:val="9"/>
  </w:num>
  <w:num w:numId="37">
    <w:abstractNumId w:val="32"/>
  </w:num>
  <w:num w:numId="38">
    <w:abstractNumId w:val="38"/>
  </w:num>
  <w:num w:numId="39">
    <w:abstractNumId w:val="4"/>
  </w:num>
  <w:num w:numId="40">
    <w:abstractNumId w:val="34"/>
  </w:num>
  <w:num w:numId="41">
    <w:abstractNumId w:val="25"/>
  </w:num>
  <w:num w:numId="42">
    <w:abstractNumId w:val="28"/>
  </w:num>
  <w:num w:numId="43">
    <w:abstractNumId w:val="35"/>
  </w:num>
  <w:num w:numId="44">
    <w:abstractNumId w:val="20"/>
  </w:num>
  <w:num w:numId="45">
    <w:abstractNumId w:val="12"/>
  </w:num>
  <w:num w:numId="46">
    <w:abstractNumId w:val="47"/>
  </w:num>
  <w:num w:numId="47">
    <w:abstractNumId w:val="45"/>
  </w:num>
  <w:num w:numId="48">
    <w:abstractNumId w:val="5"/>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710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73"/>
    <w:rsid w:val="000019F5"/>
    <w:rsid w:val="00003A2C"/>
    <w:rsid w:val="00006B3A"/>
    <w:rsid w:val="000136F3"/>
    <w:rsid w:val="00016E17"/>
    <w:rsid w:val="00017076"/>
    <w:rsid w:val="0002216E"/>
    <w:rsid w:val="00040E00"/>
    <w:rsid w:val="00044A0B"/>
    <w:rsid w:val="00046728"/>
    <w:rsid w:val="00046A21"/>
    <w:rsid w:val="000525E0"/>
    <w:rsid w:val="00053EEF"/>
    <w:rsid w:val="000543DC"/>
    <w:rsid w:val="00055022"/>
    <w:rsid w:val="0005750B"/>
    <w:rsid w:val="0006045E"/>
    <w:rsid w:val="0006587B"/>
    <w:rsid w:val="00070322"/>
    <w:rsid w:val="00082D01"/>
    <w:rsid w:val="0008461D"/>
    <w:rsid w:val="00087856"/>
    <w:rsid w:val="000902AA"/>
    <w:rsid w:val="00095D40"/>
    <w:rsid w:val="000A00A2"/>
    <w:rsid w:val="000A03A5"/>
    <w:rsid w:val="000A1C6D"/>
    <w:rsid w:val="000A7D69"/>
    <w:rsid w:val="000B33D1"/>
    <w:rsid w:val="000C0A39"/>
    <w:rsid w:val="000C3040"/>
    <w:rsid w:val="000D53F1"/>
    <w:rsid w:val="000D5777"/>
    <w:rsid w:val="000E6B75"/>
    <w:rsid w:val="000F0D74"/>
    <w:rsid w:val="000F4B6F"/>
    <w:rsid w:val="000F53F4"/>
    <w:rsid w:val="001034D7"/>
    <w:rsid w:val="00104F2A"/>
    <w:rsid w:val="001050BA"/>
    <w:rsid w:val="00107A04"/>
    <w:rsid w:val="0011170B"/>
    <w:rsid w:val="001178CA"/>
    <w:rsid w:val="001307A5"/>
    <w:rsid w:val="00131844"/>
    <w:rsid w:val="00152153"/>
    <w:rsid w:val="00154700"/>
    <w:rsid w:val="00157E04"/>
    <w:rsid w:val="00160657"/>
    <w:rsid w:val="00160B87"/>
    <w:rsid w:val="001677DC"/>
    <w:rsid w:val="00172119"/>
    <w:rsid w:val="0017573A"/>
    <w:rsid w:val="0017704B"/>
    <w:rsid w:val="00180316"/>
    <w:rsid w:val="001A04CE"/>
    <w:rsid w:val="001A0E0A"/>
    <w:rsid w:val="001A23B5"/>
    <w:rsid w:val="001A403F"/>
    <w:rsid w:val="001A4633"/>
    <w:rsid w:val="001B4509"/>
    <w:rsid w:val="001C0891"/>
    <w:rsid w:val="001C10AF"/>
    <w:rsid w:val="001D4FDD"/>
    <w:rsid w:val="001E2CF1"/>
    <w:rsid w:val="001E5372"/>
    <w:rsid w:val="00200E58"/>
    <w:rsid w:val="00204B2C"/>
    <w:rsid w:val="002064D3"/>
    <w:rsid w:val="002106BF"/>
    <w:rsid w:val="002176B8"/>
    <w:rsid w:val="002216AD"/>
    <w:rsid w:val="00221D99"/>
    <w:rsid w:val="00223A9F"/>
    <w:rsid w:val="0022674D"/>
    <w:rsid w:val="00227977"/>
    <w:rsid w:val="0023449A"/>
    <w:rsid w:val="00235F88"/>
    <w:rsid w:val="00255975"/>
    <w:rsid w:val="00265FDA"/>
    <w:rsid w:val="002702F7"/>
    <w:rsid w:val="00271DC0"/>
    <w:rsid w:val="00273EAA"/>
    <w:rsid w:val="00276702"/>
    <w:rsid w:val="0028328D"/>
    <w:rsid w:val="002838F5"/>
    <w:rsid w:val="00285BB6"/>
    <w:rsid w:val="0029491C"/>
    <w:rsid w:val="002A4078"/>
    <w:rsid w:val="002A5CE0"/>
    <w:rsid w:val="002B2F3C"/>
    <w:rsid w:val="002B48E4"/>
    <w:rsid w:val="002C0F16"/>
    <w:rsid w:val="002C304F"/>
    <w:rsid w:val="002C32AB"/>
    <w:rsid w:val="002C41F9"/>
    <w:rsid w:val="002C4495"/>
    <w:rsid w:val="002C5AC8"/>
    <w:rsid w:val="002C76AB"/>
    <w:rsid w:val="002D4536"/>
    <w:rsid w:val="002D74DC"/>
    <w:rsid w:val="002F48C8"/>
    <w:rsid w:val="002F55CE"/>
    <w:rsid w:val="002F76F5"/>
    <w:rsid w:val="0030110F"/>
    <w:rsid w:val="003052ED"/>
    <w:rsid w:val="00314A8A"/>
    <w:rsid w:val="00324EC2"/>
    <w:rsid w:val="003279F2"/>
    <w:rsid w:val="0033035E"/>
    <w:rsid w:val="00340283"/>
    <w:rsid w:val="00342BA9"/>
    <w:rsid w:val="003455BC"/>
    <w:rsid w:val="00346836"/>
    <w:rsid w:val="00353EB9"/>
    <w:rsid w:val="00354503"/>
    <w:rsid w:val="003623F0"/>
    <w:rsid w:val="00370164"/>
    <w:rsid w:val="003711CD"/>
    <w:rsid w:val="00380DB1"/>
    <w:rsid w:val="00383BFC"/>
    <w:rsid w:val="00384611"/>
    <w:rsid w:val="00384CA0"/>
    <w:rsid w:val="00386CBD"/>
    <w:rsid w:val="003870BA"/>
    <w:rsid w:val="00395A89"/>
    <w:rsid w:val="003A2FA8"/>
    <w:rsid w:val="003A3403"/>
    <w:rsid w:val="003B3F8E"/>
    <w:rsid w:val="003B4770"/>
    <w:rsid w:val="003C20BF"/>
    <w:rsid w:val="003D5616"/>
    <w:rsid w:val="003E0A77"/>
    <w:rsid w:val="003E666B"/>
    <w:rsid w:val="003F3E19"/>
    <w:rsid w:val="00404663"/>
    <w:rsid w:val="00423092"/>
    <w:rsid w:val="004253E8"/>
    <w:rsid w:val="00427EA9"/>
    <w:rsid w:val="004319BC"/>
    <w:rsid w:val="004350B0"/>
    <w:rsid w:val="00436CE5"/>
    <w:rsid w:val="00444A68"/>
    <w:rsid w:val="00464DEC"/>
    <w:rsid w:val="00465E1B"/>
    <w:rsid w:val="00470AB4"/>
    <w:rsid w:val="00472E16"/>
    <w:rsid w:val="004734DF"/>
    <w:rsid w:val="00486943"/>
    <w:rsid w:val="00495B91"/>
    <w:rsid w:val="004A5408"/>
    <w:rsid w:val="004A6C5B"/>
    <w:rsid w:val="004C18DF"/>
    <w:rsid w:val="004C29E5"/>
    <w:rsid w:val="004C2B46"/>
    <w:rsid w:val="004D4C6D"/>
    <w:rsid w:val="004E01A4"/>
    <w:rsid w:val="004E342A"/>
    <w:rsid w:val="004F6742"/>
    <w:rsid w:val="004F709B"/>
    <w:rsid w:val="00503049"/>
    <w:rsid w:val="00534B03"/>
    <w:rsid w:val="00534C33"/>
    <w:rsid w:val="00536DB4"/>
    <w:rsid w:val="0054025D"/>
    <w:rsid w:val="00542351"/>
    <w:rsid w:val="0055123E"/>
    <w:rsid w:val="00574572"/>
    <w:rsid w:val="00582F0C"/>
    <w:rsid w:val="00585CA4"/>
    <w:rsid w:val="00597948"/>
    <w:rsid w:val="005A58E0"/>
    <w:rsid w:val="005B1AC5"/>
    <w:rsid w:val="005B3138"/>
    <w:rsid w:val="005B6A25"/>
    <w:rsid w:val="005B6D4E"/>
    <w:rsid w:val="005C4647"/>
    <w:rsid w:val="005C6946"/>
    <w:rsid w:val="005E0CF2"/>
    <w:rsid w:val="005E2AEA"/>
    <w:rsid w:val="005E6B70"/>
    <w:rsid w:val="006033FF"/>
    <w:rsid w:val="006122D8"/>
    <w:rsid w:val="0061247A"/>
    <w:rsid w:val="00615938"/>
    <w:rsid w:val="0063014E"/>
    <w:rsid w:val="00643782"/>
    <w:rsid w:val="0065112D"/>
    <w:rsid w:val="00652616"/>
    <w:rsid w:val="0066134E"/>
    <w:rsid w:val="006814BB"/>
    <w:rsid w:val="006839F1"/>
    <w:rsid w:val="006840EB"/>
    <w:rsid w:val="00691A46"/>
    <w:rsid w:val="0069342C"/>
    <w:rsid w:val="006A541C"/>
    <w:rsid w:val="006A5B3B"/>
    <w:rsid w:val="006B1DA6"/>
    <w:rsid w:val="006C7A4C"/>
    <w:rsid w:val="006D406B"/>
    <w:rsid w:val="006E2B32"/>
    <w:rsid w:val="006F2B34"/>
    <w:rsid w:val="007057ED"/>
    <w:rsid w:val="0070672F"/>
    <w:rsid w:val="007105A6"/>
    <w:rsid w:val="00715417"/>
    <w:rsid w:val="00723438"/>
    <w:rsid w:val="00726DD4"/>
    <w:rsid w:val="00730F56"/>
    <w:rsid w:val="00737879"/>
    <w:rsid w:val="00742DA9"/>
    <w:rsid w:val="00744E2C"/>
    <w:rsid w:val="00752119"/>
    <w:rsid w:val="00754408"/>
    <w:rsid w:val="007631C7"/>
    <w:rsid w:val="00763CCC"/>
    <w:rsid w:val="00776C72"/>
    <w:rsid w:val="0078258F"/>
    <w:rsid w:val="007846BC"/>
    <w:rsid w:val="00794B6E"/>
    <w:rsid w:val="007960D1"/>
    <w:rsid w:val="007969A4"/>
    <w:rsid w:val="00796D80"/>
    <w:rsid w:val="007A0114"/>
    <w:rsid w:val="007B1321"/>
    <w:rsid w:val="007B1904"/>
    <w:rsid w:val="007D6370"/>
    <w:rsid w:val="007E03A1"/>
    <w:rsid w:val="007E092F"/>
    <w:rsid w:val="007E5EC0"/>
    <w:rsid w:val="0080098A"/>
    <w:rsid w:val="00801761"/>
    <w:rsid w:val="008111EB"/>
    <w:rsid w:val="008130C9"/>
    <w:rsid w:val="00813D02"/>
    <w:rsid w:val="00814833"/>
    <w:rsid w:val="0082033D"/>
    <w:rsid w:val="008222AD"/>
    <w:rsid w:val="0083104D"/>
    <w:rsid w:val="008349AE"/>
    <w:rsid w:val="00846D77"/>
    <w:rsid w:val="00852480"/>
    <w:rsid w:val="00856632"/>
    <w:rsid w:val="00866680"/>
    <w:rsid w:val="00867308"/>
    <w:rsid w:val="008834BD"/>
    <w:rsid w:val="008B0543"/>
    <w:rsid w:val="008B4EFD"/>
    <w:rsid w:val="008B7402"/>
    <w:rsid w:val="008C0888"/>
    <w:rsid w:val="008C3505"/>
    <w:rsid w:val="008D30EA"/>
    <w:rsid w:val="008D55C8"/>
    <w:rsid w:val="008E20DE"/>
    <w:rsid w:val="008E3180"/>
    <w:rsid w:val="008F1770"/>
    <w:rsid w:val="009013C5"/>
    <w:rsid w:val="009061A4"/>
    <w:rsid w:val="00912E02"/>
    <w:rsid w:val="00922D6F"/>
    <w:rsid w:val="00927761"/>
    <w:rsid w:val="00942024"/>
    <w:rsid w:val="00944550"/>
    <w:rsid w:val="009550AD"/>
    <w:rsid w:val="009565D4"/>
    <w:rsid w:val="00967D7C"/>
    <w:rsid w:val="00977D73"/>
    <w:rsid w:val="0099262A"/>
    <w:rsid w:val="00993BBD"/>
    <w:rsid w:val="009979CD"/>
    <w:rsid w:val="009A05F3"/>
    <w:rsid w:val="009B56DA"/>
    <w:rsid w:val="009C5ADD"/>
    <w:rsid w:val="009C67C0"/>
    <w:rsid w:val="009D13BB"/>
    <w:rsid w:val="009D50EB"/>
    <w:rsid w:val="009E32F5"/>
    <w:rsid w:val="009E6279"/>
    <w:rsid w:val="009F2649"/>
    <w:rsid w:val="009F704C"/>
    <w:rsid w:val="00A0215D"/>
    <w:rsid w:val="00A034E4"/>
    <w:rsid w:val="00A061FF"/>
    <w:rsid w:val="00A062CB"/>
    <w:rsid w:val="00A06666"/>
    <w:rsid w:val="00A105E0"/>
    <w:rsid w:val="00A3018B"/>
    <w:rsid w:val="00A3128D"/>
    <w:rsid w:val="00A324EA"/>
    <w:rsid w:val="00A33A46"/>
    <w:rsid w:val="00A345FB"/>
    <w:rsid w:val="00A35A93"/>
    <w:rsid w:val="00A414AE"/>
    <w:rsid w:val="00A43D7E"/>
    <w:rsid w:val="00A45B43"/>
    <w:rsid w:val="00A4794A"/>
    <w:rsid w:val="00A533DE"/>
    <w:rsid w:val="00A53E2B"/>
    <w:rsid w:val="00A7314F"/>
    <w:rsid w:val="00A75A73"/>
    <w:rsid w:val="00A817CE"/>
    <w:rsid w:val="00A928FA"/>
    <w:rsid w:val="00AA7B0B"/>
    <w:rsid w:val="00AB32CF"/>
    <w:rsid w:val="00AC59EB"/>
    <w:rsid w:val="00AC6317"/>
    <w:rsid w:val="00AC7FA7"/>
    <w:rsid w:val="00AD2235"/>
    <w:rsid w:val="00B02599"/>
    <w:rsid w:val="00B14060"/>
    <w:rsid w:val="00B16B3C"/>
    <w:rsid w:val="00B21C05"/>
    <w:rsid w:val="00B23FDC"/>
    <w:rsid w:val="00B25EE3"/>
    <w:rsid w:val="00B269D4"/>
    <w:rsid w:val="00B324AF"/>
    <w:rsid w:val="00B3357C"/>
    <w:rsid w:val="00B53B3B"/>
    <w:rsid w:val="00B61C4A"/>
    <w:rsid w:val="00B61EC9"/>
    <w:rsid w:val="00B679AD"/>
    <w:rsid w:val="00B7744A"/>
    <w:rsid w:val="00B82D4D"/>
    <w:rsid w:val="00B87EE6"/>
    <w:rsid w:val="00B9260A"/>
    <w:rsid w:val="00B955E6"/>
    <w:rsid w:val="00B96ABD"/>
    <w:rsid w:val="00BC1062"/>
    <w:rsid w:val="00BE572D"/>
    <w:rsid w:val="00BF0E0B"/>
    <w:rsid w:val="00BF18DC"/>
    <w:rsid w:val="00C02BB2"/>
    <w:rsid w:val="00C04B4F"/>
    <w:rsid w:val="00C13DE2"/>
    <w:rsid w:val="00C14408"/>
    <w:rsid w:val="00C14776"/>
    <w:rsid w:val="00C17F58"/>
    <w:rsid w:val="00C307E7"/>
    <w:rsid w:val="00C34A92"/>
    <w:rsid w:val="00C35829"/>
    <w:rsid w:val="00C370A7"/>
    <w:rsid w:val="00C509A6"/>
    <w:rsid w:val="00C57E90"/>
    <w:rsid w:val="00C62F1C"/>
    <w:rsid w:val="00C6380F"/>
    <w:rsid w:val="00C744A3"/>
    <w:rsid w:val="00C81DB5"/>
    <w:rsid w:val="00C900FF"/>
    <w:rsid w:val="00CB3FC8"/>
    <w:rsid w:val="00CB442A"/>
    <w:rsid w:val="00CD082E"/>
    <w:rsid w:val="00CD4B2E"/>
    <w:rsid w:val="00CD4DE4"/>
    <w:rsid w:val="00CD6527"/>
    <w:rsid w:val="00CD6B3F"/>
    <w:rsid w:val="00CE4691"/>
    <w:rsid w:val="00CF3E63"/>
    <w:rsid w:val="00CF561E"/>
    <w:rsid w:val="00D106A7"/>
    <w:rsid w:val="00D143BA"/>
    <w:rsid w:val="00D20DD2"/>
    <w:rsid w:val="00D34EEE"/>
    <w:rsid w:val="00D37BAF"/>
    <w:rsid w:val="00D408A7"/>
    <w:rsid w:val="00D51B1E"/>
    <w:rsid w:val="00D96598"/>
    <w:rsid w:val="00D979EA"/>
    <w:rsid w:val="00DA02B9"/>
    <w:rsid w:val="00DA42EA"/>
    <w:rsid w:val="00DA7FEA"/>
    <w:rsid w:val="00DB269B"/>
    <w:rsid w:val="00DC02B5"/>
    <w:rsid w:val="00DD27D1"/>
    <w:rsid w:val="00DD701C"/>
    <w:rsid w:val="00DE221A"/>
    <w:rsid w:val="00DE2334"/>
    <w:rsid w:val="00DE5C1E"/>
    <w:rsid w:val="00DF68F0"/>
    <w:rsid w:val="00DF6CDE"/>
    <w:rsid w:val="00E0113D"/>
    <w:rsid w:val="00E039CB"/>
    <w:rsid w:val="00E060CD"/>
    <w:rsid w:val="00E07025"/>
    <w:rsid w:val="00E1423B"/>
    <w:rsid w:val="00E22AD1"/>
    <w:rsid w:val="00E24E20"/>
    <w:rsid w:val="00E317E1"/>
    <w:rsid w:val="00E33231"/>
    <w:rsid w:val="00E33CDD"/>
    <w:rsid w:val="00E3432F"/>
    <w:rsid w:val="00E6186E"/>
    <w:rsid w:val="00E72F03"/>
    <w:rsid w:val="00E7429A"/>
    <w:rsid w:val="00E75D89"/>
    <w:rsid w:val="00E84434"/>
    <w:rsid w:val="00EA0425"/>
    <w:rsid w:val="00EA0512"/>
    <w:rsid w:val="00EB00D3"/>
    <w:rsid w:val="00EB30F5"/>
    <w:rsid w:val="00EB5C8B"/>
    <w:rsid w:val="00EC0260"/>
    <w:rsid w:val="00EC3CC1"/>
    <w:rsid w:val="00EC47CA"/>
    <w:rsid w:val="00ED0113"/>
    <w:rsid w:val="00ED263C"/>
    <w:rsid w:val="00ED2A92"/>
    <w:rsid w:val="00ED503D"/>
    <w:rsid w:val="00EE11FD"/>
    <w:rsid w:val="00EE1D07"/>
    <w:rsid w:val="00EF2780"/>
    <w:rsid w:val="00F13194"/>
    <w:rsid w:val="00F13235"/>
    <w:rsid w:val="00F1494E"/>
    <w:rsid w:val="00F23798"/>
    <w:rsid w:val="00F260AC"/>
    <w:rsid w:val="00F26DFB"/>
    <w:rsid w:val="00F27043"/>
    <w:rsid w:val="00F32C54"/>
    <w:rsid w:val="00F32E6E"/>
    <w:rsid w:val="00F40CB3"/>
    <w:rsid w:val="00F4263A"/>
    <w:rsid w:val="00F47E96"/>
    <w:rsid w:val="00F50A3A"/>
    <w:rsid w:val="00F52187"/>
    <w:rsid w:val="00F62A1E"/>
    <w:rsid w:val="00F64DB9"/>
    <w:rsid w:val="00F65513"/>
    <w:rsid w:val="00F85399"/>
    <w:rsid w:val="00F93183"/>
    <w:rsid w:val="00FA035F"/>
    <w:rsid w:val="00FA686C"/>
    <w:rsid w:val="00FA6932"/>
    <w:rsid w:val="00FB3972"/>
    <w:rsid w:val="00FB3DDC"/>
    <w:rsid w:val="00FB5C48"/>
    <w:rsid w:val="00FB70DE"/>
    <w:rsid w:val="00FC2BD1"/>
    <w:rsid w:val="00FD17C2"/>
    <w:rsid w:val="00FD634F"/>
    <w:rsid w:val="00FE0A7C"/>
    <w:rsid w:val="00FE2611"/>
    <w:rsid w:val="00FE799B"/>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colormru v:ext="edit" colors="#e1e1ff,#069,#bad1e8,#afd787,#cde6b4,#d1e8ba,#0000ac"/>
    </o:shapedefaults>
    <o:shapelayout v:ext="edit">
      <o:idmap v:ext="edit" data="1"/>
    </o:shapelayout>
  </w:shapeDefaults>
  <w:decimalSymbol w:val="."/>
  <w:listSeparator w:val=","/>
  <w15:docId w15:val="{0F38AA36-5D0A-4361-9028-11E96A96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styleId="ListParagraph">
    <w:name w:val="List Paragraph"/>
    <w:basedOn w:val="Normal"/>
    <w:uiPriority w:val="34"/>
    <w:qFormat/>
    <w:rsid w:val="00A75A73"/>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A75A73"/>
  </w:style>
  <w:style w:type="paragraph" w:styleId="NoSpacing">
    <w:name w:val="No Spacing"/>
    <w:uiPriority w:val="1"/>
    <w:qFormat/>
    <w:rsid w:val="00A75A73"/>
    <w:rPr>
      <w:rFonts w:asciiTheme="minorHAnsi" w:eastAsiaTheme="minorHAnsi" w:hAnsiTheme="minorHAnsi" w:cstheme="minorBidi"/>
      <w:sz w:val="22"/>
      <w:szCs w:val="22"/>
    </w:rPr>
  </w:style>
  <w:style w:type="paragraph" w:customStyle="1" w:styleId="CM10">
    <w:name w:val="CM10"/>
    <w:basedOn w:val="Normal"/>
    <w:next w:val="Normal"/>
    <w:uiPriority w:val="99"/>
    <w:rsid w:val="00A75A73"/>
    <w:pPr>
      <w:widowControl w:val="0"/>
      <w:autoSpaceDE w:val="0"/>
      <w:autoSpaceDN w:val="0"/>
      <w:adjustRightInd w:val="0"/>
      <w:spacing w:after="0" w:line="276" w:lineRule="atLeast"/>
    </w:pPr>
    <w:rPr>
      <w:rFonts w:ascii="LAFGTN+TimesNewRomanPS-BoldMT" w:hAnsi="LAFGTN+TimesNewRomanPS-Bold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A104-BD43-4D95-8FA4-832E4593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2</TotalTime>
  <Pages>9</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ELT Implementation Paper (May 2013)</vt:lpstr>
    </vt:vector>
  </TitlesOfParts>
  <Company/>
  <LinksUpToDate>false</LinksUpToDate>
  <CharactersWithSpaces>29035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 Implementation Paper (May 2013)</dc:title>
  <dc:creator>ESE</dc:creator>
  <cp:lastModifiedBy>Zou, Dong</cp:lastModifiedBy>
  <cp:revision>3</cp:revision>
  <cp:lastPrinted>2013-04-26T17:15:00Z</cp:lastPrinted>
  <dcterms:created xsi:type="dcterms:W3CDTF">2013-05-21T14:27:00Z</dcterms:created>
  <dcterms:modified xsi:type="dcterms:W3CDTF">2018-01-30T21:08:00Z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2013</vt:lpwstr>
  </property>
</Properties>
</file>