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85B" w:rsidRDefault="00612132">
      <w:r>
        <w:t xml:space="preserve"> </w:t>
      </w:r>
    </w:p>
    <w:tbl>
      <w:tblPr>
        <w:tblW w:w="10080" w:type="dxa"/>
        <w:tblInd w:w="-335" w:type="dxa"/>
        <w:tblLayout w:type="fixed"/>
        <w:tblCellMar>
          <w:left w:w="115" w:type="dxa"/>
          <w:right w:w="115" w:type="dxa"/>
        </w:tblCellMar>
        <w:tblLook w:val="00BF"/>
      </w:tblPr>
      <w:tblGrid>
        <w:gridCol w:w="990"/>
        <w:gridCol w:w="7020"/>
        <w:gridCol w:w="2070"/>
      </w:tblGrid>
      <w:tr w:rsidR="005F037D" w:rsidTr="0077761F">
        <w:trPr>
          <w:gridAfter w:val="1"/>
          <w:wAfter w:w="2070" w:type="dxa"/>
          <w:trHeight w:val="5040"/>
        </w:trPr>
        <w:tc>
          <w:tcPr>
            <w:tcW w:w="8010" w:type="dxa"/>
            <w:gridSpan w:val="2"/>
          </w:tcPr>
          <w:p w:rsidR="005F037D" w:rsidRDefault="005F037D">
            <w:pPr>
              <w:keepNext/>
            </w:pPr>
          </w:p>
          <w:p w:rsidR="005F037D" w:rsidRDefault="00834B13" w:rsidP="00CE1085">
            <w:r>
              <w:rPr>
                <w:noProof/>
                <w:lang w:eastAsia="zh-CN"/>
              </w:rPr>
              <w:drawing>
                <wp:inline distT="0" distB="0" distL="0" distR="0">
                  <wp:extent cx="2476500" cy="1200150"/>
                  <wp:effectExtent l="19050" t="0" r="0"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3" cstate="print"/>
                          <a:srcRect/>
                          <a:stretch>
                            <a:fillRect/>
                          </a:stretch>
                        </pic:blipFill>
                        <pic:spPr bwMode="auto">
                          <a:xfrm>
                            <a:off x="0" y="0"/>
                            <a:ext cx="2476500" cy="1200150"/>
                          </a:xfrm>
                          <a:prstGeom prst="rect">
                            <a:avLst/>
                          </a:prstGeom>
                          <a:noFill/>
                          <a:ln w="9525">
                            <a:noFill/>
                            <a:miter lim="800000"/>
                            <a:headEnd/>
                            <a:tailEnd/>
                          </a:ln>
                        </pic:spPr>
                      </pic:pic>
                    </a:graphicData>
                  </a:graphic>
                </wp:inline>
              </w:drawing>
            </w:r>
          </w:p>
        </w:tc>
      </w:tr>
      <w:tr w:rsidR="005F037D" w:rsidTr="0077761F">
        <w:trPr>
          <w:gridAfter w:val="1"/>
          <w:wAfter w:w="2070" w:type="dxa"/>
          <w:cantSplit/>
          <w:trHeight w:val="200"/>
        </w:trPr>
        <w:tc>
          <w:tcPr>
            <w:tcW w:w="990" w:type="dxa"/>
            <w:vMerge w:val="restart"/>
            <w:vAlign w:val="bottom"/>
          </w:tcPr>
          <w:p w:rsidR="005F037D" w:rsidRPr="00274356" w:rsidRDefault="005F037D" w:rsidP="00274356"/>
        </w:tc>
        <w:tc>
          <w:tcPr>
            <w:tcW w:w="7020" w:type="dxa"/>
            <w:vAlign w:val="bottom"/>
          </w:tcPr>
          <w:p w:rsidR="00CD2CA8" w:rsidRDefault="00CD2CA8" w:rsidP="00CD2CA8">
            <w:pPr>
              <w:pStyle w:val="ESEReportName"/>
            </w:pPr>
            <w:r>
              <w:t xml:space="preserve">Report to the Legislature: </w:t>
            </w:r>
          </w:p>
          <w:p w:rsidR="00CD2CA8" w:rsidRPr="00CD2CA8" w:rsidRDefault="004B12D4" w:rsidP="00CD2CA8">
            <w:pPr>
              <w:pStyle w:val="ESEReportName"/>
              <w:rPr>
                <w:sz w:val="32"/>
                <w:szCs w:val="32"/>
              </w:rPr>
            </w:pPr>
            <w:r>
              <w:rPr>
                <w:sz w:val="32"/>
                <w:szCs w:val="32"/>
              </w:rPr>
              <w:t xml:space="preserve">Annual </w:t>
            </w:r>
            <w:r w:rsidR="00CD2CA8" w:rsidRPr="00CD2CA8">
              <w:rPr>
                <w:sz w:val="32"/>
                <w:szCs w:val="32"/>
              </w:rPr>
              <w:t>Report on Students with Disabilities 2011-2012</w:t>
            </w:r>
          </w:p>
        </w:tc>
      </w:tr>
      <w:tr w:rsidR="005F037D" w:rsidTr="0077761F">
        <w:trPr>
          <w:gridAfter w:val="1"/>
          <w:wAfter w:w="2070" w:type="dxa"/>
          <w:cantSplit/>
          <w:trHeight w:val="240"/>
        </w:trPr>
        <w:tc>
          <w:tcPr>
            <w:tcW w:w="990" w:type="dxa"/>
            <w:vMerge/>
            <w:vAlign w:val="bottom"/>
          </w:tcPr>
          <w:p w:rsidR="005F037D" w:rsidRDefault="005F037D">
            <w:pPr>
              <w:spacing w:line="400" w:lineRule="exact"/>
              <w:rPr>
                <w:rFonts w:ascii="Arial" w:hAnsi="Arial"/>
                <w:color w:val="000000"/>
              </w:rPr>
            </w:pPr>
          </w:p>
        </w:tc>
        <w:tc>
          <w:tcPr>
            <w:tcW w:w="7020" w:type="dxa"/>
          </w:tcPr>
          <w:p w:rsidR="005F037D" w:rsidRPr="00EB1F6F" w:rsidRDefault="000C5D3E">
            <w:r>
              <w:pict>
                <v:rect id="_x0000_i1025" style="width:0;height:1.5pt" o:hrstd="t" o:hr="t" fillcolor="#aaa" stroked="f"/>
              </w:pict>
            </w:r>
          </w:p>
        </w:tc>
      </w:tr>
      <w:tr w:rsidR="005F037D" w:rsidTr="0077761F">
        <w:trPr>
          <w:gridAfter w:val="1"/>
          <w:wAfter w:w="2070" w:type="dxa"/>
          <w:cantSplit/>
          <w:trHeight w:val="760"/>
        </w:trPr>
        <w:tc>
          <w:tcPr>
            <w:tcW w:w="990" w:type="dxa"/>
            <w:vMerge/>
            <w:vAlign w:val="bottom"/>
          </w:tcPr>
          <w:p w:rsidR="005F037D" w:rsidRDefault="005F037D">
            <w:pPr>
              <w:spacing w:line="400" w:lineRule="exact"/>
              <w:rPr>
                <w:rFonts w:ascii="Arial" w:hAnsi="Arial"/>
                <w:color w:val="000000"/>
              </w:rPr>
            </w:pPr>
          </w:p>
        </w:tc>
        <w:tc>
          <w:tcPr>
            <w:tcW w:w="7020" w:type="dxa"/>
          </w:tcPr>
          <w:p w:rsidR="00F66EB7" w:rsidRDefault="00CD2CA8" w:rsidP="00EB1F6F">
            <w:pPr>
              <w:pStyle w:val="arial9"/>
            </w:pPr>
            <w:r>
              <w:t>Chapter 159, Acts of 2000</w:t>
            </w:r>
          </w:p>
          <w:p w:rsidR="005F037D" w:rsidRDefault="00D76663" w:rsidP="00CD2CA8">
            <w:pPr>
              <w:pStyle w:val="arial9"/>
            </w:pPr>
            <w:r>
              <w:t>May 2013</w:t>
            </w:r>
          </w:p>
          <w:p w:rsidR="00CD2CA8" w:rsidRDefault="00CD2CA8" w:rsidP="00CD2CA8">
            <w:pPr>
              <w:pStyle w:val="arial9"/>
            </w:pPr>
          </w:p>
          <w:p w:rsidR="00CD2CA8" w:rsidRDefault="00CD2CA8" w:rsidP="00CD2CA8">
            <w:pPr>
              <w:pStyle w:val="arial9"/>
            </w:pPr>
          </w:p>
          <w:p w:rsidR="00CD2CA8" w:rsidRDefault="00CD2CA8" w:rsidP="00CD2CA8">
            <w:pPr>
              <w:pStyle w:val="arial9"/>
            </w:pPr>
          </w:p>
          <w:p w:rsidR="00CD2CA8" w:rsidRDefault="00CD2CA8" w:rsidP="00CD2CA8">
            <w:pPr>
              <w:pStyle w:val="arial9"/>
            </w:pPr>
          </w:p>
          <w:p w:rsidR="00CD2CA8" w:rsidRDefault="00CD2CA8" w:rsidP="00CD2CA8">
            <w:pPr>
              <w:pStyle w:val="arial9"/>
            </w:pPr>
          </w:p>
          <w:p w:rsidR="00CD2CA8" w:rsidRDefault="00CD2CA8" w:rsidP="00CD2CA8">
            <w:pPr>
              <w:pStyle w:val="arial9"/>
            </w:pPr>
          </w:p>
          <w:p w:rsidR="00CD2CA8" w:rsidRDefault="00CD2CA8" w:rsidP="00CD2CA8">
            <w:pPr>
              <w:pStyle w:val="arial9"/>
            </w:pPr>
          </w:p>
          <w:p w:rsidR="00CD2CA8" w:rsidRDefault="00CD2CA8" w:rsidP="00CD2CA8">
            <w:pPr>
              <w:pStyle w:val="arial9"/>
            </w:pPr>
          </w:p>
          <w:p w:rsidR="00CD2CA8" w:rsidRDefault="00CD2CA8" w:rsidP="00CD2CA8">
            <w:pPr>
              <w:pStyle w:val="arial9"/>
            </w:pPr>
          </w:p>
          <w:p w:rsidR="00CD2CA8" w:rsidRDefault="00CD2CA8" w:rsidP="00CD2CA8">
            <w:pPr>
              <w:pStyle w:val="arial9"/>
            </w:pPr>
          </w:p>
          <w:p w:rsidR="00CD2CA8" w:rsidRDefault="00CD2CA8" w:rsidP="00CD2CA8">
            <w:pPr>
              <w:pStyle w:val="arial9"/>
            </w:pPr>
          </w:p>
          <w:p w:rsidR="00CD2CA8" w:rsidRDefault="00CD2CA8" w:rsidP="00CD2CA8">
            <w:pPr>
              <w:pStyle w:val="arial9"/>
            </w:pPr>
          </w:p>
          <w:p w:rsidR="00CD2CA8" w:rsidRDefault="00CD2CA8" w:rsidP="00CD2CA8">
            <w:pPr>
              <w:pStyle w:val="arial9"/>
            </w:pPr>
          </w:p>
          <w:p w:rsidR="00CD2CA8" w:rsidRDefault="00CD2CA8" w:rsidP="00CD2CA8">
            <w:pPr>
              <w:pStyle w:val="arial9"/>
            </w:pPr>
          </w:p>
          <w:p w:rsidR="00CD2CA8" w:rsidRDefault="00CD2CA8" w:rsidP="00CD2CA8">
            <w:pPr>
              <w:pStyle w:val="arial9"/>
            </w:pPr>
          </w:p>
          <w:p w:rsidR="00CD2CA8" w:rsidRDefault="00CD2CA8" w:rsidP="00CD2CA8">
            <w:pPr>
              <w:pStyle w:val="arial9"/>
            </w:pPr>
          </w:p>
          <w:p w:rsidR="00CD2CA8" w:rsidRDefault="00CD2CA8" w:rsidP="00CD2CA8">
            <w:pPr>
              <w:pStyle w:val="arial9"/>
            </w:pPr>
          </w:p>
          <w:p w:rsidR="00CD2CA8" w:rsidRDefault="00CD2CA8" w:rsidP="00CD2CA8">
            <w:pPr>
              <w:pStyle w:val="arial9"/>
            </w:pPr>
          </w:p>
          <w:p w:rsidR="00CD2CA8" w:rsidRDefault="00CD2CA8" w:rsidP="00CD2CA8">
            <w:pPr>
              <w:pStyle w:val="arial9"/>
            </w:pPr>
          </w:p>
          <w:p w:rsidR="00CD2CA8" w:rsidRDefault="00CD2CA8" w:rsidP="00CD2CA8">
            <w:pPr>
              <w:pStyle w:val="arial9"/>
            </w:pPr>
          </w:p>
          <w:p w:rsidR="00CD2CA8" w:rsidRPr="00CD2CA8" w:rsidRDefault="00CD2CA8" w:rsidP="00CD2CA8">
            <w:pPr>
              <w:pStyle w:val="arial9"/>
              <w:rPr>
                <w:b/>
              </w:rPr>
            </w:pPr>
            <w:r w:rsidRPr="00CD2CA8">
              <w:rPr>
                <w:b/>
              </w:rPr>
              <w:t>Massachusetts Department of Elementary and</w:t>
            </w:r>
          </w:p>
          <w:p w:rsidR="00CD2CA8" w:rsidRPr="00CD2CA8" w:rsidRDefault="00CD2CA8" w:rsidP="00CD2CA8">
            <w:pPr>
              <w:pStyle w:val="arial9"/>
              <w:rPr>
                <w:b/>
              </w:rPr>
            </w:pPr>
            <w:r w:rsidRPr="00CD2CA8">
              <w:rPr>
                <w:b/>
              </w:rPr>
              <w:t>Secondary Education</w:t>
            </w:r>
          </w:p>
          <w:p w:rsidR="00CD2CA8" w:rsidRDefault="00CD2CA8" w:rsidP="00CD2CA8">
            <w:pPr>
              <w:pStyle w:val="arial9"/>
            </w:pPr>
            <w:r>
              <w:t>75 Pleasant Street, Malden, MA 02148-4906</w:t>
            </w:r>
          </w:p>
          <w:p w:rsidR="00CD2CA8" w:rsidRDefault="00CD2CA8" w:rsidP="00CD2CA8">
            <w:pPr>
              <w:pStyle w:val="arial9"/>
            </w:pPr>
            <w:r>
              <w:t>Phone: 781-338-3000  TTY: N.E.T. Relay 800-439-2370</w:t>
            </w:r>
          </w:p>
          <w:p w:rsidR="00CD2CA8" w:rsidRDefault="000C5D3E" w:rsidP="00CD2CA8">
            <w:pPr>
              <w:pStyle w:val="arial9"/>
            </w:pPr>
            <w:hyperlink r:id="rId14" w:history="1">
              <w:r w:rsidR="00CD2CA8" w:rsidRPr="00090076">
                <w:rPr>
                  <w:rStyle w:val="Hyperlink"/>
                </w:rPr>
                <w:t>www.doe.mass.edu</w:t>
              </w:r>
            </w:hyperlink>
            <w:r w:rsidR="00CD2CA8">
              <w:t xml:space="preserve"> </w:t>
            </w:r>
          </w:p>
          <w:p w:rsidR="00CD2CA8" w:rsidRDefault="00CD2CA8" w:rsidP="00CD2CA8">
            <w:pPr>
              <w:pStyle w:val="arial9"/>
            </w:pPr>
          </w:p>
        </w:tc>
      </w:tr>
      <w:tr w:rsidR="00C118B2" w:rsidTr="0077761F">
        <w:tblPrEx>
          <w:tblCellMar>
            <w:left w:w="108" w:type="dxa"/>
            <w:right w:w="108" w:type="dxa"/>
          </w:tblCellMar>
        </w:tblPrEx>
        <w:trPr>
          <w:trHeight w:val="8235"/>
        </w:trPr>
        <w:tc>
          <w:tcPr>
            <w:tcW w:w="10080" w:type="dxa"/>
            <w:gridSpan w:val="3"/>
          </w:tcPr>
          <w:p w:rsidR="00C118B2" w:rsidRPr="00345DE2" w:rsidRDefault="00834B13" w:rsidP="00100600">
            <w:pPr>
              <w:jc w:val="center"/>
            </w:pPr>
            <w:r>
              <w:rPr>
                <w:noProof/>
                <w:lang w:eastAsia="zh-CN"/>
              </w:rPr>
              <w:lastRenderedPageBreak/>
              <w:drawing>
                <wp:inline distT="0" distB="0" distL="0" distR="0">
                  <wp:extent cx="1533525" cy="752475"/>
                  <wp:effectExtent l="19050" t="0" r="9525" b="0"/>
                  <wp:docPr id="4"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5" cstate="print"/>
                          <a:srcRect/>
                          <a:stretch>
                            <a:fillRect/>
                          </a:stretch>
                        </pic:blipFill>
                        <pic:spPr bwMode="auto">
                          <a:xfrm>
                            <a:off x="0" y="0"/>
                            <a:ext cx="1533525" cy="752475"/>
                          </a:xfrm>
                          <a:prstGeom prst="rect">
                            <a:avLst/>
                          </a:prstGeom>
                          <a:noFill/>
                          <a:ln w="9525">
                            <a:noFill/>
                            <a:miter lim="800000"/>
                            <a:headEnd/>
                            <a:tailEnd/>
                          </a:ln>
                        </pic:spPr>
                      </pic:pic>
                    </a:graphicData>
                  </a:graphic>
                </wp:inline>
              </w:drawing>
            </w:r>
          </w:p>
          <w:p w:rsidR="00C118B2" w:rsidRPr="00345DE2" w:rsidRDefault="00C118B2" w:rsidP="00345DE2"/>
          <w:p w:rsidR="00C118B2" w:rsidRPr="00345DE2" w:rsidRDefault="00C118B2" w:rsidP="00345DE2"/>
          <w:p w:rsidR="00C118B2" w:rsidRDefault="00C118B2" w:rsidP="00100600">
            <w:pPr>
              <w:pStyle w:val="BoardMembers"/>
            </w:pPr>
            <w:r>
              <w:t xml:space="preserve">This document was prepared by the </w:t>
            </w:r>
            <w:r>
              <w:br/>
              <w:t xml:space="preserve">Massachusetts Department of </w:t>
            </w:r>
            <w:r w:rsidR="00440BAB" w:rsidRPr="00440BAB">
              <w:t xml:space="preserve">Elementary and Secondary </w:t>
            </w:r>
            <w:r>
              <w:t>Education</w:t>
            </w:r>
          </w:p>
          <w:p w:rsidR="00CC22F1" w:rsidRDefault="00CC22F1" w:rsidP="008734A6">
            <w:pPr>
              <w:pStyle w:val="BoardMembers"/>
            </w:pPr>
            <w:r w:rsidRPr="00CC22F1">
              <w:t>Mitchell D. Chester, Ed.D</w:t>
            </w:r>
            <w:r w:rsidR="00AD298F">
              <w:t>.</w:t>
            </w:r>
          </w:p>
          <w:p w:rsidR="00C118B2" w:rsidRDefault="00C118B2" w:rsidP="008734A6">
            <w:pPr>
              <w:pStyle w:val="BoardMembers"/>
            </w:pPr>
            <w:r>
              <w:t xml:space="preserve">Commissioner </w:t>
            </w:r>
          </w:p>
          <w:p w:rsidR="00C118B2" w:rsidRDefault="00C118B2" w:rsidP="00345DE2"/>
          <w:p w:rsidR="00B61B2F" w:rsidRPr="00345DE2" w:rsidRDefault="00B61B2F" w:rsidP="00345DE2"/>
          <w:p w:rsidR="00370861" w:rsidRDefault="00370861" w:rsidP="00370861">
            <w:pPr>
              <w:pStyle w:val="BoardMembers"/>
              <w:rPr>
                <w:b/>
              </w:rPr>
            </w:pPr>
            <w:r>
              <w:rPr>
                <w:b/>
              </w:rPr>
              <w:t>Board of Elementary and Secondary Education Members</w:t>
            </w:r>
          </w:p>
          <w:p w:rsidR="00370861" w:rsidRDefault="00370861" w:rsidP="00370861">
            <w:pPr>
              <w:pStyle w:val="BoardMembers"/>
            </w:pPr>
            <w:r>
              <w:t>Ms. Maura Banta, Chair, Melrose</w:t>
            </w:r>
          </w:p>
          <w:p w:rsidR="00370861" w:rsidRDefault="00370861" w:rsidP="00370861">
            <w:pPr>
              <w:pStyle w:val="BoardMembers"/>
            </w:pPr>
            <w:r>
              <w:t>Ms. Beverly Holmes, Vice Chair, Springfield</w:t>
            </w:r>
          </w:p>
          <w:p w:rsidR="00370861" w:rsidRDefault="00370861" w:rsidP="00370861">
            <w:pPr>
              <w:pStyle w:val="BoardMembers"/>
            </w:pPr>
            <w:r>
              <w:t xml:space="preserve">Dr. Vanessa </w:t>
            </w:r>
            <w:proofErr w:type="spellStart"/>
            <w:r>
              <w:t>Calderón</w:t>
            </w:r>
            <w:proofErr w:type="spellEnd"/>
            <w:r>
              <w:t>-Rosado, Milton</w:t>
            </w:r>
          </w:p>
          <w:p w:rsidR="00370861" w:rsidRDefault="00370861" w:rsidP="00370861">
            <w:pPr>
              <w:pStyle w:val="BoardMembers"/>
            </w:pPr>
            <w:r>
              <w:t xml:space="preserve">Ms. </w:t>
            </w:r>
            <w:proofErr w:type="spellStart"/>
            <w:r>
              <w:t>Harneen</w:t>
            </w:r>
            <w:proofErr w:type="spellEnd"/>
            <w:r>
              <w:t xml:space="preserve"> </w:t>
            </w:r>
            <w:proofErr w:type="spellStart"/>
            <w:r>
              <w:t>Chernow</w:t>
            </w:r>
            <w:proofErr w:type="spellEnd"/>
            <w:r>
              <w:t>, Jamaica Plain</w:t>
            </w:r>
          </w:p>
          <w:p w:rsidR="00370861" w:rsidRDefault="00370861" w:rsidP="00370861">
            <w:pPr>
              <w:pStyle w:val="BoardMembers"/>
            </w:pPr>
            <w:r>
              <w:t xml:space="preserve">Mr. Gerald </w:t>
            </w:r>
            <w:proofErr w:type="spellStart"/>
            <w:r>
              <w:t>Chertavian</w:t>
            </w:r>
            <w:proofErr w:type="spellEnd"/>
            <w:r>
              <w:t>, Cambridge</w:t>
            </w:r>
          </w:p>
          <w:p w:rsidR="00370861" w:rsidRDefault="00B27DD4" w:rsidP="00370861">
            <w:pPr>
              <w:pStyle w:val="BoardMembers"/>
            </w:pPr>
            <w:r>
              <w:t>Mr. Ryan Casey</w:t>
            </w:r>
            <w:r w:rsidR="00370861">
              <w:t>, Chair, Stu</w:t>
            </w:r>
            <w:r>
              <w:t>dent Advisory Council, Franklin</w:t>
            </w:r>
          </w:p>
          <w:p w:rsidR="00370861" w:rsidRDefault="00370861" w:rsidP="00370861">
            <w:pPr>
              <w:pStyle w:val="BoardMembers"/>
            </w:pPr>
            <w:r>
              <w:t>Ms. Ruth Kaplan, Brookline</w:t>
            </w:r>
          </w:p>
          <w:p w:rsidR="0051028B" w:rsidRDefault="0051028B" w:rsidP="00370861">
            <w:pPr>
              <w:pStyle w:val="BoardMembers"/>
            </w:pPr>
            <w:r>
              <w:t xml:space="preserve">Jenny </w:t>
            </w:r>
            <w:proofErr w:type="spellStart"/>
            <w:r>
              <w:t>Noyce</w:t>
            </w:r>
            <w:proofErr w:type="spellEnd"/>
            <w:r>
              <w:t>, Wellesley</w:t>
            </w:r>
          </w:p>
          <w:p w:rsidR="00370861" w:rsidRDefault="00370861" w:rsidP="00370861">
            <w:pPr>
              <w:pStyle w:val="BoardMembers"/>
            </w:pPr>
            <w:r>
              <w:t xml:space="preserve">Mr. Paul </w:t>
            </w:r>
            <w:proofErr w:type="spellStart"/>
            <w:r>
              <w:t>Reville</w:t>
            </w:r>
            <w:proofErr w:type="spellEnd"/>
            <w:r>
              <w:t>, Secretary of Education, Worcester</w:t>
            </w:r>
          </w:p>
          <w:p w:rsidR="00370861" w:rsidRDefault="00370861" w:rsidP="00370861">
            <w:pPr>
              <w:pStyle w:val="BoardMembers"/>
            </w:pPr>
            <w:r>
              <w:t>Mr. David Roach, Sutton</w:t>
            </w:r>
          </w:p>
          <w:p w:rsidR="00370861" w:rsidRDefault="00370861" w:rsidP="00370861">
            <w:pPr>
              <w:pStyle w:val="BoardMembers"/>
            </w:pPr>
          </w:p>
          <w:p w:rsidR="00370861" w:rsidRDefault="00370861" w:rsidP="00370861">
            <w:pPr>
              <w:pStyle w:val="BoardMembers"/>
            </w:pPr>
            <w:r>
              <w:t>Mitchell D. Chester, Ed.D., Commissioner and Secretary to the Board</w:t>
            </w:r>
          </w:p>
          <w:p w:rsidR="00AD72FC" w:rsidRDefault="00AD72FC" w:rsidP="00AD72FC">
            <w:pPr>
              <w:autoSpaceDE w:val="0"/>
              <w:autoSpaceDN w:val="0"/>
              <w:adjustRightInd w:val="0"/>
              <w:jc w:val="center"/>
            </w:pPr>
          </w:p>
          <w:p w:rsidR="00B61B2F" w:rsidRPr="00345DE2" w:rsidRDefault="00B61B2F" w:rsidP="00AD72FC">
            <w:pPr>
              <w:autoSpaceDE w:val="0"/>
              <w:autoSpaceDN w:val="0"/>
              <w:adjustRightInd w:val="0"/>
              <w:jc w:val="center"/>
            </w:pPr>
          </w:p>
          <w:p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rsidR="00C118B2" w:rsidRDefault="00C118B2" w:rsidP="008734A6">
            <w:pPr>
              <w:pStyle w:val="BoardMembers"/>
            </w:pPr>
            <w:r>
              <w:t xml:space="preserve">We do not discriminate on the basis of age, color, disability, national origin, race, religion, sex or sexual orientation. </w:t>
            </w:r>
          </w:p>
          <w:p w:rsidR="00C118B2" w:rsidRDefault="00C118B2" w:rsidP="008734A6">
            <w:pPr>
              <w:pStyle w:val="BoardMembers"/>
            </w:pPr>
            <w:r>
              <w:t xml:space="preserve"> Inquiries regarding the Department’s compliance with Title IX and other civil rights laws may be directed to the </w:t>
            </w:r>
          </w:p>
          <w:p w:rsidR="00C118B2" w:rsidRDefault="00C118B2" w:rsidP="008734A6">
            <w:pPr>
              <w:pStyle w:val="BoardMembers"/>
            </w:pPr>
            <w:r>
              <w:t xml:space="preserve">Human Resources Director, </w:t>
            </w:r>
            <w:r w:rsidR="005152E7">
              <w:rPr>
                <w:snapToGrid w:val="0"/>
              </w:rPr>
              <w:t xml:space="preserve">75 Pleasant </w:t>
            </w:r>
            <w:r>
              <w:t>St., Malden, MA 02148</w:t>
            </w:r>
            <w:r w:rsidR="007102D5">
              <w:t>-4906. Phone:</w:t>
            </w:r>
            <w:r>
              <w:t xml:space="preserve"> 781-338-6105.</w:t>
            </w:r>
          </w:p>
          <w:p w:rsidR="00C118B2" w:rsidRDefault="00C118B2" w:rsidP="00345DE2"/>
          <w:p w:rsidR="00B61B2F" w:rsidRPr="00345DE2" w:rsidRDefault="00B61B2F" w:rsidP="00345DE2"/>
          <w:p w:rsidR="00C118B2" w:rsidRDefault="00C118B2" w:rsidP="008734A6">
            <w:pPr>
              <w:pStyle w:val="BoardMembers"/>
            </w:pPr>
            <w:r>
              <w:t>© 20</w:t>
            </w:r>
            <w:r w:rsidR="00CD2CA8">
              <w:t>12</w:t>
            </w:r>
            <w:r>
              <w:t xml:space="preserve"> Massachusetts Department of </w:t>
            </w:r>
            <w:r w:rsidR="00440BAB" w:rsidRPr="00440BAB">
              <w:t xml:space="preserve">Elementary and Secondary </w:t>
            </w:r>
            <w:r>
              <w:t>Education</w:t>
            </w:r>
          </w:p>
          <w:p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rsidR="00C118B2" w:rsidRPr="00345DE2" w:rsidRDefault="00C118B2" w:rsidP="00345DE2"/>
          <w:p w:rsidR="00C118B2" w:rsidRDefault="00C118B2" w:rsidP="00345DE2">
            <w:pPr>
              <w:pStyle w:val="Permission"/>
            </w:pPr>
            <w:r>
              <w:t>This document printed on recycled paper</w:t>
            </w:r>
          </w:p>
          <w:p w:rsidR="00C118B2" w:rsidRPr="00345DE2" w:rsidRDefault="00C118B2" w:rsidP="00345DE2"/>
          <w:p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rsidR="00C118B2" w:rsidRDefault="005152E7" w:rsidP="008734A6">
            <w:pPr>
              <w:pStyle w:val="BoardMembers"/>
            </w:pPr>
            <w:r>
              <w:rPr>
                <w:snapToGrid w:val="0"/>
              </w:rPr>
              <w:t xml:space="preserve">75 Pleasant </w:t>
            </w:r>
            <w:r w:rsidR="00C118B2">
              <w:t xml:space="preserve">Street, </w:t>
            </w:r>
            <w:smartTag w:uri="urn:schemas-microsoft-com:office:smarttags" w:element="place">
              <w:smartTag w:uri="urn:schemas-microsoft-com:office:smarttags" w:element="City">
                <w:r w:rsidR="00C118B2">
                  <w:t>Malden</w:t>
                </w:r>
              </w:smartTag>
              <w:r w:rsidR="00C118B2">
                <w:t xml:space="preserve">, </w:t>
              </w:r>
              <w:smartTag w:uri="urn:schemas-microsoft-com:office:smarttags" w:element="State">
                <w:r w:rsidR="00C118B2">
                  <w:t>MA</w:t>
                </w:r>
              </w:smartTag>
              <w:r w:rsidR="00C118B2">
                <w:t xml:space="preserve"> </w:t>
              </w:r>
              <w:smartTag w:uri="urn:schemas-microsoft-com:office:smarttags" w:element="PostalCode">
                <w:r w:rsidR="00C118B2">
                  <w:t>02148</w:t>
                </w:r>
              </w:smartTag>
            </w:smartTag>
            <w:r w:rsidR="00C118B2">
              <w:t>-</w:t>
            </w:r>
            <w:r w:rsidR="00740C0D">
              <w:t>4906</w:t>
            </w:r>
          </w:p>
          <w:p w:rsidR="0020780F" w:rsidRDefault="0020780F" w:rsidP="008734A6">
            <w:pPr>
              <w:pStyle w:val="BoardMembers"/>
            </w:pPr>
            <w:r w:rsidRPr="0020780F">
              <w:t>Phone 781-338-3000  TTY: N.E.T. Relay 800-439-2370</w:t>
            </w:r>
          </w:p>
          <w:p w:rsidR="00C118B2" w:rsidRDefault="00C118B2" w:rsidP="008734A6">
            <w:pPr>
              <w:pStyle w:val="BoardMembers"/>
            </w:pPr>
            <w:r>
              <w:t>www.doe.mass.edu</w:t>
            </w:r>
          </w:p>
          <w:p w:rsidR="00C118B2" w:rsidRPr="00345DE2" w:rsidRDefault="00C118B2" w:rsidP="00345DE2"/>
          <w:p w:rsidR="00C118B2" w:rsidRDefault="00834B13" w:rsidP="00C118B2">
            <w:pPr>
              <w:jc w:val="center"/>
              <w:rPr>
                <w:sz w:val="18"/>
              </w:rPr>
            </w:pPr>
            <w:r>
              <w:rPr>
                <w:noProof/>
                <w:lang w:eastAsia="zh-CN"/>
              </w:rPr>
              <w:drawing>
                <wp:inline distT="0" distB="0" distL="0" distR="0">
                  <wp:extent cx="1028700" cy="1019175"/>
                  <wp:effectExtent l="19050" t="0" r="0" b="0"/>
                  <wp:docPr id="5"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tc>
      </w:tr>
    </w:tbl>
    <w:p w:rsidR="004D45D4" w:rsidRDefault="004D45D4" w:rsidP="00C118B2"/>
    <w:p w:rsidR="00FA0025" w:rsidRPr="003B1D70" w:rsidRDefault="004D45D4" w:rsidP="007102D5">
      <w:pPr>
        <w:ind w:left="540" w:firstLine="720"/>
        <w:rPr>
          <w:rFonts w:ascii="Arial" w:hAnsi="Arial" w:cs="Arial"/>
        </w:rPr>
      </w:pPr>
      <w:r>
        <w:br w:type="page"/>
      </w:r>
      <w:r w:rsidR="00834B13">
        <w:rPr>
          <w:rFonts w:ascii="Arial" w:hAnsi="Arial" w:cs="Arial"/>
          <w:i/>
          <w:noProof/>
          <w:sz w:val="40"/>
          <w:lang w:eastAsia="zh-CN"/>
        </w:rPr>
        <w:lastRenderedPageBreak/>
        <w:drawing>
          <wp:anchor distT="0" distB="0" distL="114300" distR="274320" simplePos="0" relativeHeight="251658752"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7" cstate="print">
                      <a:lum bright="18000"/>
                    </a:blip>
                    <a:srcRect/>
                    <a:stretch>
                      <a:fillRect/>
                    </a:stretch>
                  </pic:blipFill>
                  <pic:spPr bwMode="auto">
                    <a:xfrm>
                      <a:off x="0" y="0"/>
                      <a:ext cx="1090930" cy="1371600"/>
                    </a:xfrm>
                    <a:prstGeom prst="rect">
                      <a:avLst/>
                    </a:prstGeom>
                    <a:noFill/>
                  </pic:spPr>
                </pic:pic>
              </a:graphicData>
            </a:graphic>
          </wp:anchor>
        </w:drawing>
      </w:r>
      <w:r w:rsidR="00FA0025" w:rsidRPr="003B1D70">
        <w:rPr>
          <w:rFonts w:ascii="Arial" w:hAnsi="Arial" w:cs="Arial"/>
          <w:b/>
          <w:i/>
          <w:sz w:val="40"/>
        </w:rPr>
        <w:t>Massachusetts Department of</w:t>
      </w:r>
    </w:p>
    <w:p w:rsidR="00FA0025" w:rsidRPr="004C1FFA" w:rsidRDefault="00FA0025" w:rsidP="004C1FFA">
      <w:pPr>
        <w:ind w:left="1260"/>
        <w:rPr>
          <w:rFonts w:ascii="Century Schoolbook" w:hAnsi="Century Schoolbook"/>
        </w:rPr>
      </w:pPr>
      <w:r w:rsidRPr="003B1D70">
        <w:rPr>
          <w:rFonts w:ascii="Arial" w:hAnsi="Arial" w:cs="Arial"/>
          <w:b/>
          <w:i/>
          <w:sz w:val="40"/>
        </w:rPr>
        <w:t xml:space="preserve">Elementary </w:t>
      </w:r>
      <w:r w:rsidR="002C2113" w:rsidRPr="003B1D70">
        <w:rPr>
          <w:rFonts w:ascii="Arial" w:hAnsi="Arial" w:cs="Arial"/>
          <w:b/>
          <w:i/>
          <w:sz w:val="40"/>
        </w:rPr>
        <w:t>&amp;</w:t>
      </w:r>
      <w:r w:rsidRPr="003B1D70">
        <w:rPr>
          <w:rFonts w:ascii="Arial" w:hAnsi="Arial" w:cs="Arial"/>
          <w:b/>
          <w:i/>
          <w:sz w:val="40"/>
        </w:rPr>
        <w:t xml:space="preserve"> Secondary Education</w:t>
      </w:r>
    </w:p>
    <w:p w:rsidR="00FA0025" w:rsidRPr="00FA0025" w:rsidRDefault="000C5D3E" w:rsidP="002C2113">
      <w:pPr>
        <w:ind w:left="1260"/>
      </w:pPr>
      <w:r>
        <w:rPr>
          <w:noProof/>
        </w:rPr>
        <w:pict>
          <v:line id="_x0000_s1049" alt="Horizontal line" style="position:absolute;left:0;text-align:left;z-index:251656704" from="62.4pt,5.1pt" to="473.35pt,5.1pt" o:allowincell="f" strokeweight="1pt"/>
        </w:pict>
      </w:r>
    </w:p>
    <w:p w:rsidR="00FA0025" w:rsidRPr="00FA0025" w:rsidRDefault="003B1D70" w:rsidP="002C2113">
      <w:pPr>
        <w:tabs>
          <w:tab w:val="right" w:pos="9360"/>
        </w:tabs>
        <w:ind w:left="1260"/>
        <w:rPr>
          <w:rFonts w:ascii="Arial" w:hAnsi="Arial" w:cs="Arial"/>
          <w:i/>
          <w:sz w:val="16"/>
          <w:szCs w:val="16"/>
        </w:rPr>
      </w:pPr>
      <w:r>
        <w:rPr>
          <w:rFonts w:ascii="Arial" w:hAnsi="Arial" w:cs="Arial"/>
          <w:i/>
          <w:sz w:val="16"/>
          <w:szCs w:val="16"/>
        </w:rPr>
        <w:t xml:space="preserve">75 Pleasant </w:t>
      </w:r>
      <w:proofErr w:type="gramStart"/>
      <w:r w:rsidR="002C2113">
        <w:rPr>
          <w:rFonts w:ascii="Arial" w:hAnsi="Arial" w:cs="Arial"/>
          <w:i/>
          <w:sz w:val="16"/>
          <w:szCs w:val="16"/>
        </w:rPr>
        <w:t>Street</w:t>
      </w:r>
      <w:proofErr w:type="gramEnd"/>
      <w:r>
        <w:rPr>
          <w:rFonts w:ascii="Arial" w:hAnsi="Arial" w:cs="Arial"/>
          <w:i/>
          <w:sz w:val="16"/>
          <w:szCs w:val="16"/>
        </w:rPr>
        <w:t>, Malden, Massachusetts 02148-4906</w:t>
      </w:r>
      <w:r w:rsidR="00FA0025" w:rsidRPr="00FA0025">
        <w:rPr>
          <w:rFonts w:ascii="Arial" w:hAnsi="Arial" w:cs="Arial"/>
          <w:i/>
          <w:sz w:val="16"/>
          <w:szCs w:val="16"/>
        </w:rPr>
        <w:tab/>
        <w:t>Telephone: (781) 338-3000</w:t>
      </w:r>
    </w:p>
    <w:p w:rsidR="00FA0025" w:rsidRPr="00FA0025" w:rsidRDefault="00FA0025" w:rsidP="002C2113">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FA0025" w:rsidRPr="00C974A6" w:rsidRDefault="00FA0025" w:rsidP="00FA0025">
      <w:pPr>
        <w:ind w:left="720"/>
        <w:rPr>
          <w:rFonts w:ascii="Arial" w:hAnsi="Arial"/>
          <w:i/>
          <w:sz w:val="16"/>
          <w:szCs w:val="16"/>
        </w:rPr>
      </w:pPr>
    </w:p>
    <w:p w:rsidR="00FA0025" w:rsidRDefault="00FA0025" w:rsidP="00FA0025">
      <w:pPr>
        <w:ind w:left="720"/>
        <w:rPr>
          <w:rFonts w:ascii="Arial" w:hAnsi="Arial"/>
          <w:i/>
          <w:sz w:val="18"/>
        </w:rPr>
        <w:sectPr w:rsidR="00FA0025" w:rsidSect="00131111">
          <w:endnotePr>
            <w:numFmt w:val="decimal"/>
          </w:endnotePr>
          <w:pgSz w:w="12240" w:h="15840" w:code="1"/>
          <w:pgMar w:top="1440" w:right="1440" w:bottom="1440" w:left="1440" w:header="1440" w:footer="1440" w:gutter="0"/>
          <w:cols w:space="720"/>
          <w:noEndnote/>
          <w:docGrid w:linePitch="326"/>
        </w:sectPr>
      </w:pPr>
    </w:p>
    <w:p w:rsidR="004B12D4" w:rsidRPr="003E71FF" w:rsidRDefault="00C42E95" w:rsidP="004B12D4">
      <w:pPr>
        <w:pStyle w:val="BodyTextIndent"/>
        <w:spacing w:after="0"/>
        <w:ind w:left="0"/>
      </w:pPr>
      <w:r>
        <w:lastRenderedPageBreak/>
        <w:t>May 2013</w:t>
      </w:r>
    </w:p>
    <w:p w:rsidR="004B12D4" w:rsidRPr="003E71FF" w:rsidRDefault="004B12D4" w:rsidP="004B12D4">
      <w:pPr>
        <w:pStyle w:val="BodyTextIndent"/>
        <w:spacing w:after="0"/>
        <w:ind w:left="0"/>
      </w:pPr>
    </w:p>
    <w:p w:rsidR="004B12D4" w:rsidRPr="003E71FF" w:rsidRDefault="004B12D4" w:rsidP="004B12D4">
      <w:pPr>
        <w:pStyle w:val="BodyTextIndent"/>
        <w:spacing w:after="0"/>
        <w:ind w:left="0"/>
      </w:pPr>
      <w:r w:rsidRPr="003E71FF">
        <w:t xml:space="preserve">Dear Members of the General Court:         </w:t>
      </w:r>
    </w:p>
    <w:p w:rsidR="004B12D4" w:rsidRPr="003E71FF" w:rsidRDefault="004B12D4" w:rsidP="004B12D4">
      <w:pPr>
        <w:pStyle w:val="BodyTextIndent"/>
        <w:spacing w:after="0"/>
        <w:ind w:left="0"/>
      </w:pPr>
    </w:p>
    <w:p w:rsidR="0051028B" w:rsidRPr="003E71FF" w:rsidRDefault="0051028B" w:rsidP="0051028B">
      <w:pPr>
        <w:pStyle w:val="BodyTextIndent"/>
        <w:spacing w:after="0"/>
        <w:ind w:left="0"/>
      </w:pPr>
      <w:r w:rsidRPr="003E71FF">
        <w:t xml:space="preserve">I am pleased to submit this </w:t>
      </w:r>
      <w:r w:rsidRPr="003E71FF">
        <w:rPr>
          <w:i/>
        </w:rPr>
        <w:t>Report to the Legislature: Annual Report on Students with Disabilities 2011-2012</w:t>
      </w:r>
      <w:r w:rsidRPr="003E71FF">
        <w:t xml:space="preserve">. This report has been provided to the Legislature on an annual basis since 2000 when the legislature amended the language of G.L. c. 71B to align Massachusetts special education terminology with the federal </w:t>
      </w:r>
      <w:r w:rsidRPr="003E71FF">
        <w:rPr>
          <w:i/>
        </w:rPr>
        <w:t xml:space="preserve">Individuals with Disabilities Education Act (IDEA). </w:t>
      </w:r>
      <w:r w:rsidRPr="003E71FF">
        <w:t xml:space="preserve">It should be noted that Massachusetts’ compliance with the IDEA is monitored by the federal Office of Special Education Programs (OSEP). As a result, the Department is required to submit an annual report on compliance and performance to OSEP each year on February 1. The federal report may be found on the Department’s website at </w:t>
      </w:r>
      <w:hyperlink r:id="rId18" w:history="1">
        <w:r w:rsidRPr="003E71FF">
          <w:rPr>
            <w:rStyle w:val="Hyperlink"/>
          </w:rPr>
          <w:t>http://www.doe.mass.edu/sped/spp/</w:t>
        </w:r>
      </w:hyperlink>
      <w:r w:rsidRPr="003E71FF">
        <w:rPr>
          <w:color w:val="0000FF"/>
        </w:rPr>
        <w:t xml:space="preserve">. </w:t>
      </w:r>
    </w:p>
    <w:p w:rsidR="0051028B" w:rsidRPr="003E71FF" w:rsidRDefault="0051028B" w:rsidP="0051028B">
      <w:pPr>
        <w:pStyle w:val="BodyTextIndent"/>
        <w:spacing w:after="0"/>
        <w:ind w:left="0"/>
      </w:pPr>
    </w:p>
    <w:p w:rsidR="003E71FF" w:rsidRPr="003E71FF" w:rsidRDefault="0051028B" w:rsidP="0051028B">
      <w:pPr>
        <w:pStyle w:val="BodyTextIndent"/>
        <w:spacing w:after="0"/>
        <w:ind w:left="0"/>
      </w:pPr>
      <w:r w:rsidRPr="003E71FF">
        <w:t>This annual state legislative report provides statewide longitudinal enrollment data on students with disabilities. The report also provides data on the percentage of students with disability by disability category, educational environment, and other special population status. This year, the report includes a compilation of findings and d</w:t>
      </w:r>
      <w:r w:rsidR="00F219C1" w:rsidRPr="003E71FF">
        <w:t>ata from the Review of Special E</w:t>
      </w:r>
      <w:r w:rsidRPr="003E71FF">
        <w:t xml:space="preserve">ducation in the Commonwealth of Massachusetts </w:t>
      </w:r>
      <w:r w:rsidR="00F219C1" w:rsidRPr="003E71FF">
        <w:t xml:space="preserve">written by Dr. Thomas </w:t>
      </w:r>
      <w:proofErr w:type="spellStart"/>
      <w:r w:rsidR="00F219C1" w:rsidRPr="003E71FF">
        <w:t>Hehir</w:t>
      </w:r>
      <w:proofErr w:type="spellEnd"/>
      <w:r w:rsidR="00F219C1" w:rsidRPr="003E71FF">
        <w:t xml:space="preserve"> in April 2012. </w:t>
      </w:r>
      <w:r w:rsidR="003E71FF" w:rsidRPr="003E71FF">
        <w:t xml:space="preserve">In short, Dr. </w:t>
      </w:r>
      <w:proofErr w:type="spellStart"/>
      <w:r w:rsidR="003E71FF" w:rsidRPr="003E71FF">
        <w:t>Hehir</w:t>
      </w:r>
      <w:proofErr w:type="spellEnd"/>
      <w:r w:rsidR="003E71FF" w:rsidRPr="003E71FF">
        <w:t xml:space="preserve"> confirmed that Massachusetts identifies a higher percentage (17%) of students as having a disability than all but one state (Rhode Island).  The disparity in identification rate by race/ethnicity is smaller in the Commonwealth than in other areas of the country, with limited English proficient students having a lower identification rate than English proficient peers.  Further, Commonwealth students with disabilities demonstrate higher academic performance than their peers nationally, based on NAEP results.  Among the disarming findings are:  students from low-income families are substantially more likely to be identified for special education services than their counterparts from higher income families; low-income, Latino, and African American students with disabilities are considerably less likely to be included in general education classrooms when compared to their White and Asian special education counterparts; and, among special education students, lack of integration is likely a contributing factor for lower academic performance.</w:t>
      </w:r>
    </w:p>
    <w:p w:rsidR="003E71FF" w:rsidRPr="003E71FF" w:rsidRDefault="003E71FF" w:rsidP="0051028B">
      <w:pPr>
        <w:pStyle w:val="BodyTextIndent"/>
        <w:spacing w:after="0"/>
        <w:ind w:left="0"/>
      </w:pPr>
    </w:p>
    <w:p w:rsidR="0051028B" w:rsidRPr="003E71FF" w:rsidRDefault="00F219C1" w:rsidP="0051028B">
      <w:pPr>
        <w:pStyle w:val="BodyTextIndent"/>
        <w:spacing w:after="0"/>
        <w:ind w:left="0"/>
      </w:pPr>
      <w:r w:rsidRPr="003E71FF">
        <w:t xml:space="preserve">The report contains </w:t>
      </w:r>
      <w:r w:rsidR="0051028B" w:rsidRPr="003E71FF">
        <w:t>description</w:t>
      </w:r>
      <w:r w:rsidRPr="003E71FF">
        <w:t>s</w:t>
      </w:r>
      <w:r w:rsidR="0051028B" w:rsidRPr="003E71FF">
        <w:t xml:space="preserve"> of programs and improvement activities -- including </w:t>
      </w:r>
      <w:r w:rsidRPr="003E71FF">
        <w:t>an update on the development</w:t>
      </w:r>
      <w:r w:rsidR="0051028B" w:rsidRPr="003E71FF">
        <w:t xml:space="preserve"> of the Massachusetts Tiered System of Support (MTSS</w:t>
      </w:r>
      <w:r w:rsidRPr="003E71FF">
        <w:t xml:space="preserve">), a brief discussion regarding the fact that Massachusetts met requirements for the first time under the IDEA Part </w:t>
      </w:r>
      <w:r w:rsidR="008D0BEE" w:rsidRPr="003E71FF">
        <w:t>B State Performance Plan, and a</w:t>
      </w:r>
      <w:r w:rsidRPr="003E71FF">
        <w:t xml:space="preserve"> report on the impact of the No Child Left Behind Waiver on special education accountability determinations. </w:t>
      </w:r>
      <w:r w:rsidR="0051028B" w:rsidRPr="003E71FF">
        <w:t xml:space="preserve"> </w:t>
      </w:r>
      <w:r w:rsidR="00C81D06">
        <w:t>Additionally</w:t>
      </w:r>
      <w:r w:rsidR="0051028B" w:rsidRPr="003E71FF">
        <w:t>, the report provides information on special education expenditures, claims filed for “cir</w:t>
      </w:r>
      <w:r w:rsidRPr="003E71FF">
        <w:t>cuit breaker” reimbursement,</w:t>
      </w:r>
      <w:r w:rsidR="0051028B" w:rsidRPr="003E71FF">
        <w:t xml:space="preserve"> Medicaid reimbursement for eligible services provided in the school environment</w:t>
      </w:r>
      <w:r w:rsidRPr="003E71FF">
        <w:t xml:space="preserve">, educational </w:t>
      </w:r>
      <w:proofErr w:type="spellStart"/>
      <w:r w:rsidRPr="003E71FF">
        <w:t>collaboratives</w:t>
      </w:r>
      <w:proofErr w:type="spellEnd"/>
      <w:r w:rsidRPr="003E71FF">
        <w:t xml:space="preserve"> and statistics from the Division of Administrative Law Appeals (formerly Bureau of Special Education Appeals)</w:t>
      </w:r>
      <w:r w:rsidR="0051028B" w:rsidRPr="003E71FF">
        <w:t xml:space="preserve">. </w:t>
      </w:r>
    </w:p>
    <w:p w:rsidR="0051028B" w:rsidRPr="003E71FF" w:rsidRDefault="0051028B" w:rsidP="0051028B"/>
    <w:p w:rsidR="0051028B" w:rsidRPr="003E71FF" w:rsidRDefault="0051028B" w:rsidP="00F219C1">
      <w:r w:rsidRPr="003E71FF">
        <w:t xml:space="preserve">If you have any questions, please feel free to contact me. </w:t>
      </w:r>
    </w:p>
    <w:p w:rsidR="004B12D4" w:rsidRPr="003E71FF" w:rsidRDefault="004B12D4" w:rsidP="004B12D4"/>
    <w:p w:rsidR="004B12D4" w:rsidRPr="003E71FF" w:rsidRDefault="004B12D4" w:rsidP="004B12D4">
      <w:r w:rsidRPr="003E71FF">
        <w:t>Sincerely,</w:t>
      </w:r>
    </w:p>
    <w:p w:rsidR="004B12D4" w:rsidRPr="003E71FF" w:rsidRDefault="004B12D4" w:rsidP="004B12D4">
      <w:pPr>
        <w:rPr>
          <w:strike/>
        </w:rPr>
      </w:pPr>
    </w:p>
    <w:p w:rsidR="004B12D4" w:rsidRPr="003E71FF" w:rsidRDefault="004B12D4" w:rsidP="004B12D4">
      <w:pPr>
        <w:rPr>
          <w:strike/>
        </w:rPr>
      </w:pPr>
    </w:p>
    <w:p w:rsidR="0034620C" w:rsidRPr="003E71FF" w:rsidRDefault="0034620C" w:rsidP="004B12D4"/>
    <w:p w:rsidR="004B12D4" w:rsidRPr="003E71FF" w:rsidRDefault="004B12D4" w:rsidP="004B12D4">
      <w:r w:rsidRPr="003E71FF">
        <w:t>Mitchell D. Chester, Ed.D.</w:t>
      </w:r>
    </w:p>
    <w:p w:rsidR="004B12D4" w:rsidRPr="003E71FF" w:rsidRDefault="004B12D4" w:rsidP="004B12D4">
      <w:r w:rsidRPr="003E71FF">
        <w:t>Commissioner of Elementary and Secondary Education</w:t>
      </w:r>
    </w:p>
    <w:p w:rsidR="002C2113" w:rsidRPr="003E71FF" w:rsidRDefault="002C2113" w:rsidP="00FA0025">
      <w:pPr>
        <w:rPr>
          <w:sz w:val="20"/>
          <w:szCs w:val="20"/>
        </w:rPr>
      </w:pPr>
    </w:p>
    <w:p w:rsidR="002C2113" w:rsidRDefault="002C2113" w:rsidP="00FA0025">
      <w:pPr>
        <w:sectPr w:rsidR="002C2113" w:rsidSect="007102D5">
          <w:endnotePr>
            <w:numFmt w:val="decimal"/>
          </w:endnotePr>
          <w:type w:val="continuous"/>
          <w:pgSz w:w="12240" w:h="15840"/>
          <w:pgMar w:top="1440" w:right="1440" w:bottom="1440" w:left="1440" w:header="1440" w:footer="1440" w:gutter="0"/>
          <w:cols w:space="720"/>
          <w:noEndnote/>
          <w:docGrid w:linePitch="326"/>
        </w:sectPr>
      </w:pPr>
    </w:p>
    <w:p w:rsidR="003E71FF" w:rsidRDefault="003E71FF" w:rsidP="003E71FF">
      <w:pPr>
        <w:rPr>
          <w:rFonts w:asciiTheme="majorHAnsi" w:hAnsiTheme="majorHAnsi"/>
          <w:b/>
          <w:sz w:val="28"/>
          <w:szCs w:val="28"/>
        </w:rPr>
      </w:pPr>
      <w:bookmarkStart w:id="0" w:name="_Toc342312301"/>
      <w:r w:rsidRPr="00A908C6">
        <w:rPr>
          <w:rFonts w:asciiTheme="majorHAnsi" w:hAnsiTheme="majorHAnsi"/>
          <w:b/>
          <w:sz w:val="28"/>
          <w:szCs w:val="28"/>
        </w:rPr>
        <w:t>Table of Contents</w:t>
      </w:r>
    </w:p>
    <w:p w:rsidR="00FA0972" w:rsidRDefault="00FA0972" w:rsidP="003E71FF">
      <w:pPr>
        <w:rPr>
          <w:rFonts w:asciiTheme="majorHAnsi" w:hAnsiTheme="majorHAnsi"/>
          <w:b/>
          <w:sz w:val="28"/>
          <w:szCs w:val="28"/>
        </w:rPr>
      </w:pPr>
    </w:p>
    <w:tbl>
      <w:tblPr>
        <w:tblStyle w:val="TableGrid"/>
        <w:tblW w:w="10170" w:type="dxa"/>
        <w:tblInd w:w="108" w:type="dxa"/>
        <w:tblLayout w:type="fixed"/>
        <w:tblLook w:val="04A0"/>
      </w:tblPr>
      <w:tblGrid>
        <w:gridCol w:w="720"/>
        <w:gridCol w:w="8778"/>
        <w:gridCol w:w="672"/>
      </w:tblGrid>
      <w:tr w:rsidR="003E71FF" w:rsidTr="00FA0972">
        <w:trPr>
          <w:trHeight w:val="350"/>
        </w:trPr>
        <w:tc>
          <w:tcPr>
            <w:tcW w:w="720" w:type="dxa"/>
            <w:vMerge w:val="restart"/>
          </w:tcPr>
          <w:tbl>
            <w:tblPr>
              <w:tblStyle w:val="LightShading"/>
              <w:tblW w:w="2160" w:type="dxa"/>
              <w:tblLayout w:type="fixed"/>
              <w:tblLook w:val="04A0"/>
            </w:tblPr>
            <w:tblGrid>
              <w:gridCol w:w="432"/>
              <w:gridCol w:w="432"/>
              <w:gridCol w:w="432"/>
              <w:gridCol w:w="432"/>
              <w:gridCol w:w="432"/>
            </w:tblGrid>
            <w:tr w:rsidR="003E71FF" w:rsidRPr="001A7297" w:rsidTr="003801FC">
              <w:trPr>
                <w:cnfStyle w:val="100000000000"/>
                <w:trHeight w:val="340"/>
              </w:trPr>
              <w:tc>
                <w:tcPr>
                  <w:cnfStyle w:val="001000000000"/>
                  <w:tcW w:w="432" w:type="dxa"/>
                  <w:tcBorders>
                    <w:bottom w:val="single" w:sz="4" w:space="0" w:color="auto"/>
                  </w:tcBorders>
                </w:tcPr>
                <w:p w:rsidR="003E71FF" w:rsidRPr="001A7297" w:rsidRDefault="003E71FF" w:rsidP="00FA0972">
                  <w:r w:rsidRPr="001A7297">
                    <w:t>I.</w:t>
                  </w:r>
                </w:p>
              </w:tc>
              <w:tc>
                <w:tcPr>
                  <w:tcW w:w="432" w:type="dxa"/>
                </w:tcPr>
                <w:p w:rsidR="003E71FF" w:rsidRPr="001A7297" w:rsidRDefault="003E71FF" w:rsidP="00FA0972">
                  <w:pPr>
                    <w:cnfStyle w:val="100000000000"/>
                  </w:pPr>
                </w:p>
              </w:tc>
              <w:tc>
                <w:tcPr>
                  <w:tcW w:w="432" w:type="dxa"/>
                </w:tcPr>
                <w:p w:rsidR="003E71FF" w:rsidRPr="001A7297" w:rsidRDefault="003E71FF" w:rsidP="00FA0972">
                  <w:pPr>
                    <w:cnfStyle w:val="100000000000"/>
                  </w:pPr>
                </w:p>
              </w:tc>
              <w:tc>
                <w:tcPr>
                  <w:tcW w:w="432" w:type="dxa"/>
                </w:tcPr>
                <w:p w:rsidR="003E71FF" w:rsidRPr="001A7297" w:rsidRDefault="003E71FF" w:rsidP="00FA0972">
                  <w:pPr>
                    <w:cnfStyle w:val="100000000000"/>
                  </w:pPr>
                </w:p>
              </w:tc>
              <w:tc>
                <w:tcPr>
                  <w:tcW w:w="432" w:type="dxa"/>
                </w:tcPr>
                <w:p w:rsidR="003E71FF" w:rsidRPr="001A7297" w:rsidRDefault="003E71FF" w:rsidP="00FA0972">
                  <w:pPr>
                    <w:cnfStyle w:val="100000000000"/>
                  </w:pPr>
                </w:p>
              </w:tc>
            </w:tr>
          </w:tbl>
          <w:p w:rsidR="003E71FF" w:rsidRPr="001A7297" w:rsidRDefault="003E71FF" w:rsidP="00FA0972">
            <w:pPr>
              <w:rPr>
                <w:b/>
              </w:rPr>
            </w:pPr>
            <w:r w:rsidRPr="001A7297">
              <w:rPr>
                <w:b/>
              </w:rPr>
              <w:t>II.</w:t>
            </w:r>
          </w:p>
        </w:tc>
        <w:tc>
          <w:tcPr>
            <w:tcW w:w="8778" w:type="dxa"/>
          </w:tcPr>
          <w:p w:rsidR="003E71FF" w:rsidRDefault="003E71FF" w:rsidP="00FA0972">
            <w:r>
              <w:rPr>
                <w:rFonts w:ascii="Arial" w:hAnsi="Arial" w:cs="Arial"/>
                <w:b/>
              </w:rPr>
              <w:t>Introduction</w:t>
            </w:r>
          </w:p>
        </w:tc>
        <w:tc>
          <w:tcPr>
            <w:tcW w:w="672" w:type="dxa"/>
          </w:tcPr>
          <w:p w:rsidR="003E71FF" w:rsidRDefault="003E71FF" w:rsidP="00FA0972">
            <w:r>
              <w:t>1</w:t>
            </w:r>
          </w:p>
        </w:tc>
      </w:tr>
      <w:tr w:rsidR="003E71FF" w:rsidRPr="00ED2106" w:rsidTr="00FA0972">
        <w:tc>
          <w:tcPr>
            <w:tcW w:w="720" w:type="dxa"/>
            <w:vMerge/>
          </w:tcPr>
          <w:p w:rsidR="003E71FF" w:rsidRPr="00ED2106" w:rsidRDefault="003E71FF" w:rsidP="00FA0972">
            <w:pPr>
              <w:rPr>
                <w:rFonts w:ascii="Arial" w:hAnsi="Arial" w:cs="Arial"/>
                <w:b/>
                <w:sz w:val="20"/>
                <w:szCs w:val="20"/>
              </w:rPr>
            </w:pPr>
          </w:p>
        </w:tc>
        <w:tc>
          <w:tcPr>
            <w:tcW w:w="8778" w:type="dxa"/>
          </w:tcPr>
          <w:p w:rsidR="003E71FF" w:rsidRPr="00ED2106" w:rsidRDefault="003E71FF" w:rsidP="00FA0972">
            <w:pPr>
              <w:rPr>
                <w:rFonts w:ascii="Arial" w:hAnsi="Arial" w:cs="Arial"/>
                <w:b/>
                <w:sz w:val="20"/>
                <w:szCs w:val="20"/>
              </w:rPr>
            </w:pPr>
            <w:r w:rsidRPr="00ED2106">
              <w:rPr>
                <w:rFonts w:ascii="Arial" w:hAnsi="Arial" w:cs="Arial"/>
                <w:b/>
                <w:sz w:val="20"/>
                <w:szCs w:val="20"/>
              </w:rPr>
              <w:t>Enrollment Data</w:t>
            </w:r>
          </w:p>
          <w:p w:rsidR="003E71FF" w:rsidRPr="00ED2106" w:rsidRDefault="003E71FF" w:rsidP="003801FC">
            <w:pPr>
              <w:pStyle w:val="ListParagraph"/>
              <w:numPr>
                <w:ilvl w:val="1"/>
                <w:numId w:val="26"/>
              </w:numPr>
              <w:rPr>
                <w:rFonts w:ascii="Arial" w:hAnsi="Arial" w:cs="Arial"/>
                <w:sz w:val="20"/>
                <w:szCs w:val="20"/>
              </w:rPr>
            </w:pPr>
            <w:r w:rsidRPr="00ED2106">
              <w:rPr>
                <w:rFonts w:ascii="Arial" w:hAnsi="Arial" w:cs="Arial"/>
                <w:sz w:val="20"/>
                <w:szCs w:val="20"/>
              </w:rPr>
              <w:t>Longitudinal Enrollment</w:t>
            </w:r>
          </w:p>
          <w:p w:rsidR="003E71FF" w:rsidRPr="00ED2106" w:rsidRDefault="003E71FF" w:rsidP="003801FC">
            <w:pPr>
              <w:ind w:left="1080"/>
              <w:rPr>
                <w:rFonts w:ascii="Arial" w:hAnsi="Arial" w:cs="Arial"/>
                <w:sz w:val="20"/>
                <w:szCs w:val="20"/>
              </w:rPr>
            </w:pPr>
          </w:p>
          <w:p w:rsidR="003E71FF" w:rsidRPr="00ED2106" w:rsidRDefault="003E71FF" w:rsidP="003801FC">
            <w:pPr>
              <w:pStyle w:val="ListParagraph"/>
              <w:numPr>
                <w:ilvl w:val="1"/>
                <w:numId w:val="26"/>
              </w:numPr>
              <w:rPr>
                <w:rFonts w:ascii="Arial" w:hAnsi="Arial" w:cs="Arial"/>
                <w:sz w:val="20"/>
                <w:szCs w:val="20"/>
              </w:rPr>
            </w:pPr>
            <w:r w:rsidRPr="00ED2106">
              <w:rPr>
                <w:rFonts w:ascii="Arial" w:hAnsi="Arial" w:cs="Arial"/>
                <w:sz w:val="20"/>
                <w:szCs w:val="20"/>
              </w:rPr>
              <w:t>Percentage of Students with Disabilities Who Receive Services by Educational Environment</w:t>
            </w:r>
          </w:p>
          <w:p w:rsidR="003E71FF" w:rsidRPr="00ED2106" w:rsidRDefault="003E71FF" w:rsidP="003801FC">
            <w:pPr>
              <w:pStyle w:val="ListParagraph"/>
              <w:rPr>
                <w:rFonts w:ascii="Arial" w:hAnsi="Arial" w:cs="Arial"/>
                <w:sz w:val="20"/>
                <w:szCs w:val="20"/>
              </w:rPr>
            </w:pPr>
          </w:p>
          <w:p w:rsidR="003E71FF" w:rsidRPr="00ED2106" w:rsidRDefault="003E71FF" w:rsidP="003801FC">
            <w:pPr>
              <w:pStyle w:val="ListParagraph"/>
              <w:numPr>
                <w:ilvl w:val="1"/>
                <w:numId w:val="26"/>
              </w:numPr>
              <w:rPr>
                <w:rFonts w:ascii="Arial" w:hAnsi="Arial" w:cs="Arial"/>
                <w:sz w:val="20"/>
                <w:szCs w:val="20"/>
              </w:rPr>
            </w:pPr>
            <w:r w:rsidRPr="00ED2106">
              <w:rPr>
                <w:rFonts w:ascii="Arial" w:hAnsi="Arial" w:cs="Arial"/>
                <w:sz w:val="20"/>
                <w:szCs w:val="20"/>
              </w:rPr>
              <w:t>Percentage of Students with Disabilities by Other Special Population Status</w:t>
            </w:r>
          </w:p>
          <w:p w:rsidR="003E71FF" w:rsidRPr="00ED2106" w:rsidRDefault="003E71FF" w:rsidP="003801FC">
            <w:pPr>
              <w:pStyle w:val="ListParagraph"/>
              <w:rPr>
                <w:rFonts w:ascii="Arial" w:hAnsi="Arial" w:cs="Arial"/>
                <w:sz w:val="20"/>
                <w:szCs w:val="20"/>
              </w:rPr>
            </w:pPr>
          </w:p>
          <w:p w:rsidR="003E71FF" w:rsidRPr="00ED2106" w:rsidRDefault="003E71FF" w:rsidP="003801FC">
            <w:pPr>
              <w:pStyle w:val="ListParagraph"/>
              <w:numPr>
                <w:ilvl w:val="1"/>
                <w:numId w:val="26"/>
              </w:numPr>
              <w:rPr>
                <w:rFonts w:ascii="Arial" w:hAnsi="Arial" w:cs="Arial"/>
                <w:sz w:val="20"/>
                <w:szCs w:val="20"/>
              </w:rPr>
            </w:pPr>
            <w:r w:rsidRPr="00ED2106">
              <w:rPr>
                <w:rFonts w:ascii="Arial" w:hAnsi="Arial" w:cs="Arial"/>
                <w:sz w:val="20"/>
                <w:szCs w:val="20"/>
              </w:rPr>
              <w:t>Student Identification by Disability Category</w:t>
            </w:r>
          </w:p>
        </w:tc>
        <w:tc>
          <w:tcPr>
            <w:tcW w:w="672" w:type="dxa"/>
          </w:tcPr>
          <w:p w:rsidR="003E71FF" w:rsidRPr="00ED2106" w:rsidRDefault="00627C64" w:rsidP="00FA0972">
            <w:pPr>
              <w:rPr>
                <w:rFonts w:ascii="Arial" w:hAnsi="Arial" w:cs="Arial"/>
                <w:sz w:val="20"/>
                <w:szCs w:val="20"/>
              </w:rPr>
            </w:pPr>
            <w:r>
              <w:rPr>
                <w:rFonts w:ascii="Arial" w:hAnsi="Arial" w:cs="Arial"/>
                <w:sz w:val="20"/>
                <w:szCs w:val="20"/>
              </w:rPr>
              <w:t>2</w:t>
            </w:r>
          </w:p>
          <w:p w:rsidR="003E71FF" w:rsidRPr="00ED2106" w:rsidRDefault="003E71FF" w:rsidP="00FA0972">
            <w:pPr>
              <w:rPr>
                <w:rFonts w:ascii="Arial" w:hAnsi="Arial" w:cs="Arial"/>
                <w:sz w:val="20"/>
                <w:szCs w:val="20"/>
              </w:rPr>
            </w:pPr>
          </w:p>
          <w:p w:rsidR="003E71FF" w:rsidRPr="00ED2106" w:rsidRDefault="003E71FF" w:rsidP="00FA0972">
            <w:pPr>
              <w:rPr>
                <w:rFonts w:ascii="Arial" w:hAnsi="Arial" w:cs="Arial"/>
                <w:sz w:val="20"/>
                <w:szCs w:val="20"/>
              </w:rPr>
            </w:pPr>
          </w:p>
          <w:p w:rsidR="003E71FF" w:rsidRPr="00ED2106" w:rsidRDefault="003E71FF" w:rsidP="00FA0972">
            <w:pPr>
              <w:rPr>
                <w:rFonts w:ascii="Arial" w:hAnsi="Arial" w:cs="Arial"/>
                <w:sz w:val="20"/>
                <w:szCs w:val="20"/>
              </w:rPr>
            </w:pPr>
          </w:p>
          <w:p w:rsidR="003E71FF" w:rsidRPr="00ED2106" w:rsidRDefault="00627C64" w:rsidP="00FA0972">
            <w:pPr>
              <w:rPr>
                <w:rFonts w:ascii="Arial" w:hAnsi="Arial" w:cs="Arial"/>
                <w:sz w:val="20"/>
                <w:szCs w:val="20"/>
              </w:rPr>
            </w:pPr>
            <w:r>
              <w:rPr>
                <w:rFonts w:ascii="Arial" w:hAnsi="Arial" w:cs="Arial"/>
                <w:sz w:val="20"/>
                <w:szCs w:val="20"/>
              </w:rPr>
              <w:t>3</w:t>
            </w:r>
          </w:p>
          <w:p w:rsidR="003E71FF" w:rsidRPr="00ED2106" w:rsidRDefault="003E71FF" w:rsidP="00FA0972">
            <w:pPr>
              <w:rPr>
                <w:rFonts w:ascii="Arial" w:hAnsi="Arial" w:cs="Arial"/>
                <w:sz w:val="20"/>
                <w:szCs w:val="20"/>
              </w:rPr>
            </w:pPr>
          </w:p>
          <w:p w:rsidR="003E71FF" w:rsidRPr="00ED2106" w:rsidRDefault="00627C64" w:rsidP="00FA0972">
            <w:pPr>
              <w:rPr>
                <w:rFonts w:ascii="Arial" w:hAnsi="Arial" w:cs="Arial"/>
                <w:sz w:val="20"/>
                <w:szCs w:val="20"/>
              </w:rPr>
            </w:pPr>
            <w:r>
              <w:rPr>
                <w:rFonts w:ascii="Arial" w:hAnsi="Arial" w:cs="Arial"/>
                <w:sz w:val="20"/>
                <w:szCs w:val="20"/>
              </w:rPr>
              <w:t>3</w:t>
            </w:r>
          </w:p>
          <w:p w:rsidR="003E71FF" w:rsidRPr="00ED2106" w:rsidRDefault="003E71FF" w:rsidP="00FA0972">
            <w:pPr>
              <w:rPr>
                <w:rFonts w:ascii="Arial" w:hAnsi="Arial" w:cs="Arial"/>
                <w:sz w:val="20"/>
                <w:szCs w:val="20"/>
              </w:rPr>
            </w:pPr>
          </w:p>
          <w:p w:rsidR="003E71FF" w:rsidRPr="00ED2106" w:rsidRDefault="00627C64" w:rsidP="00FA0972">
            <w:pPr>
              <w:rPr>
                <w:rFonts w:ascii="Arial" w:hAnsi="Arial" w:cs="Arial"/>
                <w:sz w:val="20"/>
                <w:szCs w:val="20"/>
              </w:rPr>
            </w:pPr>
            <w:r>
              <w:rPr>
                <w:rFonts w:ascii="Arial" w:hAnsi="Arial" w:cs="Arial"/>
                <w:sz w:val="20"/>
                <w:szCs w:val="20"/>
              </w:rPr>
              <w:t>4</w:t>
            </w:r>
          </w:p>
          <w:p w:rsidR="003E71FF" w:rsidRPr="00ED2106" w:rsidRDefault="003E71FF" w:rsidP="00FA0972">
            <w:pPr>
              <w:rPr>
                <w:rFonts w:ascii="Arial" w:hAnsi="Arial" w:cs="Arial"/>
                <w:sz w:val="20"/>
                <w:szCs w:val="20"/>
              </w:rPr>
            </w:pPr>
          </w:p>
          <w:p w:rsidR="003E71FF" w:rsidRPr="00ED2106" w:rsidRDefault="003E71FF" w:rsidP="003801FC">
            <w:pPr>
              <w:rPr>
                <w:rFonts w:ascii="Arial" w:hAnsi="Arial" w:cs="Arial"/>
                <w:sz w:val="20"/>
                <w:szCs w:val="20"/>
              </w:rPr>
            </w:pPr>
          </w:p>
        </w:tc>
      </w:tr>
      <w:tr w:rsidR="003E71FF" w:rsidRPr="00ED2106" w:rsidTr="00FA0972">
        <w:tc>
          <w:tcPr>
            <w:tcW w:w="720" w:type="dxa"/>
          </w:tcPr>
          <w:p w:rsidR="003E71FF" w:rsidRPr="00ED2106" w:rsidRDefault="003E71FF" w:rsidP="00FA0972">
            <w:pPr>
              <w:rPr>
                <w:rFonts w:ascii="Arial" w:hAnsi="Arial" w:cs="Arial"/>
                <w:b/>
                <w:sz w:val="20"/>
                <w:szCs w:val="20"/>
              </w:rPr>
            </w:pPr>
            <w:r w:rsidRPr="00ED2106">
              <w:rPr>
                <w:rFonts w:ascii="Arial" w:hAnsi="Arial" w:cs="Arial"/>
                <w:b/>
                <w:sz w:val="20"/>
                <w:szCs w:val="20"/>
              </w:rPr>
              <w:t>III.</w:t>
            </w:r>
          </w:p>
        </w:tc>
        <w:tc>
          <w:tcPr>
            <w:tcW w:w="8778" w:type="dxa"/>
          </w:tcPr>
          <w:p w:rsidR="003E71FF" w:rsidRPr="00ED2106" w:rsidRDefault="003E71FF" w:rsidP="00FA0972">
            <w:pPr>
              <w:spacing w:after="200" w:line="360" w:lineRule="auto"/>
              <w:rPr>
                <w:rFonts w:ascii="Arial" w:hAnsi="Arial" w:cs="Arial"/>
                <w:b/>
                <w:sz w:val="20"/>
                <w:szCs w:val="20"/>
              </w:rPr>
            </w:pPr>
            <w:r w:rsidRPr="00ED2106">
              <w:rPr>
                <w:rFonts w:ascii="Arial" w:hAnsi="Arial" w:cs="Arial"/>
                <w:b/>
                <w:sz w:val="20"/>
                <w:szCs w:val="20"/>
              </w:rPr>
              <w:t>Assessment</w:t>
            </w:r>
          </w:p>
          <w:p w:rsidR="003E71FF" w:rsidRPr="00ED2106" w:rsidRDefault="003E71FF" w:rsidP="003E71FF">
            <w:pPr>
              <w:pStyle w:val="ListParagraph"/>
              <w:numPr>
                <w:ilvl w:val="1"/>
                <w:numId w:val="21"/>
              </w:numPr>
              <w:spacing w:after="200"/>
              <w:rPr>
                <w:rFonts w:ascii="Arial" w:hAnsi="Arial" w:cs="Arial"/>
                <w:sz w:val="20"/>
                <w:szCs w:val="20"/>
              </w:rPr>
            </w:pPr>
            <w:r w:rsidRPr="00ED2106">
              <w:rPr>
                <w:rFonts w:ascii="Arial" w:hAnsi="Arial" w:cs="Arial"/>
                <w:sz w:val="20"/>
                <w:szCs w:val="20"/>
              </w:rPr>
              <w:t>Massachusetts Comprehensive Assessment Systems (MCAS)</w:t>
            </w:r>
          </w:p>
          <w:p w:rsidR="003E71FF" w:rsidRPr="00ED2106" w:rsidRDefault="003801FC" w:rsidP="003E71FF">
            <w:pPr>
              <w:pStyle w:val="ListParagraph"/>
              <w:numPr>
                <w:ilvl w:val="2"/>
                <w:numId w:val="21"/>
              </w:numPr>
              <w:spacing w:after="200"/>
              <w:rPr>
                <w:rFonts w:ascii="Arial" w:hAnsi="Arial" w:cs="Arial"/>
                <w:sz w:val="20"/>
                <w:szCs w:val="20"/>
              </w:rPr>
            </w:pPr>
            <w:r>
              <w:rPr>
                <w:rFonts w:ascii="Arial" w:hAnsi="Arial" w:cs="Arial"/>
                <w:sz w:val="20"/>
                <w:szCs w:val="20"/>
              </w:rPr>
              <w:t xml:space="preserve">  </w:t>
            </w:r>
            <w:r w:rsidR="003E71FF" w:rsidRPr="00ED2106">
              <w:rPr>
                <w:rFonts w:ascii="Arial" w:hAnsi="Arial" w:cs="Arial"/>
                <w:sz w:val="20"/>
                <w:szCs w:val="20"/>
              </w:rPr>
              <w:t>Performance of Students with Disabilities</w:t>
            </w:r>
          </w:p>
          <w:p w:rsidR="003E71FF" w:rsidRDefault="003801FC" w:rsidP="003E71FF">
            <w:pPr>
              <w:pStyle w:val="ListParagraph"/>
              <w:numPr>
                <w:ilvl w:val="2"/>
                <w:numId w:val="21"/>
              </w:numPr>
              <w:rPr>
                <w:rFonts w:ascii="Arial" w:hAnsi="Arial" w:cs="Arial"/>
                <w:sz w:val="20"/>
                <w:szCs w:val="20"/>
              </w:rPr>
            </w:pPr>
            <w:r>
              <w:rPr>
                <w:rFonts w:ascii="Arial" w:hAnsi="Arial" w:cs="Arial"/>
                <w:sz w:val="20"/>
                <w:szCs w:val="20"/>
              </w:rPr>
              <w:t xml:space="preserve">  </w:t>
            </w:r>
            <w:r w:rsidR="003E71FF" w:rsidRPr="00ED2106">
              <w:rPr>
                <w:rFonts w:ascii="Arial" w:hAnsi="Arial" w:cs="Arial"/>
                <w:sz w:val="20"/>
                <w:szCs w:val="20"/>
              </w:rPr>
              <w:t>Performance Gap</w:t>
            </w:r>
          </w:p>
          <w:p w:rsidR="003801FC" w:rsidRPr="00ED2106" w:rsidRDefault="003801FC" w:rsidP="003801FC">
            <w:pPr>
              <w:pStyle w:val="ListParagraph"/>
              <w:ind w:left="2160"/>
              <w:rPr>
                <w:rFonts w:ascii="Arial" w:hAnsi="Arial" w:cs="Arial"/>
                <w:sz w:val="20"/>
                <w:szCs w:val="20"/>
              </w:rPr>
            </w:pPr>
          </w:p>
        </w:tc>
        <w:tc>
          <w:tcPr>
            <w:tcW w:w="672" w:type="dxa"/>
          </w:tcPr>
          <w:p w:rsidR="003E71FF" w:rsidRPr="00ED2106" w:rsidRDefault="00627C64" w:rsidP="00FA0972">
            <w:pPr>
              <w:rPr>
                <w:rFonts w:ascii="Arial" w:hAnsi="Arial" w:cs="Arial"/>
                <w:sz w:val="20"/>
                <w:szCs w:val="20"/>
              </w:rPr>
            </w:pPr>
            <w:r>
              <w:rPr>
                <w:rFonts w:ascii="Arial" w:hAnsi="Arial" w:cs="Arial"/>
                <w:sz w:val="20"/>
                <w:szCs w:val="20"/>
              </w:rPr>
              <w:t>5</w:t>
            </w:r>
          </w:p>
          <w:p w:rsidR="003E71FF" w:rsidRPr="00ED2106" w:rsidRDefault="003E71FF" w:rsidP="00FA0972">
            <w:pPr>
              <w:rPr>
                <w:rFonts w:ascii="Arial" w:hAnsi="Arial" w:cs="Arial"/>
                <w:sz w:val="20"/>
                <w:szCs w:val="20"/>
              </w:rPr>
            </w:pPr>
          </w:p>
          <w:p w:rsidR="003E71FF" w:rsidRPr="00ED2106" w:rsidRDefault="00627C64" w:rsidP="00FA0972">
            <w:pPr>
              <w:rPr>
                <w:rFonts w:ascii="Arial" w:hAnsi="Arial" w:cs="Arial"/>
                <w:sz w:val="20"/>
                <w:szCs w:val="20"/>
              </w:rPr>
            </w:pPr>
            <w:r>
              <w:rPr>
                <w:rFonts w:ascii="Arial" w:hAnsi="Arial" w:cs="Arial"/>
                <w:sz w:val="20"/>
                <w:szCs w:val="20"/>
              </w:rPr>
              <w:t>5</w:t>
            </w:r>
          </w:p>
          <w:p w:rsidR="003E71FF" w:rsidRPr="00ED2106" w:rsidRDefault="00627C64" w:rsidP="00FA0972">
            <w:pPr>
              <w:rPr>
                <w:rFonts w:ascii="Arial" w:hAnsi="Arial" w:cs="Arial"/>
                <w:sz w:val="20"/>
                <w:szCs w:val="20"/>
              </w:rPr>
            </w:pPr>
            <w:r>
              <w:rPr>
                <w:rFonts w:ascii="Arial" w:hAnsi="Arial" w:cs="Arial"/>
                <w:sz w:val="20"/>
                <w:szCs w:val="20"/>
              </w:rPr>
              <w:t>5</w:t>
            </w:r>
          </w:p>
          <w:p w:rsidR="003E71FF" w:rsidRPr="00ED2106" w:rsidRDefault="00627C64" w:rsidP="00FA0972">
            <w:pPr>
              <w:rPr>
                <w:rFonts w:ascii="Arial" w:hAnsi="Arial" w:cs="Arial"/>
                <w:sz w:val="20"/>
                <w:szCs w:val="20"/>
              </w:rPr>
            </w:pPr>
            <w:r>
              <w:rPr>
                <w:rFonts w:ascii="Arial" w:hAnsi="Arial" w:cs="Arial"/>
                <w:sz w:val="20"/>
                <w:szCs w:val="20"/>
              </w:rPr>
              <w:t>6</w:t>
            </w:r>
          </w:p>
        </w:tc>
      </w:tr>
      <w:tr w:rsidR="003E71FF" w:rsidRPr="00ED2106" w:rsidTr="00FA0972">
        <w:tc>
          <w:tcPr>
            <w:tcW w:w="720" w:type="dxa"/>
          </w:tcPr>
          <w:p w:rsidR="003E71FF" w:rsidRPr="00ED2106" w:rsidRDefault="003E71FF" w:rsidP="00FA0972">
            <w:pPr>
              <w:rPr>
                <w:rFonts w:ascii="Arial" w:hAnsi="Arial" w:cs="Arial"/>
                <w:b/>
                <w:sz w:val="20"/>
                <w:szCs w:val="20"/>
              </w:rPr>
            </w:pPr>
            <w:r w:rsidRPr="00ED2106">
              <w:rPr>
                <w:rFonts w:ascii="Arial" w:hAnsi="Arial" w:cs="Arial"/>
                <w:b/>
                <w:sz w:val="20"/>
                <w:szCs w:val="20"/>
              </w:rPr>
              <w:t>IV.</w:t>
            </w:r>
          </w:p>
        </w:tc>
        <w:tc>
          <w:tcPr>
            <w:tcW w:w="8778" w:type="dxa"/>
          </w:tcPr>
          <w:p w:rsidR="003E71FF" w:rsidRPr="00ED2106" w:rsidRDefault="003E71FF" w:rsidP="00FA0972">
            <w:pPr>
              <w:spacing w:after="200" w:line="360" w:lineRule="auto"/>
              <w:rPr>
                <w:rFonts w:ascii="Arial" w:hAnsi="Arial" w:cs="Arial"/>
                <w:b/>
                <w:sz w:val="20"/>
                <w:szCs w:val="20"/>
              </w:rPr>
            </w:pPr>
            <w:r w:rsidRPr="00ED2106">
              <w:rPr>
                <w:rFonts w:ascii="Arial" w:hAnsi="Arial" w:cs="Arial"/>
                <w:b/>
                <w:sz w:val="20"/>
                <w:szCs w:val="20"/>
              </w:rPr>
              <w:t>Improvement Activities</w:t>
            </w:r>
          </w:p>
          <w:p w:rsidR="003E71FF" w:rsidRPr="00ED2106" w:rsidRDefault="003E71FF" w:rsidP="003E71FF">
            <w:pPr>
              <w:pStyle w:val="ListParagraph"/>
              <w:numPr>
                <w:ilvl w:val="1"/>
                <w:numId w:val="21"/>
              </w:numPr>
              <w:spacing w:after="200" w:line="360" w:lineRule="auto"/>
              <w:rPr>
                <w:rFonts w:ascii="Arial" w:hAnsi="Arial" w:cs="Arial"/>
                <w:sz w:val="20"/>
                <w:szCs w:val="20"/>
              </w:rPr>
            </w:pPr>
            <w:r w:rsidRPr="00ED2106">
              <w:rPr>
                <w:rFonts w:ascii="Arial" w:hAnsi="Arial" w:cs="Arial"/>
                <w:sz w:val="20"/>
                <w:szCs w:val="20"/>
              </w:rPr>
              <w:t>Office of Tiered System of Supports</w:t>
            </w:r>
          </w:p>
        </w:tc>
        <w:tc>
          <w:tcPr>
            <w:tcW w:w="672" w:type="dxa"/>
          </w:tcPr>
          <w:p w:rsidR="003E71FF" w:rsidRPr="00ED2106" w:rsidRDefault="00627C64" w:rsidP="00FA0972">
            <w:pPr>
              <w:rPr>
                <w:rFonts w:ascii="Arial" w:hAnsi="Arial" w:cs="Arial"/>
                <w:sz w:val="20"/>
                <w:szCs w:val="20"/>
              </w:rPr>
            </w:pPr>
            <w:r>
              <w:rPr>
                <w:rFonts w:ascii="Arial" w:hAnsi="Arial" w:cs="Arial"/>
                <w:sz w:val="20"/>
                <w:szCs w:val="20"/>
              </w:rPr>
              <w:t>6</w:t>
            </w:r>
          </w:p>
          <w:p w:rsidR="003E71FF" w:rsidRPr="00ED2106" w:rsidRDefault="003E71FF" w:rsidP="00FA0972">
            <w:pPr>
              <w:rPr>
                <w:rFonts w:ascii="Arial" w:hAnsi="Arial" w:cs="Arial"/>
                <w:sz w:val="20"/>
                <w:szCs w:val="20"/>
              </w:rPr>
            </w:pPr>
          </w:p>
          <w:p w:rsidR="003E71FF" w:rsidRPr="00ED2106" w:rsidRDefault="00627C64" w:rsidP="00FA0972">
            <w:pPr>
              <w:rPr>
                <w:rFonts w:ascii="Arial" w:hAnsi="Arial" w:cs="Arial"/>
                <w:sz w:val="20"/>
                <w:szCs w:val="20"/>
              </w:rPr>
            </w:pPr>
            <w:r>
              <w:rPr>
                <w:rFonts w:ascii="Arial" w:hAnsi="Arial" w:cs="Arial"/>
                <w:sz w:val="20"/>
                <w:szCs w:val="20"/>
              </w:rPr>
              <w:t>6</w:t>
            </w:r>
          </w:p>
          <w:p w:rsidR="003E71FF" w:rsidRPr="00ED2106" w:rsidRDefault="003E71FF" w:rsidP="00FA0972">
            <w:pPr>
              <w:rPr>
                <w:rFonts w:ascii="Arial" w:hAnsi="Arial" w:cs="Arial"/>
                <w:sz w:val="20"/>
                <w:szCs w:val="20"/>
              </w:rPr>
            </w:pPr>
          </w:p>
        </w:tc>
      </w:tr>
      <w:tr w:rsidR="003E71FF" w:rsidRPr="00ED2106" w:rsidTr="00FA0972">
        <w:tc>
          <w:tcPr>
            <w:tcW w:w="720" w:type="dxa"/>
          </w:tcPr>
          <w:p w:rsidR="003E71FF" w:rsidRPr="00ED2106" w:rsidRDefault="003E71FF" w:rsidP="00FA0972">
            <w:pPr>
              <w:rPr>
                <w:rFonts w:ascii="Arial" w:hAnsi="Arial" w:cs="Arial"/>
                <w:b/>
                <w:sz w:val="20"/>
                <w:szCs w:val="20"/>
              </w:rPr>
            </w:pPr>
            <w:r w:rsidRPr="00ED2106">
              <w:rPr>
                <w:rFonts w:ascii="Arial" w:hAnsi="Arial" w:cs="Arial"/>
                <w:b/>
                <w:sz w:val="20"/>
                <w:szCs w:val="20"/>
              </w:rPr>
              <w:t>V.</w:t>
            </w:r>
          </w:p>
        </w:tc>
        <w:tc>
          <w:tcPr>
            <w:tcW w:w="8778" w:type="dxa"/>
          </w:tcPr>
          <w:p w:rsidR="003E71FF" w:rsidRPr="00ED2106" w:rsidRDefault="003E71FF" w:rsidP="00FA0972">
            <w:pPr>
              <w:spacing w:after="200" w:line="360" w:lineRule="auto"/>
              <w:rPr>
                <w:rFonts w:ascii="Arial" w:hAnsi="Arial" w:cs="Arial"/>
                <w:sz w:val="20"/>
                <w:szCs w:val="20"/>
              </w:rPr>
            </w:pPr>
            <w:r w:rsidRPr="00ED2106">
              <w:rPr>
                <w:rFonts w:ascii="Arial" w:hAnsi="Arial" w:cs="Arial"/>
                <w:b/>
                <w:sz w:val="20"/>
                <w:szCs w:val="20"/>
              </w:rPr>
              <w:t>Initiatives</w:t>
            </w:r>
          </w:p>
          <w:p w:rsidR="003E71FF" w:rsidRPr="00ED2106" w:rsidRDefault="003E71FF" w:rsidP="003E71FF">
            <w:pPr>
              <w:pStyle w:val="ListParagraph"/>
              <w:numPr>
                <w:ilvl w:val="1"/>
                <w:numId w:val="22"/>
              </w:numPr>
              <w:spacing w:after="200"/>
              <w:rPr>
                <w:rFonts w:ascii="Arial" w:hAnsi="Arial" w:cs="Arial"/>
                <w:sz w:val="20"/>
                <w:szCs w:val="20"/>
              </w:rPr>
            </w:pPr>
            <w:r w:rsidRPr="00ED2106">
              <w:rPr>
                <w:rFonts w:ascii="Arial" w:hAnsi="Arial" w:cs="Arial"/>
                <w:sz w:val="20"/>
                <w:szCs w:val="20"/>
              </w:rPr>
              <w:t>Review of Special Education in the Commonwealth of Massachusetts</w:t>
            </w:r>
          </w:p>
          <w:p w:rsidR="003E71FF" w:rsidRPr="00ED2106" w:rsidRDefault="003E71FF" w:rsidP="003E71FF">
            <w:pPr>
              <w:pStyle w:val="ListParagraph"/>
              <w:numPr>
                <w:ilvl w:val="1"/>
                <w:numId w:val="22"/>
              </w:numPr>
              <w:spacing w:after="200"/>
              <w:rPr>
                <w:rFonts w:ascii="Arial" w:hAnsi="Arial" w:cs="Arial"/>
                <w:sz w:val="20"/>
                <w:szCs w:val="20"/>
              </w:rPr>
            </w:pPr>
            <w:r w:rsidRPr="00ED2106">
              <w:rPr>
                <w:rFonts w:ascii="Arial" w:hAnsi="Arial" w:cs="Arial"/>
                <w:sz w:val="20"/>
                <w:szCs w:val="20"/>
              </w:rPr>
              <w:t>Massachusetts Meets Requirements Under IDEA</w:t>
            </w:r>
          </w:p>
          <w:p w:rsidR="003E71FF" w:rsidRPr="00ED2106" w:rsidRDefault="003E71FF" w:rsidP="003E71FF">
            <w:pPr>
              <w:pStyle w:val="ListParagraph"/>
              <w:numPr>
                <w:ilvl w:val="1"/>
                <w:numId w:val="22"/>
              </w:numPr>
              <w:spacing w:after="200"/>
              <w:rPr>
                <w:rFonts w:ascii="Arial" w:hAnsi="Arial" w:cs="Arial"/>
                <w:sz w:val="20"/>
                <w:szCs w:val="20"/>
              </w:rPr>
            </w:pPr>
            <w:r w:rsidRPr="00ED2106">
              <w:rPr>
                <w:rFonts w:ascii="Arial" w:hAnsi="Arial" w:cs="Arial"/>
                <w:sz w:val="20"/>
                <w:szCs w:val="20"/>
              </w:rPr>
              <w:t>Accountability, Determination Levels, and the No Child Left Behind Waiver</w:t>
            </w:r>
          </w:p>
          <w:p w:rsidR="003E71FF" w:rsidRPr="00ED2106" w:rsidRDefault="003E71FF" w:rsidP="003E71FF">
            <w:pPr>
              <w:pStyle w:val="ListParagraph"/>
              <w:numPr>
                <w:ilvl w:val="1"/>
                <w:numId w:val="22"/>
              </w:numPr>
              <w:spacing w:after="200"/>
              <w:rPr>
                <w:rFonts w:ascii="Arial" w:hAnsi="Arial" w:cs="Arial"/>
                <w:sz w:val="20"/>
                <w:szCs w:val="20"/>
              </w:rPr>
            </w:pPr>
            <w:r w:rsidRPr="00ED2106">
              <w:rPr>
                <w:rFonts w:ascii="Arial" w:hAnsi="Arial" w:cs="Arial"/>
                <w:sz w:val="20"/>
                <w:szCs w:val="20"/>
              </w:rPr>
              <w:t>Results Driven Accountability</w:t>
            </w:r>
          </w:p>
        </w:tc>
        <w:tc>
          <w:tcPr>
            <w:tcW w:w="672" w:type="dxa"/>
          </w:tcPr>
          <w:p w:rsidR="003E71FF" w:rsidRPr="00ED2106" w:rsidRDefault="00627C64" w:rsidP="00FA0972">
            <w:pPr>
              <w:rPr>
                <w:rFonts w:ascii="Arial" w:hAnsi="Arial" w:cs="Arial"/>
                <w:sz w:val="20"/>
                <w:szCs w:val="20"/>
              </w:rPr>
            </w:pPr>
            <w:r>
              <w:rPr>
                <w:rFonts w:ascii="Arial" w:hAnsi="Arial" w:cs="Arial"/>
                <w:sz w:val="20"/>
                <w:szCs w:val="20"/>
              </w:rPr>
              <w:t>7</w:t>
            </w:r>
          </w:p>
          <w:p w:rsidR="003E71FF" w:rsidRPr="00ED2106" w:rsidRDefault="003E71FF" w:rsidP="00FA0972">
            <w:pPr>
              <w:rPr>
                <w:rFonts w:ascii="Arial" w:hAnsi="Arial" w:cs="Arial"/>
                <w:sz w:val="20"/>
                <w:szCs w:val="20"/>
              </w:rPr>
            </w:pPr>
          </w:p>
          <w:p w:rsidR="003E71FF" w:rsidRPr="00ED2106" w:rsidRDefault="00627C64" w:rsidP="00FA0972">
            <w:pPr>
              <w:rPr>
                <w:rFonts w:ascii="Arial" w:hAnsi="Arial" w:cs="Arial"/>
                <w:sz w:val="20"/>
                <w:szCs w:val="20"/>
              </w:rPr>
            </w:pPr>
            <w:r>
              <w:rPr>
                <w:rFonts w:ascii="Arial" w:hAnsi="Arial" w:cs="Arial"/>
                <w:sz w:val="20"/>
                <w:szCs w:val="20"/>
              </w:rPr>
              <w:t>7</w:t>
            </w:r>
          </w:p>
          <w:p w:rsidR="003E71FF" w:rsidRPr="00ED2106" w:rsidRDefault="00627C64" w:rsidP="00FA0972">
            <w:pPr>
              <w:rPr>
                <w:rFonts w:ascii="Arial" w:hAnsi="Arial" w:cs="Arial"/>
                <w:sz w:val="20"/>
                <w:szCs w:val="20"/>
              </w:rPr>
            </w:pPr>
            <w:r>
              <w:rPr>
                <w:rFonts w:ascii="Arial" w:hAnsi="Arial" w:cs="Arial"/>
                <w:sz w:val="20"/>
                <w:szCs w:val="20"/>
              </w:rPr>
              <w:t>8</w:t>
            </w:r>
          </w:p>
          <w:p w:rsidR="003E71FF" w:rsidRPr="00ED2106" w:rsidRDefault="00627C64" w:rsidP="00FA0972">
            <w:pPr>
              <w:rPr>
                <w:rFonts w:ascii="Arial" w:hAnsi="Arial" w:cs="Arial"/>
                <w:sz w:val="20"/>
                <w:szCs w:val="20"/>
              </w:rPr>
            </w:pPr>
            <w:r>
              <w:rPr>
                <w:rFonts w:ascii="Arial" w:hAnsi="Arial" w:cs="Arial"/>
                <w:sz w:val="20"/>
                <w:szCs w:val="20"/>
              </w:rPr>
              <w:t>9</w:t>
            </w:r>
          </w:p>
          <w:p w:rsidR="003E71FF" w:rsidRPr="00ED2106" w:rsidRDefault="00627C64" w:rsidP="00FA0972">
            <w:pPr>
              <w:rPr>
                <w:rFonts w:ascii="Arial" w:hAnsi="Arial" w:cs="Arial"/>
                <w:sz w:val="20"/>
                <w:szCs w:val="20"/>
              </w:rPr>
            </w:pPr>
            <w:r>
              <w:rPr>
                <w:rFonts w:ascii="Arial" w:hAnsi="Arial" w:cs="Arial"/>
                <w:sz w:val="20"/>
                <w:szCs w:val="20"/>
              </w:rPr>
              <w:t>9</w:t>
            </w:r>
          </w:p>
        </w:tc>
      </w:tr>
      <w:tr w:rsidR="003E71FF" w:rsidRPr="00ED2106" w:rsidTr="00FA0972">
        <w:tc>
          <w:tcPr>
            <w:tcW w:w="720" w:type="dxa"/>
          </w:tcPr>
          <w:p w:rsidR="003E71FF" w:rsidRPr="00ED2106" w:rsidRDefault="003E71FF" w:rsidP="00FA0972">
            <w:pPr>
              <w:rPr>
                <w:rFonts w:ascii="Arial" w:hAnsi="Arial" w:cs="Arial"/>
                <w:b/>
                <w:sz w:val="20"/>
                <w:szCs w:val="20"/>
              </w:rPr>
            </w:pPr>
            <w:r w:rsidRPr="00ED2106">
              <w:rPr>
                <w:rFonts w:ascii="Arial" w:hAnsi="Arial" w:cs="Arial"/>
                <w:b/>
                <w:sz w:val="20"/>
                <w:szCs w:val="20"/>
              </w:rPr>
              <w:t>VI.</w:t>
            </w:r>
          </w:p>
        </w:tc>
        <w:tc>
          <w:tcPr>
            <w:tcW w:w="8778" w:type="dxa"/>
          </w:tcPr>
          <w:p w:rsidR="003E71FF" w:rsidRPr="00ED2106" w:rsidRDefault="003E71FF" w:rsidP="00FA0972">
            <w:pPr>
              <w:spacing w:after="200" w:line="360" w:lineRule="auto"/>
              <w:rPr>
                <w:rFonts w:ascii="Arial" w:hAnsi="Arial" w:cs="Arial"/>
                <w:b/>
                <w:sz w:val="20"/>
                <w:szCs w:val="20"/>
              </w:rPr>
            </w:pPr>
            <w:r w:rsidRPr="00ED2106">
              <w:rPr>
                <w:rFonts w:ascii="Arial" w:hAnsi="Arial" w:cs="Arial"/>
                <w:b/>
                <w:sz w:val="20"/>
                <w:szCs w:val="20"/>
              </w:rPr>
              <w:t>Finances</w:t>
            </w:r>
          </w:p>
          <w:p w:rsidR="003E71FF" w:rsidRPr="00ED2106" w:rsidRDefault="003E71FF" w:rsidP="003E71FF">
            <w:pPr>
              <w:pStyle w:val="ListParagraph"/>
              <w:numPr>
                <w:ilvl w:val="0"/>
                <w:numId w:val="23"/>
              </w:numPr>
              <w:ind w:left="1195"/>
              <w:rPr>
                <w:rFonts w:ascii="Arial" w:hAnsi="Arial" w:cs="Arial"/>
                <w:sz w:val="20"/>
                <w:szCs w:val="20"/>
              </w:rPr>
            </w:pPr>
            <w:r w:rsidRPr="00ED2106">
              <w:rPr>
                <w:rFonts w:ascii="Arial" w:hAnsi="Arial" w:cs="Arial"/>
                <w:sz w:val="20"/>
                <w:szCs w:val="20"/>
              </w:rPr>
              <w:t>Financial Summary</w:t>
            </w:r>
          </w:p>
          <w:p w:rsidR="003E71FF" w:rsidRPr="00ED2106" w:rsidRDefault="003E71FF" w:rsidP="003E71FF">
            <w:pPr>
              <w:pStyle w:val="ListParagraph"/>
              <w:numPr>
                <w:ilvl w:val="0"/>
                <w:numId w:val="23"/>
              </w:numPr>
              <w:ind w:left="1195"/>
              <w:rPr>
                <w:rFonts w:ascii="Arial" w:hAnsi="Arial" w:cs="Arial"/>
                <w:sz w:val="20"/>
                <w:szCs w:val="20"/>
              </w:rPr>
            </w:pPr>
            <w:r w:rsidRPr="00ED2106">
              <w:rPr>
                <w:rFonts w:ascii="Arial" w:hAnsi="Arial" w:cs="Arial"/>
                <w:sz w:val="20"/>
                <w:szCs w:val="20"/>
              </w:rPr>
              <w:t>Circuit Breaker</w:t>
            </w:r>
          </w:p>
          <w:p w:rsidR="003E71FF" w:rsidRDefault="003E71FF" w:rsidP="003E71FF">
            <w:pPr>
              <w:pStyle w:val="ListParagraph"/>
              <w:numPr>
                <w:ilvl w:val="0"/>
                <w:numId w:val="23"/>
              </w:numPr>
              <w:ind w:left="1195"/>
              <w:rPr>
                <w:rFonts w:ascii="Arial" w:hAnsi="Arial" w:cs="Arial"/>
                <w:sz w:val="20"/>
                <w:szCs w:val="20"/>
              </w:rPr>
            </w:pPr>
            <w:r w:rsidRPr="00ED2106">
              <w:rPr>
                <w:rFonts w:ascii="Arial" w:hAnsi="Arial" w:cs="Arial"/>
                <w:sz w:val="20"/>
                <w:szCs w:val="20"/>
              </w:rPr>
              <w:t>School-Based Medicaid</w:t>
            </w:r>
          </w:p>
          <w:p w:rsidR="003801FC" w:rsidRPr="00ED2106" w:rsidRDefault="003801FC" w:rsidP="003801FC">
            <w:pPr>
              <w:pStyle w:val="ListParagraph"/>
              <w:ind w:left="1195"/>
              <w:rPr>
                <w:rFonts w:ascii="Arial" w:hAnsi="Arial" w:cs="Arial"/>
                <w:sz w:val="20"/>
                <w:szCs w:val="20"/>
              </w:rPr>
            </w:pPr>
          </w:p>
        </w:tc>
        <w:tc>
          <w:tcPr>
            <w:tcW w:w="672" w:type="dxa"/>
          </w:tcPr>
          <w:p w:rsidR="003E71FF" w:rsidRPr="00ED2106" w:rsidRDefault="00627C64" w:rsidP="00FA0972">
            <w:pPr>
              <w:rPr>
                <w:rFonts w:ascii="Arial" w:hAnsi="Arial" w:cs="Arial"/>
                <w:sz w:val="20"/>
                <w:szCs w:val="20"/>
              </w:rPr>
            </w:pPr>
            <w:r>
              <w:rPr>
                <w:rFonts w:ascii="Arial" w:hAnsi="Arial" w:cs="Arial"/>
                <w:sz w:val="20"/>
                <w:szCs w:val="20"/>
              </w:rPr>
              <w:t>10</w:t>
            </w:r>
          </w:p>
          <w:p w:rsidR="003E71FF" w:rsidRPr="00ED2106" w:rsidRDefault="003E71FF" w:rsidP="00FA0972">
            <w:pPr>
              <w:rPr>
                <w:rFonts w:ascii="Arial" w:hAnsi="Arial" w:cs="Arial"/>
                <w:sz w:val="20"/>
                <w:szCs w:val="20"/>
              </w:rPr>
            </w:pPr>
          </w:p>
          <w:p w:rsidR="003E71FF" w:rsidRPr="00ED2106" w:rsidRDefault="00627C64" w:rsidP="00FA0972">
            <w:pPr>
              <w:rPr>
                <w:rFonts w:ascii="Arial" w:hAnsi="Arial" w:cs="Arial"/>
                <w:sz w:val="20"/>
                <w:szCs w:val="20"/>
              </w:rPr>
            </w:pPr>
            <w:r>
              <w:rPr>
                <w:rFonts w:ascii="Arial" w:hAnsi="Arial" w:cs="Arial"/>
                <w:sz w:val="20"/>
                <w:szCs w:val="20"/>
              </w:rPr>
              <w:t>10</w:t>
            </w:r>
          </w:p>
          <w:p w:rsidR="003E71FF" w:rsidRPr="00ED2106" w:rsidRDefault="00627C64" w:rsidP="00FA0972">
            <w:pPr>
              <w:rPr>
                <w:rFonts w:ascii="Arial" w:hAnsi="Arial" w:cs="Arial"/>
                <w:sz w:val="20"/>
                <w:szCs w:val="20"/>
              </w:rPr>
            </w:pPr>
            <w:r>
              <w:rPr>
                <w:rFonts w:ascii="Arial" w:hAnsi="Arial" w:cs="Arial"/>
                <w:sz w:val="20"/>
                <w:szCs w:val="20"/>
              </w:rPr>
              <w:t>11</w:t>
            </w:r>
          </w:p>
          <w:p w:rsidR="003E71FF" w:rsidRPr="00ED2106" w:rsidRDefault="00627C64" w:rsidP="00FA0972">
            <w:pPr>
              <w:rPr>
                <w:rFonts w:ascii="Arial" w:hAnsi="Arial" w:cs="Arial"/>
                <w:sz w:val="20"/>
                <w:szCs w:val="20"/>
              </w:rPr>
            </w:pPr>
            <w:r>
              <w:rPr>
                <w:rFonts w:ascii="Arial" w:hAnsi="Arial" w:cs="Arial"/>
                <w:sz w:val="20"/>
                <w:szCs w:val="20"/>
              </w:rPr>
              <w:t>11</w:t>
            </w:r>
          </w:p>
        </w:tc>
      </w:tr>
      <w:tr w:rsidR="003E71FF" w:rsidRPr="00ED2106" w:rsidTr="00FA0972">
        <w:tc>
          <w:tcPr>
            <w:tcW w:w="720" w:type="dxa"/>
          </w:tcPr>
          <w:p w:rsidR="003E71FF" w:rsidRPr="00ED2106" w:rsidRDefault="003E71FF" w:rsidP="00FA0972">
            <w:pPr>
              <w:rPr>
                <w:rFonts w:ascii="Arial" w:hAnsi="Arial" w:cs="Arial"/>
                <w:b/>
                <w:sz w:val="20"/>
                <w:szCs w:val="20"/>
              </w:rPr>
            </w:pPr>
            <w:r w:rsidRPr="00ED2106">
              <w:rPr>
                <w:rFonts w:ascii="Arial" w:hAnsi="Arial" w:cs="Arial"/>
                <w:b/>
                <w:sz w:val="20"/>
                <w:szCs w:val="20"/>
              </w:rPr>
              <w:t>VII.</w:t>
            </w:r>
          </w:p>
        </w:tc>
        <w:tc>
          <w:tcPr>
            <w:tcW w:w="8778" w:type="dxa"/>
          </w:tcPr>
          <w:p w:rsidR="003E71FF" w:rsidRPr="00ED2106" w:rsidRDefault="003E71FF" w:rsidP="00FA0972">
            <w:pPr>
              <w:rPr>
                <w:rFonts w:ascii="Arial" w:hAnsi="Arial" w:cs="Arial"/>
                <w:sz w:val="20"/>
                <w:szCs w:val="20"/>
              </w:rPr>
            </w:pPr>
            <w:r w:rsidRPr="00ED2106">
              <w:rPr>
                <w:rFonts w:ascii="Arial" w:hAnsi="Arial" w:cs="Arial"/>
                <w:b/>
                <w:sz w:val="20"/>
                <w:szCs w:val="20"/>
              </w:rPr>
              <w:t>Educational Collaboratives</w:t>
            </w:r>
          </w:p>
        </w:tc>
        <w:tc>
          <w:tcPr>
            <w:tcW w:w="672" w:type="dxa"/>
          </w:tcPr>
          <w:p w:rsidR="003E71FF" w:rsidRPr="00ED2106" w:rsidRDefault="003E71FF" w:rsidP="00FA0972">
            <w:pPr>
              <w:rPr>
                <w:rFonts w:ascii="Arial" w:hAnsi="Arial" w:cs="Arial"/>
                <w:sz w:val="20"/>
                <w:szCs w:val="20"/>
              </w:rPr>
            </w:pPr>
            <w:r w:rsidRPr="00ED2106">
              <w:rPr>
                <w:rFonts w:ascii="Arial" w:hAnsi="Arial" w:cs="Arial"/>
                <w:sz w:val="20"/>
                <w:szCs w:val="20"/>
              </w:rPr>
              <w:t>1</w:t>
            </w:r>
            <w:r w:rsidR="0089000D">
              <w:rPr>
                <w:rFonts w:ascii="Arial" w:hAnsi="Arial" w:cs="Arial"/>
                <w:sz w:val="20"/>
                <w:szCs w:val="20"/>
              </w:rPr>
              <w:t>3</w:t>
            </w:r>
          </w:p>
        </w:tc>
      </w:tr>
      <w:tr w:rsidR="003E71FF" w:rsidRPr="00ED2106" w:rsidTr="00FA0972">
        <w:tc>
          <w:tcPr>
            <w:tcW w:w="720" w:type="dxa"/>
          </w:tcPr>
          <w:p w:rsidR="003E71FF" w:rsidRPr="00ED2106" w:rsidRDefault="003E71FF" w:rsidP="00FA0972">
            <w:pPr>
              <w:rPr>
                <w:rFonts w:ascii="Arial" w:hAnsi="Arial" w:cs="Arial"/>
                <w:b/>
                <w:sz w:val="20"/>
                <w:szCs w:val="20"/>
              </w:rPr>
            </w:pPr>
            <w:r w:rsidRPr="00ED2106">
              <w:rPr>
                <w:rFonts w:ascii="Arial" w:hAnsi="Arial" w:cs="Arial"/>
                <w:b/>
                <w:sz w:val="20"/>
                <w:szCs w:val="20"/>
              </w:rPr>
              <w:t>VIII</w:t>
            </w:r>
          </w:p>
        </w:tc>
        <w:tc>
          <w:tcPr>
            <w:tcW w:w="8778" w:type="dxa"/>
          </w:tcPr>
          <w:p w:rsidR="003E71FF" w:rsidRPr="00ED2106" w:rsidRDefault="003E71FF" w:rsidP="00FA0972">
            <w:pPr>
              <w:spacing w:after="200" w:line="360" w:lineRule="auto"/>
              <w:rPr>
                <w:rFonts w:ascii="Arial" w:hAnsi="Arial" w:cs="Arial"/>
                <w:b/>
                <w:sz w:val="20"/>
                <w:szCs w:val="20"/>
              </w:rPr>
            </w:pPr>
            <w:r w:rsidRPr="00ED2106">
              <w:rPr>
                <w:rFonts w:ascii="Arial" w:hAnsi="Arial" w:cs="Arial"/>
                <w:b/>
                <w:sz w:val="20"/>
                <w:szCs w:val="20"/>
              </w:rPr>
              <w:t>Additional Resources</w:t>
            </w:r>
          </w:p>
          <w:p w:rsidR="003E71FF" w:rsidRPr="00ED2106" w:rsidRDefault="003E71FF" w:rsidP="003E71FF">
            <w:pPr>
              <w:pStyle w:val="ListParagraph"/>
              <w:numPr>
                <w:ilvl w:val="1"/>
                <w:numId w:val="24"/>
              </w:numPr>
              <w:spacing w:after="200" w:line="360" w:lineRule="auto"/>
              <w:rPr>
                <w:rFonts w:ascii="Arial" w:hAnsi="Arial" w:cs="Arial"/>
                <w:sz w:val="20"/>
                <w:szCs w:val="20"/>
              </w:rPr>
            </w:pPr>
            <w:r w:rsidRPr="00ED2106">
              <w:rPr>
                <w:rFonts w:ascii="Arial" w:hAnsi="Arial" w:cs="Arial"/>
                <w:sz w:val="20"/>
                <w:szCs w:val="20"/>
              </w:rPr>
              <w:t>Bureau of Special Education Appeals</w:t>
            </w:r>
          </w:p>
          <w:p w:rsidR="003E71FF" w:rsidRPr="00ED2106" w:rsidRDefault="003801FC" w:rsidP="003E71FF">
            <w:pPr>
              <w:pStyle w:val="ListParagraph"/>
              <w:numPr>
                <w:ilvl w:val="2"/>
                <w:numId w:val="24"/>
              </w:numPr>
              <w:rPr>
                <w:rFonts w:ascii="Arial" w:hAnsi="Arial" w:cs="Arial"/>
                <w:sz w:val="20"/>
                <w:szCs w:val="20"/>
              </w:rPr>
            </w:pPr>
            <w:r>
              <w:rPr>
                <w:rFonts w:ascii="Arial" w:hAnsi="Arial" w:cs="Arial"/>
                <w:sz w:val="20"/>
                <w:szCs w:val="20"/>
              </w:rPr>
              <w:t xml:space="preserve"> </w:t>
            </w:r>
            <w:r w:rsidR="003E71FF" w:rsidRPr="00ED2106">
              <w:rPr>
                <w:rFonts w:ascii="Arial" w:hAnsi="Arial" w:cs="Arial"/>
                <w:sz w:val="20"/>
                <w:szCs w:val="20"/>
              </w:rPr>
              <w:t>Rejected Individualized Education Programs</w:t>
            </w:r>
          </w:p>
          <w:p w:rsidR="003E71FF" w:rsidRPr="00ED2106" w:rsidRDefault="003801FC" w:rsidP="003E71FF">
            <w:pPr>
              <w:pStyle w:val="ListParagraph"/>
              <w:numPr>
                <w:ilvl w:val="2"/>
                <w:numId w:val="24"/>
              </w:numPr>
              <w:rPr>
                <w:rFonts w:ascii="Arial" w:hAnsi="Arial" w:cs="Arial"/>
                <w:sz w:val="20"/>
                <w:szCs w:val="20"/>
              </w:rPr>
            </w:pPr>
            <w:r>
              <w:rPr>
                <w:rFonts w:ascii="Arial" w:hAnsi="Arial" w:cs="Arial"/>
                <w:sz w:val="20"/>
                <w:szCs w:val="20"/>
              </w:rPr>
              <w:t xml:space="preserve"> </w:t>
            </w:r>
            <w:r w:rsidR="003E71FF" w:rsidRPr="00ED2106">
              <w:rPr>
                <w:rFonts w:ascii="Arial" w:hAnsi="Arial" w:cs="Arial"/>
                <w:sz w:val="20"/>
                <w:szCs w:val="20"/>
              </w:rPr>
              <w:t>Mediation</w:t>
            </w:r>
          </w:p>
          <w:p w:rsidR="003E71FF" w:rsidRPr="00ED2106" w:rsidRDefault="003801FC" w:rsidP="003E71FF">
            <w:pPr>
              <w:pStyle w:val="ListParagraph"/>
              <w:numPr>
                <w:ilvl w:val="2"/>
                <w:numId w:val="24"/>
              </w:numPr>
              <w:rPr>
                <w:rFonts w:ascii="Arial" w:hAnsi="Arial" w:cs="Arial"/>
                <w:sz w:val="20"/>
                <w:szCs w:val="20"/>
              </w:rPr>
            </w:pPr>
            <w:r>
              <w:rPr>
                <w:rFonts w:ascii="Arial" w:hAnsi="Arial" w:cs="Arial"/>
                <w:sz w:val="20"/>
                <w:szCs w:val="20"/>
              </w:rPr>
              <w:t xml:space="preserve"> </w:t>
            </w:r>
            <w:r w:rsidR="003E71FF" w:rsidRPr="00ED2106">
              <w:rPr>
                <w:rFonts w:ascii="Arial" w:hAnsi="Arial" w:cs="Arial"/>
                <w:sz w:val="20"/>
                <w:szCs w:val="20"/>
              </w:rPr>
              <w:t>Hearings</w:t>
            </w:r>
          </w:p>
          <w:p w:rsidR="003E71FF" w:rsidRPr="00ED2106" w:rsidRDefault="003801FC" w:rsidP="003E71FF">
            <w:pPr>
              <w:pStyle w:val="ListParagraph"/>
              <w:numPr>
                <w:ilvl w:val="2"/>
                <w:numId w:val="24"/>
              </w:numPr>
              <w:rPr>
                <w:rFonts w:ascii="Arial" w:hAnsi="Arial" w:cs="Arial"/>
                <w:sz w:val="20"/>
                <w:szCs w:val="20"/>
              </w:rPr>
            </w:pPr>
            <w:r>
              <w:rPr>
                <w:rFonts w:ascii="Arial" w:hAnsi="Arial" w:cs="Arial"/>
                <w:sz w:val="20"/>
                <w:szCs w:val="20"/>
              </w:rPr>
              <w:t xml:space="preserve"> </w:t>
            </w:r>
            <w:r w:rsidR="003E71FF" w:rsidRPr="00ED2106">
              <w:rPr>
                <w:rFonts w:ascii="Arial" w:hAnsi="Arial" w:cs="Arial"/>
                <w:sz w:val="20"/>
                <w:szCs w:val="20"/>
              </w:rPr>
              <w:t>Representation</w:t>
            </w:r>
          </w:p>
          <w:p w:rsidR="003E71FF" w:rsidRPr="00ED2106" w:rsidRDefault="003E71FF" w:rsidP="00FA0972">
            <w:pPr>
              <w:rPr>
                <w:rFonts w:ascii="Arial" w:hAnsi="Arial" w:cs="Arial"/>
                <w:sz w:val="20"/>
                <w:szCs w:val="20"/>
              </w:rPr>
            </w:pPr>
          </w:p>
        </w:tc>
        <w:tc>
          <w:tcPr>
            <w:tcW w:w="672" w:type="dxa"/>
          </w:tcPr>
          <w:p w:rsidR="003E71FF" w:rsidRPr="00ED2106" w:rsidRDefault="00627C64" w:rsidP="00FA0972">
            <w:pPr>
              <w:rPr>
                <w:rFonts w:ascii="Arial" w:hAnsi="Arial" w:cs="Arial"/>
                <w:sz w:val="20"/>
                <w:szCs w:val="20"/>
              </w:rPr>
            </w:pPr>
            <w:r>
              <w:rPr>
                <w:rFonts w:ascii="Arial" w:hAnsi="Arial" w:cs="Arial"/>
                <w:sz w:val="20"/>
                <w:szCs w:val="20"/>
              </w:rPr>
              <w:t>1</w:t>
            </w:r>
            <w:r w:rsidR="0089000D">
              <w:rPr>
                <w:rFonts w:ascii="Arial" w:hAnsi="Arial" w:cs="Arial"/>
                <w:sz w:val="20"/>
                <w:szCs w:val="20"/>
              </w:rPr>
              <w:t>4</w:t>
            </w:r>
          </w:p>
          <w:p w:rsidR="003E71FF" w:rsidRPr="00ED2106" w:rsidRDefault="003E71FF" w:rsidP="00FA0972">
            <w:pPr>
              <w:rPr>
                <w:rFonts w:ascii="Arial" w:hAnsi="Arial" w:cs="Arial"/>
                <w:sz w:val="20"/>
                <w:szCs w:val="20"/>
              </w:rPr>
            </w:pPr>
          </w:p>
          <w:p w:rsidR="003E71FF" w:rsidRPr="00ED2106" w:rsidRDefault="0089000D" w:rsidP="00FA0972">
            <w:pPr>
              <w:rPr>
                <w:rFonts w:ascii="Arial" w:hAnsi="Arial" w:cs="Arial"/>
                <w:sz w:val="20"/>
                <w:szCs w:val="20"/>
              </w:rPr>
            </w:pPr>
            <w:r>
              <w:rPr>
                <w:rFonts w:ascii="Arial" w:hAnsi="Arial" w:cs="Arial"/>
                <w:sz w:val="20"/>
                <w:szCs w:val="20"/>
              </w:rPr>
              <w:t>14</w:t>
            </w:r>
          </w:p>
          <w:p w:rsidR="003E71FF" w:rsidRDefault="003E71FF" w:rsidP="00FA0972">
            <w:pPr>
              <w:rPr>
                <w:rFonts w:ascii="Arial" w:hAnsi="Arial" w:cs="Arial"/>
                <w:sz w:val="20"/>
                <w:szCs w:val="20"/>
              </w:rPr>
            </w:pPr>
          </w:p>
          <w:p w:rsidR="003E71FF" w:rsidRPr="00ED2106" w:rsidRDefault="0089000D" w:rsidP="00FA0972">
            <w:pPr>
              <w:rPr>
                <w:rFonts w:ascii="Arial" w:hAnsi="Arial" w:cs="Arial"/>
                <w:sz w:val="20"/>
                <w:szCs w:val="20"/>
              </w:rPr>
            </w:pPr>
            <w:r>
              <w:rPr>
                <w:rFonts w:ascii="Arial" w:hAnsi="Arial" w:cs="Arial"/>
                <w:sz w:val="20"/>
                <w:szCs w:val="20"/>
              </w:rPr>
              <w:t>14</w:t>
            </w:r>
          </w:p>
          <w:p w:rsidR="003E71FF" w:rsidRPr="00ED2106" w:rsidRDefault="0089000D" w:rsidP="00FA0972">
            <w:pPr>
              <w:rPr>
                <w:rFonts w:ascii="Arial" w:hAnsi="Arial" w:cs="Arial"/>
                <w:sz w:val="20"/>
                <w:szCs w:val="20"/>
              </w:rPr>
            </w:pPr>
            <w:r>
              <w:rPr>
                <w:rFonts w:ascii="Arial" w:hAnsi="Arial" w:cs="Arial"/>
                <w:sz w:val="20"/>
                <w:szCs w:val="20"/>
              </w:rPr>
              <w:t>14</w:t>
            </w:r>
          </w:p>
          <w:p w:rsidR="003E71FF" w:rsidRPr="00ED2106" w:rsidRDefault="0089000D" w:rsidP="00FA0972">
            <w:pPr>
              <w:rPr>
                <w:rFonts w:ascii="Arial" w:hAnsi="Arial" w:cs="Arial"/>
                <w:sz w:val="20"/>
                <w:szCs w:val="20"/>
              </w:rPr>
            </w:pPr>
            <w:r>
              <w:rPr>
                <w:rFonts w:ascii="Arial" w:hAnsi="Arial" w:cs="Arial"/>
                <w:sz w:val="20"/>
                <w:szCs w:val="20"/>
              </w:rPr>
              <w:t>15</w:t>
            </w:r>
          </w:p>
          <w:p w:rsidR="003E71FF" w:rsidRPr="00ED2106" w:rsidRDefault="0089000D" w:rsidP="00FA0972">
            <w:pPr>
              <w:rPr>
                <w:rFonts w:ascii="Arial" w:hAnsi="Arial" w:cs="Arial"/>
                <w:sz w:val="20"/>
                <w:szCs w:val="20"/>
              </w:rPr>
            </w:pPr>
            <w:r>
              <w:rPr>
                <w:rFonts w:ascii="Arial" w:hAnsi="Arial" w:cs="Arial"/>
                <w:sz w:val="20"/>
                <w:szCs w:val="20"/>
              </w:rPr>
              <w:t>15</w:t>
            </w:r>
          </w:p>
        </w:tc>
      </w:tr>
      <w:tr w:rsidR="003E71FF" w:rsidRPr="00ED2106" w:rsidTr="00FA0972">
        <w:tc>
          <w:tcPr>
            <w:tcW w:w="720" w:type="dxa"/>
          </w:tcPr>
          <w:p w:rsidR="003E71FF" w:rsidRPr="00ED2106" w:rsidRDefault="003E71FF" w:rsidP="00FA0972">
            <w:pPr>
              <w:rPr>
                <w:rFonts w:ascii="Arial" w:hAnsi="Arial" w:cs="Arial"/>
                <w:b/>
                <w:sz w:val="20"/>
                <w:szCs w:val="20"/>
              </w:rPr>
            </w:pPr>
            <w:r w:rsidRPr="00ED2106">
              <w:rPr>
                <w:rFonts w:ascii="Arial" w:hAnsi="Arial" w:cs="Arial"/>
                <w:b/>
                <w:sz w:val="20"/>
                <w:szCs w:val="20"/>
              </w:rPr>
              <w:t>IX.</w:t>
            </w:r>
          </w:p>
        </w:tc>
        <w:tc>
          <w:tcPr>
            <w:tcW w:w="8778" w:type="dxa"/>
          </w:tcPr>
          <w:p w:rsidR="003E71FF" w:rsidRPr="00ED2106" w:rsidRDefault="003E71FF" w:rsidP="00FA0972">
            <w:pPr>
              <w:rPr>
                <w:rFonts w:ascii="Arial" w:hAnsi="Arial" w:cs="Arial"/>
                <w:sz w:val="20"/>
                <w:szCs w:val="20"/>
              </w:rPr>
            </w:pPr>
            <w:r w:rsidRPr="00ED2106">
              <w:rPr>
                <w:rFonts w:ascii="Arial" w:hAnsi="Arial" w:cs="Arial"/>
                <w:b/>
                <w:sz w:val="20"/>
                <w:szCs w:val="20"/>
              </w:rPr>
              <w:t>Conclusion</w:t>
            </w:r>
          </w:p>
        </w:tc>
        <w:tc>
          <w:tcPr>
            <w:tcW w:w="672" w:type="dxa"/>
          </w:tcPr>
          <w:p w:rsidR="003E71FF" w:rsidRPr="00ED2106" w:rsidRDefault="003E71FF" w:rsidP="00FA0972">
            <w:pPr>
              <w:rPr>
                <w:rFonts w:ascii="Arial" w:hAnsi="Arial" w:cs="Arial"/>
                <w:sz w:val="20"/>
                <w:szCs w:val="20"/>
              </w:rPr>
            </w:pPr>
            <w:r>
              <w:rPr>
                <w:rFonts w:ascii="Arial" w:hAnsi="Arial" w:cs="Arial"/>
                <w:sz w:val="20"/>
                <w:szCs w:val="20"/>
              </w:rPr>
              <w:t>1</w:t>
            </w:r>
            <w:r w:rsidR="0089000D">
              <w:rPr>
                <w:rFonts w:ascii="Arial" w:hAnsi="Arial" w:cs="Arial"/>
                <w:sz w:val="20"/>
                <w:szCs w:val="20"/>
              </w:rPr>
              <w:t>5</w:t>
            </w:r>
          </w:p>
        </w:tc>
      </w:tr>
    </w:tbl>
    <w:p w:rsidR="003E71FF" w:rsidRDefault="003E71FF" w:rsidP="00BD1EF8">
      <w:pPr>
        <w:rPr>
          <w:rFonts w:asciiTheme="majorHAnsi" w:hAnsiTheme="majorHAnsi"/>
          <w:b/>
          <w:sz w:val="28"/>
          <w:szCs w:val="28"/>
        </w:rPr>
      </w:pPr>
    </w:p>
    <w:tbl>
      <w:tblPr>
        <w:tblStyle w:val="TableGrid"/>
        <w:tblW w:w="101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0"/>
        <w:gridCol w:w="8778"/>
        <w:gridCol w:w="672"/>
      </w:tblGrid>
      <w:tr w:rsidR="00BD1EF8" w:rsidRPr="00ED2106" w:rsidTr="00FA0972">
        <w:tc>
          <w:tcPr>
            <w:tcW w:w="720" w:type="dxa"/>
          </w:tcPr>
          <w:p w:rsidR="00BD1EF8" w:rsidRPr="00ED2106" w:rsidRDefault="00BD1EF8" w:rsidP="00FA0972">
            <w:pPr>
              <w:rPr>
                <w:rFonts w:ascii="Arial" w:hAnsi="Arial" w:cs="Arial"/>
                <w:b/>
                <w:sz w:val="20"/>
                <w:szCs w:val="20"/>
              </w:rPr>
            </w:pPr>
          </w:p>
        </w:tc>
        <w:tc>
          <w:tcPr>
            <w:tcW w:w="8778" w:type="dxa"/>
          </w:tcPr>
          <w:p w:rsidR="00BD1EF8" w:rsidRPr="00ED2106" w:rsidRDefault="00BD1EF8" w:rsidP="00FA0972">
            <w:pPr>
              <w:rPr>
                <w:rFonts w:ascii="Arial" w:hAnsi="Arial" w:cs="Arial"/>
                <w:sz w:val="20"/>
                <w:szCs w:val="20"/>
              </w:rPr>
            </w:pPr>
          </w:p>
        </w:tc>
        <w:tc>
          <w:tcPr>
            <w:tcW w:w="672" w:type="dxa"/>
          </w:tcPr>
          <w:p w:rsidR="00BD1EF8" w:rsidRPr="00ED2106" w:rsidRDefault="00BD1EF8" w:rsidP="00FA0972">
            <w:pPr>
              <w:rPr>
                <w:rFonts w:ascii="Arial" w:hAnsi="Arial" w:cs="Arial"/>
                <w:sz w:val="20"/>
                <w:szCs w:val="20"/>
              </w:rPr>
            </w:pPr>
          </w:p>
        </w:tc>
      </w:tr>
      <w:tr w:rsidR="00BD1EF8" w:rsidRPr="00ED2106" w:rsidTr="00FA0972">
        <w:tc>
          <w:tcPr>
            <w:tcW w:w="720" w:type="dxa"/>
          </w:tcPr>
          <w:p w:rsidR="00BD1EF8" w:rsidRPr="00ED2106" w:rsidRDefault="00BD1EF8" w:rsidP="00FA0972">
            <w:pPr>
              <w:rPr>
                <w:rFonts w:ascii="Arial" w:hAnsi="Arial" w:cs="Arial"/>
                <w:b/>
                <w:sz w:val="20"/>
                <w:szCs w:val="20"/>
              </w:rPr>
            </w:pPr>
          </w:p>
        </w:tc>
        <w:tc>
          <w:tcPr>
            <w:tcW w:w="8778" w:type="dxa"/>
          </w:tcPr>
          <w:p w:rsidR="00BD1EF8" w:rsidRPr="00ED2106" w:rsidRDefault="00BD1EF8" w:rsidP="00FA0972">
            <w:pPr>
              <w:rPr>
                <w:rFonts w:ascii="Arial" w:hAnsi="Arial" w:cs="Arial"/>
                <w:sz w:val="20"/>
                <w:szCs w:val="20"/>
              </w:rPr>
            </w:pPr>
          </w:p>
        </w:tc>
        <w:tc>
          <w:tcPr>
            <w:tcW w:w="672" w:type="dxa"/>
          </w:tcPr>
          <w:p w:rsidR="00BD1EF8" w:rsidRPr="00ED2106" w:rsidRDefault="00BD1EF8" w:rsidP="00FA0972">
            <w:pPr>
              <w:rPr>
                <w:rFonts w:ascii="Arial" w:hAnsi="Arial" w:cs="Arial"/>
                <w:sz w:val="20"/>
                <w:szCs w:val="20"/>
              </w:rPr>
            </w:pPr>
          </w:p>
        </w:tc>
      </w:tr>
      <w:tr w:rsidR="00BD1EF8" w:rsidRPr="00ED2106" w:rsidTr="00FA0972">
        <w:tc>
          <w:tcPr>
            <w:tcW w:w="720" w:type="dxa"/>
          </w:tcPr>
          <w:p w:rsidR="00BD1EF8" w:rsidRPr="00ED2106" w:rsidRDefault="00BD1EF8" w:rsidP="00FA0972">
            <w:pPr>
              <w:rPr>
                <w:rFonts w:ascii="Arial" w:hAnsi="Arial" w:cs="Arial"/>
                <w:b/>
                <w:sz w:val="20"/>
                <w:szCs w:val="20"/>
              </w:rPr>
            </w:pPr>
          </w:p>
        </w:tc>
        <w:tc>
          <w:tcPr>
            <w:tcW w:w="8778" w:type="dxa"/>
          </w:tcPr>
          <w:p w:rsidR="00BD1EF8" w:rsidRPr="00ED2106" w:rsidRDefault="00BD1EF8" w:rsidP="00FA0972">
            <w:pPr>
              <w:rPr>
                <w:rFonts w:ascii="Arial" w:hAnsi="Arial" w:cs="Arial"/>
                <w:sz w:val="20"/>
                <w:szCs w:val="20"/>
              </w:rPr>
            </w:pPr>
          </w:p>
        </w:tc>
        <w:tc>
          <w:tcPr>
            <w:tcW w:w="672" w:type="dxa"/>
          </w:tcPr>
          <w:p w:rsidR="00BD1EF8" w:rsidRPr="00ED2106" w:rsidRDefault="00BD1EF8" w:rsidP="00FA0972">
            <w:pPr>
              <w:rPr>
                <w:rFonts w:ascii="Arial" w:hAnsi="Arial" w:cs="Arial"/>
                <w:sz w:val="20"/>
                <w:szCs w:val="20"/>
              </w:rPr>
            </w:pPr>
          </w:p>
        </w:tc>
      </w:tr>
    </w:tbl>
    <w:p w:rsidR="00BD1EF8" w:rsidRPr="00ED2106" w:rsidRDefault="00BD1EF8" w:rsidP="00BD1EF8">
      <w:pPr>
        <w:rPr>
          <w:rFonts w:ascii="Arial" w:hAnsi="Arial" w:cs="Arial"/>
          <w:b/>
          <w:sz w:val="20"/>
          <w:szCs w:val="20"/>
        </w:rPr>
      </w:pPr>
    </w:p>
    <w:p w:rsidR="00BD1EF8" w:rsidRPr="00ED2106" w:rsidRDefault="00BD1EF8" w:rsidP="00BD1EF8">
      <w:pPr>
        <w:rPr>
          <w:rFonts w:ascii="Arial" w:hAnsi="Arial" w:cs="Arial"/>
          <w:b/>
          <w:sz w:val="20"/>
          <w:szCs w:val="20"/>
        </w:rPr>
      </w:pPr>
    </w:p>
    <w:p w:rsidR="00144CB4" w:rsidRDefault="00144CB4" w:rsidP="007A1237">
      <w:pPr>
        <w:pStyle w:val="Heading1"/>
        <w:numPr>
          <w:ilvl w:val="0"/>
          <w:numId w:val="20"/>
        </w:numPr>
      </w:pPr>
      <w:r w:rsidRPr="00520721">
        <w:t>Introduction</w:t>
      </w:r>
      <w:bookmarkEnd w:id="0"/>
    </w:p>
    <w:p w:rsidR="00CD2CA8" w:rsidRPr="00C92410" w:rsidRDefault="00CD2CA8" w:rsidP="00CD2CA8">
      <w:pPr>
        <w:pStyle w:val="Default"/>
        <w:spacing w:after="120"/>
      </w:pPr>
      <w:r w:rsidRPr="00C92410">
        <w:t>The Department of Elementary and Secondary Education respectfully submits this Report to the Legislature pursuant to Chapter 159 of the Acts of 2000, Section 432</w:t>
      </w:r>
      <w:r w:rsidR="00C72B0B">
        <w:t>, which reads in relevant part</w:t>
      </w:r>
      <w:r w:rsidRPr="00C92410">
        <w:t xml:space="preserve">: </w:t>
      </w:r>
    </w:p>
    <w:p w:rsidR="00CD2CA8" w:rsidRPr="004501CD" w:rsidRDefault="00CD2CA8" w:rsidP="00CD2CA8">
      <w:pPr>
        <w:pStyle w:val="Default"/>
        <w:spacing w:after="120"/>
        <w:ind w:left="720"/>
      </w:pPr>
      <w:r w:rsidRPr="004501CD">
        <w:rPr>
          <w:i/>
          <w:iCs/>
        </w:rPr>
        <w:t xml:space="preserve">“The Department of Education shall </w:t>
      </w:r>
      <w:proofErr w:type="gramStart"/>
      <w:r w:rsidRPr="004501CD">
        <w:rPr>
          <w:i/>
          <w:iCs/>
        </w:rPr>
        <w:t>annually, . . .</w:t>
      </w:r>
      <w:proofErr w:type="gramEnd"/>
      <w:r w:rsidRPr="004501CD">
        <w:rPr>
          <w:i/>
          <w:iCs/>
        </w:rPr>
        <w:t xml:space="preserve"> report to the General Court on the implementation of [special education law]. Such report shall include a description of the progress made by school districts in implementing the federal standard, cost increases or savings in cities or towns, . . . the extent of the development of educational </w:t>
      </w:r>
      <w:proofErr w:type="spellStart"/>
      <w:r w:rsidRPr="004501CD">
        <w:rPr>
          <w:i/>
          <w:iCs/>
        </w:rPr>
        <w:t>collaboratives</w:t>
      </w:r>
      <w:proofErr w:type="spellEnd"/>
      <w:r w:rsidRPr="004501CD">
        <w:rPr>
          <w:i/>
          <w:iCs/>
        </w:rPr>
        <w:t xml:space="preserve"> to provide necessary services, the increase or decrease of the number of children served, federal non-compliance issues and other such matters as said Department deems appropriate. Such report shall be filed with the clerks of the House of Representatives and the Senate who shall forward the same to the Joint Committee on Education, Arts and Humanities and the House and Senate Committees on Ways and Means…” </w:t>
      </w:r>
    </w:p>
    <w:p w:rsidR="00C825F2" w:rsidRPr="00EA703E" w:rsidRDefault="00C825F2" w:rsidP="00C825F2">
      <w:pPr>
        <w:pStyle w:val="Heading1"/>
      </w:pPr>
      <w:bookmarkStart w:id="1" w:name="_Toc309819244"/>
      <w:bookmarkStart w:id="2" w:name="_Toc342312302"/>
      <w:r w:rsidRPr="00EA703E">
        <w:t>II. Enrollment Data</w:t>
      </w:r>
      <w:bookmarkEnd w:id="1"/>
      <w:bookmarkEnd w:id="2"/>
    </w:p>
    <w:p w:rsidR="00C825F2" w:rsidRPr="00EA703E" w:rsidRDefault="00C825F2" w:rsidP="00C825F2">
      <w:r w:rsidRPr="00EA703E">
        <w:t>The Department reports statewide enrollment of students with disabilities based on data collected through its October 1 Student Information Management System (SIMS) collection.</w:t>
      </w:r>
    </w:p>
    <w:p w:rsidR="00C825F2" w:rsidRPr="00EA703E" w:rsidRDefault="00C825F2" w:rsidP="00C825F2">
      <w:pPr>
        <w:rPr>
          <w:sz w:val="20"/>
          <w:szCs w:val="20"/>
        </w:rPr>
      </w:pPr>
    </w:p>
    <w:p w:rsidR="00C825F2" w:rsidRPr="00EA703E" w:rsidRDefault="00C825F2" w:rsidP="00C825F2">
      <w:pPr>
        <w:pStyle w:val="Heading2"/>
        <w:spacing w:before="120"/>
      </w:pPr>
      <w:bookmarkStart w:id="3" w:name="_Toc309819245"/>
      <w:bookmarkStart w:id="4" w:name="_Toc342312303"/>
      <w:r w:rsidRPr="00EA703E">
        <w:t>A. Longitudinal Enrollment</w:t>
      </w:r>
      <w:bookmarkEnd w:id="3"/>
      <w:bookmarkEnd w:id="4"/>
      <w:r w:rsidRPr="00EA703E">
        <w:t xml:space="preserve"> </w:t>
      </w:r>
    </w:p>
    <w:p w:rsidR="00C825F2" w:rsidRDefault="00C825F2" w:rsidP="004501CD">
      <w:pPr>
        <w:spacing w:before="120"/>
      </w:pPr>
      <w:r w:rsidRPr="00EA703E">
        <w:t>Both Massachusetts’ total student enrollment and the number of students receiving special education services were down slightly from school year 2010-2011 (SY11). However, analysis of child count data over the 10 year period SY03 to SY12 shows that there has been an 8.7 percent increase in the number of students receiving special education services over that period, compared to a 2.9 percent decrease in the total enrollment of all students. There was no change in the proportion of students receiving special education services between SY11 and SY12 (see Figure A).</w:t>
      </w:r>
    </w:p>
    <w:p w:rsidR="004501CD" w:rsidRPr="00EA703E" w:rsidRDefault="004501CD" w:rsidP="004501CD">
      <w:pPr>
        <w:spacing w:before="120"/>
        <w:rPr>
          <w:sz w:val="20"/>
          <w:szCs w:val="20"/>
        </w:rPr>
      </w:pPr>
    </w:p>
    <w:p w:rsidR="00C825F2" w:rsidRPr="00C426C2" w:rsidRDefault="00C825F2" w:rsidP="00C825F2">
      <w:pPr>
        <w:spacing w:line="276" w:lineRule="auto"/>
        <w:rPr>
          <w:b/>
        </w:rPr>
      </w:pPr>
      <w:r w:rsidRPr="00C426C2">
        <w:rPr>
          <w:b/>
        </w:rPr>
        <w:t>Figure A: Number and Percentage of Students with Disabilities, SY03–SY12</w:t>
      </w:r>
    </w:p>
    <w:tbl>
      <w:tblPr>
        <w:tblW w:w="8820" w:type="dxa"/>
        <w:tblInd w:w="108" w:type="dxa"/>
        <w:tblLook w:val="04A0"/>
      </w:tblPr>
      <w:tblGrid>
        <w:gridCol w:w="2160"/>
        <w:gridCol w:w="2160"/>
        <w:gridCol w:w="2160"/>
        <w:gridCol w:w="2340"/>
      </w:tblGrid>
      <w:tr w:rsidR="00C825F2" w:rsidRPr="00C825F2" w:rsidTr="00D8264D">
        <w:trPr>
          <w:trHeight w:val="796"/>
        </w:trPr>
        <w:tc>
          <w:tcPr>
            <w:tcW w:w="2160" w:type="dxa"/>
            <w:tcBorders>
              <w:top w:val="single" w:sz="12" w:space="0" w:color="auto"/>
              <w:bottom w:val="single" w:sz="12" w:space="0" w:color="auto"/>
            </w:tcBorders>
            <w:shd w:val="clear" w:color="auto" w:fill="auto"/>
            <w:vAlign w:val="center"/>
            <w:hideMark/>
          </w:tcPr>
          <w:p w:rsidR="00C825F2" w:rsidRPr="00C825F2" w:rsidRDefault="00C825F2" w:rsidP="00D8264D">
            <w:pPr>
              <w:jc w:val="center"/>
              <w:rPr>
                <w:rFonts w:ascii="Arial Narrow" w:hAnsi="Arial Narrow" w:cs="Calibri"/>
                <w:sz w:val="16"/>
                <w:szCs w:val="16"/>
              </w:rPr>
            </w:pPr>
            <w:r w:rsidRPr="00C825F2">
              <w:rPr>
                <w:rFonts w:ascii="Arial Narrow" w:hAnsi="Arial Narrow" w:cs="Calibri"/>
                <w:sz w:val="16"/>
                <w:szCs w:val="16"/>
              </w:rPr>
              <w:t>School Year</w:t>
            </w:r>
          </w:p>
        </w:tc>
        <w:tc>
          <w:tcPr>
            <w:tcW w:w="2160" w:type="dxa"/>
            <w:tcBorders>
              <w:top w:val="single" w:sz="12" w:space="0" w:color="auto"/>
              <w:bottom w:val="single" w:sz="12" w:space="0" w:color="auto"/>
            </w:tcBorders>
            <w:shd w:val="clear" w:color="auto" w:fill="auto"/>
            <w:vAlign w:val="center"/>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Total Special</w:t>
            </w:r>
          </w:p>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Education Enrollment</w:t>
            </w:r>
          </w:p>
        </w:tc>
        <w:tc>
          <w:tcPr>
            <w:tcW w:w="2160" w:type="dxa"/>
            <w:tcBorders>
              <w:top w:val="single" w:sz="12" w:space="0" w:color="auto"/>
              <w:bottom w:val="single" w:sz="12" w:space="0" w:color="auto"/>
            </w:tcBorders>
            <w:shd w:val="clear" w:color="auto" w:fill="auto"/>
            <w:vAlign w:val="bottom"/>
            <w:hideMark/>
          </w:tcPr>
          <w:p w:rsidR="00C825F2" w:rsidRPr="00C825F2" w:rsidRDefault="00C825F2" w:rsidP="00D8264D">
            <w:pPr>
              <w:jc w:val="center"/>
              <w:rPr>
                <w:rFonts w:ascii="Arial Narrow" w:hAnsi="Arial Narrow" w:cs="Arial"/>
                <w:sz w:val="16"/>
                <w:szCs w:val="16"/>
              </w:rPr>
            </w:pPr>
            <w:r w:rsidRPr="00C825F2">
              <w:rPr>
                <w:rFonts w:ascii="Arial Narrow" w:hAnsi="Arial Narrow" w:cs="Arial"/>
                <w:sz w:val="16"/>
                <w:szCs w:val="16"/>
              </w:rPr>
              <w:t>Total Enrollment</w:t>
            </w:r>
          </w:p>
          <w:p w:rsidR="00C825F2" w:rsidRPr="00C825F2" w:rsidRDefault="00C825F2" w:rsidP="00D8264D">
            <w:pPr>
              <w:rPr>
                <w:rFonts w:ascii="Arial Narrow" w:hAnsi="Arial Narrow" w:cs="Calibri"/>
                <w:sz w:val="16"/>
                <w:szCs w:val="16"/>
              </w:rPr>
            </w:pPr>
          </w:p>
        </w:tc>
        <w:tc>
          <w:tcPr>
            <w:tcW w:w="2340" w:type="dxa"/>
            <w:tcBorders>
              <w:top w:val="single" w:sz="12" w:space="0" w:color="auto"/>
              <w:bottom w:val="single" w:sz="12" w:space="0" w:color="auto"/>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Percentage of Students with Disabilities</w:t>
            </w:r>
          </w:p>
        </w:tc>
      </w:tr>
      <w:tr w:rsidR="00C825F2" w:rsidRPr="00C825F2" w:rsidTr="00D8264D">
        <w:trPr>
          <w:trHeight w:val="305"/>
        </w:trPr>
        <w:tc>
          <w:tcPr>
            <w:tcW w:w="2160" w:type="dxa"/>
            <w:tcBorders>
              <w:top w:val="single" w:sz="12" w:space="0" w:color="auto"/>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2002-03</w:t>
            </w:r>
          </w:p>
        </w:tc>
        <w:tc>
          <w:tcPr>
            <w:tcW w:w="2160" w:type="dxa"/>
            <w:tcBorders>
              <w:top w:val="single" w:sz="12" w:space="0" w:color="auto"/>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150,551</w:t>
            </w:r>
          </w:p>
        </w:tc>
        <w:tc>
          <w:tcPr>
            <w:tcW w:w="2160" w:type="dxa"/>
            <w:tcBorders>
              <w:top w:val="single" w:sz="12" w:space="0" w:color="auto"/>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993,463</w:t>
            </w:r>
          </w:p>
        </w:tc>
        <w:tc>
          <w:tcPr>
            <w:tcW w:w="2340" w:type="dxa"/>
            <w:tcBorders>
              <w:top w:val="single" w:sz="12" w:space="0" w:color="auto"/>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15.20%</w:t>
            </w:r>
          </w:p>
        </w:tc>
      </w:tr>
      <w:tr w:rsidR="00C825F2" w:rsidRPr="00C825F2" w:rsidTr="00D8264D">
        <w:trPr>
          <w:trHeight w:val="305"/>
        </w:trPr>
        <w:tc>
          <w:tcPr>
            <w:tcW w:w="2160" w:type="dxa"/>
            <w:tcBorders>
              <w:top w:val="nil"/>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2003-04</w:t>
            </w:r>
          </w:p>
        </w:tc>
        <w:tc>
          <w:tcPr>
            <w:tcW w:w="2160" w:type="dxa"/>
            <w:tcBorders>
              <w:top w:val="nil"/>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154,391</w:t>
            </w:r>
          </w:p>
        </w:tc>
        <w:tc>
          <w:tcPr>
            <w:tcW w:w="2160" w:type="dxa"/>
            <w:tcBorders>
              <w:top w:val="nil"/>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991,478</w:t>
            </w:r>
          </w:p>
        </w:tc>
        <w:tc>
          <w:tcPr>
            <w:tcW w:w="2340" w:type="dxa"/>
            <w:tcBorders>
              <w:top w:val="nil"/>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15.60%</w:t>
            </w:r>
          </w:p>
        </w:tc>
      </w:tr>
      <w:tr w:rsidR="00C825F2" w:rsidRPr="00C825F2" w:rsidTr="00D8264D">
        <w:trPr>
          <w:trHeight w:val="305"/>
        </w:trPr>
        <w:tc>
          <w:tcPr>
            <w:tcW w:w="2160" w:type="dxa"/>
            <w:tcBorders>
              <w:top w:val="nil"/>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2004-05</w:t>
            </w:r>
          </w:p>
        </w:tc>
        <w:tc>
          <w:tcPr>
            <w:tcW w:w="2160" w:type="dxa"/>
            <w:tcBorders>
              <w:top w:val="nil"/>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157,108</w:t>
            </w:r>
          </w:p>
        </w:tc>
        <w:tc>
          <w:tcPr>
            <w:tcW w:w="2160" w:type="dxa"/>
            <w:tcBorders>
              <w:top w:val="nil"/>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986,662</w:t>
            </w:r>
          </w:p>
        </w:tc>
        <w:tc>
          <w:tcPr>
            <w:tcW w:w="2340" w:type="dxa"/>
            <w:tcBorders>
              <w:top w:val="nil"/>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15.90%</w:t>
            </w:r>
          </w:p>
        </w:tc>
      </w:tr>
      <w:tr w:rsidR="00C825F2" w:rsidRPr="00C825F2" w:rsidTr="00D8264D">
        <w:trPr>
          <w:trHeight w:val="305"/>
        </w:trPr>
        <w:tc>
          <w:tcPr>
            <w:tcW w:w="2160" w:type="dxa"/>
            <w:tcBorders>
              <w:top w:val="nil"/>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2005-06</w:t>
            </w:r>
          </w:p>
        </w:tc>
        <w:tc>
          <w:tcPr>
            <w:tcW w:w="2160" w:type="dxa"/>
            <w:tcBorders>
              <w:top w:val="nil"/>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160,752</w:t>
            </w:r>
          </w:p>
        </w:tc>
        <w:tc>
          <w:tcPr>
            <w:tcW w:w="2160" w:type="dxa"/>
            <w:tcBorders>
              <w:top w:val="nil"/>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983,439</w:t>
            </w:r>
          </w:p>
        </w:tc>
        <w:tc>
          <w:tcPr>
            <w:tcW w:w="2340" w:type="dxa"/>
            <w:tcBorders>
              <w:top w:val="nil"/>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16.40%</w:t>
            </w:r>
          </w:p>
        </w:tc>
      </w:tr>
      <w:tr w:rsidR="00C825F2" w:rsidRPr="00C825F2" w:rsidTr="00D8264D">
        <w:trPr>
          <w:trHeight w:val="305"/>
        </w:trPr>
        <w:tc>
          <w:tcPr>
            <w:tcW w:w="2160" w:type="dxa"/>
            <w:tcBorders>
              <w:top w:val="nil"/>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2006-07</w:t>
            </w:r>
          </w:p>
        </w:tc>
        <w:tc>
          <w:tcPr>
            <w:tcW w:w="2160" w:type="dxa"/>
            <w:tcBorders>
              <w:top w:val="nil"/>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163,396</w:t>
            </w:r>
          </w:p>
        </w:tc>
        <w:tc>
          <w:tcPr>
            <w:tcW w:w="2160" w:type="dxa"/>
            <w:tcBorders>
              <w:top w:val="nil"/>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979,851</w:t>
            </w:r>
          </w:p>
        </w:tc>
        <w:tc>
          <w:tcPr>
            <w:tcW w:w="2340" w:type="dxa"/>
            <w:tcBorders>
              <w:top w:val="nil"/>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16.70%</w:t>
            </w:r>
          </w:p>
        </w:tc>
      </w:tr>
      <w:tr w:rsidR="00C825F2" w:rsidRPr="00C825F2" w:rsidTr="00D8264D">
        <w:trPr>
          <w:trHeight w:val="305"/>
        </w:trPr>
        <w:tc>
          <w:tcPr>
            <w:tcW w:w="2160" w:type="dxa"/>
            <w:tcBorders>
              <w:top w:val="nil"/>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2007-08</w:t>
            </w:r>
          </w:p>
        </w:tc>
        <w:tc>
          <w:tcPr>
            <w:tcW w:w="2160" w:type="dxa"/>
            <w:tcBorders>
              <w:top w:val="nil"/>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164,298</w:t>
            </w:r>
          </w:p>
        </w:tc>
        <w:tc>
          <w:tcPr>
            <w:tcW w:w="2160" w:type="dxa"/>
            <w:tcBorders>
              <w:top w:val="nil"/>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972,178</w:t>
            </w:r>
          </w:p>
        </w:tc>
        <w:tc>
          <w:tcPr>
            <w:tcW w:w="2340" w:type="dxa"/>
            <w:tcBorders>
              <w:top w:val="nil"/>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16.90%</w:t>
            </w:r>
          </w:p>
        </w:tc>
      </w:tr>
      <w:tr w:rsidR="00C825F2" w:rsidRPr="00C825F2" w:rsidTr="00D8264D">
        <w:trPr>
          <w:trHeight w:val="305"/>
        </w:trPr>
        <w:tc>
          <w:tcPr>
            <w:tcW w:w="2160" w:type="dxa"/>
            <w:tcBorders>
              <w:top w:val="nil"/>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2008-09</w:t>
            </w:r>
          </w:p>
        </w:tc>
        <w:tc>
          <w:tcPr>
            <w:tcW w:w="2160" w:type="dxa"/>
            <w:tcBorders>
              <w:top w:val="nil"/>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166,037</w:t>
            </w:r>
          </w:p>
        </w:tc>
        <w:tc>
          <w:tcPr>
            <w:tcW w:w="2160" w:type="dxa"/>
            <w:tcBorders>
              <w:top w:val="nil"/>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970,059</w:t>
            </w:r>
          </w:p>
        </w:tc>
        <w:tc>
          <w:tcPr>
            <w:tcW w:w="2340" w:type="dxa"/>
            <w:tcBorders>
              <w:top w:val="nil"/>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17.10%</w:t>
            </w:r>
          </w:p>
        </w:tc>
      </w:tr>
      <w:tr w:rsidR="00C825F2" w:rsidRPr="00C825F2" w:rsidTr="00D8264D">
        <w:trPr>
          <w:trHeight w:val="305"/>
        </w:trPr>
        <w:tc>
          <w:tcPr>
            <w:tcW w:w="2160" w:type="dxa"/>
            <w:tcBorders>
              <w:top w:val="nil"/>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2009-10</w:t>
            </w:r>
          </w:p>
        </w:tc>
        <w:tc>
          <w:tcPr>
            <w:tcW w:w="2160" w:type="dxa"/>
            <w:tcBorders>
              <w:top w:val="nil"/>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164,847</w:t>
            </w:r>
          </w:p>
        </w:tc>
        <w:tc>
          <w:tcPr>
            <w:tcW w:w="2160" w:type="dxa"/>
            <w:tcBorders>
              <w:top w:val="nil"/>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967,951</w:t>
            </w:r>
          </w:p>
        </w:tc>
        <w:tc>
          <w:tcPr>
            <w:tcW w:w="2340" w:type="dxa"/>
            <w:tcBorders>
              <w:top w:val="nil"/>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17.00%</w:t>
            </w:r>
          </w:p>
        </w:tc>
      </w:tr>
      <w:tr w:rsidR="00C825F2" w:rsidRPr="00C825F2" w:rsidTr="00D8264D">
        <w:trPr>
          <w:trHeight w:val="305"/>
        </w:trPr>
        <w:tc>
          <w:tcPr>
            <w:tcW w:w="2160" w:type="dxa"/>
            <w:tcBorders>
              <w:top w:val="nil"/>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2010-11</w:t>
            </w:r>
          </w:p>
        </w:tc>
        <w:tc>
          <w:tcPr>
            <w:tcW w:w="2160" w:type="dxa"/>
            <w:tcBorders>
              <w:top w:val="nil"/>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164,711</w:t>
            </w:r>
          </w:p>
        </w:tc>
        <w:tc>
          <w:tcPr>
            <w:tcW w:w="2160" w:type="dxa"/>
            <w:tcBorders>
              <w:top w:val="nil"/>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966,395</w:t>
            </w:r>
          </w:p>
        </w:tc>
        <w:tc>
          <w:tcPr>
            <w:tcW w:w="2340" w:type="dxa"/>
            <w:tcBorders>
              <w:top w:val="nil"/>
              <w:bottom w:val="nil"/>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17.00%</w:t>
            </w:r>
          </w:p>
        </w:tc>
      </w:tr>
      <w:tr w:rsidR="00C825F2" w:rsidRPr="00C825F2" w:rsidTr="00D8264D">
        <w:trPr>
          <w:trHeight w:val="321"/>
        </w:trPr>
        <w:tc>
          <w:tcPr>
            <w:tcW w:w="2160" w:type="dxa"/>
            <w:tcBorders>
              <w:top w:val="nil"/>
              <w:bottom w:val="single" w:sz="12" w:space="0" w:color="auto"/>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2011-12</w:t>
            </w:r>
          </w:p>
        </w:tc>
        <w:tc>
          <w:tcPr>
            <w:tcW w:w="2160" w:type="dxa"/>
            <w:tcBorders>
              <w:top w:val="nil"/>
              <w:bottom w:val="single" w:sz="12" w:space="0" w:color="auto"/>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163,679</w:t>
            </w:r>
          </w:p>
        </w:tc>
        <w:tc>
          <w:tcPr>
            <w:tcW w:w="2160" w:type="dxa"/>
            <w:tcBorders>
              <w:top w:val="nil"/>
              <w:bottom w:val="single" w:sz="12" w:space="0" w:color="auto"/>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964,198</w:t>
            </w:r>
          </w:p>
        </w:tc>
        <w:tc>
          <w:tcPr>
            <w:tcW w:w="2340" w:type="dxa"/>
            <w:tcBorders>
              <w:top w:val="nil"/>
              <w:bottom w:val="single" w:sz="12" w:space="0" w:color="auto"/>
            </w:tcBorders>
            <w:shd w:val="clear" w:color="auto" w:fill="auto"/>
            <w:vAlign w:val="bottom"/>
            <w:hideMark/>
          </w:tcPr>
          <w:p w:rsidR="00C825F2" w:rsidRPr="00C825F2" w:rsidRDefault="00C825F2" w:rsidP="00D8264D">
            <w:pPr>
              <w:jc w:val="center"/>
              <w:rPr>
                <w:rFonts w:ascii="Arial Narrow" w:hAnsi="Arial Narrow" w:cs="Calibri"/>
                <w:sz w:val="16"/>
                <w:szCs w:val="16"/>
              </w:rPr>
            </w:pPr>
            <w:r w:rsidRPr="00C825F2">
              <w:rPr>
                <w:rFonts w:ascii="Arial Narrow" w:hAnsi="Arial Narrow" w:cs="Arial"/>
                <w:sz w:val="16"/>
                <w:szCs w:val="16"/>
              </w:rPr>
              <w:t>17.00%</w:t>
            </w:r>
          </w:p>
        </w:tc>
      </w:tr>
    </w:tbl>
    <w:p w:rsidR="00C825F2" w:rsidRDefault="00C825F2" w:rsidP="00C825F2">
      <w:pPr>
        <w:pStyle w:val="Heading2"/>
      </w:pPr>
      <w:bookmarkStart w:id="5" w:name="_Toc342312304"/>
      <w:r w:rsidRPr="00C825F2">
        <w:rPr>
          <w:b w:val="0"/>
          <w:sz w:val="16"/>
          <w:szCs w:val="16"/>
        </w:rPr>
        <w:t>Source: Massachusetts Student Information Management System</w:t>
      </w:r>
      <w:bookmarkEnd w:id="5"/>
      <w:r w:rsidRPr="00C825F2">
        <w:rPr>
          <w:b w:val="0"/>
          <w:sz w:val="16"/>
          <w:szCs w:val="16"/>
        </w:rPr>
        <w:t xml:space="preserve"> </w:t>
      </w:r>
      <w:bookmarkStart w:id="6" w:name="_Toc309819246"/>
      <w:r w:rsidRPr="00C825F2">
        <w:rPr>
          <w:b w:val="0"/>
          <w:sz w:val="16"/>
          <w:szCs w:val="16"/>
        </w:rPr>
        <w:br/>
      </w:r>
    </w:p>
    <w:p w:rsidR="00C825F2" w:rsidRPr="00EA703E" w:rsidRDefault="00C825F2" w:rsidP="00C825F2">
      <w:pPr>
        <w:pStyle w:val="Heading2"/>
      </w:pPr>
      <w:bookmarkStart w:id="7" w:name="_Toc342312305"/>
      <w:r w:rsidRPr="00EA703E">
        <w:t>B. Percentage of Students with Disabilities Who Receive Services by Educational Environment</w:t>
      </w:r>
      <w:bookmarkEnd w:id="6"/>
      <w:bookmarkEnd w:id="7"/>
      <w:r w:rsidRPr="00EA703E">
        <w:t xml:space="preserve"> </w:t>
      </w:r>
    </w:p>
    <w:p w:rsidR="00C825F2" w:rsidRPr="00EA703E" w:rsidRDefault="00C825F2" w:rsidP="00C825F2"/>
    <w:p w:rsidR="00C825F2" w:rsidRPr="00EA703E" w:rsidRDefault="00C825F2" w:rsidP="00C825F2">
      <w:r w:rsidRPr="00EA703E">
        <w:t>Students with disabilities placed in full inclusion environments, ages 6-21, represent more than half of all students with disabilities in SY12. The percentage of students in full inclusion environments is 58.1 percent, in partial inclusion is 19.9 percent, and in substantially separate is 15.0 percent. The percentage of students in all other placements (i.e., separate schools, residential facilities, homebound/hospital, and correctional facilities) is 7.0 percent. There have been no significant changes in the percentages of students in these four major placement categories over the past few years. (See Figure B below.)</w:t>
      </w:r>
    </w:p>
    <w:p w:rsidR="00F35FBE" w:rsidRDefault="00F35FBE" w:rsidP="00F35FBE">
      <w:pPr>
        <w:spacing w:line="276" w:lineRule="auto"/>
        <w:rPr>
          <w:u w:val="single"/>
        </w:rPr>
      </w:pPr>
    </w:p>
    <w:p w:rsidR="00F35FBE" w:rsidRPr="00EA703E" w:rsidRDefault="00F35FBE" w:rsidP="00F35FBE">
      <w:pPr>
        <w:spacing w:line="276" w:lineRule="auto"/>
        <w:rPr>
          <w:b/>
        </w:rPr>
      </w:pPr>
      <w:r w:rsidRPr="00EA703E">
        <w:rPr>
          <w:u w:val="single"/>
        </w:rPr>
        <w:t>Definitions</w:t>
      </w:r>
      <w:r w:rsidRPr="00EA703E">
        <w:rPr>
          <w:b/>
          <w:u w:val="single"/>
        </w:rPr>
        <w:t>:</w:t>
      </w:r>
      <w:r w:rsidRPr="00EA703E">
        <w:rPr>
          <w:b/>
        </w:rPr>
        <w:t xml:space="preserve"> </w:t>
      </w:r>
    </w:p>
    <w:p w:rsidR="00F35FBE" w:rsidRPr="00EA703E" w:rsidRDefault="00F35FBE" w:rsidP="007A1237">
      <w:pPr>
        <w:numPr>
          <w:ilvl w:val="0"/>
          <w:numId w:val="11"/>
        </w:numPr>
        <w:ind w:left="720"/>
      </w:pPr>
      <w:r w:rsidRPr="00EA703E">
        <w:t>Full Inclusion – at least 80 percent of the time in general education classroom</w:t>
      </w:r>
    </w:p>
    <w:p w:rsidR="00F35FBE" w:rsidRPr="00EA703E" w:rsidRDefault="00F35FBE" w:rsidP="007A1237">
      <w:pPr>
        <w:numPr>
          <w:ilvl w:val="0"/>
          <w:numId w:val="11"/>
        </w:numPr>
        <w:ind w:left="720"/>
      </w:pPr>
      <w:r w:rsidRPr="00EA703E">
        <w:t>Partial Inclusion – 40 percent to 79 percent of the time in general education classroom</w:t>
      </w:r>
    </w:p>
    <w:p w:rsidR="00F35FBE" w:rsidRPr="00EA703E" w:rsidRDefault="00F35FBE" w:rsidP="007A1237">
      <w:pPr>
        <w:numPr>
          <w:ilvl w:val="0"/>
          <w:numId w:val="11"/>
        </w:numPr>
        <w:ind w:left="720"/>
      </w:pPr>
      <w:r w:rsidRPr="00EA703E">
        <w:t>Substantially Separate – less than 40 percent in general education classroom</w:t>
      </w:r>
    </w:p>
    <w:p w:rsidR="00F35FBE" w:rsidRPr="00EA703E" w:rsidRDefault="00F35FBE" w:rsidP="007A1237">
      <w:pPr>
        <w:numPr>
          <w:ilvl w:val="0"/>
          <w:numId w:val="11"/>
        </w:numPr>
        <w:ind w:left="720"/>
      </w:pPr>
      <w:r w:rsidRPr="00EA703E">
        <w:t xml:space="preserve">Other – separate schools, residential facilities, homebound/hospital and correctional facilities </w:t>
      </w:r>
    </w:p>
    <w:p w:rsidR="00F35FBE" w:rsidRPr="00EA703E" w:rsidRDefault="00F35FBE" w:rsidP="00C825F2"/>
    <w:p w:rsidR="00C825F2" w:rsidRPr="00C426C2" w:rsidRDefault="00C825F2" w:rsidP="00C825F2">
      <w:pPr>
        <w:keepNext/>
        <w:rPr>
          <w:b/>
        </w:rPr>
      </w:pPr>
      <w:r w:rsidRPr="00C426C2">
        <w:rPr>
          <w:b/>
        </w:rPr>
        <w:t xml:space="preserve">Figure B: Special Education Students, Ages 6-21, by Educational Environment (SY09-SY12) </w:t>
      </w:r>
    </w:p>
    <w:p w:rsidR="00C825F2" w:rsidRPr="00EA703E" w:rsidRDefault="00834B13" w:rsidP="00C825F2">
      <w:pPr>
        <w:keepNext/>
      </w:pPr>
      <w:bookmarkStart w:id="8" w:name="_MON_1382871766"/>
      <w:bookmarkStart w:id="9" w:name="_MON_1382968152"/>
      <w:bookmarkEnd w:id="8"/>
      <w:bookmarkEnd w:id="9"/>
      <w:r>
        <w:rPr>
          <w:noProof/>
          <w:lang w:eastAsia="zh-CN"/>
        </w:rPr>
        <w:drawing>
          <wp:inline distT="0" distB="0" distL="0" distR="0">
            <wp:extent cx="6000750" cy="3619500"/>
            <wp:effectExtent l="19050" t="0" r="0" b="0"/>
            <wp:docPr id="6" name="Picture 6" descr="Bar Graph: Special Education  Students, Ages 6-21, by Educational Environment (SY09-SY12)&#10;&#10;SY09&#10;Full Inclusion:56.8&#10;Partial Inclusion:21.1&#10;Substantially Separate: 15.4&#10;Other: 6.8&#10;&#10;SY10&#10;Full Inclusion: 57.0&#10;Partial Inclusion: 20.8&#10;Substantially Separate: 15.4&#10;Other: 6.8&#10;&#10;SY11&#10;Full Inclusion: 58.0&#10;Partial Inclusion: 20.1&#10;Substantially Separate: 15.1&#10;Other: 6.8&#10;&#10;SY12&#10;Full Inclusion: 58.1&#10;Partial Inclusion: 19.9&#10;Substantially Separate: 15.0&#10;Other: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6000750" cy="3619500"/>
                    </a:xfrm>
                    <a:prstGeom prst="rect">
                      <a:avLst/>
                    </a:prstGeom>
                    <a:noFill/>
                    <a:ln w="9525">
                      <a:noFill/>
                      <a:miter lim="800000"/>
                      <a:headEnd/>
                      <a:tailEnd/>
                    </a:ln>
                  </pic:spPr>
                </pic:pic>
              </a:graphicData>
            </a:graphic>
          </wp:inline>
        </w:drawing>
      </w:r>
    </w:p>
    <w:p w:rsidR="00C825F2" w:rsidRPr="00EA703E" w:rsidRDefault="00C825F2" w:rsidP="00C825F2">
      <w:pPr>
        <w:keepNext/>
        <w:rPr>
          <w:rFonts w:ascii="Arial" w:hAnsi="Arial" w:cs="Arial"/>
          <w:i/>
          <w:sz w:val="16"/>
          <w:szCs w:val="16"/>
        </w:rPr>
      </w:pPr>
      <w:r w:rsidRPr="00EA703E">
        <w:rPr>
          <w:rFonts w:ascii="Arial" w:hAnsi="Arial" w:cs="Arial"/>
          <w:i/>
          <w:sz w:val="16"/>
          <w:szCs w:val="16"/>
        </w:rPr>
        <w:t xml:space="preserve">Note: This chart compares students, ages 6-21, in full inclusion, partial inclusion and substantially separate environments, as well as out-of-district placements for the past four years, as a percentage of all enrolled students ages 6-21 receiving special education services. </w:t>
      </w:r>
    </w:p>
    <w:p w:rsidR="00C825F2" w:rsidRPr="00EA703E" w:rsidRDefault="00C825F2" w:rsidP="00C825F2">
      <w:pPr>
        <w:keepNext/>
        <w:rPr>
          <w:rFonts w:ascii="Arial" w:hAnsi="Arial" w:cs="Arial"/>
          <w:i/>
          <w:sz w:val="16"/>
          <w:szCs w:val="16"/>
        </w:rPr>
      </w:pPr>
      <w:r w:rsidRPr="00EA703E">
        <w:rPr>
          <w:rFonts w:ascii="Arial" w:hAnsi="Arial" w:cs="Arial"/>
          <w:i/>
          <w:sz w:val="16"/>
          <w:szCs w:val="16"/>
        </w:rPr>
        <w:t>Source: Massachusetts Student Information Management System</w:t>
      </w:r>
    </w:p>
    <w:p w:rsidR="00C825F2" w:rsidRPr="00EA703E" w:rsidRDefault="00C825F2" w:rsidP="00C825F2">
      <w:pPr>
        <w:spacing w:line="276" w:lineRule="auto"/>
        <w:rPr>
          <w:u w:val="single"/>
        </w:rPr>
      </w:pPr>
    </w:p>
    <w:p w:rsidR="00C825F2" w:rsidRPr="00EA703E" w:rsidRDefault="00C825F2" w:rsidP="00C825F2">
      <w:pPr>
        <w:pStyle w:val="Heading2"/>
      </w:pPr>
      <w:bookmarkStart w:id="10" w:name="_Toc309819247"/>
      <w:bookmarkStart w:id="11" w:name="_Toc342312306"/>
      <w:r w:rsidRPr="00EA703E">
        <w:t>C. Percentage of Students with Disabilities by Other Special Population Status</w:t>
      </w:r>
      <w:bookmarkEnd w:id="10"/>
      <w:bookmarkEnd w:id="11"/>
    </w:p>
    <w:p w:rsidR="00C825F2" w:rsidRPr="00EA703E" w:rsidRDefault="00C825F2" w:rsidP="00C825F2">
      <w:pPr>
        <w:spacing w:before="120"/>
      </w:pPr>
      <w:r w:rsidRPr="00EA703E">
        <w:t>Over the past few years, there have been</w:t>
      </w:r>
      <w:r w:rsidR="00A663DF">
        <w:t xml:space="preserve"> </w:t>
      </w:r>
      <w:r w:rsidRPr="00EA703E">
        <w:t xml:space="preserve">increases in the percentages of special education students who are also in the categories of low income, limited English proficiency (LEP), and first language not English (FLNE). In SY12, percentages of students with disabilities who are also part of other special populations are: </w:t>
      </w:r>
    </w:p>
    <w:p w:rsidR="00C825F2" w:rsidRPr="00EA703E" w:rsidRDefault="00C825F2" w:rsidP="00C825F2">
      <w:pPr>
        <w:rPr>
          <w:sz w:val="6"/>
          <w:szCs w:val="6"/>
        </w:rPr>
      </w:pPr>
    </w:p>
    <w:p w:rsidR="00A663DF" w:rsidRPr="00C92410" w:rsidRDefault="00C825F2" w:rsidP="007A1237">
      <w:pPr>
        <w:numPr>
          <w:ilvl w:val="0"/>
          <w:numId w:val="10"/>
        </w:numPr>
        <w:spacing w:line="276" w:lineRule="auto"/>
        <w:ind w:left="720"/>
      </w:pPr>
      <w:r w:rsidRPr="00EA703E">
        <w:t xml:space="preserve">Low income </w:t>
      </w:r>
      <w:r w:rsidR="00C72B0B">
        <w:t>– 44.2 percent</w:t>
      </w:r>
      <w:r w:rsidR="00A663DF">
        <w:t xml:space="preserve"> (an increase of 1.0 percentage point over SY11)</w:t>
      </w:r>
      <w:r w:rsidR="00A663DF" w:rsidRPr="00C92410">
        <w:t>.</w:t>
      </w:r>
    </w:p>
    <w:p w:rsidR="00C825F2" w:rsidRPr="00EA703E" w:rsidRDefault="00C825F2" w:rsidP="007A1237">
      <w:pPr>
        <w:numPr>
          <w:ilvl w:val="0"/>
          <w:numId w:val="10"/>
        </w:numPr>
        <w:spacing w:line="276" w:lineRule="auto"/>
        <w:ind w:left="720"/>
      </w:pPr>
      <w:r w:rsidRPr="00EA703E">
        <w:t>LEP – 7.0 percen</w:t>
      </w:r>
      <w:r w:rsidR="00A663DF">
        <w:t>t (an increase of 0.8 percentage points over SY11)</w:t>
      </w:r>
      <w:r w:rsidRPr="00EA703E">
        <w:t>.</w:t>
      </w:r>
    </w:p>
    <w:p w:rsidR="00C825F2" w:rsidRPr="00EA703E" w:rsidRDefault="00C825F2" w:rsidP="007A1237">
      <w:pPr>
        <w:numPr>
          <w:ilvl w:val="0"/>
          <w:numId w:val="10"/>
        </w:numPr>
        <w:spacing w:after="120" w:line="276" w:lineRule="auto"/>
        <w:ind w:left="720"/>
      </w:pPr>
      <w:r w:rsidRPr="00EA703E">
        <w:t>FLNE – 15.5 percent</w:t>
      </w:r>
      <w:r w:rsidR="00A663DF">
        <w:t xml:space="preserve"> (an increase of 0.6 percentage points over SY11)</w:t>
      </w:r>
      <w:r w:rsidRPr="00EA703E">
        <w:t>.</w:t>
      </w:r>
    </w:p>
    <w:p w:rsidR="00C825F2" w:rsidRPr="00EA703E" w:rsidRDefault="00C825F2" w:rsidP="00C825F2">
      <w:r w:rsidRPr="00EA703E">
        <w:t xml:space="preserve">While 44.2 percent of students with disabilities come from low income families, the incident rate in general education population is only 33.1 percent. </w:t>
      </w:r>
      <w:r>
        <w:t xml:space="preserve">The data show that </w:t>
      </w:r>
      <w:r w:rsidRPr="00EA703E">
        <w:t xml:space="preserve">low income students are more likely to be identified as eligible for special education. Additionally, while these special population status figures are not cumulative, each one adds another area of challenge for the eligible student in addition to the </w:t>
      </w:r>
      <w:r w:rsidR="001F0E27" w:rsidRPr="00EA703E">
        <w:t>disability (</w:t>
      </w:r>
      <w:proofErr w:type="spellStart"/>
      <w:r w:rsidRPr="00EA703E">
        <w:t>ies</w:t>
      </w:r>
      <w:proofErr w:type="spellEnd"/>
      <w:r w:rsidRPr="00EA703E">
        <w:t>) that has already been identified as interfering with the student’s ability to make effective educational progress.</w:t>
      </w:r>
    </w:p>
    <w:p w:rsidR="00C825F2" w:rsidRPr="00EA703E" w:rsidRDefault="00C825F2" w:rsidP="00C825F2">
      <w:pPr>
        <w:pStyle w:val="Heading2"/>
      </w:pPr>
      <w:bookmarkStart w:id="12" w:name="_Toc342312307"/>
      <w:r w:rsidRPr="00EA703E">
        <w:t xml:space="preserve">D. </w:t>
      </w:r>
      <w:bookmarkStart w:id="13" w:name="_Toc309819248"/>
      <w:r w:rsidRPr="00EA703E">
        <w:t>Student Identification by Disability Category</w:t>
      </w:r>
      <w:bookmarkEnd w:id="12"/>
      <w:bookmarkEnd w:id="13"/>
    </w:p>
    <w:p w:rsidR="00D44FC2" w:rsidRDefault="00D44FC2" w:rsidP="00C825F2"/>
    <w:p w:rsidR="00C825F2" w:rsidRDefault="00C825F2" w:rsidP="00C825F2">
      <w:r w:rsidRPr="00EA703E">
        <w:t xml:space="preserve">The following table identifies numbers and percentages of students with disabilities by disability category. SY08 and SY12 data are used to demonstrate change over </w:t>
      </w:r>
      <w:r w:rsidR="00A663DF">
        <w:t>a five year period w</w:t>
      </w:r>
      <w:r w:rsidRPr="00EA703E">
        <w:t xml:space="preserve">ithin categories. </w:t>
      </w:r>
    </w:p>
    <w:p w:rsidR="00D44FC2" w:rsidRDefault="00D44FC2" w:rsidP="00C825F2"/>
    <w:p w:rsidR="003D4673" w:rsidRPr="00EA703E" w:rsidRDefault="003D4673" w:rsidP="003D4673">
      <w:pPr>
        <w:keepNext/>
        <w:rPr>
          <w:b/>
        </w:rPr>
      </w:pPr>
      <w:r>
        <w:rPr>
          <w:b/>
        </w:rPr>
        <w:t>F</w:t>
      </w:r>
      <w:r w:rsidRPr="00EA703E">
        <w:rPr>
          <w:b/>
        </w:rPr>
        <w:t>igure C: Number and Percentage of Disability Categories Ages 3-21 (SY08 and SY12)</w:t>
      </w:r>
    </w:p>
    <w:p w:rsidR="003D4673" w:rsidRPr="00EA703E" w:rsidRDefault="003D4673" w:rsidP="003D4673">
      <w:pPr>
        <w:keepNext/>
        <w:rPr>
          <w:b/>
        </w:rPr>
      </w:pPr>
    </w:p>
    <w:tbl>
      <w:tblPr>
        <w:tblW w:w="6040" w:type="dxa"/>
        <w:tblInd w:w="603" w:type="dxa"/>
        <w:tblBorders>
          <w:top w:val="single" w:sz="12" w:space="0" w:color="auto"/>
          <w:bottom w:val="single" w:sz="12" w:space="0" w:color="auto"/>
        </w:tblBorders>
        <w:tblCellMar>
          <w:top w:w="43" w:type="dxa"/>
          <w:left w:w="115" w:type="dxa"/>
          <w:bottom w:w="43" w:type="dxa"/>
          <w:right w:w="115" w:type="dxa"/>
        </w:tblCellMar>
        <w:tblLook w:val="01E0"/>
      </w:tblPr>
      <w:tblGrid>
        <w:gridCol w:w="2334"/>
        <w:gridCol w:w="935"/>
        <w:gridCol w:w="909"/>
        <w:gridCol w:w="935"/>
        <w:gridCol w:w="927"/>
      </w:tblGrid>
      <w:tr w:rsidR="003D4673" w:rsidRPr="00EA703E" w:rsidTr="003D4673">
        <w:trPr>
          <w:trHeight w:val="285"/>
        </w:trPr>
        <w:tc>
          <w:tcPr>
            <w:tcW w:w="2334" w:type="dxa"/>
            <w:vMerge w:val="restart"/>
            <w:tcBorders>
              <w:bottom w:val="single" w:sz="6" w:space="0" w:color="auto"/>
            </w:tcBorders>
            <w:shd w:val="clear" w:color="auto" w:fill="auto"/>
            <w:vAlign w:val="center"/>
          </w:tcPr>
          <w:p w:rsidR="003D4673" w:rsidRPr="00EA703E" w:rsidRDefault="003D4673" w:rsidP="003D4673">
            <w:pPr>
              <w:keepNext/>
              <w:rPr>
                <w:rFonts w:ascii="Arial Narrow" w:hAnsi="Arial Narrow" w:cs="Arial"/>
                <w:b/>
                <w:sz w:val="20"/>
                <w:szCs w:val="20"/>
              </w:rPr>
            </w:pPr>
            <w:r w:rsidRPr="00EA703E">
              <w:rPr>
                <w:rFonts w:ascii="Arial Narrow" w:hAnsi="Arial Narrow" w:cs="Arial"/>
                <w:b/>
                <w:sz w:val="20"/>
                <w:szCs w:val="20"/>
              </w:rPr>
              <w:t>Primary Disability</w:t>
            </w:r>
          </w:p>
        </w:tc>
        <w:tc>
          <w:tcPr>
            <w:tcW w:w="1844" w:type="dxa"/>
            <w:gridSpan w:val="2"/>
            <w:tcBorders>
              <w:bottom w:val="single" w:sz="6" w:space="0" w:color="auto"/>
            </w:tcBorders>
            <w:shd w:val="clear" w:color="auto" w:fill="auto"/>
            <w:vAlign w:val="center"/>
          </w:tcPr>
          <w:p w:rsidR="003D4673" w:rsidRPr="00EA703E" w:rsidRDefault="003D4673" w:rsidP="003D4673">
            <w:pPr>
              <w:keepNext/>
              <w:rPr>
                <w:rFonts w:ascii="Arial Narrow" w:hAnsi="Arial Narrow" w:cs="Arial"/>
                <w:b/>
                <w:sz w:val="20"/>
                <w:szCs w:val="20"/>
              </w:rPr>
            </w:pPr>
            <w:r w:rsidRPr="00EA703E">
              <w:rPr>
                <w:rFonts w:ascii="Arial Narrow" w:hAnsi="Arial Narrow" w:cs="Arial"/>
                <w:b/>
                <w:sz w:val="20"/>
                <w:szCs w:val="20"/>
              </w:rPr>
              <w:t>SY08</w:t>
            </w:r>
          </w:p>
        </w:tc>
        <w:tc>
          <w:tcPr>
            <w:tcW w:w="1862" w:type="dxa"/>
            <w:gridSpan w:val="2"/>
            <w:tcBorders>
              <w:bottom w:val="single" w:sz="6" w:space="0" w:color="auto"/>
            </w:tcBorders>
            <w:shd w:val="clear" w:color="auto" w:fill="auto"/>
            <w:vAlign w:val="center"/>
          </w:tcPr>
          <w:p w:rsidR="003D4673" w:rsidRPr="00EA703E" w:rsidRDefault="003D4673" w:rsidP="003D4673">
            <w:pPr>
              <w:keepNext/>
              <w:rPr>
                <w:rFonts w:ascii="Arial Narrow" w:hAnsi="Arial Narrow" w:cs="Arial"/>
                <w:b/>
                <w:sz w:val="20"/>
                <w:szCs w:val="20"/>
              </w:rPr>
            </w:pPr>
            <w:r w:rsidRPr="00EA703E">
              <w:rPr>
                <w:rFonts w:ascii="Arial Narrow" w:hAnsi="Arial Narrow" w:cs="Arial"/>
                <w:b/>
                <w:sz w:val="20"/>
                <w:szCs w:val="20"/>
              </w:rPr>
              <w:t>SY12</w:t>
            </w:r>
          </w:p>
        </w:tc>
      </w:tr>
      <w:tr w:rsidR="003D4673" w:rsidRPr="00EA703E" w:rsidTr="003D4673">
        <w:trPr>
          <w:trHeight w:val="255"/>
        </w:trPr>
        <w:tc>
          <w:tcPr>
            <w:tcW w:w="2334" w:type="dxa"/>
            <w:vMerge/>
            <w:tcBorders>
              <w:bottom w:val="single" w:sz="12" w:space="0" w:color="auto"/>
            </w:tcBorders>
            <w:shd w:val="clear" w:color="auto" w:fill="auto"/>
            <w:vAlign w:val="center"/>
          </w:tcPr>
          <w:p w:rsidR="003D4673" w:rsidRPr="00EA703E" w:rsidRDefault="003D4673" w:rsidP="003D4673">
            <w:pPr>
              <w:keepNext/>
              <w:rPr>
                <w:rFonts w:ascii="Arial Narrow" w:hAnsi="Arial Narrow" w:cs="Arial"/>
                <w:sz w:val="20"/>
                <w:szCs w:val="20"/>
              </w:rPr>
            </w:pPr>
          </w:p>
        </w:tc>
        <w:tc>
          <w:tcPr>
            <w:tcW w:w="935" w:type="dxa"/>
            <w:tcBorders>
              <w:bottom w:val="single" w:sz="12" w:space="0" w:color="auto"/>
            </w:tcBorders>
            <w:shd w:val="clear" w:color="auto" w:fill="auto"/>
            <w:vAlign w:val="center"/>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w:t>
            </w:r>
          </w:p>
        </w:tc>
        <w:tc>
          <w:tcPr>
            <w:tcW w:w="909" w:type="dxa"/>
            <w:tcBorders>
              <w:bottom w:val="single" w:sz="12" w:space="0" w:color="auto"/>
            </w:tcBorders>
            <w:shd w:val="clear" w:color="auto" w:fill="auto"/>
            <w:vAlign w:val="center"/>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w:t>
            </w:r>
          </w:p>
        </w:tc>
        <w:tc>
          <w:tcPr>
            <w:tcW w:w="935" w:type="dxa"/>
            <w:tcBorders>
              <w:bottom w:val="single" w:sz="12" w:space="0" w:color="auto"/>
            </w:tcBorders>
            <w:shd w:val="clear" w:color="auto" w:fill="auto"/>
            <w:vAlign w:val="center"/>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w:t>
            </w:r>
          </w:p>
        </w:tc>
        <w:tc>
          <w:tcPr>
            <w:tcW w:w="927" w:type="dxa"/>
            <w:tcBorders>
              <w:bottom w:val="single" w:sz="12" w:space="0" w:color="auto"/>
            </w:tcBorders>
            <w:shd w:val="clear" w:color="auto" w:fill="auto"/>
            <w:vAlign w:val="center"/>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w:t>
            </w:r>
          </w:p>
        </w:tc>
      </w:tr>
      <w:tr w:rsidR="003D4673" w:rsidRPr="00EA703E" w:rsidTr="003D4673">
        <w:trPr>
          <w:trHeight w:val="255"/>
        </w:trPr>
        <w:tc>
          <w:tcPr>
            <w:tcW w:w="2334" w:type="dxa"/>
            <w:tcBorders>
              <w:top w:val="single" w:sz="12" w:space="0" w:color="auto"/>
              <w:bottom w:val="nil"/>
            </w:tcBorders>
            <w:shd w:val="clear" w:color="auto" w:fill="auto"/>
            <w:vAlign w:val="center"/>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Autism</w:t>
            </w:r>
          </w:p>
        </w:tc>
        <w:tc>
          <w:tcPr>
            <w:tcW w:w="935" w:type="dxa"/>
            <w:tcBorders>
              <w:top w:val="single" w:sz="12" w:space="0" w:color="auto"/>
              <w:bottom w:val="nil"/>
            </w:tcBorders>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8,668</w:t>
            </w:r>
          </w:p>
        </w:tc>
        <w:tc>
          <w:tcPr>
            <w:tcW w:w="909" w:type="dxa"/>
            <w:tcBorders>
              <w:top w:val="single" w:sz="12" w:space="0" w:color="auto"/>
              <w:bottom w:val="nil"/>
            </w:tcBorders>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5.3%</w:t>
            </w:r>
          </w:p>
        </w:tc>
        <w:tc>
          <w:tcPr>
            <w:tcW w:w="935" w:type="dxa"/>
            <w:tcBorders>
              <w:top w:val="single" w:sz="12" w:space="0" w:color="auto"/>
              <w:bottom w:val="nil"/>
            </w:tcBorders>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13,228</w:t>
            </w:r>
          </w:p>
        </w:tc>
        <w:tc>
          <w:tcPr>
            <w:tcW w:w="927" w:type="dxa"/>
            <w:tcBorders>
              <w:top w:val="single" w:sz="12" w:space="0" w:color="auto"/>
              <w:bottom w:val="nil"/>
            </w:tcBorders>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8.1%</w:t>
            </w:r>
          </w:p>
        </w:tc>
      </w:tr>
      <w:tr w:rsidR="003D4673" w:rsidRPr="00EA703E" w:rsidTr="003D4673">
        <w:trPr>
          <w:trHeight w:val="255"/>
        </w:trPr>
        <w:tc>
          <w:tcPr>
            <w:tcW w:w="2334" w:type="dxa"/>
            <w:tcBorders>
              <w:top w:val="nil"/>
            </w:tcBorders>
            <w:shd w:val="clear" w:color="auto" w:fill="auto"/>
            <w:vAlign w:val="center"/>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Communication</w:t>
            </w:r>
          </w:p>
        </w:tc>
        <w:tc>
          <w:tcPr>
            <w:tcW w:w="935" w:type="dxa"/>
            <w:tcBorders>
              <w:top w:val="nil"/>
            </w:tcBorders>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27,499</w:t>
            </w:r>
          </w:p>
        </w:tc>
        <w:tc>
          <w:tcPr>
            <w:tcW w:w="909" w:type="dxa"/>
            <w:tcBorders>
              <w:top w:val="nil"/>
            </w:tcBorders>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16.7%</w:t>
            </w:r>
          </w:p>
        </w:tc>
        <w:tc>
          <w:tcPr>
            <w:tcW w:w="935" w:type="dxa"/>
            <w:tcBorders>
              <w:top w:val="nil"/>
            </w:tcBorders>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29,444</w:t>
            </w:r>
          </w:p>
        </w:tc>
        <w:tc>
          <w:tcPr>
            <w:tcW w:w="927" w:type="dxa"/>
            <w:tcBorders>
              <w:top w:val="nil"/>
            </w:tcBorders>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18.0%</w:t>
            </w:r>
          </w:p>
        </w:tc>
      </w:tr>
      <w:tr w:rsidR="003D4673" w:rsidRPr="00EA703E" w:rsidTr="003D4673">
        <w:trPr>
          <w:trHeight w:val="255"/>
        </w:trPr>
        <w:tc>
          <w:tcPr>
            <w:tcW w:w="2334" w:type="dxa"/>
            <w:shd w:val="clear" w:color="auto" w:fill="auto"/>
            <w:vAlign w:val="center"/>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Developmental Delay</w:t>
            </w:r>
          </w:p>
        </w:tc>
        <w:tc>
          <w:tcPr>
            <w:tcW w:w="935"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16,434</w:t>
            </w:r>
          </w:p>
        </w:tc>
        <w:tc>
          <w:tcPr>
            <w:tcW w:w="909"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10.0%</w:t>
            </w:r>
          </w:p>
        </w:tc>
        <w:tc>
          <w:tcPr>
            <w:tcW w:w="935"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17,552</w:t>
            </w:r>
          </w:p>
        </w:tc>
        <w:tc>
          <w:tcPr>
            <w:tcW w:w="927"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10.7%</w:t>
            </w:r>
          </w:p>
        </w:tc>
      </w:tr>
      <w:tr w:rsidR="003D4673" w:rsidRPr="00EA703E" w:rsidTr="003D4673">
        <w:trPr>
          <w:trHeight w:val="255"/>
        </w:trPr>
        <w:tc>
          <w:tcPr>
            <w:tcW w:w="2334" w:type="dxa"/>
            <w:shd w:val="clear" w:color="auto" w:fill="auto"/>
            <w:vAlign w:val="center"/>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Emotional</w:t>
            </w:r>
          </w:p>
        </w:tc>
        <w:tc>
          <w:tcPr>
            <w:tcW w:w="935"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13,724</w:t>
            </w:r>
          </w:p>
        </w:tc>
        <w:tc>
          <w:tcPr>
            <w:tcW w:w="909"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8.4%</w:t>
            </w:r>
          </w:p>
        </w:tc>
        <w:tc>
          <w:tcPr>
            <w:tcW w:w="935"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13,932</w:t>
            </w:r>
          </w:p>
        </w:tc>
        <w:tc>
          <w:tcPr>
            <w:tcW w:w="927"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8.5%</w:t>
            </w:r>
          </w:p>
        </w:tc>
      </w:tr>
      <w:tr w:rsidR="003D4673" w:rsidRPr="00EA703E" w:rsidTr="003D4673">
        <w:trPr>
          <w:trHeight w:val="255"/>
        </w:trPr>
        <w:tc>
          <w:tcPr>
            <w:tcW w:w="2334" w:type="dxa"/>
            <w:shd w:val="clear" w:color="auto" w:fill="auto"/>
            <w:vAlign w:val="center"/>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Health</w:t>
            </w:r>
          </w:p>
        </w:tc>
        <w:tc>
          <w:tcPr>
            <w:tcW w:w="935"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10,539</w:t>
            </w:r>
          </w:p>
        </w:tc>
        <w:tc>
          <w:tcPr>
            <w:tcW w:w="909"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6.4%</w:t>
            </w:r>
          </w:p>
        </w:tc>
        <w:tc>
          <w:tcPr>
            <w:tcW w:w="935"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15,304</w:t>
            </w:r>
          </w:p>
        </w:tc>
        <w:tc>
          <w:tcPr>
            <w:tcW w:w="927"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9.4%</w:t>
            </w:r>
          </w:p>
        </w:tc>
      </w:tr>
      <w:tr w:rsidR="003D4673" w:rsidRPr="00EA703E" w:rsidTr="003D4673">
        <w:trPr>
          <w:trHeight w:val="255"/>
        </w:trPr>
        <w:tc>
          <w:tcPr>
            <w:tcW w:w="2334" w:type="dxa"/>
            <w:shd w:val="clear" w:color="auto" w:fill="auto"/>
            <w:vAlign w:val="center"/>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Intellectual</w:t>
            </w:r>
          </w:p>
        </w:tc>
        <w:tc>
          <w:tcPr>
            <w:tcW w:w="935"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11,228</w:t>
            </w:r>
          </w:p>
        </w:tc>
        <w:tc>
          <w:tcPr>
            <w:tcW w:w="909"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6.8%</w:t>
            </w:r>
          </w:p>
        </w:tc>
        <w:tc>
          <w:tcPr>
            <w:tcW w:w="935"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10,155</w:t>
            </w:r>
          </w:p>
        </w:tc>
        <w:tc>
          <w:tcPr>
            <w:tcW w:w="927"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6.2%</w:t>
            </w:r>
          </w:p>
        </w:tc>
      </w:tr>
      <w:tr w:rsidR="003D4673" w:rsidRPr="00EA703E" w:rsidTr="003D4673">
        <w:trPr>
          <w:trHeight w:val="255"/>
        </w:trPr>
        <w:tc>
          <w:tcPr>
            <w:tcW w:w="2334" w:type="dxa"/>
            <w:shd w:val="clear" w:color="auto" w:fill="auto"/>
            <w:vAlign w:val="center"/>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Multiple Disabilities</w:t>
            </w:r>
          </w:p>
        </w:tc>
        <w:tc>
          <w:tcPr>
            <w:tcW w:w="935"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4,912</w:t>
            </w:r>
          </w:p>
        </w:tc>
        <w:tc>
          <w:tcPr>
            <w:tcW w:w="909"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3.0%</w:t>
            </w:r>
          </w:p>
        </w:tc>
        <w:tc>
          <w:tcPr>
            <w:tcW w:w="935"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4,694</w:t>
            </w:r>
          </w:p>
        </w:tc>
        <w:tc>
          <w:tcPr>
            <w:tcW w:w="927"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2.9%</w:t>
            </w:r>
          </w:p>
        </w:tc>
      </w:tr>
      <w:tr w:rsidR="003D4673" w:rsidRPr="00EA703E" w:rsidTr="003D4673">
        <w:trPr>
          <w:trHeight w:val="255"/>
        </w:trPr>
        <w:tc>
          <w:tcPr>
            <w:tcW w:w="2334" w:type="dxa"/>
            <w:shd w:val="clear" w:color="auto" w:fill="auto"/>
            <w:vAlign w:val="center"/>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Neurological</w:t>
            </w:r>
          </w:p>
        </w:tc>
        <w:tc>
          <w:tcPr>
            <w:tcW w:w="935"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5,990</w:t>
            </w:r>
          </w:p>
        </w:tc>
        <w:tc>
          <w:tcPr>
            <w:tcW w:w="909"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3.6%</w:t>
            </w:r>
          </w:p>
        </w:tc>
        <w:tc>
          <w:tcPr>
            <w:tcW w:w="935"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7,947</w:t>
            </w:r>
          </w:p>
        </w:tc>
        <w:tc>
          <w:tcPr>
            <w:tcW w:w="927"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4.9%</w:t>
            </w:r>
          </w:p>
        </w:tc>
      </w:tr>
      <w:tr w:rsidR="003D4673" w:rsidRPr="00EA703E" w:rsidTr="003D4673">
        <w:trPr>
          <w:trHeight w:val="255"/>
        </w:trPr>
        <w:tc>
          <w:tcPr>
            <w:tcW w:w="2334" w:type="dxa"/>
            <w:shd w:val="clear" w:color="auto" w:fill="auto"/>
            <w:vAlign w:val="center"/>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Physical</w:t>
            </w:r>
          </w:p>
        </w:tc>
        <w:tc>
          <w:tcPr>
            <w:tcW w:w="935"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1,547</w:t>
            </w:r>
          </w:p>
        </w:tc>
        <w:tc>
          <w:tcPr>
            <w:tcW w:w="909"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0.9%</w:t>
            </w:r>
          </w:p>
        </w:tc>
        <w:tc>
          <w:tcPr>
            <w:tcW w:w="935"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1,390</w:t>
            </w:r>
          </w:p>
        </w:tc>
        <w:tc>
          <w:tcPr>
            <w:tcW w:w="927"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0.8</w:t>
            </w:r>
            <w:r w:rsidRPr="00EA703E" w:rsidDel="003D2810">
              <w:rPr>
                <w:rFonts w:ascii="Arial Narrow" w:hAnsi="Arial Narrow" w:cs="Arial"/>
                <w:sz w:val="20"/>
                <w:szCs w:val="20"/>
              </w:rPr>
              <w:t xml:space="preserve"> </w:t>
            </w:r>
            <w:r w:rsidRPr="00EA703E">
              <w:rPr>
                <w:rFonts w:ascii="Arial Narrow" w:hAnsi="Arial Narrow" w:cs="Arial"/>
                <w:sz w:val="20"/>
                <w:szCs w:val="20"/>
              </w:rPr>
              <w:t>%</w:t>
            </w:r>
          </w:p>
        </w:tc>
      </w:tr>
      <w:tr w:rsidR="003D4673" w:rsidRPr="00EA703E" w:rsidTr="003D4673">
        <w:trPr>
          <w:trHeight w:val="255"/>
        </w:trPr>
        <w:tc>
          <w:tcPr>
            <w:tcW w:w="2334" w:type="dxa"/>
            <w:shd w:val="clear" w:color="auto" w:fill="auto"/>
            <w:vAlign w:val="center"/>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Sensory/Deaf</w:t>
            </w:r>
            <w:r>
              <w:rPr>
                <w:rFonts w:ascii="Arial Narrow" w:hAnsi="Arial Narrow" w:cs="Arial"/>
                <w:sz w:val="20"/>
                <w:szCs w:val="20"/>
              </w:rPr>
              <w:t>/</w:t>
            </w:r>
            <w:r w:rsidRPr="00EA703E">
              <w:rPr>
                <w:rFonts w:ascii="Arial Narrow" w:hAnsi="Arial Narrow" w:cs="Arial"/>
                <w:sz w:val="20"/>
                <w:szCs w:val="20"/>
              </w:rPr>
              <w:t>Blind</w:t>
            </w:r>
          </w:p>
        </w:tc>
        <w:tc>
          <w:tcPr>
            <w:tcW w:w="935"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219</w:t>
            </w:r>
          </w:p>
        </w:tc>
        <w:tc>
          <w:tcPr>
            <w:tcW w:w="909"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0.1%</w:t>
            </w:r>
          </w:p>
        </w:tc>
        <w:tc>
          <w:tcPr>
            <w:tcW w:w="935"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164</w:t>
            </w:r>
          </w:p>
        </w:tc>
        <w:tc>
          <w:tcPr>
            <w:tcW w:w="927"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0.1%</w:t>
            </w:r>
          </w:p>
        </w:tc>
      </w:tr>
      <w:tr w:rsidR="003D4673" w:rsidRPr="00EA703E" w:rsidTr="003D4673">
        <w:trPr>
          <w:trHeight w:val="255"/>
        </w:trPr>
        <w:tc>
          <w:tcPr>
            <w:tcW w:w="2334" w:type="dxa"/>
            <w:shd w:val="clear" w:color="auto" w:fill="auto"/>
            <w:vAlign w:val="center"/>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Sensory/Hard of Hearing</w:t>
            </w:r>
          </w:p>
        </w:tc>
        <w:tc>
          <w:tcPr>
            <w:tcW w:w="935"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1,286</w:t>
            </w:r>
          </w:p>
        </w:tc>
        <w:tc>
          <w:tcPr>
            <w:tcW w:w="909"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0.8%</w:t>
            </w:r>
          </w:p>
        </w:tc>
        <w:tc>
          <w:tcPr>
            <w:tcW w:w="935"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1,221</w:t>
            </w:r>
          </w:p>
        </w:tc>
        <w:tc>
          <w:tcPr>
            <w:tcW w:w="927"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0.7%</w:t>
            </w:r>
          </w:p>
        </w:tc>
      </w:tr>
      <w:tr w:rsidR="003D4673" w:rsidRPr="00EA703E" w:rsidTr="003D4673">
        <w:trPr>
          <w:trHeight w:val="255"/>
        </w:trPr>
        <w:tc>
          <w:tcPr>
            <w:tcW w:w="2334" w:type="dxa"/>
            <w:shd w:val="clear" w:color="auto" w:fill="auto"/>
            <w:vAlign w:val="center"/>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Sensory/Vision Impairment</w:t>
            </w:r>
          </w:p>
        </w:tc>
        <w:tc>
          <w:tcPr>
            <w:tcW w:w="935"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555</w:t>
            </w:r>
          </w:p>
        </w:tc>
        <w:tc>
          <w:tcPr>
            <w:tcW w:w="909"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0.3%</w:t>
            </w:r>
          </w:p>
        </w:tc>
        <w:tc>
          <w:tcPr>
            <w:tcW w:w="935"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591</w:t>
            </w:r>
          </w:p>
        </w:tc>
        <w:tc>
          <w:tcPr>
            <w:tcW w:w="927"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0.4%</w:t>
            </w:r>
          </w:p>
        </w:tc>
      </w:tr>
      <w:tr w:rsidR="003D4673" w:rsidRPr="00EA703E" w:rsidTr="003D4673">
        <w:trPr>
          <w:trHeight w:val="255"/>
        </w:trPr>
        <w:tc>
          <w:tcPr>
            <w:tcW w:w="2334" w:type="dxa"/>
            <w:shd w:val="clear" w:color="auto" w:fill="auto"/>
            <w:vAlign w:val="center"/>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Specific Learning Disability</w:t>
            </w:r>
          </w:p>
        </w:tc>
        <w:tc>
          <w:tcPr>
            <w:tcW w:w="935"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61,697</w:t>
            </w:r>
          </w:p>
        </w:tc>
        <w:tc>
          <w:tcPr>
            <w:tcW w:w="909"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37.6%</w:t>
            </w:r>
          </w:p>
        </w:tc>
        <w:tc>
          <w:tcPr>
            <w:tcW w:w="935"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48,057</w:t>
            </w:r>
          </w:p>
        </w:tc>
        <w:tc>
          <w:tcPr>
            <w:tcW w:w="927" w:type="dxa"/>
            <w:shd w:val="clear" w:color="auto" w:fill="auto"/>
            <w:vAlign w:val="bottom"/>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29.4%</w:t>
            </w:r>
          </w:p>
        </w:tc>
      </w:tr>
      <w:tr w:rsidR="003D4673" w:rsidRPr="00EA703E" w:rsidTr="003D4673">
        <w:trPr>
          <w:trHeight w:val="270"/>
        </w:trPr>
        <w:tc>
          <w:tcPr>
            <w:tcW w:w="2334" w:type="dxa"/>
            <w:tcBorders>
              <w:top w:val="nil"/>
            </w:tcBorders>
            <w:shd w:val="clear" w:color="auto" w:fill="auto"/>
            <w:vAlign w:val="center"/>
          </w:tcPr>
          <w:p w:rsidR="003D4673" w:rsidRPr="00EA703E" w:rsidRDefault="003D4673" w:rsidP="003D4673">
            <w:pPr>
              <w:keepNext/>
              <w:rPr>
                <w:rFonts w:ascii="Arial Narrow" w:hAnsi="Arial Narrow" w:cs="Arial"/>
                <w:sz w:val="20"/>
                <w:szCs w:val="20"/>
              </w:rPr>
            </w:pPr>
            <w:r w:rsidRPr="00EA703E">
              <w:rPr>
                <w:rFonts w:ascii="Arial Narrow" w:hAnsi="Arial Narrow" w:cs="Arial"/>
                <w:sz w:val="20"/>
                <w:szCs w:val="20"/>
              </w:rPr>
              <w:t>SPED Total</w:t>
            </w:r>
          </w:p>
        </w:tc>
        <w:tc>
          <w:tcPr>
            <w:tcW w:w="935" w:type="dxa"/>
            <w:tcBorders>
              <w:top w:val="nil"/>
            </w:tcBorders>
            <w:shd w:val="clear" w:color="auto" w:fill="auto"/>
            <w:vAlign w:val="bottom"/>
          </w:tcPr>
          <w:p w:rsidR="003D4673" w:rsidRPr="00EA703E" w:rsidRDefault="003D4673" w:rsidP="003D4673">
            <w:pPr>
              <w:keepNext/>
              <w:rPr>
                <w:rFonts w:ascii="Arial Narrow" w:hAnsi="Arial Narrow" w:cs="Arial"/>
                <w:bCs/>
                <w:sz w:val="20"/>
                <w:szCs w:val="20"/>
              </w:rPr>
            </w:pPr>
            <w:r w:rsidRPr="00EA703E">
              <w:rPr>
                <w:rFonts w:ascii="Arial Narrow" w:hAnsi="Arial Narrow" w:cs="Arial"/>
                <w:sz w:val="20"/>
                <w:szCs w:val="20"/>
              </w:rPr>
              <w:t>164,298</w:t>
            </w:r>
          </w:p>
        </w:tc>
        <w:tc>
          <w:tcPr>
            <w:tcW w:w="909" w:type="dxa"/>
            <w:tcBorders>
              <w:top w:val="nil"/>
            </w:tcBorders>
            <w:shd w:val="clear" w:color="auto" w:fill="auto"/>
            <w:vAlign w:val="bottom"/>
          </w:tcPr>
          <w:p w:rsidR="003D4673" w:rsidRPr="00EA703E" w:rsidRDefault="003D4673" w:rsidP="003D4673">
            <w:pPr>
              <w:keepNext/>
              <w:rPr>
                <w:rFonts w:ascii="Arial Narrow" w:hAnsi="Arial Narrow" w:cs="Arial"/>
                <w:bCs/>
                <w:sz w:val="20"/>
                <w:szCs w:val="20"/>
              </w:rPr>
            </w:pPr>
            <w:r w:rsidRPr="00EA703E">
              <w:rPr>
                <w:rFonts w:ascii="Arial Narrow" w:hAnsi="Arial Narrow" w:cs="Arial"/>
                <w:sz w:val="20"/>
                <w:szCs w:val="20"/>
              </w:rPr>
              <w:t>100.0%</w:t>
            </w:r>
          </w:p>
        </w:tc>
        <w:tc>
          <w:tcPr>
            <w:tcW w:w="935" w:type="dxa"/>
            <w:tcBorders>
              <w:top w:val="nil"/>
            </w:tcBorders>
            <w:shd w:val="clear" w:color="auto" w:fill="auto"/>
            <w:vAlign w:val="bottom"/>
          </w:tcPr>
          <w:p w:rsidR="003D4673" w:rsidRPr="00EA703E" w:rsidRDefault="003D4673" w:rsidP="003D4673">
            <w:pPr>
              <w:keepNext/>
              <w:rPr>
                <w:rFonts w:ascii="Arial Narrow" w:hAnsi="Arial Narrow" w:cs="Arial"/>
                <w:bCs/>
                <w:sz w:val="20"/>
                <w:szCs w:val="20"/>
              </w:rPr>
            </w:pPr>
            <w:r w:rsidRPr="00EA703E">
              <w:rPr>
                <w:rFonts w:ascii="Arial Narrow" w:hAnsi="Arial Narrow" w:cs="Arial"/>
                <w:sz w:val="20"/>
                <w:szCs w:val="20"/>
              </w:rPr>
              <w:t>163,679</w:t>
            </w:r>
          </w:p>
        </w:tc>
        <w:tc>
          <w:tcPr>
            <w:tcW w:w="927" w:type="dxa"/>
            <w:tcBorders>
              <w:top w:val="nil"/>
            </w:tcBorders>
            <w:shd w:val="clear" w:color="auto" w:fill="auto"/>
            <w:vAlign w:val="bottom"/>
          </w:tcPr>
          <w:p w:rsidR="003D4673" w:rsidRPr="00EA703E" w:rsidRDefault="003D4673" w:rsidP="003D4673">
            <w:pPr>
              <w:keepNext/>
              <w:rPr>
                <w:rFonts w:ascii="Arial Narrow" w:hAnsi="Arial Narrow" w:cs="Arial"/>
                <w:bCs/>
                <w:sz w:val="20"/>
                <w:szCs w:val="20"/>
              </w:rPr>
            </w:pPr>
            <w:r w:rsidRPr="00EA703E">
              <w:rPr>
                <w:rFonts w:ascii="Arial Narrow" w:hAnsi="Arial Narrow" w:cs="Arial"/>
                <w:sz w:val="20"/>
                <w:szCs w:val="20"/>
              </w:rPr>
              <w:t>100.0%</w:t>
            </w:r>
          </w:p>
        </w:tc>
      </w:tr>
    </w:tbl>
    <w:p w:rsidR="003D4673" w:rsidRPr="00EA703E" w:rsidRDefault="003D4673" w:rsidP="003D4673">
      <w:pPr>
        <w:keepNext/>
        <w:rPr>
          <w:i/>
          <w:sz w:val="20"/>
          <w:szCs w:val="20"/>
        </w:rPr>
      </w:pPr>
      <w:r w:rsidRPr="00EA703E">
        <w:rPr>
          <w:i/>
          <w:sz w:val="20"/>
          <w:szCs w:val="20"/>
        </w:rPr>
        <w:t xml:space="preserve">          Source: Massachusetts Student Information Management System</w:t>
      </w:r>
    </w:p>
    <w:p w:rsidR="003D4673" w:rsidRPr="00EA703E" w:rsidRDefault="003D4673" w:rsidP="003D4673">
      <w:pPr>
        <w:rPr>
          <w:i/>
          <w:sz w:val="20"/>
          <w:szCs w:val="20"/>
        </w:rPr>
      </w:pPr>
    </w:p>
    <w:p w:rsidR="003D4673" w:rsidRDefault="003D4673" w:rsidP="00D44FC2"/>
    <w:p w:rsidR="00D44FC2" w:rsidRPr="00EA703E" w:rsidRDefault="00234613" w:rsidP="00D44FC2">
      <w:r>
        <w:t>Students with disabilities in the c</w:t>
      </w:r>
      <w:r w:rsidR="00D44FC2" w:rsidRPr="00EA703E">
        <w:t>ategories of Specific Learning Disability, Communication</w:t>
      </w:r>
      <w:r w:rsidR="00C72B0B">
        <w:t>,</w:t>
      </w:r>
      <w:r w:rsidR="00D44FC2" w:rsidRPr="00EA703E">
        <w:t xml:space="preserve"> and Developmental Delay represent </w:t>
      </w:r>
      <w:r w:rsidR="00A663DF">
        <w:t>approximately 58 percent</w:t>
      </w:r>
      <w:r w:rsidR="00D44FC2" w:rsidRPr="00EA703E">
        <w:t xml:space="preserve"> of all students receiving special education services in Massachusetts. The analysis of the percentage changes over the </w:t>
      </w:r>
      <w:r w:rsidR="00C72B0B">
        <w:t>five</w:t>
      </w:r>
      <w:r w:rsidR="00D44FC2" w:rsidRPr="00EA703E">
        <w:t xml:space="preserve"> year period (SY08 to SY12) shows that the percentage of students indentified under the category of Specific Learning Disability has decreased by 21.8 percent</w:t>
      </w:r>
      <w:r w:rsidR="00A663DF">
        <w:t xml:space="preserve"> during this period</w:t>
      </w:r>
      <w:r w:rsidR="00D44FC2" w:rsidRPr="00EA703E">
        <w:t xml:space="preserve">. </w:t>
      </w:r>
      <w:r w:rsidR="00E23153">
        <w:t xml:space="preserve">In contrast, several other disability categories have showed </w:t>
      </w:r>
      <w:r w:rsidR="00D44FC2" w:rsidRPr="00EA703E">
        <w:t>sharp percentage change increases</w:t>
      </w:r>
      <w:r w:rsidR="00E23153">
        <w:t xml:space="preserve"> during this same period: Autism at</w:t>
      </w:r>
      <w:r w:rsidR="00D44FC2" w:rsidRPr="00EA703E">
        <w:t xml:space="preserve"> 52.8 percent</w:t>
      </w:r>
      <w:r w:rsidR="00E23153">
        <w:t xml:space="preserve">, Health at </w:t>
      </w:r>
      <w:r w:rsidR="00D44FC2" w:rsidRPr="00EA703E">
        <w:t>46.9</w:t>
      </w:r>
      <w:r w:rsidR="00C72B0B">
        <w:t xml:space="preserve"> p</w:t>
      </w:r>
      <w:r w:rsidR="00A663DF">
        <w:t>er</w:t>
      </w:r>
      <w:r w:rsidR="00C72B0B">
        <w:t>cent</w:t>
      </w:r>
      <w:r w:rsidR="00E23153">
        <w:t xml:space="preserve">, and Neurological at 32.7 percent. </w:t>
      </w:r>
      <w:r w:rsidR="00D44FC2" w:rsidRPr="00EA703E">
        <w:t xml:space="preserve">Other disability categories have </w:t>
      </w:r>
      <w:r w:rsidR="00E23153">
        <w:t xml:space="preserve">shown less marked differences over time. </w:t>
      </w:r>
    </w:p>
    <w:p w:rsidR="002F73E4" w:rsidRPr="00E23153" w:rsidRDefault="002F73E4" w:rsidP="007A1237">
      <w:pPr>
        <w:pStyle w:val="Heading1"/>
        <w:numPr>
          <w:ilvl w:val="0"/>
          <w:numId w:val="12"/>
        </w:numPr>
        <w:ind w:left="0" w:firstLine="0"/>
      </w:pPr>
      <w:bookmarkStart w:id="14" w:name="_Toc342312308"/>
      <w:r w:rsidRPr="00E23153">
        <w:t>Assessment</w:t>
      </w:r>
      <w:bookmarkEnd w:id="14"/>
      <w:r w:rsidRPr="00E23153">
        <w:t xml:space="preserve"> </w:t>
      </w:r>
    </w:p>
    <w:p w:rsidR="002F73E4" w:rsidRPr="00E23153" w:rsidRDefault="002F73E4" w:rsidP="007A1237">
      <w:pPr>
        <w:pStyle w:val="Heading2"/>
        <w:numPr>
          <w:ilvl w:val="0"/>
          <w:numId w:val="13"/>
        </w:numPr>
        <w:ind w:left="0" w:firstLine="0"/>
      </w:pPr>
      <w:bookmarkStart w:id="15" w:name="_Toc342312309"/>
      <w:r w:rsidRPr="00E23153">
        <w:t>Massachusetts Comprehensive Assessment Systems (MCAS)</w:t>
      </w:r>
      <w:bookmarkEnd w:id="15"/>
    </w:p>
    <w:p w:rsidR="002F73E4" w:rsidRPr="00396628" w:rsidRDefault="002F73E4" w:rsidP="007A1237">
      <w:pPr>
        <w:pStyle w:val="Heading3"/>
        <w:numPr>
          <w:ilvl w:val="0"/>
          <w:numId w:val="14"/>
        </w:numPr>
      </w:pPr>
      <w:bookmarkStart w:id="16" w:name="_Toc342312310"/>
      <w:r w:rsidRPr="00396628">
        <w:t>Performance of Students with Disabilities</w:t>
      </w:r>
      <w:bookmarkEnd w:id="16"/>
    </w:p>
    <w:p w:rsidR="002F73E4" w:rsidRPr="00396628" w:rsidRDefault="002F73E4" w:rsidP="002F73E4">
      <w:pPr>
        <w:ind w:left="1440"/>
        <w:rPr>
          <w:b/>
          <w:bCs/>
        </w:rPr>
      </w:pPr>
    </w:p>
    <w:p w:rsidR="002F73E4" w:rsidRDefault="002F73E4" w:rsidP="00097419">
      <w:r w:rsidRPr="00396628">
        <w:t xml:space="preserve">In 2012, </w:t>
      </w:r>
      <w:r w:rsidR="00396628">
        <w:t>fewer</w:t>
      </w:r>
      <w:r w:rsidRPr="00396628">
        <w:t xml:space="preserve"> than 25 percent of students with disabilities scored </w:t>
      </w:r>
      <w:r w:rsidRPr="00396628">
        <w:rPr>
          <w:i/>
          <w:iCs/>
        </w:rPr>
        <w:t>Proficient</w:t>
      </w:r>
      <w:r w:rsidRPr="00396628">
        <w:t xml:space="preserve"> or higher at grades 3, 4, and 5 in E</w:t>
      </w:r>
      <w:r w:rsidR="00E23153">
        <w:t>nglish language arts (ELA)</w:t>
      </w:r>
      <w:r w:rsidRPr="00396628">
        <w:t xml:space="preserve">; at grades 4, 5, 6, 7, and 8 in Mathematics; and at grades 5 and 8 in </w:t>
      </w:r>
      <w:r w:rsidR="00E23153">
        <w:t>Science and Technology/Engineering (</w:t>
      </w:r>
      <w:r w:rsidRPr="00396628">
        <w:t>STE</w:t>
      </w:r>
      <w:r w:rsidR="00E23153">
        <w:t>)</w:t>
      </w:r>
      <w:r w:rsidRPr="00396628">
        <w:t xml:space="preserve">. The percentage of students with disabilities scoring </w:t>
      </w:r>
      <w:r w:rsidRPr="00396628">
        <w:rPr>
          <w:i/>
          <w:iCs/>
        </w:rPr>
        <w:t>Proficient</w:t>
      </w:r>
      <w:r w:rsidRPr="00396628">
        <w:t xml:space="preserve"> or higher ranged from</w:t>
      </w:r>
      <w:r w:rsidR="00E23153">
        <w:t>:</w:t>
      </w:r>
    </w:p>
    <w:p w:rsidR="002F73E4" w:rsidRPr="00396628" w:rsidRDefault="002F73E4" w:rsidP="007A1237">
      <w:pPr>
        <w:numPr>
          <w:ilvl w:val="0"/>
          <w:numId w:val="8"/>
        </w:numPr>
        <w:spacing w:after="120"/>
      </w:pPr>
      <w:r w:rsidRPr="00396628">
        <w:t>18 percent at grade 4</w:t>
      </w:r>
      <w:r w:rsidR="00E23153">
        <w:t>,</w:t>
      </w:r>
      <w:r w:rsidRPr="00396628">
        <w:t xml:space="preserve"> to 60 percent at grade 10 in ELA;</w:t>
      </w:r>
    </w:p>
    <w:p w:rsidR="002F73E4" w:rsidRPr="00396628" w:rsidRDefault="002F73E4" w:rsidP="007A1237">
      <w:pPr>
        <w:numPr>
          <w:ilvl w:val="0"/>
          <w:numId w:val="8"/>
        </w:numPr>
        <w:spacing w:after="120"/>
      </w:pPr>
      <w:r w:rsidRPr="00396628">
        <w:t>14 percent at grades 7 and 8</w:t>
      </w:r>
      <w:r w:rsidR="00E23153">
        <w:t>,</w:t>
      </w:r>
      <w:r w:rsidRPr="00396628">
        <w:t xml:space="preserve"> to 41 percent at grade 10 in Mathematics; and</w:t>
      </w:r>
    </w:p>
    <w:p w:rsidR="002F73E4" w:rsidRPr="00396628" w:rsidRDefault="002F73E4" w:rsidP="007A1237">
      <w:pPr>
        <w:numPr>
          <w:ilvl w:val="0"/>
          <w:numId w:val="8"/>
        </w:numPr>
        <w:spacing w:after="120"/>
      </w:pPr>
      <w:r w:rsidRPr="00396628">
        <w:t>12 percent at grade 8</w:t>
      </w:r>
      <w:r w:rsidR="00E23153">
        <w:t>,</w:t>
      </w:r>
      <w:r w:rsidRPr="00396628">
        <w:t xml:space="preserve"> to 32 percent at grade 10 in STE.</w:t>
      </w:r>
    </w:p>
    <w:p w:rsidR="002F73E4" w:rsidRPr="00396628" w:rsidRDefault="002F73E4" w:rsidP="00097419">
      <w:pPr>
        <w:pStyle w:val="Default"/>
        <w:spacing w:after="120"/>
      </w:pPr>
      <w:r w:rsidRPr="00396628">
        <w:t xml:space="preserve">Students with disabilities made gains in achievement in ELA between 2011 and 2012 at grade 8 (1 point), grade 4 (3 points) and grade 10 (11 points); in Mathematics at grades 4, 6, and 10 (2 points); and in STE at grade 10 (2 points). </w:t>
      </w:r>
      <w:r w:rsidR="00234613">
        <w:t xml:space="preserve">Decreases in </w:t>
      </w:r>
      <w:r w:rsidRPr="00396628">
        <w:t>achievement</w:t>
      </w:r>
      <w:r w:rsidR="00234613">
        <w:t xml:space="preserve"> levels</w:t>
      </w:r>
      <w:r w:rsidRPr="00396628">
        <w:t xml:space="preserve"> were </w:t>
      </w:r>
      <w:r w:rsidR="00234613">
        <w:t xml:space="preserve">noted </w:t>
      </w:r>
      <w:r w:rsidRPr="00396628">
        <w:t>in ELA at grade 5 (6 points)</w:t>
      </w:r>
      <w:r w:rsidR="00234613">
        <w:t>,</w:t>
      </w:r>
      <w:r w:rsidRPr="00396628">
        <w:t xml:space="preserve"> and grades 6 and 7 (2 points); in Mathematics at grade 3 (5 points) and grade 5 (2 points); in STE at grade 5 (2 points). </w:t>
      </w:r>
      <w:r w:rsidR="00097419">
        <w:t xml:space="preserve">These changes in achievement levels are </w:t>
      </w:r>
      <w:r w:rsidR="00834B13">
        <w:t>illustrated</w:t>
      </w:r>
      <w:r w:rsidR="00097419">
        <w:t xml:space="preserve"> in Figure F below.</w:t>
      </w:r>
    </w:p>
    <w:p w:rsidR="002F73E4" w:rsidRPr="00D936EC" w:rsidRDefault="00B07D98" w:rsidP="002F73E4">
      <w:pPr>
        <w:pStyle w:val="ESETableChartFigHeaders"/>
        <w:ind w:firstLine="360"/>
        <w:rPr>
          <w:rFonts w:ascii="Times New Roman" w:hAnsi="Times New Roman"/>
          <w:bCs/>
          <w:iCs/>
          <w:sz w:val="24"/>
        </w:rPr>
      </w:pPr>
      <w:r w:rsidRPr="00D936EC">
        <w:rPr>
          <w:rFonts w:ascii="Times New Roman" w:hAnsi="Times New Roman"/>
          <w:iCs/>
          <w:sz w:val="24"/>
        </w:rPr>
        <w:t>Figure F</w:t>
      </w:r>
      <w:r w:rsidR="002F73E4" w:rsidRPr="00D936EC">
        <w:rPr>
          <w:rFonts w:ascii="Times New Roman" w:hAnsi="Times New Roman"/>
          <w:iCs/>
          <w:sz w:val="24"/>
        </w:rPr>
        <w:t>:  Change in MCAS Performance for Students with Disabilities (SY11–12)</w:t>
      </w:r>
    </w:p>
    <w:tbl>
      <w:tblPr>
        <w:tblW w:w="0" w:type="auto"/>
        <w:tblCellMar>
          <w:left w:w="0" w:type="dxa"/>
          <w:right w:w="0" w:type="dxa"/>
        </w:tblCellMar>
        <w:tblLook w:val="04A0"/>
      </w:tblPr>
      <w:tblGrid>
        <w:gridCol w:w="1236"/>
        <w:gridCol w:w="827"/>
        <w:gridCol w:w="827"/>
        <w:gridCol w:w="889"/>
        <w:gridCol w:w="828"/>
        <w:gridCol w:w="828"/>
        <w:gridCol w:w="889"/>
        <w:gridCol w:w="828"/>
        <w:gridCol w:w="828"/>
        <w:gridCol w:w="890"/>
      </w:tblGrid>
      <w:tr w:rsidR="002F73E4" w:rsidTr="00893181">
        <w:tc>
          <w:tcPr>
            <w:tcW w:w="1236" w:type="dxa"/>
            <w:tcBorders>
              <w:top w:val="single" w:sz="12" w:space="0" w:color="auto"/>
              <w:left w:val="nil"/>
              <w:bottom w:val="single" w:sz="8" w:space="0" w:color="auto"/>
              <w:right w:val="nil"/>
            </w:tcBorders>
            <w:tcMar>
              <w:top w:w="43" w:type="dxa"/>
              <w:left w:w="115" w:type="dxa"/>
              <w:bottom w:w="43" w:type="dxa"/>
              <w:right w:w="115" w:type="dxa"/>
            </w:tcMar>
            <w:vAlign w:val="center"/>
            <w:hideMark/>
          </w:tcPr>
          <w:p w:rsidR="002F73E4" w:rsidRDefault="002F73E4" w:rsidP="00893181">
            <w:pPr>
              <w:spacing w:after="120"/>
              <w:rPr>
                <w:rFonts w:ascii="Arial Narrow" w:hAnsi="Arial Narrow"/>
                <w:b/>
                <w:bCs/>
                <w:sz w:val="20"/>
                <w:szCs w:val="20"/>
              </w:rPr>
            </w:pPr>
            <w:r>
              <w:rPr>
                <w:rFonts w:ascii="Arial Narrow" w:hAnsi="Arial Narrow"/>
                <w:b/>
                <w:bCs/>
                <w:sz w:val="20"/>
                <w:szCs w:val="20"/>
              </w:rPr>
              <w:t xml:space="preserve">                </w:t>
            </w:r>
          </w:p>
        </w:tc>
        <w:tc>
          <w:tcPr>
            <w:tcW w:w="7634" w:type="dxa"/>
            <w:gridSpan w:val="9"/>
            <w:tcBorders>
              <w:top w:val="single" w:sz="12" w:space="0" w:color="auto"/>
              <w:left w:val="nil"/>
              <w:bottom w:val="single" w:sz="8" w:space="0" w:color="auto"/>
              <w:right w:val="nil"/>
            </w:tcBorders>
            <w:tcMar>
              <w:top w:w="43" w:type="dxa"/>
              <w:left w:w="115" w:type="dxa"/>
              <w:bottom w:w="43" w:type="dxa"/>
              <w:right w:w="115" w:type="dxa"/>
            </w:tcMar>
            <w:vAlign w:val="center"/>
            <w:hideMark/>
          </w:tcPr>
          <w:p w:rsidR="002F73E4" w:rsidRDefault="002F73E4" w:rsidP="00893181">
            <w:pPr>
              <w:spacing w:after="120"/>
              <w:rPr>
                <w:rFonts w:ascii="Arial Narrow" w:hAnsi="Arial Narrow"/>
                <w:sz w:val="20"/>
                <w:szCs w:val="20"/>
              </w:rPr>
            </w:pPr>
            <w:r>
              <w:rPr>
                <w:rFonts w:ascii="Arial Narrow" w:hAnsi="Arial Narrow"/>
                <w:sz w:val="20"/>
                <w:szCs w:val="20"/>
              </w:rPr>
              <w:t>Percentage of Students with Disabilities Scoring Proficient and Higher</w:t>
            </w:r>
          </w:p>
        </w:tc>
      </w:tr>
      <w:tr w:rsidR="002F73E4" w:rsidTr="00893181">
        <w:tc>
          <w:tcPr>
            <w:tcW w:w="1236" w:type="dxa"/>
            <w:tcBorders>
              <w:top w:val="nil"/>
              <w:left w:val="nil"/>
              <w:bottom w:val="nil"/>
              <w:right w:val="single" w:sz="8" w:space="0" w:color="auto"/>
            </w:tcBorders>
            <w:tcMar>
              <w:top w:w="43" w:type="dxa"/>
              <w:left w:w="115" w:type="dxa"/>
              <w:bottom w:w="43" w:type="dxa"/>
              <w:right w:w="115" w:type="dxa"/>
            </w:tcMar>
            <w:vAlign w:val="center"/>
          </w:tcPr>
          <w:p w:rsidR="002F73E4" w:rsidRDefault="002F73E4" w:rsidP="00893181">
            <w:pPr>
              <w:spacing w:after="120"/>
              <w:rPr>
                <w:rFonts w:ascii="Arial Narrow" w:hAnsi="Arial Narrow"/>
                <w:b/>
                <w:bCs/>
                <w:sz w:val="20"/>
                <w:szCs w:val="20"/>
              </w:rPr>
            </w:pPr>
          </w:p>
        </w:tc>
        <w:tc>
          <w:tcPr>
            <w:tcW w:w="2543" w:type="dxa"/>
            <w:gridSpan w:val="3"/>
            <w:tcBorders>
              <w:top w:val="nil"/>
              <w:left w:val="nil"/>
              <w:bottom w:val="nil"/>
              <w:right w:val="single" w:sz="8" w:space="0" w:color="auto"/>
            </w:tcBorders>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English Language Arts</w:t>
            </w:r>
          </w:p>
        </w:tc>
        <w:tc>
          <w:tcPr>
            <w:tcW w:w="2545" w:type="dxa"/>
            <w:gridSpan w:val="3"/>
            <w:tcBorders>
              <w:top w:val="nil"/>
              <w:left w:val="nil"/>
              <w:bottom w:val="nil"/>
              <w:right w:val="single" w:sz="8" w:space="0" w:color="auto"/>
            </w:tcBorders>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Mathematics</w:t>
            </w:r>
          </w:p>
        </w:tc>
        <w:tc>
          <w:tcPr>
            <w:tcW w:w="2546" w:type="dxa"/>
            <w:gridSpan w:val="3"/>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Science &amp; Tech/Eng.</w:t>
            </w:r>
          </w:p>
        </w:tc>
      </w:tr>
      <w:tr w:rsidR="002F73E4" w:rsidTr="00893181">
        <w:tc>
          <w:tcPr>
            <w:tcW w:w="1236" w:type="dxa"/>
            <w:tcBorders>
              <w:top w:val="nil"/>
              <w:left w:val="nil"/>
              <w:bottom w:val="single" w:sz="8" w:space="0" w:color="auto"/>
              <w:right w:val="single" w:sz="8" w:space="0" w:color="auto"/>
            </w:tcBorders>
            <w:tcMar>
              <w:top w:w="43" w:type="dxa"/>
              <w:left w:w="115" w:type="dxa"/>
              <w:bottom w:w="43" w:type="dxa"/>
              <w:right w:w="115" w:type="dxa"/>
            </w:tcMar>
            <w:vAlign w:val="center"/>
          </w:tcPr>
          <w:p w:rsidR="002F73E4" w:rsidRDefault="002F73E4" w:rsidP="00893181">
            <w:pPr>
              <w:spacing w:after="120"/>
              <w:rPr>
                <w:rFonts w:ascii="Arial Narrow" w:hAnsi="Arial Narrow"/>
                <w:b/>
                <w:bCs/>
                <w:sz w:val="20"/>
                <w:szCs w:val="20"/>
              </w:rPr>
            </w:pPr>
          </w:p>
        </w:tc>
        <w:tc>
          <w:tcPr>
            <w:tcW w:w="827" w:type="dxa"/>
            <w:tcBorders>
              <w:top w:val="nil"/>
              <w:left w:val="nil"/>
              <w:bottom w:val="single" w:sz="8" w:space="0" w:color="auto"/>
              <w:right w:val="nil"/>
            </w:tcBorders>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SY11</w:t>
            </w:r>
          </w:p>
        </w:tc>
        <w:tc>
          <w:tcPr>
            <w:tcW w:w="827" w:type="dxa"/>
            <w:tcBorders>
              <w:top w:val="nil"/>
              <w:left w:val="nil"/>
              <w:bottom w:val="single" w:sz="8" w:space="0" w:color="auto"/>
              <w:right w:val="nil"/>
            </w:tcBorders>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SY12</w:t>
            </w:r>
          </w:p>
        </w:tc>
        <w:tc>
          <w:tcPr>
            <w:tcW w:w="889" w:type="dxa"/>
            <w:tcBorders>
              <w:top w:val="nil"/>
              <w:left w:val="nil"/>
              <w:bottom w:val="single" w:sz="8" w:space="0" w:color="auto"/>
              <w:right w:val="single" w:sz="8" w:space="0" w:color="auto"/>
            </w:tcBorders>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Change</w:t>
            </w:r>
          </w:p>
        </w:tc>
        <w:tc>
          <w:tcPr>
            <w:tcW w:w="828" w:type="dxa"/>
            <w:tcBorders>
              <w:top w:val="nil"/>
              <w:left w:val="nil"/>
              <w:bottom w:val="single" w:sz="8" w:space="0" w:color="auto"/>
              <w:right w:val="nil"/>
            </w:tcBorders>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SY11</w:t>
            </w:r>
          </w:p>
        </w:tc>
        <w:tc>
          <w:tcPr>
            <w:tcW w:w="828" w:type="dxa"/>
            <w:tcBorders>
              <w:top w:val="nil"/>
              <w:left w:val="nil"/>
              <w:bottom w:val="single" w:sz="8" w:space="0" w:color="auto"/>
              <w:right w:val="nil"/>
            </w:tcBorders>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SY12</w:t>
            </w:r>
          </w:p>
        </w:tc>
        <w:tc>
          <w:tcPr>
            <w:tcW w:w="889" w:type="dxa"/>
            <w:tcBorders>
              <w:top w:val="nil"/>
              <w:left w:val="nil"/>
              <w:bottom w:val="single" w:sz="8" w:space="0" w:color="auto"/>
              <w:right w:val="single" w:sz="8" w:space="0" w:color="auto"/>
            </w:tcBorders>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Change</w:t>
            </w:r>
          </w:p>
        </w:tc>
        <w:tc>
          <w:tcPr>
            <w:tcW w:w="828" w:type="dxa"/>
            <w:tcBorders>
              <w:top w:val="nil"/>
              <w:left w:val="nil"/>
              <w:bottom w:val="single" w:sz="8" w:space="0" w:color="auto"/>
              <w:right w:val="nil"/>
            </w:tcBorders>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SY11</w:t>
            </w:r>
          </w:p>
        </w:tc>
        <w:tc>
          <w:tcPr>
            <w:tcW w:w="828" w:type="dxa"/>
            <w:tcBorders>
              <w:top w:val="nil"/>
              <w:left w:val="nil"/>
              <w:bottom w:val="single" w:sz="8" w:space="0" w:color="auto"/>
              <w:right w:val="nil"/>
            </w:tcBorders>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SY12</w:t>
            </w:r>
          </w:p>
        </w:tc>
        <w:tc>
          <w:tcPr>
            <w:tcW w:w="890" w:type="dxa"/>
            <w:tcBorders>
              <w:top w:val="nil"/>
              <w:left w:val="nil"/>
              <w:bottom w:val="single" w:sz="8" w:space="0" w:color="auto"/>
              <w:right w:val="nil"/>
            </w:tcBorders>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Change</w:t>
            </w:r>
          </w:p>
        </w:tc>
      </w:tr>
      <w:tr w:rsidR="002F73E4" w:rsidTr="00893181">
        <w:tc>
          <w:tcPr>
            <w:tcW w:w="1236" w:type="dxa"/>
            <w:tcBorders>
              <w:top w:val="nil"/>
              <w:left w:val="nil"/>
              <w:bottom w:val="nil"/>
              <w:right w:val="single" w:sz="8" w:space="0" w:color="auto"/>
            </w:tcBorders>
            <w:tcMar>
              <w:top w:w="43" w:type="dxa"/>
              <w:left w:w="115" w:type="dxa"/>
              <w:bottom w:w="43" w:type="dxa"/>
              <w:right w:w="115" w:type="dxa"/>
            </w:tcMar>
            <w:vAlign w:val="center"/>
            <w:hideMark/>
          </w:tcPr>
          <w:p w:rsidR="002F73E4" w:rsidRDefault="002F73E4" w:rsidP="00893181">
            <w:pPr>
              <w:spacing w:after="120"/>
              <w:rPr>
                <w:rFonts w:ascii="Arial Narrow" w:hAnsi="Arial Narrow"/>
                <w:b/>
                <w:bCs/>
                <w:sz w:val="20"/>
                <w:szCs w:val="20"/>
              </w:rPr>
            </w:pPr>
            <w:r>
              <w:rPr>
                <w:rFonts w:ascii="Arial Narrow" w:hAnsi="Arial Narrow"/>
                <w:b/>
                <w:bCs/>
                <w:sz w:val="20"/>
                <w:szCs w:val="20"/>
              </w:rPr>
              <w:t>Grade 3</w:t>
            </w:r>
          </w:p>
        </w:tc>
        <w:tc>
          <w:tcPr>
            <w:tcW w:w="827" w:type="dxa"/>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24</w:t>
            </w:r>
          </w:p>
        </w:tc>
        <w:tc>
          <w:tcPr>
            <w:tcW w:w="827" w:type="dxa"/>
            <w:tcMar>
              <w:top w:w="43" w:type="dxa"/>
              <w:left w:w="115" w:type="dxa"/>
              <w:bottom w:w="43" w:type="dxa"/>
              <w:right w:w="115" w:type="dxa"/>
            </w:tcMar>
            <w:vAlign w:val="center"/>
            <w:hideMark/>
          </w:tcPr>
          <w:p w:rsidR="002F73E4" w:rsidRPr="00565882" w:rsidRDefault="002F73E4" w:rsidP="00893181">
            <w:pPr>
              <w:spacing w:after="120"/>
              <w:jc w:val="center"/>
              <w:rPr>
                <w:rFonts w:ascii="Arial Narrow" w:hAnsi="Arial Narrow"/>
                <w:sz w:val="20"/>
                <w:szCs w:val="20"/>
              </w:rPr>
            </w:pPr>
            <w:r w:rsidRPr="00565882">
              <w:rPr>
                <w:rFonts w:ascii="Arial Narrow" w:hAnsi="Arial Narrow"/>
                <w:sz w:val="20"/>
                <w:szCs w:val="20"/>
              </w:rPr>
              <w:t>24</w:t>
            </w:r>
          </w:p>
        </w:tc>
        <w:tc>
          <w:tcPr>
            <w:tcW w:w="889" w:type="dxa"/>
            <w:tcBorders>
              <w:top w:val="nil"/>
              <w:left w:val="nil"/>
              <w:bottom w:val="nil"/>
              <w:right w:val="single" w:sz="8" w:space="0" w:color="auto"/>
            </w:tcBorders>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0</w:t>
            </w:r>
          </w:p>
        </w:tc>
        <w:tc>
          <w:tcPr>
            <w:tcW w:w="828" w:type="dxa"/>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31</w:t>
            </w:r>
          </w:p>
        </w:tc>
        <w:tc>
          <w:tcPr>
            <w:tcW w:w="828" w:type="dxa"/>
            <w:tcMar>
              <w:top w:w="43" w:type="dxa"/>
              <w:left w:w="115" w:type="dxa"/>
              <w:bottom w:w="43" w:type="dxa"/>
              <w:right w:w="115" w:type="dxa"/>
            </w:tcMar>
            <w:vAlign w:val="center"/>
            <w:hideMark/>
          </w:tcPr>
          <w:p w:rsidR="002F73E4" w:rsidRPr="00565882" w:rsidRDefault="002F73E4" w:rsidP="00893181">
            <w:pPr>
              <w:spacing w:after="120"/>
              <w:jc w:val="center"/>
              <w:rPr>
                <w:rFonts w:ascii="Arial Narrow" w:hAnsi="Arial Narrow"/>
                <w:sz w:val="20"/>
                <w:szCs w:val="20"/>
              </w:rPr>
            </w:pPr>
            <w:r w:rsidRPr="00565882">
              <w:rPr>
                <w:rFonts w:ascii="Arial Narrow" w:hAnsi="Arial Narrow"/>
                <w:sz w:val="20"/>
                <w:szCs w:val="20"/>
              </w:rPr>
              <w:t>26</w:t>
            </w:r>
          </w:p>
        </w:tc>
        <w:tc>
          <w:tcPr>
            <w:tcW w:w="889" w:type="dxa"/>
            <w:tcBorders>
              <w:top w:val="nil"/>
              <w:left w:val="nil"/>
              <w:bottom w:val="nil"/>
              <w:right w:val="single" w:sz="8" w:space="0" w:color="auto"/>
            </w:tcBorders>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-5</w:t>
            </w:r>
          </w:p>
        </w:tc>
        <w:tc>
          <w:tcPr>
            <w:tcW w:w="828" w:type="dxa"/>
            <w:tcMar>
              <w:top w:w="43" w:type="dxa"/>
              <w:left w:w="115" w:type="dxa"/>
              <w:bottom w:w="43" w:type="dxa"/>
              <w:right w:w="115" w:type="dxa"/>
            </w:tcMar>
            <w:vAlign w:val="center"/>
          </w:tcPr>
          <w:p w:rsidR="002F73E4" w:rsidRDefault="002F73E4" w:rsidP="00893181">
            <w:pPr>
              <w:spacing w:after="120"/>
              <w:jc w:val="center"/>
              <w:rPr>
                <w:rFonts w:ascii="Arial Narrow" w:hAnsi="Arial Narrow"/>
                <w:sz w:val="20"/>
                <w:szCs w:val="20"/>
              </w:rPr>
            </w:pPr>
          </w:p>
        </w:tc>
        <w:tc>
          <w:tcPr>
            <w:tcW w:w="828" w:type="dxa"/>
            <w:tcMar>
              <w:top w:w="43" w:type="dxa"/>
              <w:left w:w="115" w:type="dxa"/>
              <w:bottom w:w="43" w:type="dxa"/>
              <w:right w:w="115" w:type="dxa"/>
            </w:tcMar>
            <w:vAlign w:val="center"/>
          </w:tcPr>
          <w:p w:rsidR="002F73E4" w:rsidRDefault="002F73E4" w:rsidP="00893181">
            <w:pPr>
              <w:spacing w:after="120"/>
              <w:jc w:val="center"/>
              <w:rPr>
                <w:rFonts w:ascii="Arial Narrow" w:hAnsi="Arial Narrow"/>
                <w:sz w:val="20"/>
                <w:szCs w:val="20"/>
              </w:rPr>
            </w:pPr>
          </w:p>
        </w:tc>
        <w:tc>
          <w:tcPr>
            <w:tcW w:w="890" w:type="dxa"/>
            <w:tcMar>
              <w:top w:w="43" w:type="dxa"/>
              <w:left w:w="115" w:type="dxa"/>
              <w:bottom w:w="43" w:type="dxa"/>
              <w:right w:w="115" w:type="dxa"/>
            </w:tcMar>
            <w:vAlign w:val="center"/>
          </w:tcPr>
          <w:p w:rsidR="002F73E4" w:rsidRDefault="002F73E4" w:rsidP="00893181">
            <w:pPr>
              <w:spacing w:after="120"/>
              <w:jc w:val="center"/>
              <w:rPr>
                <w:rFonts w:ascii="Arial Narrow" w:hAnsi="Arial Narrow"/>
                <w:sz w:val="20"/>
                <w:szCs w:val="20"/>
              </w:rPr>
            </w:pPr>
          </w:p>
        </w:tc>
      </w:tr>
      <w:tr w:rsidR="002F73E4" w:rsidTr="00893181">
        <w:tc>
          <w:tcPr>
            <w:tcW w:w="1236" w:type="dxa"/>
            <w:tcBorders>
              <w:top w:val="nil"/>
              <w:left w:val="nil"/>
              <w:bottom w:val="nil"/>
              <w:right w:val="single" w:sz="8" w:space="0" w:color="auto"/>
            </w:tcBorders>
            <w:tcMar>
              <w:top w:w="43" w:type="dxa"/>
              <w:left w:w="115" w:type="dxa"/>
              <w:bottom w:w="43" w:type="dxa"/>
              <w:right w:w="115" w:type="dxa"/>
            </w:tcMar>
            <w:vAlign w:val="center"/>
            <w:hideMark/>
          </w:tcPr>
          <w:p w:rsidR="002F73E4" w:rsidRDefault="002F73E4" w:rsidP="00893181">
            <w:pPr>
              <w:spacing w:after="120"/>
              <w:rPr>
                <w:rFonts w:ascii="Arial Narrow" w:hAnsi="Arial Narrow"/>
                <w:b/>
                <w:bCs/>
                <w:sz w:val="20"/>
                <w:szCs w:val="20"/>
              </w:rPr>
            </w:pPr>
            <w:r>
              <w:rPr>
                <w:rFonts w:ascii="Arial Narrow" w:hAnsi="Arial Narrow"/>
                <w:b/>
                <w:bCs/>
                <w:sz w:val="20"/>
                <w:szCs w:val="20"/>
              </w:rPr>
              <w:t>Grade 4</w:t>
            </w:r>
          </w:p>
        </w:tc>
        <w:tc>
          <w:tcPr>
            <w:tcW w:w="827" w:type="dxa"/>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15</w:t>
            </w:r>
          </w:p>
        </w:tc>
        <w:tc>
          <w:tcPr>
            <w:tcW w:w="827" w:type="dxa"/>
            <w:tcMar>
              <w:top w:w="43" w:type="dxa"/>
              <w:left w:w="115" w:type="dxa"/>
              <w:bottom w:w="43" w:type="dxa"/>
              <w:right w:w="115" w:type="dxa"/>
            </w:tcMar>
            <w:vAlign w:val="center"/>
            <w:hideMark/>
          </w:tcPr>
          <w:p w:rsidR="002F73E4" w:rsidRPr="00565882" w:rsidRDefault="002F73E4" w:rsidP="00893181">
            <w:pPr>
              <w:spacing w:after="120"/>
              <w:jc w:val="center"/>
              <w:rPr>
                <w:rFonts w:ascii="Arial Narrow" w:hAnsi="Arial Narrow"/>
                <w:sz w:val="20"/>
                <w:szCs w:val="20"/>
              </w:rPr>
            </w:pPr>
            <w:r w:rsidRPr="00565882">
              <w:rPr>
                <w:rFonts w:ascii="Arial Narrow" w:hAnsi="Arial Narrow"/>
                <w:sz w:val="20"/>
                <w:szCs w:val="20"/>
              </w:rPr>
              <w:t>18</w:t>
            </w:r>
          </w:p>
        </w:tc>
        <w:tc>
          <w:tcPr>
            <w:tcW w:w="889" w:type="dxa"/>
            <w:tcBorders>
              <w:top w:val="nil"/>
              <w:left w:val="nil"/>
              <w:bottom w:val="nil"/>
              <w:right w:val="single" w:sz="8" w:space="0" w:color="auto"/>
            </w:tcBorders>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+3</w:t>
            </w:r>
          </w:p>
        </w:tc>
        <w:tc>
          <w:tcPr>
            <w:tcW w:w="828" w:type="dxa"/>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16</w:t>
            </w:r>
          </w:p>
        </w:tc>
        <w:tc>
          <w:tcPr>
            <w:tcW w:w="828" w:type="dxa"/>
            <w:tcMar>
              <w:top w:w="43" w:type="dxa"/>
              <w:left w:w="115" w:type="dxa"/>
              <w:bottom w:w="43" w:type="dxa"/>
              <w:right w:w="115" w:type="dxa"/>
            </w:tcMar>
            <w:vAlign w:val="center"/>
            <w:hideMark/>
          </w:tcPr>
          <w:p w:rsidR="002F73E4" w:rsidRPr="00565882" w:rsidRDefault="002F73E4" w:rsidP="00893181">
            <w:pPr>
              <w:spacing w:after="120"/>
              <w:jc w:val="center"/>
              <w:rPr>
                <w:rFonts w:ascii="Arial Narrow" w:hAnsi="Arial Narrow"/>
                <w:sz w:val="20"/>
                <w:szCs w:val="20"/>
              </w:rPr>
            </w:pPr>
            <w:r w:rsidRPr="00565882">
              <w:rPr>
                <w:rFonts w:ascii="Arial Narrow" w:hAnsi="Arial Narrow"/>
                <w:sz w:val="20"/>
                <w:szCs w:val="20"/>
              </w:rPr>
              <w:t>18</w:t>
            </w:r>
          </w:p>
        </w:tc>
        <w:tc>
          <w:tcPr>
            <w:tcW w:w="889" w:type="dxa"/>
            <w:tcBorders>
              <w:top w:val="nil"/>
              <w:left w:val="nil"/>
              <w:bottom w:val="nil"/>
              <w:right w:val="single" w:sz="8" w:space="0" w:color="auto"/>
            </w:tcBorders>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+2</w:t>
            </w:r>
          </w:p>
        </w:tc>
        <w:tc>
          <w:tcPr>
            <w:tcW w:w="828" w:type="dxa"/>
            <w:tcMar>
              <w:top w:w="43" w:type="dxa"/>
              <w:left w:w="115" w:type="dxa"/>
              <w:bottom w:w="43" w:type="dxa"/>
              <w:right w:w="115" w:type="dxa"/>
            </w:tcMar>
            <w:vAlign w:val="center"/>
          </w:tcPr>
          <w:p w:rsidR="002F73E4" w:rsidRDefault="002F73E4" w:rsidP="00893181">
            <w:pPr>
              <w:spacing w:after="120"/>
              <w:jc w:val="center"/>
              <w:rPr>
                <w:rFonts w:ascii="Arial Narrow" w:hAnsi="Arial Narrow"/>
                <w:sz w:val="20"/>
                <w:szCs w:val="20"/>
              </w:rPr>
            </w:pPr>
          </w:p>
        </w:tc>
        <w:tc>
          <w:tcPr>
            <w:tcW w:w="828" w:type="dxa"/>
            <w:tcMar>
              <w:top w:w="43" w:type="dxa"/>
              <w:left w:w="115" w:type="dxa"/>
              <w:bottom w:w="43" w:type="dxa"/>
              <w:right w:w="115" w:type="dxa"/>
            </w:tcMar>
            <w:vAlign w:val="center"/>
          </w:tcPr>
          <w:p w:rsidR="002F73E4" w:rsidRDefault="002F73E4" w:rsidP="00893181">
            <w:pPr>
              <w:spacing w:after="120"/>
              <w:jc w:val="center"/>
              <w:rPr>
                <w:rFonts w:ascii="Arial Narrow" w:hAnsi="Arial Narrow"/>
                <w:sz w:val="20"/>
                <w:szCs w:val="20"/>
              </w:rPr>
            </w:pPr>
          </w:p>
        </w:tc>
        <w:tc>
          <w:tcPr>
            <w:tcW w:w="890" w:type="dxa"/>
            <w:tcMar>
              <w:top w:w="43" w:type="dxa"/>
              <w:left w:w="115" w:type="dxa"/>
              <w:bottom w:w="43" w:type="dxa"/>
              <w:right w:w="115" w:type="dxa"/>
            </w:tcMar>
            <w:vAlign w:val="center"/>
          </w:tcPr>
          <w:p w:rsidR="002F73E4" w:rsidRDefault="002F73E4" w:rsidP="00893181">
            <w:pPr>
              <w:spacing w:after="120"/>
              <w:jc w:val="center"/>
              <w:rPr>
                <w:rFonts w:ascii="Arial Narrow" w:hAnsi="Arial Narrow"/>
                <w:sz w:val="20"/>
                <w:szCs w:val="20"/>
              </w:rPr>
            </w:pPr>
          </w:p>
        </w:tc>
      </w:tr>
      <w:tr w:rsidR="002F73E4" w:rsidTr="00893181">
        <w:tc>
          <w:tcPr>
            <w:tcW w:w="1236" w:type="dxa"/>
            <w:tcBorders>
              <w:top w:val="nil"/>
              <w:left w:val="nil"/>
              <w:bottom w:val="nil"/>
              <w:right w:val="single" w:sz="8" w:space="0" w:color="auto"/>
            </w:tcBorders>
            <w:tcMar>
              <w:top w:w="43" w:type="dxa"/>
              <w:left w:w="115" w:type="dxa"/>
              <w:bottom w:w="43" w:type="dxa"/>
              <w:right w:w="115" w:type="dxa"/>
            </w:tcMar>
            <w:vAlign w:val="center"/>
            <w:hideMark/>
          </w:tcPr>
          <w:p w:rsidR="002F73E4" w:rsidRDefault="002F73E4" w:rsidP="00893181">
            <w:pPr>
              <w:spacing w:after="120"/>
              <w:rPr>
                <w:rFonts w:ascii="Arial Narrow" w:hAnsi="Arial Narrow"/>
                <w:b/>
                <w:bCs/>
                <w:sz w:val="20"/>
                <w:szCs w:val="20"/>
              </w:rPr>
            </w:pPr>
            <w:r>
              <w:rPr>
                <w:rFonts w:ascii="Arial Narrow" w:hAnsi="Arial Narrow"/>
                <w:b/>
                <w:bCs/>
                <w:sz w:val="20"/>
                <w:szCs w:val="20"/>
              </w:rPr>
              <w:t>Grade 5</w:t>
            </w:r>
          </w:p>
        </w:tc>
        <w:tc>
          <w:tcPr>
            <w:tcW w:w="827" w:type="dxa"/>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27</w:t>
            </w:r>
          </w:p>
        </w:tc>
        <w:tc>
          <w:tcPr>
            <w:tcW w:w="827" w:type="dxa"/>
            <w:tcMar>
              <w:top w:w="43" w:type="dxa"/>
              <w:left w:w="115" w:type="dxa"/>
              <w:bottom w:w="43" w:type="dxa"/>
              <w:right w:w="115" w:type="dxa"/>
            </w:tcMar>
            <w:vAlign w:val="center"/>
            <w:hideMark/>
          </w:tcPr>
          <w:p w:rsidR="002F73E4" w:rsidRPr="00565882" w:rsidRDefault="002F73E4" w:rsidP="00893181">
            <w:pPr>
              <w:spacing w:after="120"/>
              <w:jc w:val="center"/>
              <w:rPr>
                <w:rFonts w:ascii="Arial Narrow" w:hAnsi="Arial Narrow"/>
                <w:sz w:val="20"/>
                <w:szCs w:val="20"/>
              </w:rPr>
            </w:pPr>
            <w:r w:rsidRPr="00565882">
              <w:rPr>
                <w:rFonts w:ascii="Arial Narrow" w:hAnsi="Arial Narrow"/>
                <w:sz w:val="20"/>
                <w:szCs w:val="20"/>
              </w:rPr>
              <w:t>21</w:t>
            </w:r>
          </w:p>
        </w:tc>
        <w:tc>
          <w:tcPr>
            <w:tcW w:w="889" w:type="dxa"/>
            <w:tcBorders>
              <w:top w:val="nil"/>
              <w:left w:val="nil"/>
              <w:bottom w:val="nil"/>
              <w:right w:val="single" w:sz="8" w:space="0" w:color="auto"/>
            </w:tcBorders>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-6</w:t>
            </w:r>
          </w:p>
        </w:tc>
        <w:tc>
          <w:tcPr>
            <w:tcW w:w="828" w:type="dxa"/>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22</w:t>
            </w:r>
          </w:p>
        </w:tc>
        <w:tc>
          <w:tcPr>
            <w:tcW w:w="828" w:type="dxa"/>
            <w:tcMar>
              <w:top w:w="43" w:type="dxa"/>
              <w:left w:w="115" w:type="dxa"/>
              <w:bottom w:w="43" w:type="dxa"/>
              <w:right w:w="115" w:type="dxa"/>
            </w:tcMar>
            <w:vAlign w:val="center"/>
            <w:hideMark/>
          </w:tcPr>
          <w:p w:rsidR="002F73E4" w:rsidRPr="00565882" w:rsidRDefault="002F73E4" w:rsidP="00893181">
            <w:pPr>
              <w:spacing w:after="120"/>
              <w:jc w:val="center"/>
              <w:rPr>
                <w:rFonts w:ascii="Arial Narrow" w:hAnsi="Arial Narrow"/>
                <w:sz w:val="20"/>
                <w:szCs w:val="20"/>
              </w:rPr>
            </w:pPr>
            <w:r w:rsidRPr="00565882">
              <w:rPr>
                <w:rFonts w:ascii="Arial Narrow" w:hAnsi="Arial Narrow"/>
                <w:sz w:val="20"/>
                <w:szCs w:val="20"/>
              </w:rPr>
              <w:t>20</w:t>
            </w:r>
          </w:p>
        </w:tc>
        <w:tc>
          <w:tcPr>
            <w:tcW w:w="889" w:type="dxa"/>
            <w:tcBorders>
              <w:top w:val="nil"/>
              <w:left w:val="nil"/>
              <w:bottom w:val="nil"/>
              <w:right w:val="single" w:sz="8" w:space="0" w:color="auto"/>
            </w:tcBorders>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-2</w:t>
            </w:r>
          </w:p>
        </w:tc>
        <w:tc>
          <w:tcPr>
            <w:tcW w:w="828" w:type="dxa"/>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21</w:t>
            </w:r>
          </w:p>
        </w:tc>
        <w:tc>
          <w:tcPr>
            <w:tcW w:w="828" w:type="dxa"/>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19</w:t>
            </w:r>
          </w:p>
        </w:tc>
        <w:tc>
          <w:tcPr>
            <w:tcW w:w="890" w:type="dxa"/>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-2</w:t>
            </w:r>
          </w:p>
        </w:tc>
      </w:tr>
      <w:tr w:rsidR="002F73E4" w:rsidTr="00893181">
        <w:tc>
          <w:tcPr>
            <w:tcW w:w="1236" w:type="dxa"/>
            <w:tcBorders>
              <w:top w:val="nil"/>
              <w:left w:val="nil"/>
              <w:bottom w:val="nil"/>
              <w:right w:val="single" w:sz="8" w:space="0" w:color="auto"/>
            </w:tcBorders>
            <w:tcMar>
              <w:top w:w="43" w:type="dxa"/>
              <w:left w:w="115" w:type="dxa"/>
              <w:bottom w:w="43" w:type="dxa"/>
              <w:right w:w="115" w:type="dxa"/>
            </w:tcMar>
            <w:vAlign w:val="center"/>
            <w:hideMark/>
          </w:tcPr>
          <w:p w:rsidR="002F73E4" w:rsidRDefault="002F73E4" w:rsidP="00893181">
            <w:pPr>
              <w:spacing w:after="120"/>
              <w:rPr>
                <w:rFonts w:ascii="Arial Narrow" w:hAnsi="Arial Narrow"/>
                <w:b/>
                <w:bCs/>
                <w:sz w:val="20"/>
                <w:szCs w:val="20"/>
              </w:rPr>
            </w:pPr>
            <w:r>
              <w:rPr>
                <w:rFonts w:ascii="Arial Narrow" w:hAnsi="Arial Narrow"/>
                <w:b/>
                <w:bCs/>
                <w:sz w:val="20"/>
                <w:szCs w:val="20"/>
              </w:rPr>
              <w:t>Grade 6</w:t>
            </w:r>
          </w:p>
        </w:tc>
        <w:tc>
          <w:tcPr>
            <w:tcW w:w="827" w:type="dxa"/>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28</w:t>
            </w:r>
          </w:p>
        </w:tc>
        <w:tc>
          <w:tcPr>
            <w:tcW w:w="827" w:type="dxa"/>
            <w:tcMar>
              <w:top w:w="43" w:type="dxa"/>
              <w:left w:w="115" w:type="dxa"/>
              <w:bottom w:w="43" w:type="dxa"/>
              <w:right w:w="115" w:type="dxa"/>
            </w:tcMar>
            <w:vAlign w:val="center"/>
            <w:hideMark/>
          </w:tcPr>
          <w:p w:rsidR="002F73E4" w:rsidRPr="00565882" w:rsidRDefault="002F73E4" w:rsidP="00893181">
            <w:pPr>
              <w:spacing w:after="120"/>
              <w:jc w:val="center"/>
              <w:rPr>
                <w:rFonts w:ascii="Arial Narrow" w:hAnsi="Arial Narrow"/>
                <w:sz w:val="20"/>
                <w:szCs w:val="20"/>
              </w:rPr>
            </w:pPr>
            <w:r w:rsidRPr="00565882">
              <w:rPr>
                <w:rFonts w:ascii="Arial Narrow" w:hAnsi="Arial Narrow"/>
                <w:sz w:val="20"/>
                <w:szCs w:val="20"/>
              </w:rPr>
              <w:t>26</w:t>
            </w:r>
          </w:p>
        </w:tc>
        <w:tc>
          <w:tcPr>
            <w:tcW w:w="889" w:type="dxa"/>
            <w:tcBorders>
              <w:top w:val="nil"/>
              <w:left w:val="nil"/>
              <w:bottom w:val="nil"/>
              <w:right w:val="single" w:sz="8" w:space="0" w:color="auto"/>
            </w:tcBorders>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-2</w:t>
            </w:r>
          </w:p>
        </w:tc>
        <w:tc>
          <w:tcPr>
            <w:tcW w:w="828" w:type="dxa"/>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19</w:t>
            </w:r>
          </w:p>
        </w:tc>
        <w:tc>
          <w:tcPr>
            <w:tcW w:w="828" w:type="dxa"/>
            <w:tcMar>
              <w:top w:w="43" w:type="dxa"/>
              <w:left w:w="115" w:type="dxa"/>
              <w:bottom w:w="43" w:type="dxa"/>
              <w:right w:w="115" w:type="dxa"/>
            </w:tcMar>
            <w:vAlign w:val="center"/>
            <w:hideMark/>
          </w:tcPr>
          <w:p w:rsidR="002F73E4" w:rsidRPr="00565882" w:rsidRDefault="002F73E4" w:rsidP="00893181">
            <w:pPr>
              <w:spacing w:after="120"/>
              <w:jc w:val="center"/>
              <w:rPr>
                <w:rFonts w:ascii="Arial Narrow" w:hAnsi="Arial Narrow"/>
                <w:sz w:val="20"/>
                <w:szCs w:val="20"/>
              </w:rPr>
            </w:pPr>
            <w:r w:rsidRPr="00565882">
              <w:rPr>
                <w:rFonts w:ascii="Arial Narrow" w:hAnsi="Arial Narrow"/>
                <w:sz w:val="20"/>
                <w:szCs w:val="20"/>
              </w:rPr>
              <w:t>21</w:t>
            </w:r>
          </w:p>
        </w:tc>
        <w:tc>
          <w:tcPr>
            <w:tcW w:w="889" w:type="dxa"/>
            <w:tcBorders>
              <w:top w:val="nil"/>
              <w:left w:val="nil"/>
              <w:bottom w:val="nil"/>
              <w:right w:val="single" w:sz="8" w:space="0" w:color="auto"/>
            </w:tcBorders>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+2</w:t>
            </w:r>
          </w:p>
        </w:tc>
        <w:tc>
          <w:tcPr>
            <w:tcW w:w="828" w:type="dxa"/>
            <w:tcMar>
              <w:top w:w="43" w:type="dxa"/>
              <w:left w:w="115" w:type="dxa"/>
              <w:bottom w:w="43" w:type="dxa"/>
              <w:right w:w="115" w:type="dxa"/>
            </w:tcMar>
            <w:vAlign w:val="center"/>
          </w:tcPr>
          <w:p w:rsidR="002F73E4" w:rsidRDefault="002F73E4" w:rsidP="00893181">
            <w:pPr>
              <w:spacing w:after="120"/>
              <w:jc w:val="center"/>
              <w:rPr>
                <w:rFonts w:ascii="Arial Narrow" w:hAnsi="Arial Narrow"/>
                <w:sz w:val="20"/>
                <w:szCs w:val="20"/>
              </w:rPr>
            </w:pPr>
          </w:p>
        </w:tc>
        <w:tc>
          <w:tcPr>
            <w:tcW w:w="828" w:type="dxa"/>
            <w:tcMar>
              <w:top w:w="43" w:type="dxa"/>
              <w:left w:w="115" w:type="dxa"/>
              <w:bottom w:w="43" w:type="dxa"/>
              <w:right w:w="115" w:type="dxa"/>
            </w:tcMar>
            <w:vAlign w:val="center"/>
          </w:tcPr>
          <w:p w:rsidR="002F73E4" w:rsidRDefault="002F73E4" w:rsidP="00893181">
            <w:pPr>
              <w:spacing w:after="120"/>
              <w:jc w:val="center"/>
              <w:rPr>
                <w:rFonts w:ascii="Arial Narrow" w:hAnsi="Arial Narrow"/>
                <w:sz w:val="20"/>
                <w:szCs w:val="20"/>
              </w:rPr>
            </w:pPr>
          </w:p>
        </w:tc>
        <w:tc>
          <w:tcPr>
            <w:tcW w:w="890" w:type="dxa"/>
            <w:tcMar>
              <w:top w:w="43" w:type="dxa"/>
              <w:left w:w="115" w:type="dxa"/>
              <w:bottom w:w="43" w:type="dxa"/>
              <w:right w:w="115" w:type="dxa"/>
            </w:tcMar>
            <w:vAlign w:val="center"/>
          </w:tcPr>
          <w:p w:rsidR="002F73E4" w:rsidRDefault="002F73E4" w:rsidP="00893181">
            <w:pPr>
              <w:spacing w:after="120"/>
              <w:jc w:val="center"/>
              <w:rPr>
                <w:rFonts w:ascii="Arial Narrow" w:hAnsi="Arial Narrow"/>
                <w:sz w:val="20"/>
                <w:szCs w:val="20"/>
              </w:rPr>
            </w:pPr>
          </w:p>
        </w:tc>
      </w:tr>
      <w:tr w:rsidR="002F73E4" w:rsidTr="00893181">
        <w:tc>
          <w:tcPr>
            <w:tcW w:w="1236" w:type="dxa"/>
            <w:tcBorders>
              <w:top w:val="nil"/>
              <w:left w:val="nil"/>
              <w:bottom w:val="nil"/>
              <w:right w:val="single" w:sz="8" w:space="0" w:color="auto"/>
            </w:tcBorders>
            <w:tcMar>
              <w:top w:w="43" w:type="dxa"/>
              <w:left w:w="115" w:type="dxa"/>
              <w:bottom w:w="43" w:type="dxa"/>
              <w:right w:w="115" w:type="dxa"/>
            </w:tcMar>
            <w:vAlign w:val="center"/>
            <w:hideMark/>
          </w:tcPr>
          <w:p w:rsidR="002F73E4" w:rsidRDefault="002F73E4" w:rsidP="00893181">
            <w:pPr>
              <w:spacing w:after="120"/>
              <w:rPr>
                <w:rFonts w:ascii="Arial Narrow" w:hAnsi="Arial Narrow"/>
                <w:b/>
                <w:bCs/>
                <w:sz w:val="20"/>
                <w:szCs w:val="20"/>
              </w:rPr>
            </w:pPr>
            <w:r>
              <w:rPr>
                <w:rFonts w:ascii="Arial Narrow" w:hAnsi="Arial Narrow"/>
                <w:b/>
                <w:bCs/>
                <w:sz w:val="20"/>
                <w:szCs w:val="20"/>
              </w:rPr>
              <w:t>Grade 7</w:t>
            </w:r>
          </w:p>
        </w:tc>
        <w:tc>
          <w:tcPr>
            <w:tcW w:w="827" w:type="dxa"/>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31</w:t>
            </w:r>
          </w:p>
        </w:tc>
        <w:tc>
          <w:tcPr>
            <w:tcW w:w="827" w:type="dxa"/>
            <w:tcMar>
              <w:top w:w="43" w:type="dxa"/>
              <w:left w:w="115" w:type="dxa"/>
              <w:bottom w:w="43" w:type="dxa"/>
              <w:right w:w="115" w:type="dxa"/>
            </w:tcMar>
            <w:vAlign w:val="center"/>
            <w:hideMark/>
          </w:tcPr>
          <w:p w:rsidR="002F73E4" w:rsidRPr="00565882" w:rsidRDefault="002F73E4" w:rsidP="00893181">
            <w:pPr>
              <w:spacing w:after="120"/>
              <w:jc w:val="center"/>
              <w:rPr>
                <w:rFonts w:ascii="Arial Narrow" w:hAnsi="Arial Narrow"/>
                <w:sz w:val="20"/>
                <w:szCs w:val="20"/>
              </w:rPr>
            </w:pPr>
            <w:r w:rsidRPr="00565882">
              <w:rPr>
                <w:rFonts w:ascii="Arial Narrow" w:hAnsi="Arial Narrow"/>
                <w:sz w:val="20"/>
                <w:szCs w:val="20"/>
              </w:rPr>
              <w:t>29</w:t>
            </w:r>
          </w:p>
        </w:tc>
        <w:tc>
          <w:tcPr>
            <w:tcW w:w="889" w:type="dxa"/>
            <w:tcBorders>
              <w:top w:val="nil"/>
              <w:left w:val="nil"/>
              <w:bottom w:val="nil"/>
              <w:right w:val="single" w:sz="8" w:space="0" w:color="auto"/>
            </w:tcBorders>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-2</w:t>
            </w:r>
          </w:p>
        </w:tc>
        <w:tc>
          <w:tcPr>
            <w:tcW w:w="828" w:type="dxa"/>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14</w:t>
            </w:r>
          </w:p>
        </w:tc>
        <w:tc>
          <w:tcPr>
            <w:tcW w:w="828" w:type="dxa"/>
            <w:tcMar>
              <w:top w:w="43" w:type="dxa"/>
              <w:left w:w="115" w:type="dxa"/>
              <w:bottom w:w="43" w:type="dxa"/>
              <w:right w:w="115" w:type="dxa"/>
            </w:tcMar>
            <w:vAlign w:val="center"/>
            <w:hideMark/>
          </w:tcPr>
          <w:p w:rsidR="002F73E4" w:rsidRPr="00565882" w:rsidRDefault="002F73E4" w:rsidP="00893181">
            <w:pPr>
              <w:spacing w:after="120"/>
              <w:jc w:val="center"/>
              <w:rPr>
                <w:rFonts w:ascii="Arial Narrow" w:hAnsi="Arial Narrow"/>
                <w:sz w:val="20"/>
                <w:szCs w:val="20"/>
              </w:rPr>
            </w:pPr>
            <w:r w:rsidRPr="00565882">
              <w:rPr>
                <w:rFonts w:ascii="Arial Narrow" w:hAnsi="Arial Narrow"/>
                <w:sz w:val="20"/>
                <w:szCs w:val="20"/>
              </w:rPr>
              <w:t>14</w:t>
            </w:r>
          </w:p>
        </w:tc>
        <w:tc>
          <w:tcPr>
            <w:tcW w:w="889" w:type="dxa"/>
            <w:tcBorders>
              <w:top w:val="nil"/>
              <w:left w:val="nil"/>
              <w:bottom w:val="nil"/>
              <w:right w:val="single" w:sz="8" w:space="0" w:color="auto"/>
            </w:tcBorders>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0</w:t>
            </w:r>
          </w:p>
        </w:tc>
        <w:tc>
          <w:tcPr>
            <w:tcW w:w="828" w:type="dxa"/>
            <w:tcMar>
              <w:top w:w="43" w:type="dxa"/>
              <w:left w:w="115" w:type="dxa"/>
              <w:bottom w:w="43" w:type="dxa"/>
              <w:right w:w="115" w:type="dxa"/>
            </w:tcMar>
            <w:vAlign w:val="center"/>
          </w:tcPr>
          <w:p w:rsidR="002F73E4" w:rsidRDefault="002F73E4" w:rsidP="00893181">
            <w:pPr>
              <w:spacing w:after="120"/>
              <w:jc w:val="center"/>
              <w:rPr>
                <w:rFonts w:ascii="Arial Narrow" w:hAnsi="Arial Narrow"/>
                <w:sz w:val="20"/>
                <w:szCs w:val="20"/>
              </w:rPr>
            </w:pPr>
          </w:p>
        </w:tc>
        <w:tc>
          <w:tcPr>
            <w:tcW w:w="828" w:type="dxa"/>
            <w:tcMar>
              <w:top w:w="43" w:type="dxa"/>
              <w:left w:w="115" w:type="dxa"/>
              <w:bottom w:w="43" w:type="dxa"/>
              <w:right w:w="115" w:type="dxa"/>
            </w:tcMar>
            <w:vAlign w:val="center"/>
          </w:tcPr>
          <w:p w:rsidR="002F73E4" w:rsidRDefault="002F73E4" w:rsidP="00893181">
            <w:pPr>
              <w:spacing w:after="120"/>
              <w:jc w:val="center"/>
              <w:rPr>
                <w:rFonts w:ascii="Arial Narrow" w:hAnsi="Arial Narrow"/>
                <w:sz w:val="20"/>
                <w:szCs w:val="20"/>
              </w:rPr>
            </w:pPr>
          </w:p>
        </w:tc>
        <w:tc>
          <w:tcPr>
            <w:tcW w:w="890" w:type="dxa"/>
            <w:tcMar>
              <w:top w:w="43" w:type="dxa"/>
              <w:left w:w="115" w:type="dxa"/>
              <w:bottom w:w="43" w:type="dxa"/>
              <w:right w:w="115" w:type="dxa"/>
            </w:tcMar>
            <w:vAlign w:val="center"/>
          </w:tcPr>
          <w:p w:rsidR="002F73E4" w:rsidRDefault="002F73E4" w:rsidP="00893181">
            <w:pPr>
              <w:spacing w:after="120"/>
              <w:jc w:val="center"/>
              <w:rPr>
                <w:rFonts w:ascii="Arial Narrow" w:hAnsi="Arial Narrow"/>
                <w:sz w:val="20"/>
                <w:szCs w:val="20"/>
              </w:rPr>
            </w:pPr>
          </w:p>
        </w:tc>
      </w:tr>
      <w:tr w:rsidR="002F73E4" w:rsidTr="00893181">
        <w:tc>
          <w:tcPr>
            <w:tcW w:w="1236" w:type="dxa"/>
            <w:tcBorders>
              <w:top w:val="nil"/>
              <w:left w:val="nil"/>
              <w:bottom w:val="nil"/>
              <w:right w:val="single" w:sz="8" w:space="0" w:color="auto"/>
            </w:tcBorders>
            <w:tcMar>
              <w:top w:w="43" w:type="dxa"/>
              <w:left w:w="115" w:type="dxa"/>
              <w:bottom w:w="43" w:type="dxa"/>
              <w:right w:w="115" w:type="dxa"/>
            </w:tcMar>
            <w:vAlign w:val="center"/>
            <w:hideMark/>
          </w:tcPr>
          <w:p w:rsidR="002F73E4" w:rsidRDefault="002F73E4" w:rsidP="00893181">
            <w:pPr>
              <w:spacing w:after="120"/>
              <w:rPr>
                <w:rFonts w:ascii="Arial Narrow" w:hAnsi="Arial Narrow"/>
                <w:b/>
                <w:bCs/>
                <w:sz w:val="20"/>
                <w:szCs w:val="20"/>
              </w:rPr>
            </w:pPr>
            <w:r>
              <w:rPr>
                <w:rFonts w:ascii="Arial Narrow" w:hAnsi="Arial Narrow"/>
                <w:b/>
                <w:bCs/>
                <w:sz w:val="20"/>
                <w:szCs w:val="20"/>
              </w:rPr>
              <w:t>Grade 8</w:t>
            </w:r>
          </w:p>
        </w:tc>
        <w:tc>
          <w:tcPr>
            <w:tcW w:w="827" w:type="dxa"/>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41</w:t>
            </w:r>
          </w:p>
        </w:tc>
        <w:tc>
          <w:tcPr>
            <w:tcW w:w="827" w:type="dxa"/>
            <w:tcMar>
              <w:top w:w="43" w:type="dxa"/>
              <w:left w:w="115" w:type="dxa"/>
              <w:bottom w:w="43" w:type="dxa"/>
              <w:right w:w="115" w:type="dxa"/>
            </w:tcMar>
            <w:vAlign w:val="center"/>
            <w:hideMark/>
          </w:tcPr>
          <w:p w:rsidR="002F73E4" w:rsidRPr="00565882" w:rsidRDefault="002F73E4" w:rsidP="00893181">
            <w:pPr>
              <w:spacing w:after="120"/>
              <w:jc w:val="center"/>
              <w:rPr>
                <w:rFonts w:ascii="Arial Narrow" w:hAnsi="Arial Narrow"/>
                <w:sz w:val="20"/>
                <w:szCs w:val="20"/>
              </w:rPr>
            </w:pPr>
            <w:r w:rsidRPr="00565882">
              <w:rPr>
                <w:rFonts w:ascii="Arial Narrow" w:hAnsi="Arial Narrow"/>
                <w:sz w:val="20"/>
                <w:szCs w:val="20"/>
              </w:rPr>
              <w:t>42</w:t>
            </w:r>
          </w:p>
        </w:tc>
        <w:tc>
          <w:tcPr>
            <w:tcW w:w="889" w:type="dxa"/>
            <w:tcBorders>
              <w:top w:val="nil"/>
              <w:left w:val="nil"/>
              <w:bottom w:val="nil"/>
              <w:right w:val="single" w:sz="8" w:space="0" w:color="auto"/>
            </w:tcBorders>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+1</w:t>
            </w:r>
          </w:p>
        </w:tc>
        <w:tc>
          <w:tcPr>
            <w:tcW w:w="828" w:type="dxa"/>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14</w:t>
            </w:r>
          </w:p>
        </w:tc>
        <w:tc>
          <w:tcPr>
            <w:tcW w:w="828" w:type="dxa"/>
            <w:tcMar>
              <w:top w:w="43" w:type="dxa"/>
              <w:left w:w="115" w:type="dxa"/>
              <w:bottom w:w="43" w:type="dxa"/>
              <w:right w:w="115" w:type="dxa"/>
            </w:tcMar>
            <w:vAlign w:val="center"/>
            <w:hideMark/>
          </w:tcPr>
          <w:p w:rsidR="002F73E4" w:rsidRPr="00565882" w:rsidRDefault="002F73E4" w:rsidP="00893181">
            <w:pPr>
              <w:spacing w:after="120"/>
              <w:jc w:val="center"/>
              <w:rPr>
                <w:rFonts w:ascii="Arial Narrow" w:hAnsi="Arial Narrow"/>
                <w:sz w:val="20"/>
                <w:szCs w:val="20"/>
              </w:rPr>
            </w:pPr>
            <w:r w:rsidRPr="00565882">
              <w:rPr>
                <w:rFonts w:ascii="Arial Narrow" w:hAnsi="Arial Narrow"/>
                <w:sz w:val="20"/>
                <w:szCs w:val="20"/>
              </w:rPr>
              <w:t>14</w:t>
            </w:r>
          </w:p>
        </w:tc>
        <w:tc>
          <w:tcPr>
            <w:tcW w:w="889" w:type="dxa"/>
            <w:tcBorders>
              <w:top w:val="nil"/>
              <w:left w:val="nil"/>
              <w:bottom w:val="nil"/>
              <w:right w:val="single" w:sz="8" w:space="0" w:color="auto"/>
            </w:tcBorders>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0</w:t>
            </w:r>
          </w:p>
        </w:tc>
        <w:tc>
          <w:tcPr>
            <w:tcW w:w="828" w:type="dxa"/>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12</w:t>
            </w:r>
          </w:p>
        </w:tc>
        <w:tc>
          <w:tcPr>
            <w:tcW w:w="828" w:type="dxa"/>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12</w:t>
            </w:r>
          </w:p>
        </w:tc>
        <w:tc>
          <w:tcPr>
            <w:tcW w:w="890" w:type="dxa"/>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0</w:t>
            </w:r>
          </w:p>
        </w:tc>
      </w:tr>
      <w:tr w:rsidR="002F73E4" w:rsidTr="00893181">
        <w:tc>
          <w:tcPr>
            <w:tcW w:w="1236" w:type="dxa"/>
            <w:tcBorders>
              <w:top w:val="nil"/>
              <w:left w:val="nil"/>
              <w:bottom w:val="single" w:sz="12" w:space="0" w:color="auto"/>
              <w:right w:val="single" w:sz="8" w:space="0" w:color="auto"/>
            </w:tcBorders>
            <w:tcMar>
              <w:top w:w="43" w:type="dxa"/>
              <w:left w:w="115" w:type="dxa"/>
              <w:bottom w:w="43" w:type="dxa"/>
              <w:right w:w="115" w:type="dxa"/>
            </w:tcMar>
            <w:vAlign w:val="center"/>
            <w:hideMark/>
          </w:tcPr>
          <w:p w:rsidR="002F73E4" w:rsidRDefault="002F73E4" w:rsidP="00893181">
            <w:pPr>
              <w:spacing w:after="120"/>
              <w:rPr>
                <w:rFonts w:ascii="Arial Narrow" w:hAnsi="Arial Narrow"/>
                <w:b/>
                <w:bCs/>
                <w:sz w:val="20"/>
                <w:szCs w:val="20"/>
              </w:rPr>
            </w:pPr>
            <w:r>
              <w:rPr>
                <w:rFonts w:ascii="Arial Narrow" w:hAnsi="Arial Narrow"/>
                <w:b/>
                <w:bCs/>
                <w:sz w:val="20"/>
                <w:szCs w:val="20"/>
              </w:rPr>
              <w:t>Grade 10</w:t>
            </w:r>
          </w:p>
        </w:tc>
        <w:tc>
          <w:tcPr>
            <w:tcW w:w="827" w:type="dxa"/>
            <w:tcBorders>
              <w:top w:val="nil"/>
              <w:left w:val="nil"/>
              <w:bottom w:val="single" w:sz="12" w:space="0" w:color="auto"/>
              <w:right w:val="nil"/>
            </w:tcBorders>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49</w:t>
            </w:r>
          </w:p>
        </w:tc>
        <w:tc>
          <w:tcPr>
            <w:tcW w:w="827" w:type="dxa"/>
            <w:tcBorders>
              <w:top w:val="nil"/>
              <w:left w:val="nil"/>
              <w:bottom w:val="single" w:sz="12" w:space="0" w:color="auto"/>
              <w:right w:val="nil"/>
            </w:tcBorders>
            <w:tcMar>
              <w:top w:w="43" w:type="dxa"/>
              <w:left w:w="115" w:type="dxa"/>
              <w:bottom w:w="43" w:type="dxa"/>
              <w:right w:w="115" w:type="dxa"/>
            </w:tcMar>
            <w:vAlign w:val="center"/>
            <w:hideMark/>
          </w:tcPr>
          <w:p w:rsidR="002F73E4" w:rsidRPr="00565882" w:rsidRDefault="002F73E4" w:rsidP="00893181">
            <w:pPr>
              <w:spacing w:after="120"/>
              <w:jc w:val="center"/>
              <w:rPr>
                <w:rFonts w:ascii="Arial Narrow" w:hAnsi="Arial Narrow"/>
                <w:sz w:val="20"/>
                <w:szCs w:val="20"/>
              </w:rPr>
            </w:pPr>
            <w:r w:rsidRPr="00565882">
              <w:rPr>
                <w:rFonts w:ascii="Arial Narrow" w:hAnsi="Arial Narrow"/>
                <w:sz w:val="20"/>
                <w:szCs w:val="20"/>
              </w:rPr>
              <w:t>60</w:t>
            </w:r>
          </w:p>
        </w:tc>
        <w:tc>
          <w:tcPr>
            <w:tcW w:w="889" w:type="dxa"/>
            <w:tcBorders>
              <w:top w:val="nil"/>
              <w:left w:val="nil"/>
              <w:bottom w:val="single" w:sz="12" w:space="0" w:color="auto"/>
              <w:right w:val="single" w:sz="8" w:space="0" w:color="auto"/>
            </w:tcBorders>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+11</w:t>
            </w:r>
          </w:p>
        </w:tc>
        <w:tc>
          <w:tcPr>
            <w:tcW w:w="828" w:type="dxa"/>
            <w:tcBorders>
              <w:top w:val="nil"/>
              <w:left w:val="nil"/>
              <w:bottom w:val="single" w:sz="12" w:space="0" w:color="auto"/>
              <w:right w:val="nil"/>
            </w:tcBorders>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39</w:t>
            </w:r>
          </w:p>
        </w:tc>
        <w:tc>
          <w:tcPr>
            <w:tcW w:w="828" w:type="dxa"/>
            <w:tcBorders>
              <w:top w:val="nil"/>
              <w:left w:val="nil"/>
              <w:bottom w:val="single" w:sz="12" w:space="0" w:color="auto"/>
              <w:right w:val="nil"/>
            </w:tcBorders>
            <w:tcMar>
              <w:top w:w="43" w:type="dxa"/>
              <w:left w:w="115" w:type="dxa"/>
              <w:bottom w:w="43" w:type="dxa"/>
              <w:right w:w="115" w:type="dxa"/>
            </w:tcMar>
            <w:vAlign w:val="center"/>
            <w:hideMark/>
          </w:tcPr>
          <w:p w:rsidR="002F73E4" w:rsidRPr="00565882" w:rsidRDefault="002F73E4" w:rsidP="00893181">
            <w:pPr>
              <w:spacing w:after="120"/>
              <w:jc w:val="center"/>
              <w:rPr>
                <w:rFonts w:ascii="Arial Narrow" w:hAnsi="Arial Narrow"/>
                <w:sz w:val="20"/>
                <w:szCs w:val="20"/>
              </w:rPr>
            </w:pPr>
            <w:r w:rsidRPr="00565882">
              <w:rPr>
                <w:rFonts w:ascii="Arial Narrow" w:hAnsi="Arial Narrow"/>
                <w:sz w:val="20"/>
                <w:szCs w:val="20"/>
              </w:rPr>
              <w:t>41</w:t>
            </w:r>
          </w:p>
        </w:tc>
        <w:tc>
          <w:tcPr>
            <w:tcW w:w="889" w:type="dxa"/>
            <w:tcBorders>
              <w:top w:val="nil"/>
              <w:left w:val="nil"/>
              <w:bottom w:val="single" w:sz="12" w:space="0" w:color="auto"/>
              <w:right w:val="single" w:sz="8" w:space="0" w:color="auto"/>
            </w:tcBorders>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+2</w:t>
            </w:r>
          </w:p>
        </w:tc>
        <w:tc>
          <w:tcPr>
            <w:tcW w:w="828" w:type="dxa"/>
            <w:tcBorders>
              <w:top w:val="nil"/>
              <w:left w:val="nil"/>
              <w:bottom w:val="single" w:sz="12" w:space="0" w:color="auto"/>
              <w:right w:val="nil"/>
            </w:tcBorders>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30</w:t>
            </w:r>
          </w:p>
        </w:tc>
        <w:tc>
          <w:tcPr>
            <w:tcW w:w="828" w:type="dxa"/>
            <w:tcBorders>
              <w:top w:val="nil"/>
              <w:left w:val="nil"/>
              <w:bottom w:val="single" w:sz="12" w:space="0" w:color="auto"/>
              <w:right w:val="nil"/>
            </w:tcBorders>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32</w:t>
            </w:r>
          </w:p>
        </w:tc>
        <w:tc>
          <w:tcPr>
            <w:tcW w:w="890" w:type="dxa"/>
            <w:tcBorders>
              <w:top w:val="nil"/>
              <w:left w:val="nil"/>
              <w:bottom w:val="single" w:sz="12" w:space="0" w:color="auto"/>
              <w:right w:val="nil"/>
            </w:tcBorders>
            <w:tcMar>
              <w:top w:w="43" w:type="dxa"/>
              <w:left w:w="115" w:type="dxa"/>
              <w:bottom w:w="43" w:type="dxa"/>
              <w:right w:w="115" w:type="dxa"/>
            </w:tcMar>
            <w:vAlign w:val="center"/>
            <w:hideMark/>
          </w:tcPr>
          <w:p w:rsidR="002F73E4" w:rsidRDefault="002F73E4" w:rsidP="00893181">
            <w:pPr>
              <w:spacing w:after="120"/>
              <w:jc w:val="center"/>
              <w:rPr>
                <w:rFonts w:ascii="Arial Narrow" w:hAnsi="Arial Narrow"/>
                <w:sz w:val="20"/>
                <w:szCs w:val="20"/>
              </w:rPr>
            </w:pPr>
            <w:r>
              <w:rPr>
                <w:rFonts w:ascii="Arial Narrow" w:hAnsi="Arial Narrow"/>
                <w:sz w:val="20"/>
                <w:szCs w:val="20"/>
              </w:rPr>
              <w:t>+2</w:t>
            </w:r>
          </w:p>
        </w:tc>
      </w:tr>
    </w:tbl>
    <w:p w:rsidR="002F73E4" w:rsidRDefault="002F73E4" w:rsidP="002F73E4">
      <w:pPr>
        <w:pStyle w:val="ESESourceLine"/>
      </w:pPr>
      <w:r>
        <w:t>Source: Summary of 2012MCAS State Results</w:t>
      </w:r>
    </w:p>
    <w:p w:rsidR="002F73E4" w:rsidRPr="000C64F6" w:rsidRDefault="002F73E4" w:rsidP="002F73E4"/>
    <w:p w:rsidR="002F73E4" w:rsidRDefault="002F73E4" w:rsidP="007A1237">
      <w:pPr>
        <w:pStyle w:val="Heading3"/>
        <w:numPr>
          <w:ilvl w:val="0"/>
          <w:numId w:val="14"/>
        </w:numPr>
      </w:pPr>
      <w:bookmarkStart w:id="17" w:name="_Toc342312311"/>
      <w:r>
        <w:t>Performance Gap</w:t>
      </w:r>
      <w:bookmarkEnd w:id="17"/>
    </w:p>
    <w:p w:rsidR="00097419" w:rsidRDefault="00097419" w:rsidP="00097419">
      <w:pPr>
        <w:ind w:left="720"/>
        <w:rPr>
          <w:b/>
          <w:bCs/>
        </w:rPr>
      </w:pPr>
    </w:p>
    <w:p w:rsidR="002F73E4" w:rsidRDefault="002F73E4" w:rsidP="00097419">
      <w:r>
        <w:t xml:space="preserve">The between-group gap in the percentage of students scoring </w:t>
      </w:r>
      <w:r>
        <w:rPr>
          <w:i/>
          <w:iCs/>
        </w:rPr>
        <w:t xml:space="preserve">Proficient </w:t>
      </w:r>
      <w:r>
        <w:t>or higher for students with disabilities and all students narrowed or remained the same in most subjects and grades. The between-group gap in ELA narrowed by seven points at grade 10, but widened by one point at grades 4 and 8. In Mathematics, the between-group gap narrowed by one point at grade 10, but widened by two points at grade 4. In STE, the gap widened by four points at grades 5 and 8.</w:t>
      </w:r>
    </w:p>
    <w:p w:rsidR="002F73E4" w:rsidRDefault="002F73E4" w:rsidP="00097419"/>
    <w:p w:rsidR="002F73E4" w:rsidRDefault="00081FE8" w:rsidP="00097419">
      <w:r>
        <w:t>More detailed reporting of MCAS results for students is included in t</w:t>
      </w:r>
      <w:r w:rsidR="002F73E4">
        <w:t xml:space="preserve">he report entitled </w:t>
      </w:r>
      <w:r w:rsidR="002F73E4">
        <w:rPr>
          <w:i/>
          <w:iCs/>
        </w:rPr>
        <w:t>Spring</w:t>
      </w:r>
      <w:r w:rsidR="002F73E4">
        <w:t xml:space="preserve"> </w:t>
      </w:r>
      <w:r w:rsidR="002F73E4">
        <w:rPr>
          <w:i/>
          <w:iCs/>
        </w:rPr>
        <w:t xml:space="preserve">2012 MCAS Tests: Summary of State </w:t>
      </w:r>
      <w:r w:rsidR="002F73E4" w:rsidRPr="00081FE8">
        <w:rPr>
          <w:iCs/>
        </w:rPr>
        <w:t>Results</w:t>
      </w:r>
      <w:r>
        <w:t>, a</w:t>
      </w:r>
      <w:r w:rsidR="002F73E4" w:rsidRPr="00081FE8">
        <w:t>vailable</w:t>
      </w:r>
      <w:r w:rsidR="002F73E4">
        <w:t xml:space="preserve"> on the Department’s website at </w:t>
      </w:r>
      <w:hyperlink r:id="rId20" w:history="1">
        <w:r w:rsidR="002F73E4" w:rsidRPr="00F956D3">
          <w:rPr>
            <w:rStyle w:val="Hyperlink"/>
          </w:rPr>
          <w:t>http://www.doe.mass.edu/mcas/2012/results/summary.pdf</w:t>
        </w:r>
      </w:hyperlink>
      <w:r w:rsidR="002F73E4">
        <w:t>.</w:t>
      </w:r>
    </w:p>
    <w:p w:rsidR="00A25395" w:rsidRPr="00DA1B99" w:rsidRDefault="00A25395" w:rsidP="007A1237">
      <w:pPr>
        <w:pStyle w:val="Heading1"/>
        <w:numPr>
          <w:ilvl w:val="0"/>
          <w:numId w:val="12"/>
        </w:numPr>
        <w:ind w:left="0" w:firstLine="0"/>
      </w:pPr>
      <w:bookmarkStart w:id="18" w:name="_Toc342312312"/>
      <w:r w:rsidRPr="00DA1B99">
        <w:t>Improvement Activities</w:t>
      </w:r>
      <w:bookmarkEnd w:id="18"/>
    </w:p>
    <w:p w:rsidR="00A25395" w:rsidRPr="00DA1B99" w:rsidRDefault="00DF6DFF" w:rsidP="007A1237">
      <w:pPr>
        <w:numPr>
          <w:ilvl w:val="0"/>
          <w:numId w:val="15"/>
        </w:numPr>
        <w:tabs>
          <w:tab w:val="left" w:pos="0"/>
        </w:tabs>
        <w:ind w:left="0" w:firstLine="0"/>
        <w:rPr>
          <w:rFonts w:ascii="Arial" w:hAnsi="Arial" w:cs="Arial"/>
          <w:b/>
          <w:i/>
          <w:sz w:val="28"/>
          <w:szCs w:val="28"/>
        </w:rPr>
      </w:pPr>
      <w:r w:rsidRPr="00DA1B99">
        <w:rPr>
          <w:rFonts w:ascii="Arial" w:hAnsi="Arial" w:cs="Arial"/>
          <w:b/>
          <w:i/>
          <w:sz w:val="28"/>
          <w:szCs w:val="28"/>
        </w:rPr>
        <w:t>Office of Tiered System of Supports (O</w:t>
      </w:r>
      <w:r w:rsidR="00A25395" w:rsidRPr="00DA1B99">
        <w:rPr>
          <w:rFonts w:ascii="Arial" w:hAnsi="Arial" w:cs="Arial"/>
          <w:b/>
          <w:i/>
          <w:sz w:val="28"/>
          <w:szCs w:val="28"/>
        </w:rPr>
        <w:t>TSS)</w:t>
      </w:r>
    </w:p>
    <w:p w:rsidR="003E587B" w:rsidRDefault="003E587B" w:rsidP="003E587B">
      <w:pPr>
        <w:ind w:left="1440"/>
      </w:pPr>
    </w:p>
    <w:p w:rsidR="00DF6DFF" w:rsidRDefault="00081FE8" w:rsidP="003E587B">
      <w:r>
        <w:t>In spring 2012, the Department created a new office, t</w:t>
      </w:r>
      <w:r w:rsidR="00DF6DFF">
        <w:t>he Office of Tiered System of Supports</w:t>
      </w:r>
      <w:r w:rsidR="008F2063">
        <w:t xml:space="preserve"> (OTSS)</w:t>
      </w:r>
      <w:r>
        <w:t xml:space="preserve">. </w:t>
      </w:r>
      <w:r w:rsidR="00311FCB">
        <w:t>Staff from the Office of Special Education, Planning and Policy (SEPP) and OTSS collaborates</w:t>
      </w:r>
      <w:r w:rsidR="00DC26EA">
        <w:t xml:space="preserve"> on many activities</w:t>
      </w:r>
      <w:r w:rsidR="00DF6DFF">
        <w:t>. As a blending of special education and general education initiatives</w:t>
      </w:r>
      <w:r w:rsidR="008F2063">
        <w:t>,</w:t>
      </w:r>
      <w:r w:rsidR="00DF6DFF">
        <w:t xml:space="preserve"> OTSS concentrates on</w:t>
      </w:r>
      <w:r w:rsidR="003E587B">
        <w:t xml:space="preserve"> guiding</w:t>
      </w:r>
      <w:r w:rsidR="003E587B" w:rsidRPr="00C92410">
        <w:t xml:space="preserve"> the establishment of a system that provides high-quality core educational experiences in a safe and supportive learning environment for all students</w:t>
      </w:r>
      <w:r w:rsidR="008F2063">
        <w:t>,</w:t>
      </w:r>
      <w:r w:rsidR="003E587B" w:rsidRPr="00C92410">
        <w:t xml:space="preserve"> and targeted interventions/supports for students who experience academic and/or behavioral difficulties and students who have already demonstrated mastery of the concept and skills being taught</w:t>
      </w:r>
      <w:r w:rsidR="00DF6DFF">
        <w:t xml:space="preserve">. This </w:t>
      </w:r>
      <w:r w:rsidR="00DF6DFF" w:rsidRPr="00C92410">
        <w:t>bluep</w:t>
      </w:r>
      <w:r w:rsidR="00DF6DFF">
        <w:t>rint for school improvement</w:t>
      </w:r>
      <w:r w:rsidR="00DF6DFF" w:rsidRPr="00C92410">
        <w:t xml:space="preserve"> focuses on system level change across the classroom, school, and district</w:t>
      </w:r>
      <w:r w:rsidR="00DF6DFF">
        <w:t xml:space="preserve"> and is called the Massachusetts Tiered System of Supports (</w:t>
      </w:r>
      <w:r w:rsidR="003E587B" w:rsidRPr="00A57448">
        <w:t>MTSS</w:t>
      </w:r>
      <w:r w:rsidR="00DF6DFF">
        <w:t>).</w:t>
      </w:r>
    </w:p>
    <w:p w:rsidR="00DC26EA" w:rsidRDefault="00DC26EA" w:rsidP="003E587B"/>
    <w:p w:rsidR="00EB5993" w:rsidRDefault="008F2063" w:rsidP="003451C5">
      <w:pPr>
        <w:autoSpaceDE w:val="0"/>
        <w:autoSpaceDN w:val="0"/>
        <w:adjustRightInd w:val="0"/>
      </w:pPr>
      <w:r w:rsidRPr="008F2063">
        <w:t>In addition to developing policies, practices and procedures around MTSS, OTSS provides technical assistance, develops tools and guidance documents, administers grants, and establishes and maintains communication with key stakeholders representing general and special education populations.</w:t>
      </w:r>
      <w:r w:rsidR="003451C5">
        <w:t xml:space="preserve"> The Department, though OTSS, was awarded $5.5 over 5 years million under the federal State Personnel Development Grant program to create model sites across the Commonwealth that support the implementation and ongoing monitoring of best practices for tiered systems of support. Also, d</w:t>
      </w:r>
      <w:r w:rsidR="00EB5993" w:rsidRPr="008F2063">
        <w:t>uring the 2011-2012 school year</w:t>
      </w:r>
      <w:r w:rsidRPr="008F2063">
        <w:t>, OTSS</w:t>
      </w:r>
      <w:r w:rsidR="00EB5993" w:rsidRPr="008F2063">
        <w:t xml:space="preserve"> </w:t>
      </w:r>
      <w:r w:rsidR="003451C5">
        <w:t xml:space="preserve">supported </w:t>
      </w:r>
      <w:r w:rsidR="00DF6DFF" w:rsidRPr="008F2063">
        <w:t>the following activities</w:t>
      </w:r>
      <w:r w:rsidRPr="008F2063">
        <w:t>,</w:t>
      </w:r>
      <w:r w:rsidR="00DF6DFF" w:rsidRPr="008F2063">
        <w:t xml:space="preserve"> in addition to monitoring S</w:t>
      </w:r>
      <w:r w:rsidRPr="008F2063">
        <w:t xml:space="preserve">tate </w:t>
      </w:r>
      <w:r w:rsidR="00DF6DFF" w:rsidRPr="008F2063">
        <w:t>P</w:t>
      </w:r>
      <w:r w:rsidRPr="008F2063">
        <w:t xml:space="preserve">erformance </w:t>
      </w:r>
      <w:r w:rsidR="00DF6DFF" w:rsidRPr="008F2063">
        <w:t>P</w:t>
      </w:r>
      <w:r w:rsidRPr="008F2063">
        <w:t>lan (SPP) performance i</w:t>
      </w:r>
      <w:r w:rsidR="00DF6DFF" w:rsidRPr="008F2063">
        <w:t>ndicators 3</w:t>
      </w:r>
      <w:r w:rsidRPr="008F2063">
        <w:t xml:space="preserve"> (assessment)</w:t>
      </w:r>
      <w:r w:rsidR="00DF6DFF" w:rsidRPr="008F2063">
        <w:t>, 5</w:t>
      </w:r>
      <w:r w:rsidRPr="008F2063">
        <w:t xml:space="preserve"> (least restrictive environment)</w:t>
      </w:r>
      <w:r w:rsidR="00C50AB7" w:rsidRPr="008F2063">
        <w:t>, and 14</w:t>
      </w:r>
      <w:r w:rsidRPr="008F2063">
        <w:t xml:space="preserve"> (post-secondary</w:t>
      </w:r>
      <w:r>
        <w:t xml:space="preserve"> outcomes)</w:t>
      </w:r>
      <w:r w:rsidR="00C50AB7">
        <w:t>:</w:t>
      </w:r>
    </w:p>
    <w:p w:rsidR="00C50AB7" w:rsidRDefault="00C50AB7" w:rsidP="003451C5">
      <w:pPr>
        <w:autoSpaceDE w:val="0"/>
        <w:autoSpaceDN w:val="0"/>
        <w:adjustRightInd w:val="0"/>
      </w:pPr>
    </w:p>
    <w:p w:rsidR="00C50AB7" w:rsidRDefault="00C50AB7" w:rsidP="007A1237">
      <w:pPr>
        <w:numPr>
          <w:ilvl w:val="0"/>
          <w:numId w:val="9"/>
        </w:numPr>
      </w:pPr>
      <w:r>
        <w:t>First annual MTSS Conference, March 2012</w:t>
      </w:r>
      <w:r w:rsidR="008F2063">
        <w:t>;</w:t>
      </w:r>
    </w:p>
    <w:p w:rsidR="00C50AB7" w:rsidRDefault="00C50AB7" w:rsidP="007A1237">
      <w:pPr>
        <w:numPr>
          <w:ilvl w:val="0"/>
          <w:numId w:val="9"/>
        </w:numPr>
      </w:pPr>
      <w:r>
        <w:t>Grant Program: District and School Planning: An Integrated Academic and Non-Academic System</w:t>
      </w:r>
      <w:r w:rsidR="008F2063">
        <w:t>;</w:t>
      </w:r>
    </w:p>
    <w:p w:rsidR="00C50AB7" w:rsidRDefault="00C50AB7" w:rsidP="007A1237">
      <w:pPr>
        <w:numPr>
          <w:ilvl w:val="0"/>
          <w:numId w:val="9"/>
        </w:numPr>
        <w:autoSpaceDE w:val="0"/>
        <w:autoSpaceDN w:val="0"/>
        <w:adjustRightInd w:val="0"/>
      </w:pPr>
      <w:r>
        <w:t>Summer 2012 professional development on Universal design for Learning (UDL)</w:t>
      </w:r>
      <w:r w:rsidR="008F2063">
        <w:t>;</w:t>
      </w:r>
    </w:p>
    <w:p w:rsidR="00C50AB7" w:rsidRDefault="00C50AB7" w:rsidP="007A1237">
      <w:pPr>
        <w:numPr>
          <w:ilvl w:val="0"/>
          <w:numId w:val="9"/>
        </w:numPr>
      </w:pPr>
      <w:r>
        <w:t>Massachusetts Licensure Academy for special educators on waivers</w:t>
      </w:r>
      <w:r w:rsidR="008F2063">
        <w:t>; and</w:t>
      </w:r>
    </w:p>
    <w:p w:rsidR="00C50AB7" w:rsidRDefault="00C50AB7" w:rsidP="007A1237">
      <w:pPr>
        <w:numPr>
          <w:ilvl w:val="0"/>
          <w:numId w:val="9"/>
        </w:numPr>
      </w:pPr>
      <w:r>
        <w:t>Massachusetts Focus Academy professional development courses</w:t>
      </w:r>
      <w:r w:rsidR="008F2063">
        <w:t>.</w:t>
      </w:r>
    </w:p>
    <w:p w:rsidR="00C50AB7" w:rsidRDefault="00C50AB7" w:rsidP="00C50AB7"/>
    <w:p w:rsidR="003E587B" w:rsidRDefault="003E587B" w:rsidP="003E587B">
      <w:r w:rsidRPr="00C92410">
        <w:t xml:space="preserve">To view the </w:t>
      </w:r>
      <w:r w:rsidR="00C50AB7">
        <w:t xml:space="preserve">MTSS </w:t>
      </w:r>
      <w:r w:rsidRPr="00C92410">
        <w:t xml:space="preserve">website and read more about the MTSS initiative, please visit: </w:t>
      </w:r>
      <w:hyperlink r:id="rId21" w:history="1">
        <w:r w:rsidRPr="006B43BE">
          <w:rPr>
            <w:rStyle w:val="Hyperlink"/>
          </w:rPr>
          <w:t>http://www.doe.mass.edu/mtss/</w:t>
        </w:r>
      </w:hyperlink>
      <w:r>
        <w:t xml:space="preserve">. </w:t>
      </w:r>
    </w:p>
    <w:p w:rsidR="00A25395" w:rsidRPr="00AC3181" w:rsidRDefault="00A25395" w:rsidP="007A1237">
      <w:pPr>
        <w:pStyle w:val="Heading1"/>
        <w:numPr>
          <w:ilvl w:val="0"/>
          <w:numId w:val="12"/>
        </w:numPr>
        <w:ind w:left="90" w:firstLine="0"/>
      </w:pPr>
      <w:bookmarkStart w:id="19" w:name="_Toc342312313"/>
      <w:r w:rsidRPr="00AC3181">
        <w:t>Initiatives</w:t>
      </w:r>
      <w:bookmarkEnd w:id="19"/>
    </w:p>
    <w:p w:rsidR="00AC3181" w:rsidRPr="00DA1B99" w:rsidRDefault="00AC3181" w:rsidP="007A1237">
      <w:pPr>
        <w:pStyle w:val="Heading2"/>
        <w:numPr>
          <w:ilvl w:val="0"/>
          <w:numId w:val="16"/>
        </w:numPr>
        <w:ind w:hanging="720"/>
      </w:pPr>
      <w:bookmarkStart w:id="20" w:name="_Toc342312314"/>
      <w:r w:rsidRPr="00DA1B99">
        <w:t xml:space="preserve">Review of Special Education in the Commonwealth of Massachusetts </w:t>
      </w:r>
      <w:bookmarkEnd w:id="20"/>
    </w:p>
    <w:p w:rsidR="00AC3181" w:rsidRDefault="00AC3181" w:rsidP="00AC3181"/>
    <w:p w:rsidR="00AC3181" w:rsidRPr="00150234" w:rsidRDefault="00AC3181" w:rsidP="00AC3181">
      <w:r w:rsidRPr="00C833F5">
        <w:t xml:space="preserve">Thomas </w:t>
      </w:r>
      <w:proofErr w:type="spellStart"/>
      <w:r w:rsidRPr="00C833F5">
        <w:t>Hehir</w:t>
      </w:r>
      <w:proofErr w:type="spellEnd"/>
      <w:r w:rsidRPr="00C833F5">
        <w:t xml:space="preserve"> and Associates was retained by the </w:t>
      </w:r>
      <w:r w:rsidR="00DA1B99">
        <w:t>Department</w:t>
      </w:r>
      <w:r w:rsidRPr="00C833F5">
        <w:t xml:space="preserve"> in the spring of 2012 to conduct a comprehensive review of special education in the Commonwealth. Dr. </w:t>
      </w:r>
      <w:proofErr w:type="spellStart"/>
      <w:r w:rsidRPr="00C833F5">
        <w:t>Hehir</w:t>
      </w:r>
      <w:proofErr w:type="spellEnd"/>
      <w:r w:rsidR="00DA1B99">
        <w:t>, currently</w:t>
      </w:r>
      <w:r w:rsidRPr="00C833F5">
        <w:t xml:space="preserve"> a Professor of Practice at Harvard University</w:t>
      </w:r>
      <w:r w:rsidR="00DA1B99">
        <w:t xml:space="preserve">’s School of Education, </w:t>
      </w:r>
      <w:r w:rsidRPr="00C833F5">
        <w:t xml:space="preserve">also served as </w:t>
      </w:r>
      <w:r w:rsidRPr="00150234">
        <w:t>director of the U.S. Department of Education's Office of Special Education Programs; associate superintendent for the Chicago Public School</w:t>
      </w:r>
      <w:r w:rsidR="00150234" w:rsidRPr="00150234">
        <w:t>s</w:t>
      </w:r>
      <w:r w:rsidRPr="00150234">
        <w:t>; and</w:t>
      </w:r>
      <w:r w:rsidR="00DA1B99">
        <w:t xml:space="preserve"> in</w:t>
      </w:r>
      <w:r w:rsidRPr="00150234">
        <w:t xml:space="preserve"> a variety of positions in the Boston Public Schools, including that of director of special education from 1983 to 1987.  The research focused on issues of identification, placement</w:t>
      </w:r>
      <w:r w:rsidR="00DA1B99">
        <w:t>,</w:t>
      </w:r>
      <w:r w:rsidRPr="00150234">
        <w:t xml:space="preserve"> and performance </w:t>
      </w:r>
      <w:r w:rsidR="008D0BEE">
        <w:t xml:space="preserve">in Massachusetts </w:t>
      </w:r>
      <w:r w:rsidRPr="00150234">
        <w:t xml:space="preserve">and </w:t>
      </w:r>
      <w:r w:rsidR="00150234" w:rsidRPr="00150234">
        <w:t>yielded interesting</w:t>
      </w:r>
      <w:r w:rsidRPr="00150234">
        <w:t xml:space="preserve"> and useful results, </w:t>
      </w:r>
      <w:r w:rsidR="00150234">
        <w:t xml:space="preserve">some of </w:t>
      </w:r>
      <w:r w:rsidRPr="00150234">
        <w:t>which are summarized below.</w:t>
      </w:r>
      <w:r w:rsidR="001D0863">
        <w:t xml:space="preserve"> The full report can be accessed on the following link </w:t>
      </w:r>
      <w:hyperlink r:id="rId22" w:history="1">
        <w:r w:rsidR="00DA49AE">
          <w:rPr>
            <w:rStyle w:val="Hyperlink"/>
          </w:rPr>
          <w:t>http://www.doe.mass.edu/sped/hehir/</w:t>
        </w:r>
      </w:hyperlink>
      <w:r w:rsidR="001D0863">
        <w:t xml:space="preserve">  </w:t>
      </w:r>
    </w:p>
    <w:p w:rsidR="00AC3181" w:rsidRPr="00150234" w:rsidRDefault="00AC3181" w:rsidP="00AC3181"/>
    <w:p w:rsidR="00AC3181" w:rsidRPr="00150234" w:rsidRDefault="00AC3181" w:rsidP="00AC3181">
      <w:r w:rsidRPr="00150234">
        <w:t>Schools in the Commonwealth identify a higher percentage (17%) of students as having a disability than do schools across the country</w:t>
      </w:r>
      <w:r w:rsidR="001D0863">
        <w:t xml:space="preserve">. </w:t>
      </w:r>
      <w:r w:rsidR="006F7C59">
        <w:t>This rate of identification is the second highest in the country, behind Rhode Island.</w:t>
      </w:r>
    </w:p>
    <w:p w:rsidR="00AC3181" w:rsidRPr="00150234" w:rsidRDefault="00AC3181" w:rsidP="00AC3181"/>
    <w:p w:rsidR="00AC3181" w:rsidRPr="00C833F5" w:rsidRDefault="00AC3181" w:rsidP="00AC3181">
      <w:pPr>
        <w:rPr>
          <w:color w:val="2D434A"/>
        </w:rPr>
      </w:pPr>
      <w:r w:rsidRPr="00150234">
        <w:t xml:space="preserve">Two out of three identified students are placed in the disability categories of Specific Learning Disability, Communication, or Other Health Impaired; </w:t>
      </w:r>
      <w:r w:rsidR="006F7C59">
        <w:t xml:space="preserve">categories whose definitions are regarded as more subject to interpretation. These </w:t>
      </w:r>
      <w:r w:rsidRPr="00150234">
        <w:t>three disabilities are combined under the title “High Incidence” for the report</w:t>
      </w:r>
      <w:r w:rsidR="006F7C59">
        <w:t>, which also identifies potential issues of identification linked to income level of students</w:t>
      </w:r>
      <w:r w:rsidRPr="00150234">
        <w:t>.  Districts that have a higher percentage of low-income students typically identify a larger percentage of their students in the High Incidence disability categories</w:t>
      </w:r>
      <w:r w:rsidR="00917245">
        <w:t>.</w:t>
      </w:r>
      <w:r w:rsidRPr="00150234">
        <w:t xml:space="preserve"> </w:t>
      </w:r>
    </w:p>
    <w:p w:rsidR="00AC3181" w:rsidRPr="00150234" w:rsidRDefault="00AC3181" w:rsidP="00AC3181"/>
    <w:p w:rsidR="00B07D98" w:rsidRDefault="00AC3181" w:rsidP="00AC3181">
      <w:r w:rsidRPr="00150234">
        <w:t xml:space="preserve">The disproportional identification of children of African American and Latino descent has received substantial media attention. This research demonstrated that, in the Commonwealth, any differential in identification rates between African America/Latino students and White/Asian students is considerably smaller than other areas of the country where researchers have observed significant patterns of race-based </w:t>
      </w:r>
      <w:proofErr w:type="spellStart"/>
      <w:r w:rsidRPr="00150234">
        <w:t>disproportionality</w:t>
      </w:r>
      <w:proofErr w:type="spellEnd"/>
      <w:r w:rsidRPr="00150234">
        <w:t>.  Likewise students with Limited English Proficiency (LEP) are identified as eligible to receive special education at rates similar to English proficient peers. However, Spanish-speaking students are identified as having an intellectual disability at double the rate of their English proficient peers.</w:t>
      </w:r>
      <w:r w:rsidR="008B52BC">
        <w:t xml:space="preserve"> </w:t>
      </w:r>
    </w:p>
    <w:p w:rsidR="00D936EC" w:rsidRDefault="00D936EC" w:rsidP="00AC3181"/>
    <w:p w:rsidR="00225DD0" w:rsidRDefault="00225DD0" w:rsidP="00225DD0">
      <w:pPr>
        <w:pStyle w:val="ESETableChartFigHeaders"/>
      </w:pPr>
      <w:r w:rsidRPr="009E46BE">
        <w:rPr>
          <w:rFonts w:ascii="Times New Roman" w:hAnsi="Times New Roman"/>
          <w:sz w:val="24"/>
        </w:rPr>
        <w:t>Figure G: Population Group Status:</w:t>
      </w:r>
    </w:p>
    <w:tbl>
      <w:tblPr>
        <w:tblStyle w:val="TableGrid"/>
        <w:tblW w:w="0" w:type="auto"/>
        <w:tblInd w:w="18" w:type="dxa"/>
        <w:tblLook w:val="04A0"/>
      </w:tblPr>
      <w:tblGrid>
        <w:gridCol w:w="2880"/>
        <w:gridCol w:w="2160"/>
        <w:gridCol w:w="2250"/>
      </w:tblGrid>
      <w:tr w:rsidR="00225DD0" w:rsidTr="003D4673">
        <w:trPr>
          <w:trHeight w:val="395"/>
        </w:trPr>
        <w:tc>
          <w:tcPr>
            <w:tcW w:w="2880" w:type="dxa"/>
            <w:vMerge w:val="restart"/>
            <w:shd w:val="clear" w:color="auto" w:fill="DBE5F1" w:themeFill="accent1" w:themeFillTint="33"/>
            <w:vAlign w:val="center"/>
          </w:tcPr>
          <w:p w:rsidR="00225DD0" w:rsidRPr="00DD36CF" w:rsidRDefault="00225DD0" w:rsidP="003D4673">
            <w:pPr>
              <w:jc w:val="center"/>
              <w:rPr>
                <w:sz w:val="20"/>
                <w:szCs w:val="20"/>
              </w:rPr>
            </w:pPr>
            <w:r w:rsidRPr="00DD36CF">
              <w:rPr>
                <w:sz w:val="20"/>
                <w:szCs w:val="20"/>
              </w:rPr>
              <w:t>Population Group</w:t>
            </w:r>
          </w:p>
        </w:tc>
        <w:tc>
          <w:tcPr>
            <w:tcW w:w="4410" w:type="dxa"/>
            <w:gridSpan w:val="2"/>
            <w:shd w:val="clear" w:color="auto" w:fill="DBE5F1" w:themeFill="accent1" w:themeFillTint="33"/>
            <w:vAlign w:val="center"/>
          </w:tcPr>
          <w:p w:rsidR="00225DD0" w:rsidRPr="00DD36CF" w:rsidRDefault="00225DD0" w:rsidP="003D4673">
            <w:pPr>
              <w:jc w:val="center"/>
              <w:rPr>
                <w:sz w:val="20"/>
                <w:szCs w:val="20"/>
              </w:rPr>
            </w:pPr>
            <w:r w:rsidRPr="00DD36CF">
              <w:rPr>
                <w:sz w:val="20"/>
                <w:szCs w:val="20"/>
              </w:rPr>
              <w:t>School Year 2011-12</w:t>
            </w:r>
          </w:p>
        </w:tc>
      </w:tr>
      <w:tr w:rsidR="00225DD0" w:rsidTr="003D4673">
        <w:trPr>
          <w:trHeight w:val="350"/>
        </w:trPr>
        <w:tc>
          <w:tcPr>
            <w:tcW w:w="2880" w:type="dxa"/>
            <w:vMerge/>
            <w:shd w:val="clear" w:color="auto" w:fill="DBE5F1" w:themeFill="accent1" w:themeFillTint="33"/>
          </w:tcPr>
          <w:p w:rsidR="00225DD0" w:rsidRPr="00DD36CF" w:rsidRDefault="00225DD0" w:rsidP="003D4673">
            <w:pPr>
              <w:rPr>
                <w:sz w:val="20"/>
                <w:szCs w:val="20"/>
              </w:rPr>
            </w:pPr>
          </w:p>
        </w:tc>
        <w:tc>
          <w:tcPr>
            <w:tcW w:w="2160" w:type="dxa"/>
            <w:shd w:val="clear" w:color="auto" w:fill="DBE5F1" w:themeFill="accent1" w:themeFillTint="33"/>
            <w:vAlign w:val="center"/>
          </w:tcPr>
          <w:p w:rsidR="00225DD0" w:rsidRPr="00DD36CF" w:rsidRDefault="00225DD0" w:rsidP="003D4673">
            <w:pPr>
              <w:jc w:val="center"/>
              <w:rPr>
                <w:sz w:val="20"/>
                <w:szCs w:val="20"/>
              </w:rPr>
            </w:pPr>
            <w:r w:rsidRPr="00DD36CF">
              <w:rPr>
                <w:sz w:val="20"/>
                <w:szCs w:val="20"/>
              </w:rPr>
              <w:t>Incidence in SPED</w:t>
            </w:r>
          </w:p>
        </w:tc>
        <w:tc>
          <w:tcPr>
            <w:tcW w:w="2250" w:type="dxa"/>
            <w:shd w:val="clear" w:color="auto" w:fill="DBE5F1" w:themeFill="accent1" w:themeFillTint="33"/>
            <w:vAlign w:val="center"/>
          </w:tcPr>
          <w:p w:rsidR="00225DD0" w:rsidRPr="00DD36CF" w:rsidRDefault="00225DD0" w:rsidP="003D4673">
            <w:pPr>
              <w:jc w:val="center"/>
              <w:rPr>
                <w:sz w:val="20"/>
                <w:szCs w:val="20"/>
              </w:rPr>
            </w:pPr>
            <w:r w:rsidRPr="00DD36CF">
              <w:rPr>
                <w:sz w:val="20"/>
                <w:szCs w:val="20"/>
              </w:rPr>
              <w:t>PK-12 incidence</w:t>
            </w:r>
          </w:p>
        </w:tc>
      </w:tr>
      <w:tr w:rsidR="00225DD0" w:rsidTr="003D4673">
        <w:trPr>
          <w:trHeight w:val="432"/>
        </w:trPr>
        <w:tc>
          <w:tcPr>
            <w:tcW w:w="2880" w:type="dxa"/>
            <w:vAlign w:val="center"/>
          </w:tcPr>
          <w:p w:rsidR="00225DD0" w:rsidRPr="00DD36CF" w:rsidRDefault="00225DD0" w:rsidP="003D4673">
            <w:pPr>
              <w:rPr>
                <w:sz w:val="20"/>
                <w:szCs w:val="20"/>
              </w:rPr>
            </w:pPr>
            <w:r w:rsidRPr="00DD36CF">
              <w:rPr>
                <w:sz w:val="20"/>
                <w:szCs w:val="20"/>
              </w:rPr>
              <w:t>Low-Income</w:t>
            </w:r>
          </w:p>
        </w:tc>
        <w:tc>
          <w:tcPr>
            <w:tcW w:w="2160" w:type="dxa"/>
            <w:vAlign w:val="center"/>
          </w:tcPr>
          <w:p w:rsidR="00225DD0" w:rsidRPr="00DD36CF" w:rsidRDefault="00225DD0" w:rsidP="003D4673">
            <w:pPr>
              <w:jc w:val="center"/>
              <w:rPr>
                <w:sz w:val="20"/>
                <w:szCs w:val="20"/>
              </w:rPr>
            </w:pPr>
            <w:r w:rsidRPr="00DD36CF">
              <w:rPr>
                <w:sz w:val="20"/>
                <w:szCs w:val="20"/>
              </w:rPr>
              <w:t>44.2%</w:t>
            </w:r>
          </w:p>
        </w:tc>
        <w:tc>
          <w:tcPr>
            <w:tcW w:w="2250" w:type="dxa"/>
            <w:vAlign w:val="center"/>
          </w:tcPr>
          <w:p w:rsidR="00225DD0" w:rsidRPr="00DD36CF" w:rsidRDefault="00225DD0" w:rsidP="003D4673">
            <w:pPr>
              <w:jc w:val="center"/>
              <w:rPr>
                <w:sz w:val="20"/>
                <w:szCs w:val="20"/>
              </w:rPr>
            </w:pPr>
            <w:r w:rsidRPr="00DD36CF">
              <w:rPr>
                <w:sz w:val="20"/>
                <w:szCs w:val="20"/>
              </w:rPr>
              <w:t>35.2%</w:t>
            </w:r>
          </w:p>
        </w:tc>
      </w:tr>
      <w:tr w:rsidR="00225DD0" w:rsidTr="003D4673">
        <w:trPr>
          <w:trHeight w:val="432"/>
        </w:trPr>
        <w:tc>
          <w:tcPr>
            <w:tcW w:w="2880" w:type="dxa"/>
            <w:vAlign w:val="center"/>
          </w:tcPr>
          <w:p w:rsidR="00225DD0" w:rsidRPr="00DD36CF" w:rsidRDefault="00225DD0" w:rsidP="003D4673">
            <w:pPr>
              <w:rPr>
                <w:sz w:val="20"/>
                <w:szCs w:val="20"/>
              </w:rPr>
            </w:pPr>
            <w:r w:rsidRPr="00DD36CF">
              <w:rPr>
                <w:sz w:val="20"/>
                <w:szCs w:val="20"/>
              </w:rPr>
              <w:t>English Language Learners</w:t>
            </w:r>
          </w:p>
        </w:tc>
        <w:tc>
          <w:tcPr>
            <w:tcW w:w="2160" w:type="dxa"/>
            <w:vAlign w:val="center"/>
          </w:tcPr>
          <w:p w:rsidR="00225DD0" w:rsidRPr="00DD36CF" w:rsidRDefault="00225DD0" w:rsidP="003D4673">
            <w:pPr>
              <w:jc w:val="center"/>
              <w:rPr>
                <w:sz w:val="20"/>
                <w:szCs w:val="20"/>
              </w:rPr>
            </w:pPr>
            <w:r w:rsidRPr="00DD36CF">
              <w:rPr>
                <w:sz w:val="20"/>
                <w:szCs w:val="20"/>
              </w:rPr>
              <w:t>7.0%</w:t>
            </w:r>
          </w:p>
        </w:tc>
        <w:tc>
          <w:tcPr>
            <w:tcW w:w="2250" w:type="dxa"/>
            <w:vAlign w:val="center"/>
          </w:tcPr>
          <w:p w:rsidR="00225DD0" w:rsidRPr="00DD36CF" w:rsidRDefault="00225DD0" w:rsidP="003D4673">
            <w:pPr>
              <w:jc w:val="center"/>
              <w:rPr>
                <w:sz w:val="20"/>
                <w:szCs w:val="20"/>
              </w:rPr>
            </w:pPr>
            <w:r w:rsidRPr="00DD36CF">
              <w:rPr>
                <w:sz w:val="20"/>
                <w:szCs w:val="20"/>
              </w:rPr>
              <w:t>7.3%</w:t>
            </w:r>
          </w:p>
        </w:tc>
      </w:tr>
      <w:tr w:rsidR="00225DD0" w:rsidTr="003D4673">
        <w:trPr>
          <w:trHeight w:val="432"/>
        </w:trPr>
        <w:tc>
          <w:tcPr>
            <w:tcW w:w="2880" w:type="dxa"/>
            <w:vAlign w:val="center"/>
          </w:tcPr>
          <w:p w:rsidR="00225DD0" w:rsidRPr="00DD36CF" w:rsidRDefault="00225DD0" w:rsidP="003D4673">
            <w:pPr>
              <w:rPr>
                <w:sz w:val="20"/>
                <w:szCs w:val="20"/>
              </w:rPr>
            </w:pPr>
            <w:r w:rsidRPr="00DD36CF">
              <w:rPr>
                <w:sz w:val="20"/>
                <w:szCs w:val="20"/>
              </w:rPr>
              <w:t>African American</w:t>
            </w:r>
          </w:p>
        </w:tc>
        <w:tc>
          <w:tcPr>
            <w:tcW w:w="2160" w:type="dxa"/>
            <w:vAlign w:val="center"/>
          </w:tcPr>
          <w:p w:rsidR="00225DD0" w:rsidRPr="00DD36CF" w:rsidRDefault="00225DD0" w:rsidP="003D4673">
            <w:pPr>
              <w:jc w:val="center"/>
              <w:rPr>
                <w:sz w:val="20"/>
                <w:szCs w:val="20"/>
              </w:rPr>
            </w:pPr>
            <w:r w:rsidRPr="00DD36CF">
              <w:rPr>
                <w:sz w:val="20"/>
                <w:szCs w:val="20"/>
              </w:rPr>
              <w:t>9.9%</w:t>
            </w:r>
          </w:p>
        </w:tc>
        <w:tc>
          <w:tcPr>
            <w:tcW w:w="2250" w:type="dxa"/>
            <w:vAlign w:val="center"/>
          </w:tcPr>
          <w:p w:rsidR="00225DD0" w:rsidRPr="00DD36CF" w:rsidRDefault="00225DD0" w:rsidP="003D4673">
            <w:pPr>
              <w:jc w:val="center"/>
              <w:rPr>
                <w:sz w:val="20"/>
                <w:szCs w:val="20"/>
              </w:rPr>
            </w:pPr>
            <w:r w:rsidRPr="00DD36CF">
              <w:rPr>
                <w:sz w:val="20"/>
                <w:szCs w:val="20"/>
              </w:rPr>
              <w:t>8.3%</w:t>
            </w:r>
          </w:p>
        </w:tc>
      </w:tr>
      <w:tr w:rsidR="00225DD0" w:rsidTr="003D4673">
        <w:trPr>
          <w:trHeight w:val="432"/>
        </w:trPr>
        <w:tc>
          <w:tcPr>
            <w:tcW w:w="2880" w:type="dxa"/>
            <w:vAlign w:val="center"/>
          </w:tcPr>
          <w:p w:rsidR="00225DD0" w:rsidRPr="00DD36CF" w:rsidRDefault="00225DD0" w:rsidP="003D4673">
            <w:pPr>
              <w:rPr>
                <w:sz w:val="20"/>
                <w:szCs w:val="20"/>
              </w:rPr>
            </w:pPr>
            <w:r w:rsidRPr="00DD36CF">
              <w:rPr>
                <w:sz w:val="20"/>
                <w:szCs w:val="20"/>
              </w:rPr>
              <w:t>Hispanic</w:t>
            </w:r>
          </w:p>
        </w:tc>
        <w:tc>
          <w:tcPr>
            <w:tcW w:w="2160" w:type="dxa"/>
            <w:vAlign w:val="center"/>
          </w:tcPr>
          <w:p w:rsidR="00225DD0" w:rsidRPr="00DD36CF" w:rsidRDefault="00225DD0" w:rsidP="003D4673">
            <w:pPr>
              <w:jc w:val="center"/>
              <w:rPr>
                <w:sz w:val="20"/>
                <w:szCs w:val="20"/>
              </w:rPr>
            </w:pPr>
            <w:r w:rsidRPr="00DD36CF">
              <w:rPr>
                <w:sz w:val="20"/>
                <w:szCs w:val="20"/>
              </w:rPr>
              <w:t>19.6%</w:t>
            </w:r>
          </w:p>
        </w:tc>
        <w:tc>
          <w:tcPr>
            <w:tcW w:w="2250" w:type="dxa"/>
            <w:vAlign w:val="center"/>
          </w:tcPr>
          <w:p w:rsidR="00225DD0" w:rsidRPr="00DD36CF" w:rsidRDefault="00225DD0" w:rsidP="003D4673">
            <w:pPr>
              <w:jc w:val="center"/>
              <w:rPr>
                <w:sz w:val="20"/>
                <w:szCs w:val="20"/>
              </w:rPr>
            </w:pPr>
            <w:r w:rsidRPr="00DD36CF">
              <w:rPr>
                <w:sz w:val="20"/>
                <w:szCs w:val="20"/>
              </w:rPr>
              <w:t>15.8%</w:t>
            </w:r>
          </w:p>
        </w:tc>
      </w:tr>
      <w:tr w:rsidR="00225DD0" w:rsidTr="003D4673">
        <w:trPr>
          <w:trHeight w:val="432"/>
        </w:trPr>
        <w:tc>
          <w:tcPr>
            <w:tcW w:w="2880" w:type="dxa"/>
            <w:vAlign w:val="center"/>
          </w:tcPr>
          <w:p w:rsidR="00225DD0" w:rsidRPr="00DD36CF" w:rsidRDefault="00225DD0" w:rsidP="003D4673">
            <w:pPr>
              <w:rPr>
                <w:sz w:val="20"/>
                <w:szCs w:val="20"/>
              </w:rPr>
            </w:pPr>
            <w:r w:rsidRPr="00DD36CF">
              <w:rPr>
                <w:sz w:val="20"/>
                <w:szCs w:val="20"/>
              </w:rPr>
              <w:t>White</w:t>
            </w:r>
          </w:p>
        </w:tc>
        <w:tc>
          <w:tcPr>
            <w:tcW w:w="2160" w:type="dxa"/>
            <w:vAlign w:val="center"/>
          </w:tcPr>
          <w:p w:rsidR="00225DD0" w:rsidRPr="00DD36CF" w:rsidRDefault="00225DD0" w:rsidP="003D4673">
            <w:pPr>
              <w:jc w:val="center"/>
              <w:rPr>
                <w:sz w:val="20"/>
                <w:szCs w:val="20"/>
              </w:rPr>
            </w:pPr>
            <w:r w:rsidRPr="00DD36CF">
              <w:rPr>
                <w:sz w:val="20"/>
                <w:szCs w:val="20"/>
              </w:rPr>
              <w:t>64.9%</w:t>
            </w:r>
          </w:p>
        </w:tc>
        <w:tc>
          <w:tcPr>
            <w:tcW w:w="2250" w:type="dxa"/>
            <w:vAlign w:val="center"/>
          </w:tcPr>
          <w:p w:rsidR="00225DD0" w:rsidRPr="00DD36CF" w:rsidRDefault="00225DD0" w:rsidP="003D4673">
            <w:pPr>
              <w:jc w:val="center"/>
              <w:rPr>
                <w:sz w:val="20"/>
                <w:szCs w:val="20"/>
              </w:rPr>
            </w:pPr>
            <w:r w:rsidRPr="00DD36CF">
              <w:rPr>
                <w:sz w:val="20"/>
                <w:szCs w:val="20"/>
              </w:rPr>
              <w:t>67.1%</w:t>
            </w:r>
          </w:p>
        </w:tc>
      </w:tr>
    </w:tbl>
    <w:p w:rsidR="00AC3181" w:rsidRDefault="00AC3181" w:rsidP="00AC3181">
      <w:pPr>
        <w:rPr>
          <w:i/>
          <w:sz w:val="20"/>
          <w:szCs w:val="20"/>
        </w:rPr>
      </w:pPr>
      <w:r w:rsidRPr="00270067">
        <w:rPr>
          <w:i/>
          <w:sz w:val="20"/>
          <w:szCs w:val="20"/>
        </w:rPr>
        <w:t xml:space="preserve">PowerPoint presentation to State Board of Education, April 23, </w:t>
      </w:r>
      <w:r w:rsidR="00225DD0">
        <w:rPr>
          <w:i/>
          <w:sz w:val="20"/>
          <w:szCs w:val="20"/>
        </w:rPr>
        <w:t>2012</w:t>
      </w:r>
    </w:p>
    <w:p w:rsidR="00225DD0" w:rsidRPr="00270067" w:rsidRDefault="00225DD0" w:rsidP="00AC3181">
      <w:pPr>
        <w:rPr>
          <w:i/>
          <w:sz w:val="20"/>
          <w:szCs w:val="20"/>
        </w:rPr>
      </w:pPr>
    </w:p>
    <w:p w:rsidR="006F7C59" w:rsidRPr="00150234" w:rsidRDefault="006F7C59" w:rsidP="006F7C59">
      <w:r w:rsidRPr="00150234">
        <w:t>The majority of students with disabilities are educated in classrooms with their typically developing peers at rates that are the same or higher than rates for students across the</w:t>
      </w:r>
      <w:r w:rsidR="009E46BE">
        <w:t xml:space="preserve"> country. However, low-income </w:t>
      </w:r>
      <w:r w:rsidRPr="00150234">
        <w:t>students</w:t>
      </w:r>
      <w:r w:rsidR="009E46BE">
        <w:t xml:space="preserve"> with disabilities</w:t>
      </w:r>
      <w:r w:rsidRPr="00150234">
        <w:t xml:space="preserve"> are educated in substantially separate settings at a higher rate than </w:t>
      </w:r>
      <w:r w:rsidR="003E71FF">
        <w:t xml:space="preserve">high-income </w:t>
      </w:r>
      <w:r w:rsidRPr="00150234">
        <w:t>students with disabilities</w:t>
      </w:r>
      <w:r w:rsidR="003E71FF">
        <w:t>.</w:t>
      </w:r>
      <w:r w:rsidRPr="00150234">
        <w:t xml:space="preserve"> African American and Latino students spend less time in inclusive setting</w:t>
      </w:r>
      <w:r w:rsidR="00917245">
        <w:t>s than White and Asian students</w:t>
      </w:r>
      <w:r w:rsidR="009E46BE">
        <w:t>,</w:t>
      </w:r>
      <w:r w:rsidR="00917245">
        <w:t xml:space="preserve"> and</w:t>
      </w:r>
      <w:r w:rsidRPr="00150234">
        <w:t xml:space="preserve"> MCAS scores are slightly lower for African American and Latino students identified with a “High Incidence” disability. Massachusetts students with disabilities score, on average higher </w:t>
      </w:r>
      <w:r>
        <w:t xml:space="preserve">on state-wide standardized achievement tests </w:t>
      </w:r>
      <w:r w:rsidRPr="00150234">
        <w:t>than their counterparts across the country.</w:t>
      </w:r>
    </w:p>
    <w:p w:rsidR="006F7C59" w:rsidRPr="00150234" w:rsidRDefault="006F7C59" w:rsidP="00AC3181">
      <w:pPr>
        <w:rPr>
          <w:sz w:val="20"/>
          <w:szCs w:val="20"/>
        </w:rPr>
      </w:pPr>
    </w:p>
    <w:p w:rsidR="009E46BE" w:rsidRDefault="00AC3181" w:rsidP="00AC3181">
      <w:r w:rsidRPr="00150234">
        <w:t xml:space="preserve">Dr. </w:t>
      </w:r>
      <w:proofErr w:type="spellStart"/>
      <w:r w:rsidRPr="00150234">
        <w:t>Hehir’s</w:t>
      </w:r>
      <w:proofErr w:type="spellEnd"/>
      <w:r w:rsidRPr="00150234">
        <w:t xml:space="preserve"> </w:t>
      </w:r>
      <w:r w:rsidR="00150234">
        <w:t xml:space="preserve">targeted </w:t>
      </w:r>
      <w:r w:rsidRPr="00150234">
        <w:t xml:space="preserve">recommendations focus on state activities </w:t>
      </w:r>
      <w:r w:rsidR="00753502">
        <w:t>intervening</w:t>
      </w:r>
      <w:r w:rsidRPr="00150234">
        <w:t xml:space="preserve"> in districts that have overrepresent</w:t>
      </w:r>
      <w:r w:rsidR="009E46BE">
        <w:t>ation of low-</w:t>
      </w:r>
      <w:r w:rsidRPr="00150234">
        <w:t>income students and/or over-use of substantially separate educational settings. He also suggests that the state assume a larger role in “promoting good practices that have been shown to benefit students with disabilities.” Specifical</w:t>
      </w:r>
      <w:r w:rsidR="00150234">
        <w:t>ly</w:t>
      </w:r>
      <w:r w:rsidR="009E46BE">
        <w:t>,</w:t>
      </w:r>
      <w:r w:rsidR="00150234">
        <w:t xml:space="preserve"> this report suggests that</w:t>
      </w:r>
      <w:r w:rsidRPr="00150234">
        <w:t xml:space="preserve"> </w:t>
      </w:r>
      <w:r w:rsidR="009E46BE">
        <w:t>the state and districts adopt</w:t>
      </w:r>
      <w:r w:rsidRPr="00150234">
        <w:t xml:space="preserve"> the principles of Universal Design for Learning, universally designed behavior supports</w:t>
      </w:r>
      <w:r w:rsidR="009E46BE">
        <w:t>,</w:t>
      </w:r>
      <w:r w:rsidRPr="00150234">
        <w:t xml:space="preserve"> and a tiered system of supports</w:t>
      </w:r>
      <w:r w:rsidR="00B747DA">
        <w:t xml:space="preserve"> (</w:t>
      </w:r>
      <w:r w:rsidR="003451C5">
        <w:t>e.g.,</w:t>
      </w:r>
      <w:r w:rsidR="00B747DA">
        <w:t xml:space="preserve"> MTSS)</w:t>
      </w:r>
      <w:r w:rsidRPr="00150234">
        <w:t xml:space="preserve"> </w:t>
      </w:r>
      <w:r w:rsidR="00150234">
        <w:t>in order to accelerate</w:t>
      </w:r>
      <w:r w:rsidRPr="00150234">
        <w:t xml:space="preserve"> the implementation of these interventions and </w:t>
      </w:r>
      <w:r w:rsidR="00150234">
        <w:t>to eventually</w:t>
      </w:r>
      <w:r w:rsidRPr="00150234">
        <w:t xml:space="preserve"> reduce the large numbers of students identified for special education.  </w:t>
      </w:r>
      <w:r w:rsidR="00753502">
        <w:t>The Department is actively working with districts in these areas.</w:t>
      </w:r>
    </w:p>
    <w:p w:rsidR="009E46BE" w:rsidRDefault="009E46BE" w:rsidP="00AC3181"/>
    <w:p w:rsidR="00A90661" w:rsidRDefault="00A90661" w:rsidP="007A1237">
      <w:pPr>
        <w:pStyle w:val="Heading2"/>
        <w:numPr>
          <w:ilvl w:val="0"/>
          <w:numId w:val="16"/>
        </w:numPr>
        <w:ind w:left="0" w:firstLine="0"/>
      </w:pPr>
      <w:bookmarkStart w:id="21" w:name="_Toc342312315"/>
      <w:r>
        <w:t xml:space="preserve">Massachusetts </w:t>
      </w:r>
      <w:r w:rsidRPr="00C833F5">
        <w:t xml:space="preserve">Meets Requirements </w:t>
      </w:r>
      <w:r w:rsidR="009010E0">
        <w:t>under</w:t>
      </w:r>
      <w:r>
        <w:t xml:space="preserve"> IDEA</w:t>
      </w:r>
      <w:bookmarkEnd w:id="21"/>
      <w:r>
        <w:t xml:space="preserve"> </w:t>
      </w:r>
    </w:p>
    <w:p w:rsidR="00A90661" w:rsidRDefault="00A90661" w:rsidP="00A90661">
      <w:pPr>
        <w:rPr>
          <w:b/>
        </w:rPr>
      </w:pPr>
    </w:p>
    <w:p w:rsidR="00BB5EE3" w:rsidRPr="00520721" w:rsidRDefault="00BB5EE3" w:rsidP="00520721">
      <w:pPr>
        <w:pStyle w:val="BodyText"/>
        <w:rPr>
          <w:sz w:val="24"/>
          <w:szCs w:val="24"/>
        </w:rPr>
      </w:pPr>
      <w:r w:rsidRPr="00520721">
        <w:rPr>
          <w:sz w:val="24"/>
          <w:szCs w:val="24"/>
        </w:rPr>
        <w:t>In June 2012</w:t>
      </w:r>
      <w:r w:rsidR="00A90661" w:rsidRPr="00520721">
        <w:rPr>
          <w:sz w:val="24"/>
          <w:szCs w:val="24"/>
        </w:rPr>
        <w:t xml:space="preserve"> and for the first time</w:t>
      </w:r>
      <w:r w:rsidRPr="00520721">
        <w:rPr>
          <w:sz w:val="24"/>
          <w:szCs w:val="24"/>
        </w:rPr>
        <w:t xml:space="preserve"> since Massachusetts’ submission of the State Performance Plan (SEPP) and Annual Performance Report (APR), </w:t>
      </w:r>
      <w:r w:rsidR="00A90661" w:rsidRPr="00520721">
        <w:rPr>
          <w:sz w:val="24"/>
          <w:szCs w:val="24"/>
        </w:rPr>
        <w:t>the  U.S. Department of Education's Office of Special Education and Rehabilitative Services (OSERS) has determined that Massachusetts meets requirements under Part B of the Individuals with Disabilities Education Act (IDEA)</w:t>
      </w:r>
      <w:r w:rsidRPr="00520721">
        <w:rPr>
          <w:sz w:val="24"/>
          <w:szCs w:val="24"/>
        </w:rPr>
        <w:t xml:space="preserve">. This determination was made </w:t>
      </w:r>
      <w:r w:rsidR="00A90661" w:rsidRPr="00520721">
        <w:rPr>
          <w:sz w:val="24"/>
          <w:szCs w:val="24"/>
        </w:rPr>
        <w:t xml:space="preserve">based on </w:t>
      </w:r>
      <w:r w:rsidRPr="00520721">
        <w:rPr>
          <w:sz w:val="24"/>
          <w:szCs w:val="24"/>
        </w:rPr>
        <w:t xml:space="preserve">OSERS review of the </w:t>
      </w:r>
      <w:r w:rsidR="00A90661" w:rsidRPr="00520721">
        <w:rPr>
          <w:sz w:val="24"/>
          <w:szCs w:val="24"/>
        </w:rPr>
        <w:t xml:space="preserve">state's submission of the Federal fiscal year (FFY) 2010 </w:t>
      </w:r>
      <w:r w:rsidRPr="00520721">
        <w:rPr>
          <w:sz w:val="24"/>
          <w:szCs w:val="24"/>
        </w:rPr>
        <w:t>SPP and APR in February 2012</w:t>
      </w:r>
      <w:r w:rsidR="00A90661" w:rsidRPr="00520721">
        <w:rPr>
          <w:sz w:val="24"/>
          <w:szCs w:val="24"/>
        </w:rPr>
        <w:t>. (A copy of the</w:t>
      </w:r>
      <w:r w:rsidRPr="00520721">
        <w:rPr>
          <w:sz w:val="24"/>
          <w:szCs w:val="24"/>
        </w:rPr>
        <w:t xml:space="preserve"> current</w:t>
      </w:r>
      <w:r w:rsidR="00A90661" w:rsidRPr="00520721">
        <w:rPr>
          <w:sz w:val="24"/>
          <w:szCs w:val="24"/>
        </w:rPr>
        <w:t xml:space="preserve"> SPP and APR</w:t>
      </w:r>
      <w:r w:rsidRPr="00520721">
        <w:rPr>
          <w:sz w:val="24"/>
          <w:szCs w:val="24"/>
        </w:rPr>
        <w:t>, and prior years’ submissions,</w:t>
      </w:r>
      <w:r w:rsidR="00A90661" w:rsidRPr="00520721">
        <w:rPr>
          <w:sz w:val="24"/>
          <w:szCs w:val="24"/>
        </w:rPr>
        <w:t xml:space="preserve"> is available at </w:t>
      </w:r>
      <w:hyperlink r:id="rId23" w:history="1">
        <w:r w:rsidR="00A90661" w:rsidRPr="00520721">
          <w:rPr>
            <w:rStyle w:val="Hyperlink"/>
            <w:sz w:val="24"/>
            <w:szCs w:val="24"/>
          </w:rPr>
          <w:t>http://www.doe.mass.edu/sped/spp/maspp.html</w:t>
        </w:r>
      </w:hyperlink>
      <w:r w:rsidRPr="00520721">
        <w:rPr>
          <w:sz w:val="24"/>
          <w:szCs w:val="24"/>
        </w:rPr>
        <w:t>.</w:t>
      </w:r>
      <w:r w:rsidR="00A90661" w:rsidRPr="00520721">
        <w:rPr>
          <w:sz w:val="24"/>
          <w:szCs w:val="24"/>
        </w:rPr>
        <w:t xml:space="preserve">) </w:t>
      </w:r>
      <w:r w:rsidRPr="00520721">
        <w:rPr>
          <w:sz w:val="24"/>
          <w:szCs w:val="24"/>
        </w:rPr>
        <w:t xml:space="preserve">Data for individual districts can be found at: </w:t>
      </w:r>
      <w:hyperlink r:id="rId24" w:history="1">
        <w:r w:rsidRPr="00520721">
          <w:rPr>
            <w:rStyle w:val="Hyperlink"/>
            <w:sz w:val="24"/>
            <w:szCs w:val="24"/>
          </w:rPr>
          <w:t>http://profiles.doe.mass.edu/state_report/special_ed.aspx</w:t>
        </w:r>
      </w:hyperlink>
      <w:r w:rsidRPr="00520721">
        <w:rPr>
          <w:sz w:val="24"/>
          <w:szCs w:val="24"/>
        </w:rPr>
        <w:t xml:space="preserve">. </w:t>
      </w:r>
    </w:p>
    <w:p w:rsidR="00BB5EE3" w:rsidRPr="00520721" w:rsidRDefault="00BB5EE3" w:rsidP="00520721">
      <w:pPr>
        <w:pStyle w:val="BodyText"/>
        <w:rPr>
          <w:sz w:val="24"/>
          <w:szCs w:val="24"/>
        </w:rPr>
      </w:pPr>
    </w:p>
    <w:p w:rsidR="00A90661" w:rsidRPr="00520721" w:rsidRDefault="00A90661" w:rsidP="00520721">
      <w:pPr>
        <w:pStyle w:val="BodyText"/>
        <w:rPr>
          <w:kern w:val="2"/>
          <w:sz w:val="24"/>
          <w:szCs w:val="24"/>
        </w:rPr>
      </w:pPr>
      <w:r w:rsidRPr="00520721">
        <w:rPr>
          <w:kern w:val="2"/>
          <w:sz w:val="24"/>
          <w:szCs w:val="24"/>
        </w:rPr>
        <w:t>The 2004 Amendments to the IDEA</w:t>
      </w:r>
      <w:r w:rsidRPr="00520721">
        <w:rPr>
          <w:i/>
          <w:kern w:val="2"/>
          <w:sz w:val="24"/>
          <w:szCs w:val="24"/>
        </w:rPr>
        <w:t xml:space="preserve"> </w:t>
      </w:r>
      <w:r w:rsidRPr="00520721">
        <w:rPr>
          <w:kern w:val="2"/>
          <w:sz w:val="24"/>
          <w:szCs w:val="24"/>
        </w:rPr>
        <w:t xml:space="preserve">require each </w:t>
      </w:r>
      <w:r w:rsidR="00BB5EE3" w:rsidRPr="00520721">
        <w:rPr>
          <w:kern w:val="2"/>
          <w:sz w:val="24"/>
          <w:szCs w:val="24"/>
        </w:rPr>
        <w:t>st</w:t>
      </w:r>
      <w:r w:rsidRPr="00520721">
        <w:rPr>
          <w:kern w:val="2"/>
          <w:sz w:val="24"/>
          <w:szCs w:val="24"/>
        </w:rPr>
        <w:t>ate to develop a</w:t>
      </w:r>
      <w:r w:rsidR="00BB5EE3" w:rsidRPr="00520721">
        <w:rPr>
          <w:kern w:val="2"/>
          <w:sz w:val="24"/>
          <w:szCs w:val="24"/>
        </w:rPr>
        <w:t xml:space="preserve">n </w:t>
      </w:r>
      <w:r w:rsidRPr="00520721">
        <w:rPr>
          <w:kern w:val="2"/>
          <w:sz w:val="24"/>
          <w:szCs w:val="24"/>
        </w:rPr>
        <w:t>SPP that evaluates</w:t>
      </w:r>
      <w:r w:rsidR="00BB5EE3" w:rsidRPr="00520721">
        <w:rPr>
          <w:kern w:val="2"/>
          <w:sz w:val="24"/>
          <w:szCs w:val="24"/>
        </w:rPr>
        <w:t xml:space="preserve"> annually</w:t>
      </w:r>
      <w:r w:rsidRPr="00520721">
        <w:rPr>
          <w:kern w:val="2"/>
          <w:sz w:val="24"/>
          <w:szCs w:val="24"/>
        </w:rPr>
        <w:t xml:space="preserve"> the </w:t>
      </w:r>
      <w:r w:rsidR="00BB5EE3" w:rsidRPr="00520721">
        <w:rPr>
          <w:kern w:val="2"/>
          <w:sz w:val="24"/>
          <w:szCs w:val="24"/>
        </w:rPr>
        <w:t>s</w:t>
      </w:r>
      <w:r w:rsidRPr="00520721">
        <w:rPr>
          <w:kern w:val="2"/>
          <w:sz w:val="24"/>
          <w:szCs w:val="24"/>
        </w:rPr>
        <w:t>tate’s efforts to implement the requirements and purposes of the IDEA</w:t>
      </w:r>
      <w:r w:rsidRPr="00520721">
        <w:rPr>
          <w:i/>
          <w:kern w:val="2"/>
          <w:sz w:val="24"/>
          <w:szCs w:val="24"/>
        </w:rPr>
        <w:t>,</w:t>
      </w:r>
      <w:r w:rsidRPr="00520721">
        <w:rPr>
          <w:kern w:val="2"/>
          <w:sz w:val="24"/>
          <w:szCs w:val="24"/>
        </w:rPr>
        <w:t xml:space="preserve"> and describes how the </w:t>
      </w:r>
      <w:r w:rsidR="00BB5EE3" w:rsidRPr="00520721">
        <w:rPr>
          <w:kern w:val="2"/>
          <w:sz w:val="24"/>
          <w:szCs w:val="24"/>
        </w:rPr>
        <w:t>s</w:t>
      </w:r>
      <w:r w:rsidRPr="00520721">
        <w:rPr>
          <w:kern w:val="2"/>
          <w:sz w:val="24"/>
          <w:szCs w:val="24"/>
        </w:rPr>
        <w:t>tate will improve its implementation</w:t>
      </w:r>
      <w:r w:rsidR="00BB5EE3" w:rsidRPr="00520721">
        <w:rPr>
          <w:kern w:val="2"/>
          <w:sz w:val="24"/>
          <w:szCs w:val="24"/>
        </w:rPr>
        <w:t xml:space="preserve"> of compliance and performance targets</w:t>
      </w:r>
      <w:r w:rsidRPr="00520721">
        <w:rPr>
          <w:kern w:val="2"/>
          <w:sz w:val="24"/>
          <w:szCs w:val="24"/>
        </w:rPr>
        <w:t xml:space="preserve">.  The SPP includes baseline data, measurable and rigorous targets, and improvement activities for 20 indicators </w:t>
      </w:r>
      <w:r w:rsidR="00753502">
        <w:rPr>
          <w:kern w:val="2"/>
          <w:sz w:val="24"/>
          <w:szCs w:val="24"/>
        </w:rPr>
        <w:t>as outlined below</w:t>
      </w:r>
      <w:r w:rsidRPr="00520721">
        <w:rPr>
          <w:kern w:val="2"/>
          <w:sz w:val="24"/>
          <w:szCs w:val="24"/>
        </w:rPr>
        <w:t>.</w:t>
      </w:r>
    </w:p>
    <w:p w:rsidR="003D4673" w:rsidRDefault="003D4673" w:rsidP="00BB5EE3">
      <w:pPr>
        <w:pStyle w:val="NormalWeb"/>
        <w:spacing w:before="0" w:beforeAutospacing="0" w:after="0" w:afterAutospacing="0"/>
      </w:pPr>
    </w:p>
    <w:p w:rsidR="002D5CEE" w:rsidRPr="00D936EC" w:rsidRDefault="00C426C2" w:rsidP="002C0715">
      <w:pPr>
        <w:rPr>
          <w:b/>
        </w:rPr>
      </w:pPr>
      <w:r>
        <w:rPr>
          <w:b/>
        </w:rPr>
        <w:t>Figure H</w:t>
      </w:r>
      <w:r w:rsidR="00B07D98" w:rsidRPr="00D936EC">
        <w:rPr>
          <w:b/>
        </w:rPr>
        <w:t>:</w:t>
      </w:r>
      <w:r w:rsidR="00D936EC" w:rsidRPr="00D936EC">
        <w:rPr>
          <w:b/>
        </w:rPr>
        <w:t xml:space="preserve"> SPP Performance and Compliance Indicator</w:t>
      </w:r>
      <w:r w:rsidR="00BB5EE3">
        <w:rPr>
          <w:b/>
        </w:rPr>
        <w:t>s</w:t>
      </w:r>
    </w:p>
    <w:tbl>
      <w:tblPr>
        <w:tblW w:w="10214"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5109"/>
        <w:gridCol w:w="5105"/>
      </w:tblGrid>
      <w:tr w:rsidR="002C0715" w:rsidRPr="00D936EC" w:rsidTr="00893181">
        <w:tc>
          <w:tcPr>
            <w:tcW w:w="5109" w:type="dxa"/>
            <w:vAlign w:val="center"/>
          </w:tcPr>
          <w:p w:rsidR="002C0715" w:rsidRPr="00D936EC" w:rsidRDefault="002C0715" w:rsidP="00893181">
            <w:pPr>
              <w:rPr>
                <w:sz w:val="20"/>
                <w:szCs w:val="20"/>
              </w:rPr>
            </w:pPr>
            <w:r w:rsidRPr="00D936EC">
              <w:rPr>
                <w:sz w:val="20"/>
                <w:szCs w:val="20"/>
              </w:rPr>
              <w:t xml:space="preserve">Indicator 1:  Graduation Rate </w:t>
            </w:r>
          </w:p>
        </w:tc>
        <w:tc>
          <w:tcPr>
            <w:tcW w:w="5105" w:type="dxa"/>
            <w:vAlign w:val="center"/>
          </w:tcPr>
          <w:p w:rsidR="002C0715" w:rsidRPr="00D936EC" w:rsidRDefault="002C0715" w:rsidP="00893181">
            <w:pPr>
              <w:rPr>
                <w:sz w:val="20"/>
                <w:szCs w:val="20"/>
              </w:rPr>
            </w:pPr>
            <w:r w:rsidRPr="00D936EC">
              <w:rPr>
                <w:sz w:val="20"/>
                <w:szCs w:val="20"/>
              </w:rPr>
              <w:t xml:space="preserve">Indicator 12:  Early Childhood Transition  </w:t>
            </w:r>
          </w:p>
        </w:tc>
      </w:tr>
      <w:tr w:rsidR="002C0715" w:rsidRPr="00D936EC" w:rsidTr="00893181">
        <w:tc>
          <w:tcPr>
            <w:tcW w:w="5109" w:type="dxa"/>
            <w:vAlign w:val="center"/>
          </w:tcPr>
          <w:p w:rsidR="002C0715" w:rsidRPr="00D936EC" w:rsidRDefault="002C0715" w:rsidP="00893181">
            <w:pPr>
              <w:rPr>
                <w:sz w:val="20"/>
                <w:szCs w:val="20"/>
              </w:rPr>
            </w:pPr>
            <w:r w:rsidRPr="00D936EC">
              <w:rPr>
                <w:sz w:val="20"/>
                <w:szCs w:val="20"/>
              </w:rPr>
              <w:t xml:space="preserve">Indicator 2:  Dropout Rate </w:t>
            </w:r>
          </w:p>
        </w:tc>
        <w:tc>
          <w:tcPr>
            <w:tcW w:w="5105" w:type="dxa"/>
            <w:vAlign w:val="center"/>
          </w:tcPr>
          <w:p w:rsidR="002C0715" w:rsidRPr="00D936EC" w:rsidRDefault="002C0715" w:rsidP="00893181">
            <w:pPr>
              <w:rPr>
                <w:sz w:val="20"/>
                <w:szCs w:val="20"/>
              </w:rPr>
            </w:pPr>
            <w:r w:rsidRPr="00D936EC">
              <w:rPr>
                <w:sz w:val="20"/>
                <w:szCs w:val="20"/>
              </w:rPr>
              <w:t>Indicator 13:  Secondary Transition</w:t>
            </w:r>
          </w:p>
        </w:tc>
      </w:tr>
      <w:tr w:rsidR="002C0715" w:rsidRPr="00D936EC" w:rsidTr="00893181">
        <w:tc>
          <w:tcPr>
            <w:tcW w:w="5109" w:type="dxa"/>
            <w:vAlign w:val="center"/>
          </w:tcPr>
          <w:p w:rsidR="002C0715" w:rsidRPr="00D936EC" w:rsidRDefault="002C0715" w:rsidP="00893181">
            <w:pPr>
              <w:rPr>
                <w:sz w:val="20"/>
                <w:szCs w:val="20"/>
              </w:rPr>
            </w:pPr>
            <w:r w:rsidRPr="00D936EC">
              <w:rPr>
                <w:sz w:val="20"/>
                <w:szCs w:val="20"/>
              </w:rPr>
              <w:t>Indicator 3:  Assessment</w:t>
            </w:r>
          </w:p>
        </w:tc>
        <w:tc>
          <w:tcPr>
            <w:tcW w:w="5105" w:type="dxa"/>
            <w:vAlign w:val="center"/>
          </w:tcPr>
          <w:p w:rsidR="002C0715" w:rsidRPr="00D936EC" w:rsidRDefault="002C0715" w:rsidP="00893181">
            <w:pPr>
              <w:rPr>
                <w:sz w:val="20"/>
                <w:szCs w:val="20"/>
              </w:rPr>
            </w:pPr>
            <w:r w:rsidRPr="00D936EC">
              <w:rPr>
                <w:sz w:val="20"/>
                <w:szCs w:val="20"/>
              </w:rPr>
              <w:t>Indicator 14:  Post-School Outcomes</w:t>
            </w:r>
          </w:p>
        </w:tc>
      </w:tr>
      <w:tr w:rsidR="002C0715" w:rsidRPr="00D936EC" w:rsidTr="00893181">
        <w:tc>
          <w:tcPr>
            <w:tcW w:w="5109" w:type="dxa"/>
            <w:vAlign w:val="center"/>
          </w:tcPr>
          <w:p w:rsidR="002C0715" w:rsidRPr="00D936EC" w:rsidRDefault="002C0715" w:rsidP="00893181">
            <w:pPr>
              <w:rPr>
                <w:sz w:val="20"/>
                <w:szCs w:val="20"/>
              </w:rPr>
            </w:pPr>
            <w:r w:rsidRPr="00D936EC">
              <w:rPr>
                <w:sz w:val="20"/>
                <w:szCs w:val="20"/>
              </w:rPr>
              <w:t>Indicator 4:  Suspension/Expulsion</w:t>
            </w:r>
          </w:p>
        </w:tc>
        <w:tc>
          <w:tcPr>
            <w:tcW w:w="5105" w:type="dxa"/>
            <w:vAlign w:val="center"/>
          </w:tcPr>
          <w:p w:rsidR="002C0715" w:rsidRPr="00D936EC" w:rsidRDefault="002C0715" w:rsidP="00893181">
            <w:pPr>
              <w:rPr>
                <w:sz w:val="20"/>
                <w:szCs w:val="20"/>
              </w:rPr>
            </w:pPr>
            <w:r w:rsidRPr="00D936EC">
              <w:rPr>
                <w:sz w:val="20"/>
                <w:szCs w:val="20"/>
              </w:rPr>
              <w:t>Indicator 15:  ID and Correction of Noncompliance</w:t>
            </w:r>
          </w:p>
        </w:tc>
      </w:tr>
      <w:tr w:rsidR="002C0715" w:rsidRPr="00D936EC" w:rsidTr="00893181">
        <w:tc>
          <w:tcPr>
            <w:tcW w:w="5109" w:type="dxa"/>
            <w:vAlign w:val="center"/>
          </w:tcPr>
          <w:p w:rsidR="002C0715" w:rsidRPr="00D936EC" w:rsidRDefault="002C0715" w:rsidP="00893181">
            <w:pPr>
              <w:rPr>
                <w:sz w:val="20"/>
                <w:szCs w:val="20"/>
              </w:rPr>
            </w:pPr>
            <w:r w:rsidRPr="00D936EC">
              <w:rPr>
                <w:sz w:val="20"/>
                <w:szCs w:val="20"/>
              </w:rPr>
              <w:t>Indicators 5 &amp; 6: Least Restrictive Environment (LRE)</w:t>
            </w:r>
          </w:p>
        </w:tc>
        <w:tc>
          <w:tcPr>
            <w:tcW w:w="5105" w:type="dxa"/>
            <w:vAlign w:val="center"/>
          </w:tcPr>
          <w:p w:rsidR="002C0715" w:rsidRPr="00D936EC" w:rsidRDefault="002C0715" w:rsidP="00893181">
            <w:pPr>
              <w:rPr>
                <w:sz w:val="20"/>
                <w:szCs w:val="20"/>
              </w:rPr>
            </w:pPr>
            <w:r w:rsidRPr="00D936EC">
              <w:rPr>
                <w:sz w:val="20"/>
                <w:szCs w:val="20"/>
              </w:rPr>
              <w:t>Indicator 16:  Complaint Resolution within Timelines</w:t>
            </w:r>
          </w:p>
        </w:tc>
      </w:tr>
      <w:tr w:rsidR="002C0715" w:rsidRPr="00D936EC" w:rsidTr="00893181">
        <w:tc>
          <w:tcPr>
            <w:tcW w:w="5109" w:type="dxa"/>
            <w:vAlign w:val="center"/>
          </w:tcPr>
          <w:p w:rsidR="002C0715" w:rsidRPr="00D936EC" w:rsidRDefault="002C0715" w:rsidP="00893181">
            <w:pPr>
              <w:rPr>
                <w:sz w:val="20"/>
                <w:szCs w:val="20"/>
              </w:rPr>
            </w:pPr>
            <w:r w:rsidRPr="00D936EC">
              <w:rPr>
                <w:sz w:val="20"/>
                <w:szCs w:val="20"/>
              </w:rPr>
              <w:t>Indicator 7:  Preschool Outcomes</w:t>
            </w:r>
          </w:p>
        </w:tc>
        <w:tc>
          <w:tcPr>
            <w:tcW w:w="5105" w:type="dxa"/>
            <w:vAlign w:val="center"/>
          </w:tcPr>
          <w:p w:rsidR="002C0715" w:rsidRPr="00D936EC" w:rsidRDefault="002C0715" w:rsidP="00893181">
            <w:pPr>
              <w:rPr>
                <w:sz w:val="20"/>
                <w:szCs w:val="20"/>
              </w:rPr>
            </w:pPr>
            <w:r w:rsidRPr="00D936EC">
              <w:rPr>
                <w:sz w:val="20"/>
                <w:szCs w:val="20"/>
              </w:rPr>
              <w:t>Indicator 17:  Due Process within Timelines</w:t>
            </w:r>
          </w:p>
        </w:tc>
      </w:tr>
      <w:tr w:rsidR="002C0715" w:rsidRPr="00D936EC" w:rsidTr="00893181">
        <w:tc>
          <w:tcPr>
            <w:tcW w:w="5109" w:type="dxa"/>
            <w:vAlign w:val="center"/>
          </w:tcPr>
          <w:p w:rsidR="002C0715" w:rsidRPr="00D936EC" w:rsidRDefault="002C0715" w:rsidP="00893181">
            <w:pPr>
              <w:rPr>
                <w:sz w:val="20"/>
                <w:szCs w:val="20"/>
              </w:rPr>
            </w:pPr>
            <w:r w:rsidRPr="00D936EC">
              <w:rPr>
                <w:sz w:val="20"/>
                <w:szCs w:val="20"/>
              </w:rPr>
              <w:t>Indicator 8:  Parent Involvement</w:t>
            </w:r>
          </w:p>
        </w:tc>
        <w:tc>
          <w:tcPr>
            <w:tcW w:w="5105" w:type="dxa"/>
            <w:vAlign w:val="center"/>
          </w:tcPr>
          <w:p w:rsidR="002C0715" w:rsidRPr="00D936EC" w:rsidRDefault="002C0715" w:rsidP="00893181">
            <w:pPr>
              <w:rPr>
                <w:sz w:val="20"/>
                <w:szCs w:val="20"/>
              </w:rPr>
            </w:pPr>
            <w:r w:rsidRPr="00D936EC">
              <w:rPr>
                <w:sz w:val="20"/>
                <w:szCs w:val="20"/>
              </w:rPr>
              <w:t>Indicator 18:  Use of Resolution Sessions</w:t>
            </w:r>
          </w:p>
        </w:tc>
      </w:tr>
      <w:tr w:rsidR="002C0715" w:rsidRPr="00D936EC" w:rsidTr="00893181">
        <w:tc>
          <w:tcPr>
            <w:tcW w:w="5109" w:type="dxa"/>
            <w:vAlign w:val="center"/>
          </w:tcPr>
          <w:p w:rsidR="002C0715" w:rsidRPr="00D936EC" w:rsidRDefault="002C0715" w:rsidP="00893181">
            <w:pPr>
              <w:rPr>
                <w:sz w:val="20"/>
                <w:szCs w:val="20"/>
              </w:rPr>
            </w:pPr>
            <w:r w:rsidRPr="00D936EC">
              <w:rPr>
                <w:sz w:val="20"/>
                <w:szCs w:val="20"/>
              </w:rPr>
              <w:t>Indicators 9 &amp; 10:  Disproportionality</w:t>
            </w:r>
          </w:p>
        </w:tc>
        <w:tc>
          <w:tcPr>
            <w:tcW w:w="5105" w:type="dxa"/>
            <w:vAlign w:val="center"/>
          </w:tcPr>
          <w:p w:rsidR="002C0715" w:rsidRPr="00D936EC" w:rsidRDefault="002C0715" w:rsidP="00893181">
            <w:pPr>
              <w:rPr>
                <w:sz w:val="20"/>
                <w:szCs w:val="20"/>
              </w:rPr>
            </w:pPr>
            <w:r w:rsidRPr="00D936EC">
              <w:rPr>
                <w:sz w:val="20"/>
                <w:szCs w:val="20"/>
              </w:rPr>
              <w:t>Indicator 19:  Mediation Agreements</w:t>
            </w:r>
          </w:p>
        </w:tc>
      </w:tr>
      <w:tr w:rsidR="002C0715" w:rsidRPr="00D936EC" w:rsidTr="00893181">
        <w:tc>
          <w:tcPr>
            <w:tcW w:w="5109" w:type="dxa"/>
            <w:vAlign w:val="center"/>
          </w:tcPr>
          <w:p w:rsidR="002C0715" w:rsidRPr="00D936EC" w:rsidRDefault="002C0715" w:rsidP="00893181">
            <w:pPr>
              <w:rPr>
                <w:sz w:val="20"/>
                <w:szCs w:val="20"/>
              </w:rPr>
            </w:pPr>
            <w:r w:rsidRPr="00D936EC">
              <w:rPr>
                <w:sz w:val="20"/>
                <w:szCs w:val="20"/>
              </w:rPr>
              <w:t>Indicator 11:  Initial Evaluation within Timelines</w:t>
            </w:r>
          </w:p>
        </w:tc>
        <w:tc>
          <w:tcPr>
            <w:tcW w:w="5105" w:type="dxa"/>
            <w:vAlign w:val="center"/>
          </w:tcPr>
          <w:p w:rsidR="002C0715" w:rsidRPr="00D936EC" w:rsidRDefault="002C0715" w:rsidP="00893181">
            <w:pPr>
              <w:rPr>
                <w:sz w:val="20"/>
                <w:szCs w:val="20"/>
              </w:rPr>
            </w:pPr>
            <w:r w:rsidRPr="00D936EC">
              <w:rPr>
                <w:sz w:val="20"/>
                <w:szCs w:val="20"/>
              </w:rPr>
              <w:t>Indicator 20:  Timely State Reported Data</w:t>
            </w:r>
          </w:p>
        </w:tc>
      </w:tr>
    </w:tbl>
    <w:p w:rsidR="002C0715" w:rsidRDefault="002C0715" w:rsidP="00AC3181">
      <w:pPr>
        <w:rPr>
          <w:sz w:val="20"/>
          <w:szCs w:val="20"/>
        </w:rPr>
      </w:pPr>
    </w:p>
    <w:p w:rsidR="00C426C2" w:rsidRDefault="003451C5" w:rsidP="00446BB7">
      <w:pPr>
        <w:pStyle w:val="BodyText"/>
        <w:rPr>
          <w:b/>
        </w:rPr>
      </w:pPr>
      <w:r w:rsidRPr="00520721">
        <w:rPr>
          <w:sz w:val="24"/>
          <w:szCs w:val="24"/>
        </w:rPr>
        <w:t>In making its determination th</w:t>
      </w:r>
      <w:r w:rsidR="00753502">
        <w:rPr>
          <w:sz w:val="24"/>
          <w:szCs w:val="24"/>
        </w:rPr>
        <w:t>at</w:t>
      </w:r>
      <w:r w:rsidRPr="00520721">
        <w:rPr>
          <w:sz w:val="24"/>
          <w:szCs w:val="24"/>
        </w:rPr>
        <w:t xml:space="preserve"> Massachusetts meets requirements, OSERS cited the state's submission of valid and reliable data, high levels of compliance, timely correction of identified noncompliance within one year of identification, and high levels of performance for </w:t>
      </w:r>
      <w:r w:rsidR="00753502">
        <w:rPr>
          <w:sz w:val="24"/>
          <w:szCs w:val="24"/>
        </w:rPr>
        <w:t xml:space="preserve">the </w:t>
      </w:r>
      <w:r w:rsidRPr="00520721">
        <w:rPr>
          <w:sz w:val="24"/>
          <w:szCs w:val="24"/>
        </w:rPr>
        <w:t>20 indicators included in the report. OSEP commended Massachusetts for its performance, which is a reflection of the Department’s and the districts’ collaborative efforts to improve programs and services for children with disabilities and to improve outcomes for these students.</w:t>
      </w:r>
    </w:p>
    <w:p w:rsidR="00A90661" w:rsidRPr="009950C8" w:rsidRDefault="00BB5EE3" w:rsidP="009950C8">
      <w:pPr>
        <w:pStyle w:val="Heading2"/>
      </w:pPr>
      <w:bookmarkStart w:id="22" w:name="_Toc342312316"/>
      <w:r w:rsidRPr="009950C8">
        <w:t xml:space="preserve">C. </w:t>
      </w:r>
      <w:r w:rsidR="00B8020C" w:rsidRPr="009950C8">
        <w:tab/>
      </w:r>
      <w:r w:rsidR="00A90661" w:rsidRPr="009950C8">
        <w:t>Accountability</w:t>
      </w:r>
      <w:r w:rsidRPr="009950C8">
        <w:t xml:space="preserve">, </w:t>
      </w:r>
      <w:r w:rsidR="00A90661" w:rsidRPr="009950C8">
        <w:t>Determination Levels</w:t>
      </w:r>
      <w:r w:rsidRPr="009950C8">
        <w:t xml:space="preserve">, and the </w:t>
      </w:r>
      <w:r w:rsidR="00A90661" w:rsidRPr="009950C8">
        <w:t>N</w:t>
      </w:r>
      <w:r w:rsidRPr="009950C8">
        <w:t xml:space="preserve">o </w:t>
      </w:r>
      <w:r w:rsidR="00A90661" w:rsidRPr="009950C8">
        <w:t>C</w:t>
      </w:r>
      <w:r w:rsidRPr="009950C8">
        <w:t xml:space="preserve">hild </w:t>
      </w:r>
      <w:r w:rsidR="00A90661" w:rsidRPr="009950C8">
        <w:t>L</w:t>
      </w:r>
      <w:r w:rsidR="009950C8" w:rsidRPr="009950C8">
        <w:t xml:space="preserve">eft </w:t>
      </w:r>
      <w:r w:rsidR="00A90661" w:rsidRPr="009950C8">
        <w:t>B</w:t>
      </w:r>
      <w:r w:rsidRPr="009950C8">
        <w:t>ehind</w:t>
      </w:r>
      <w:r w:rsidR="00B8020C" w:rsidRPr="009950C8">
        <w:t xml:space="preserve"> </w:t>
      </w:r>
      <w:r w:rsidR="00A90661" w:rsidRPr="009950C8">
        <w:t>Waiver</w:t>
      </w:r>
      <w:bookmarkEnd w:id="22"/>
    </w:p>
    <w:p w:rsidR="00A90661" w:rsidRPr="00B8020C" w:rsidRDefault="00A90661" w:rsidP="00A90661">
      <w:pPr>
        <w:pStyle w:val="NormalWeb"/>
      </w:pPr>
      <w:r w:rsidRPr="00B8020C">
        <w:t xml:space="preserve">On February 9, 2012, Massachusetts was granted a waiver from certain </w:t>
      </w:r>
      <w:r w:rsidR="00B8020C" w:rsidRPr="00B8020C">
        <w:t xml:space="preserve">requirements of the </w:t>
      </w:r>
      <w:r w:rsidRPr="00B8020C">
        <w:t>N</w:t>
      </w:r>
      <w:r w:rsidR="00B8020C" w:rsidRPr="00B8020C">
        <w:t xml:space="preserve">o Child Left </w:t>
      </w:r>
      <w:proofErr w:type="gramStart"/>
      <w:r w:rsidR="00B8020C" w:rsidRPr="00B8020C">
        <w:t>Behind</w:t>
      </w:r>
      <w:proofErr w:type="gramEnd"/>
      <w:r w:rsidR="00B8020C" w:rsidRPr="00B8020C">
        <w:t xml:space="preserve"> (N</w:t>
      </w:r>
      <w:r w:rsidRPr="00B8020C">
        <w:t>CLB</w:t>
      </w:r>
      <w:r w:rsidR="00B8020C" w:rsidRPr="00B8020C">
        <w:t>)</w:t>
      </w:r>
      <w:r w:rsidRPr="00B8020C">
        <w:t xml:space="preserve"> </w:t>
      </w:r>
      <w:r w:rsidR="00753502">
        <w:t>law.  This waiver</w:t>
      </w:r>
      <w:r w:rsidRPr="00B8020C">
        <w:t xml:space="preserve"> allows the state to better align its systems of differentiated accountability, support, and intervention.  Prior to seeking this flexibility, the Commonwealth’s schools and districts were assessed based on both the state’s five-level Framework for District Accountability and Assistance and the requirements of NCLB</w:t>
      </w:r>
      <w:r w:rsidR="00B8020C" w:rsidRPr="00B8020C">
        <w:t>,</w:t>
      </w:r>
      <w:r w:rsidRPr="00B8020C">
        <w:t xml:space="preserve"> as well as a special education determination of 1-5 indicating </w:t>
      </w:r>
      <w:r w:rsidR="00B8020C" w:rsidRPr="00B8020C">
        <w:t>their</w:t>
      </w:r>
      <w:r w:rsidRPr="00B8020C">
        <w:t xml:space="preserve"> need for special education technical assistance or intervention. Under the new flexibility waiver</w:t>
      </w:r>
      <w:r w:rsidR="00B8020C" w:rsidRPr="00B8020C">
        <w:t>,</w:t>
      </w:r>
      <w:r w:rsidRPr="00B8020C">
        <w:t xml:space="preserve"> </w:t>
      </w:r>
      <w:r w:rsidR="00B8020C" w:rsidRPr="00B8020C">
        <w:t xml:space="preserve">school districts’ </w:t>
      </w:r>
      <w:r w:rsidRPr="00B8020C">
        <w:t>special education classifications</w:t>
      </w:r>
      <w:r w:rsidR="00B8020C" w:rsidRPr="00B8020C">
        <w:t xml:space="preserve"> are better</w:t>
      </w:r>
      <w:r w:rsidRPr="00B8020C">
        <w:t xml:space="preserve"> aligned with </w:t>
      </w:r>
      <w:r w:rsidR="00B8020C" w:rsidRPr="00B8020C">
        <w:t>their</w:t>
      </w:r>
      <w:r w:rsidRPr="00B8020C">
        <w:t xml:space="preserve"> state accountability and assistance level. </w:t>
      </w:r>
    </w:p>
    <w:p w:rsidR="00A90661" w:rsidRPr="00B8020C" w:rsidRDefault="00A90661" w:rsidP="00A90661">
      <w:pPr>
        <w:pStyle w:val="NormalWeb"/>
      </w:pPr>
      <w:r w:rsidRPr="00B8020C">
        <w:t xml:space="preserve">Instead of the NCLB labels of </w:t>
      </w:r>
      <w:r w:rsidRPr="00B8020C">
        <w:rPr>
          <w:i/>
        </w:rPr>
        <w:t>identified for improvement</w:t>
      </w:r>
      <w:r w:rsidRPr="00B8020C">
        <w:t xml:space="preserve">, </w:t>
      </w:r>
      <w:r w:rsidRPr="00B8020C">
        <w:rPr>
          <w:i/>
        </w:rPr>
        <w:t>corrective action</w:t>
      </w:r>
      <w:r w:rsidRPr="00B8020C">
        <w:t xml:space="preserve">, and </w:t>
      </w:r>
      <w:r w:rsidRPr="00B8020C">
        <w:rPr>
          <w:i/>
        </w:rPr>
        <w:t>restructuring</w:t>
      </w:r>
      <w:r w:rsidRPr="00B8020C">
        <w:t xml:space="preserve">, all districts and schools, including charter schools, </w:t>
      </w:r>
      <w:r w:rsidR="00B8020C" w:rsidRPr="00B8020C">
        <w:t xml:space="preserve">beginning in 2012, all districts and schools are </w:t>
      </w:r>
      <w:r w:rsidRPr="00B8020C">
        <w:t>classified into one of five accountability and assistance levels</w:t>
      </w:r>
      <w:r w:rsidR="00753502">
        <w:t xml:space="preserve"> based primarily on performance outcomes over a four year period</w:t>
      </w:r>
      <w:r w:rsidRPr="00B8020C">
        <w:t xml:space="preserve">. Districts </w:t>
      </w:r>
      <w:r w:rsidR="00B8020C" w:rsidRPr="00B8020C">
        <w:t>are</w:t>
      </w:r>
      <w:r w:rsidRPr="00B8020C">
        <w:t xml:space="preserve"> also assigned a determination of need for special education technical assistance or intervention based on five categories</w:t>
      </w:r>
      <w:r w:rsidR="00B8020C" w:rsidRPr="00B8020C">
        <w:t xml:space="preserve"> aligned with the accountability and assistance levels</w:t>
      </w:r>
      <w:r w:rsidR="00A942CA">
        <w:t>.  There is a one-to-one correspondence between the performance-based accountability levels and the special education determination in all cases except that</w:t>
      </w:r>
      <w:r w:rsidR="00A942CA" w:rsidRPr="00B8020C">
        <w:t xml:space="preserve"> the special education determinations </w:t>
      </w:r>
      <w:r w:rsidR="00A942CA">
        <w:t xml:space="preserve">must </w:t>
      </w:r>
      <w:r w:rsidR="00A942CA" w:rsidRPr="00B8020C">
        <w:t>also take into account compliance criteria</w:t>
      </w:r>
      <w:r w:rsidR="00A942CA">
        <w:t>. I</w:t>
      </w:r>
      <w:r w:rsidR="00A942CA" w:rsidRPr="00B8020C">
        <w:t>n some instances a district may receive a more serious determination of need for special education technical assistance or intervention</w:t>
      </w:r>
      <w:r w:rsidR="00A942CA">
        <w:t>,</w:t>
      </w:r>
      <w:r w:rsidR="00A942CA" w:rsidRPr="00B8020C">
        <w:t xml:space="preserve"> </w:t>
      </w:r>
      <w:r w:rsidR="00A942CA">
        <w:t>when the district demonstrates non-compliance to an extent inconsistent with the accountability level assigned.  In SY2012-13, only two districts have different assigned special education determinations.  Special education determinations are required to use the following terminology</w:t>
      </w:r>
      <w:r w:rsidRPr="00B8020C">
        <w:t>:</w:t>
      </w:r>
    </w:p>
    <w:p w:rsidR="00A90661" w:rsidRPr="00B8020C" w:rsidRDefault="00A90661" w:rsidP="007A1237">
      <w:pPr>
        <w:numPr>
          <w:ilvl w:val="0"/>
          <w:numId w:val="7"/>
        </w:numPr>
        <w:spacing w:before="100" w:beforeAutospacing="1" w:after="100" w:afterAutospacing="1"/>
      </w:pPr>
      <w:r w:rsidRPr="00B8020C">
        <w:rPr>
          <w:rStyle w:val="em1"/>
        </w:rPr>
        <w:t>Meets Requirements (MR)</w:t>
      </w:r>
      <w:r w:rsidRPr="00B8020C">
        <w:t xml:space="preserve"> </w:t>
      </w:r>
    </w:p>
    <w:p w:rsidR="00A90661" w:rsidRPr="00B8020C" w:rsidRDefault="00A90661" w:rsidP="007A1237">
      <w:pPr>
        <w:numPr>
          <w:ilvl w:val="0"/>
          <w:numId w:val="7"/>
        </w:numPr>
        <w:spacing w:before="100" w:beforeAutospacing="1" w:after="100" w:afterAutospacing="1"/>
      </w:pPr>
      <w:r w:rsidRPr="00B8020C">
        <w:rPr>
          <w:rStyle w:val="em1"/>
        </w:rPr>
        <w:t>Meets Requirements-At Risk (MRAR)</w:t>
      </w:r>
      <w:r w:rsidRPr="00B8020C">
        <w:t xml:space="preserve"> </w:t>
      </w:r>
    </w:p>
    <w:p w:rsidR="00A90661" w:rsidRPr="00B8020C" w:rsidRDefault="00A90661" w:rsidP="007A1237">
      <w:pPr>
        <w:numPr>
          <w:ilvl w:val="0"/>
          <w:numId w:val="7"/>
        </w:numPr>
        <w:spacing w:before="100" w:beforeAutospacing="1" w:after="100" w:afterAutospacing="1"/>
      </w:pPr>
      <w:r w:rsidRPr="00B8020C">
        <w:rPr>
          <w:rStyle w:val="em1"/>
        </w:rPr>
        <w:t>Needs Technical Assistance (NTA)</w:t>
      </w:r>
      <w:r w:rsidRPr="00B8020C">
        <w:t xml:space="preserve"> </w:t>
      </w:r>
    </w:p>
    <w:p w:rsidR="00A90661" w:rsidRPr="00B8020C" w:rsidRDefault="00A90661" w:rsidP="007A1237">
      <w:pPr>
        <w:numPr>
          <w:ilvl w:val="0"/>
          <w:numId w:val="7"/>
        </w:numPr>
        <w:spacing w:before="100" w:beforeAutospacing="1" w:after="100" w:afterAutospacing="1"/>
      </w:pPr>
      <w:r w:rsidRPr="00B8020C">
        <w:rPr>
          <w:rStyle w:val="em1"/>
        </w:rPr>
        <w:t>Needs Intervention (NI)</w:t>
      </w:r>
      <w:r w:rsidRPr="00B8020C">
        <w:t xml:space="preserve"> </w:t>
      </w:r>
    </w:p>
    <w:p w:rsidR="00A90661" w:rsidRPr="00B8020C" w:rsidRDefault="00A90661" w:rsidP="007A1237">
      <w:pPr>
        <w:numPr>
          <w:ilvl w:val="0"/>
          <w:numId w:val="7"/>
        </w:numPr>
        <w:spacing w:before="100" w:beforeAutospacing="1" w:after="100" w:afterAutospacing="1"/>
        <w:rPr>
          <w:rStyle w:val="em1"/>
          <w:i w:val="0"/>
          <w:iCs w:val="0"/>
        </w:rPr>
      </w:pPr>
      <w:r w:rsidRPr="00B8020C">
        <w:rPr>
          <w:rStyle w:val="em1"/>
        </w:rPr>
        <w:t>Needs Substantial Intervention (NSI)</w:t>
      </w:r>
    </w:p>
    <w:p w:rsidR="00A90661" w:rsidRDefault="00A90661" w:rsidP="00A90661">
      <w:pPr>
        <w:pStyle w:val="NormalWeb"/>
      </w:pPr>
      <w:r w:rsidRPr="00B8020C">
        <w:t xml:space="preserve">These coordinated classifications will help signal whether outcomes for all students in the district indicate progress, including that of students with disabilities, or whether technical assistance and/or intervention is needed to improve outcomes for all children, especially students with disabilities. </w:t>
      </w:r>
      <w:r w:rsidR="00A942CA">
        <w:t xml:space="preserve">  This alignment of accountability and assistance allows the Department to more effectively coordinate the types and amounts of technical assistance offered to struggling districts from across different Department offices, thus utilizing both state and district level resources more efficiently and systemically.</w:t>
      </w:r>
    </w:p>
    <w:p w:rsidR="00A942CA" w:rsidRDefault="00A942CA" w:rsidP="00A90661">
      <w:pPr>
        <w:pStyle w:val="NormalWeb"/>
      </w:pPr>
    </w:p>
    <w:p w:rsidR="00B8020C" w:rsidRPr="00B967FB" w:rsidRDefault="00B967FB" w:rsidP="00B967FB">
      <w:pPr>
        <w:pStyle w:val="Heading2"/>
        <w:rPr>
          <w:rFonts w:ascii="Times New Roman" w:hAnsi="Times New Roman" w:cs="Times New Roman"/>
          <w:b w:val="0"/>
          <w:sz w:val="24"/>
          <w:szCs w:val="24"/>
        </w:rPr>
      </w:pPr>
      <w:bookmarkStart w:id="23" w:name="_Toc342312317"/>
      <w:r>
        <w:t xml:space="preserve">D.   </w:t>
      </w:r>
      <w:r w:rsidR="00A90661" w:rsidRPr="00B967FB">
        <w:t>Results Driven Accountability (RDA)</w:t>
      </w:r>
      <w:bookmarkEnd w:id="23"/>
    </w:p>
    <w:p w:rsidR="00170086" w:rsidRDefault="00A90661" w:rsidP="007A1237">
      <w:pPr>
        <w:pStyle w:val="Heading1"/>
        <w:numPr>
          <w:ilvl w:val="0"/>
          <w:numId w:val="12"/>
        </w:numPr>
        <w:ind w:left="-18" w:hanging="18"/>
        <w:rPr>
          <w:rFonts w:ascii="Times New Roman" w:hAnsi="Times New Roman" w:cs="Times New Roman"/>
          <w:b w:val="0"/>
          <w:sz w:val="24"/>
          <w:szCs w:val="24"/>
        </w:rPr>
      </w:pPr>
      <w:r w:rsidRPr="00B967FB">
        <w:rPr>
          <w:rFonts w:ascii="Times New Roman" w:hAnsi="Times New Roman" w:cs="Times New Roman"/>
          <w:b w:val="0"/>
          <w:sz w:val="24"/>
          <w:szCs w:val="24"/>
        </w:rPr>
        <w:t>According to the</w:t>
      </w:r>
      <w:r w:rsidR="00216F2A" w:rsidRPr="00B967FB">
        <w:rPr>
          <w:rFonts w:ascii="Times New Roman" w:hAnsi="Times New Roman" w:cs="Times New Roman"/>
          <w:b w:val="0"/>
          <w:sz w:val="24"/>
          <w:szCs w:val="24"/>
        </w:rPr>
        <w:t xml:space="preserve"> U.S. Department of Education’s</w:t>
      </w:r>
      <w:r w:rsidRPr="00B967FB">
        <w:rPr>
          <w:rFonts w:ascii="Times New Roman" w:hAnsi="Times New Roman" w:cs="Times New Roman"/>
          <w:b w:val="0"/>
          <w:sz w:val="24"/>
          <w:szCs w:val="24"/>
        </w:rPr>
        <w:t xml:space="preserve"> Office of Special Education Programs (OSEP), the educational outcomes of America’s students with disabilities have not improved as much as expected, despite significant federal efforts to close achievement gaps through federal programs such as </w:t>
      </w:r>
      <w:r w:rsidR="00216F2A" w:rsidRPr="00B967FB">
        <w:rPr>
          <w:rFonts w:ascii="Times New Roman" w:hAnsi="Times New Roman" w:cs="Times New Roman"/>
          <w:b w:val="0"/>
          <w:sz w:val="24"/>
          <w:szCs w:val="24"/>
        </w:rPr>
        <w:t>NCLB</w:t>
      </w:r>
      <w:r w:rsidRPr="00B967FB">
        <w:rPr>
          <w:rFonts w:ascii="Times New Roman" w:hAnsi="Times New Roman" w:cs="Times New Roman"/>
          <w:b w:val="0"/>
          <w:sz w:val="24"/>
          <w:szCs w:val="24"/>
        </w:rPr>
        <w:t xml:space="preserve"> and </w:t>
      </w:r>
      <w:r w:rsidR="00216F2A" w:rsidRPr="00B967FB">
        <w:rPr>
          <w:rFonts w:ascii="Times New Roman" w:hAnsi="Times New Roman" w:cs="Times New Roman"/>
          <w:b w:val="0"/>
          <w:sz w:val="24"/>
          <w:szCs w:val="24"/>
        </w:rPr>
        <w:t>IDEA</w:t>
      </w:r>
      <w:r w:rsidRPr="00B967FB">
        <w:rPr>
          <w:rFonts w:ascii="Times New Roman" w:hAnsi="Times New Roman" w:cs="Times New Roman"/>
          <w:b w:val="0"/>
          <w:sz w:val="24"/>
          <w:szCs w:val="24"/>
        </w:rPr>
        <w:t>. The current federal accountability system</w:t>
      </w:r>
      <w:r w:rsidR="002A3596" w:rsidRPr="00B967FB">
        <w:rPr>
          <w:rFonts w:ascii="Times New Roman" w:hAnsi="Times New Roman" w:cs="Times New Roman"/>
          <w:b w:val="0"/>
          <w:sz w:val="24"/>
          <w:szCs w:val="24"/>
        </w:rPr>
        <w:t xml:space="preserve"> for special education</w:t>
      </w:r>
      <w:r w:rsidRPr="00B967FB">
        <w:rPr>
          <w:rFonts w:ascii="Times New Roman" w:hAnsi="Times New Roman" w:cs="Times New Roman"/>
          <w:b w:val="0"/>
          <w:sz w:val="24"/>
          <w:szCs w:val="24"/>
        </w:rPr>
        <w:t xml:space="preserve"> places heavy emphasis on procedural compliance without consideration of how the requirements impact student learning outcomes. OSEP is </w:t>
      </w:r>
      <w:r w:rsidR="006902C1" w:rsidRPr="00B967FB">
        <w:rPr>
          <w:rFonts w:ascii="Times New Roman" w:hAnsi="Times New Roman" w:cs="Times New Roman"/>
          <w:b w:val="0"/>
          <w:sz w:val="24"/>
          <w:szCs w:val="24"/>
        </w:rPr>
        <w:t xml:space="preserve">now </w:t>
      </w:r>
      <w:r w:rsidRPr="00B967FB">
        <w:rPr>
          <w:rFonts w:ascii="Times New Roman" w:hAnsi="Times New Roman" w:cs="Times New Roman"/>
          <w:b w:val="0"/>
          <w:sz w:val="24"/>
          <w:szCs w:val="24"/>
        </w:rPr>
        <w:t xml:space="preserve">shifting the balance </w:t>
      </w:r>
      <w:r w:rsidR="002A3596" w:rsidRPr="00B967FB">
        <w:rPr>
          <w:rFonts w:ascii="Times New Roman" w:hAnsi="Times New Roman" w:cs="Times New Roman"/>
          <w:b w:val="0"/>
          <w:sz w:val="24"/>
          <w:szCs w:val="24"/>
        </w:rPr>
        <w:t xml:space="preserve">toward a systems </w:t>
      </w:r>
      <w:r w:rsidR="00466D13" w:rsidRPr="00B967FB">
        <w:rPr>
          <w:rFonts w:ascii="Times New Roman" w:hAnsi="Times New Roman" w:cs="Times New Roman"/>
          <w:b w:val="0"/>
          <w:sz w:val="24"/>
          <w:szCs w:val="24"/>
        </w:rPr>
        <w:t xml:space="preserve">approach </w:t>
      </w:r>
      <w:r w:rsidR="002A3596" w:rsidRPr="00B967FB">
        <w:rPr>
          <w:rFonts w:ascii="Times New Roman" w:hAnsi="Times New Roman" w:cs="Times New Roman"/>
          <w:b w:val="0"/>
          <w:sz w:val="24"/>
          <w:szCs w:val="24"/>
        </w:rPr>
        <w:t>that</w:t>
      </w:r>
      <w:r w:rsidRPr="00B967FB">
        <w:rPr>
          <w:rFonts w:ascii="Times New Roman" w:hAnsi="Times New Roman" w:cs="Times New Roman"/>
          <w:b w:val="0"/>
          <w:sz w:val="24"/>
          <w:szCs w:val="24"/>
        </w:rPr>
        <w:t xml:space="preserve"> focuses on improving educational results and functional outcomes for students with disabilities. This new </w:t>
      </w:r>
      <w:r w:rsidR="00216F2A" w:rsidRPr="00B967FB">
        <w:rPr>
          <w:rFonts w:ascii="Times New Roman" w:hAnsi="Times New Roman" w:cs="Times New Roman"/>
          <w:b w:val="0"/>
          <w:sz w:val="24"/>
          <w:szCs w:val="24"/>
        </w:rPr>
        <w:t>focus</w:t>
      </w:r>
      <w:r w:rsidRPr="00B967FB">
        <w:rPr>
          <w:rFonts w:ascii="Times New Roman" w:hAnsi="Times New Roman" w:cs="Times New Roman"/>
          <w:b w:val="0"/>
          <w:sz w:val="24"/>
          <w:szCs w:val="24"/>
        </w:rPr>
        <w:t xml:space="preserve"> has been titled “Results Driven Accountability</w:t>
      </w:r>
      <w:r w:rsidR="00216F2A" w:rsidRPr="00B967FB">
        <w:rPr>
          <w:rFonts w:ascii="Times New Roman" w:hAnsi="Times New Roman" w:cs="Times New Roman"/>
          <w:b w:val="0"/>
          <w:sz w:val="24"/>
          <w:szCs w:val="24"/>
        </w:rPr>
        <w:t>,</w:t>
      </w:r>
      <w:r w:rsidRPr="00B967FB">
        <w:rPr>
          <w:rFonts w:ascii="Times New Roman" w:hAnsi="Times New Roman" w:cs="Times New Roman"/>
          <w:b w:val="0"/>
          <w:sz w:val="24"/>
          <w:szCs w:val="24"/>
        </w:rPr>
        <w:t xml:space="preserve">” or RDA. </w:t>
      </w:r>
      <w:r w:rsidR="00216F2A" w:rsidRPr="00B967FB">
        <w:rPr>
          <w:rFonts w:ascii="Times New Roman" w:hAnsi="Times New Roman" w:cs="Times New Roman"/>
          <w:b w:val="0"/>
          <w:sz w:val="24"/>
          <w:szCs w:val="24"/>
        </w:rPr>
        <w:t>More information about this initiative will be issued by OSEP</w:t>
      </w:r>
      <w:r w:rsidR="002A3596" w:rsidRPr="00B967FB">
        <w:rPr>
          <w:rFonts w:ascii="Times New Roman" w:hAnsi="Times New Roman" w:cs="Times New Roman"/>
          <w:b w:val="0"/>
          <w:sz w:val="24"/>
          <w:szCs w:val="24"/>
        </w:rPr>
        <w:t xml:space="preserve"> as it is developed.</w:t>
      </w:r>
      <w:r w:rsidR="00216F2A" w:rsidRPr="00B967FB">
        <w:rPr>
          <w:rFonts w:ascii="Times New Roman" w:hAnsi="Times New Roman" w:cs="Times New Roman"/>
          <w:b w:val="0"/>
          <w:sz w:val="24"/>
          <w:szCs w:val="24"/>
        </w:rPr>
        <w:t xml:space="preserve"> </w:t>
      </w:r>
      <w:r w:rsidR="002A3596" w:rsidRPr="00B967FB">
        <w:rPr>
          <w:rFonts w:ascii="Times New Roman" w:hAnsi="Times New Roman" w:cs="Times New Roman"/>
          <w:b w:val="0"/>
          <w:sz w:val="24"/>
          <w:szCs w:val="24"/>
        </w:rPr>
        <w:t xml:space="preserve">More </w:t>
      </w:r>
      <w:r w:rsidRPr="00B967FB">
        <w:rPr>
          <w:rFonts w:ascii="Times New Roman" w:hAnsi="Times New Roman" w:cs="Times New Roman"/>
          <w:b w:val="0"/>
          <w:sz w:val="24"/>
          <w:szCs w:val="24"/>
        </w:rPr>
        <w:t>information on RDA</w:t>
      </w:r>
      <w:r w:rsidR="002A3596" w:rsidRPr="00B967FB">
        <w:rPr>
          <w:rFonts w:ascii="Times New Roman" w:hAnsi="Times New Roman" w:cs="Times New Roman"/>
          <w:b w:val="0"/>
          <w:sz w:val="24"/>
          <w:szCs w:val="24"/>
        </w:rPr>
        <w:t xml:space="preserve"> is available </w:t>
      </w:r>
      <w:proofErr w:type="gramStart"/>
      <w:r w:rsidR="002A3596" w:rsidRPr="00B967FB">
        <w:rPr>
          <w:rFonts w:ascii="Times New Roman" w:hAnsi="Times New Roman" w:cs="Times New Roman"/>
          <w:b w:val="0"/>
          <w:sz w:val="24"/>
          <w:szCs w:val="24"/>
        </w:rPr>
        <w:t xml:space="preserve">at </w:t>
      </w:r>
      <w:r w:rsidRPr="00B967FB">
        <w:rPr>
          <w:rFonts w:ascii="Times New Roman" w:hAnsi="Times New Roman" w:cs="Times New Roman"/>
          <w:b w:val="0"/>
          <w:sz w:val="24"/>
          <w:szCs w:val="24"/>
        </w:rPr>
        <w:t xml:space="preserve"> </w:t>
      </w:r>
      <w:proofErr w:type="gramEnd"/>
      <w:r w:rsidR="000C5D3E">
        <w:fldChar w:fldCharType="begin"/>
      </w:r>
      <w:r w:rsidR="001817F6">
        <w:instrText>HYPERLINK "http://www2.ed.gov/about/offices/list/osers/osep/rda/index.html"</w:instrText>
      </w:r>
      <w:r w:rsidR="000C5D3E">
        <w:fldChar w:fldCharType="separate"/>
      </w:r>
      <w:r w:rsidR="002A3596" w:rsidRPr="00B967FB">
        <w:rPr>
          <w:rStyle w:val="Hyperlink"/>
          <w:rFonts w:ascii="Times New Roman" w:hAnsi="Times New Roman" w:cs="Times New Roman"/>
          <w:b w:val="0"/>
          <w:sz w:val="24"/>
          <w:szCs w:val="24"/>
        </w:rPr>
        <w:t>http://www2.ed.gov/about/offices/list/osers/osep/rda/index.html</w:t>
      </w:r>
      <w:r w:rsidR="000C5D3E">
        <w:fldChar w:fldCharType="end"/>
      </w:r>
      <w:r w:rsidR="002A3596" w:rsidRPr="00B967FB">
        <w:rPr>
          <w:rFonts w:ascii="Times New Roman" w:hAnsi="Times New Roman" w:cs="Times New Roman"/>
          <w:b w:val="0"/>
          <w:sz w:val="24"/>
          <w:szCs w:val="24"/>
        </w:rPr>
        <w:t>.</w:t>
      </w:r>
      <w:r w:rsidR="00B967FB" w:rsidRPr="00B967FB">
        <w:rPr>
          <w:rFonts w:ascii="Times New Roman" w:hAnsi="Times New Roman" w:cs="Times New Roman"/>
          <w:b w:val="0"/>
          <w:sz w:val="24"/>
          <w:szCs w:val="24"/>
        </w:rPr>
        <w:t xml:space="preserve"> </w:t>
      </w:r>
    </w:p>
    <w:p w:rsidR="00B967FB" w:rsidRPr="00170086" w:rsidRDefault="00170086" w:rsidP="00170086">
      <w:pPr>
        <w:pStyle w:val="Heading1"/>
        <w:ind w:left="-18"/>
        <w:rPr>
          <w:rFonts w:ascii="Times New Roman" w:hAnsi="Times New Roman" w:cs="Times New Roman"/>
          <w:b w:val="0"/>
          <w:sz w:val="24"/>
          <w:szCs w:val="24"/>
        </w:rPr>
      </w:pPr>
      <w:r w:rsidRPr="00CD58F2">
        <w:rPr>
          <w:i/>
          <w:sz w:val="28"/>
          <w:szCs w:val="28"/>
        </w:rPr>
        <w:t xml:space="preserve"> VI</w:t>
      </w:r>
      <w:r w:rsidR="00CD58F2" w:rsidRPr="00CD58F2">
        <w:rPr>
          <w:i/>
          <w:sz w:val="28"/>
          <w:szCs w:val="28"/>
        </w:rPr>
        <w:t>.</w:t>
      </w:r>
      <w:r>
        <w:rPr>
          <w:rFonts w:ascii="Times New Roman" w:hAnsi="Times New Roman" w:cs="Times New Roman"/>
          <w:b w:val="0"/>
          <w:sz w:val="24"/>
          <w:szCs w:val="24"/>
        </w:rPr>
        <w:t xml:space="preserve">     </w:t>
      </w:r>
      <w:r w:rsidRPr="00170086">
        <w:rPr>
          <w:i/>
          <w:sz w:val="28"/>
          <w:szCs w:val="28"/>
        </w:rPr>
        <w:t xml:space="preserve"> </w:t>
      </w:r>
      <w:r w:rsidR="00B967FB" w:rsidRPr="00170086">
        <w:rPr>
          <w:i/>
          <w:sz w:val="28"/>
          <w:szCs w:val="28"/>
        </w:rPr>
        <w:t>Finances</w:t>
      </w:r>
    </w:p>
    <w:p w:rsidR="00B967FB" w:rsidRDefault="00B967FB" w:rsidP="007A1237">
      <w:pPr>
        <w:pStyle w:val="Heading2"/>
        <w:numPr>
          <w:ilvl w:val="0"/>
          <w:numId w:val="17"/>
        </w:numPr>
        <w:ind w:left="0" w:hanging="18"/>
      </w:pPr>
      <w:r w:rsidRPr="00037703">
        <w:t>Financial Summary</w:t>
      </w:r>
      <w:r>
        <w:t xml:space="preserve">                                            </w:t>
      </w:r>
    </w:p>
    <w:p w:rsidR="00B967FB" w:rsidRPr="00B8020C" w:rsidRDefault="00B967FB" w:rsidP="00B967FB">
      <w:pPr>
        <w:rPr>
          <w:b/>
        </w:rPr>
      </w:pPr>
    </w:p>
    <w:p w:rsidR="00B967FB" w:rsidRDefault="00B967FB" w:rsidP="00B967FB">
      <w:pPr>
        <w:pStyle w:val="BodyText"/>
        <w:rPr>
          <w:sz w:val="24"/>
          <w:szCs w:val="24"/>
        </w:rPr>
      </w:pPr>
      <w:r w:rsidRPr="00800EFA">
        <w:rPr>
          <w:sz w:val="24"/>
          <w:szCs w:val="24"/>
        </w:rPr>
        <w:t>Special education expenditures are reported by public school districts at the end of the year</w:t>
      </w:r>
    </w:p>
    <w:p w:rsidR="00B967FB" w:rsidRDefault="00B967FB" w:rsidP="00B967FB">
      <w:pPr>
        <w:pStyle w:val="BodyText"/>
        <w:rPr>
          <w:sz w:val="24"/>
          <w:szCs w:val="24"/>
        </w:rPr>
      </w:pPr>
      <w:r w:rsidRPr="00800EFA">
        <w:rPr>
          <w:sz w:val="24"/>
          <w:szCs w:val="24"/>
        </w:rPr>
        <w:t xml:space="preserve"> </w:t>
      </w:r>
      <w:proofErr w:type="gramStart"/>
      <w:r w:rsidRPr="00800EFA">
        <w:rPr>
          <w:sz w:val="24"/>
          <w:szCs w:val="24"/>
        </w:rPr>
        <w:t>to</w:t>
      </w:r>
      <w:proofErr w:type="gramEnd"/>
      <w:r w:rsidRPr="00800EFA">
        <w:rPr>
          <w:sz w:val="24"/>
          <w:szCs w:val="24"/>
        </w:rPr>
        <w:t xml:space="preserve"> the Department.</w:t>
      </w:r>
      <w:r>
        <w:rPr>
          <w:sz w:val="24"/>
          <w:szCs w:val="24"/>
        </w:rPr>
        <w:t xml:space="preserve"> </w:t>
      </w:r>
      <w:r w:rsidRPr="00800EFA">
        <w:rPr>
          <w:sz w:val="24"/>
          <w:szCs w:val="24"/>
        </w:rPr>
        <w:t xml:space="preserve"> As shown in Figure I, both total school operating budgets and combined </w:t>
      </w:r>
    </w:p>
    <w:p w:rsidR="00B967FB" w:rsidRDefault="00B967FB" w:rsidP="00B967FB">
      <w:pPr>
        <w:pStyle w:val="BodyText"/>
        <w:rPr>
          <w:sz w:val="24"/>
          <w:szCs w:val="24"/>
        </w:rPr>
      </w:pPr>
      <w:proofErr w:type="gramStart"/>
      <w:r w:rsidRPr="00800EFA">
        <w:rPr>
          <w:sz w:val="24"/>
          <w:szCs w:val="24"/>
        </w:rPr>
        <w:t>special</w:t>
      </w:r>
      <w:proofErr w:type="gramEnd"/>
      <w:r w:rsidRPr="00800EFA">
        <w:rPr>
          <w:sz w:val="24"/>
          <w:szCs w:val="24"/>
        </w:rPr>
        <w:t xml:space="preserve"> education expenditures have increased over the past eight years. </w:t>
      </w:r>
    </w:p>
    <w:p w:rsidR="00B967FB" w:rsidRDefault="00B967FB" w:rsidP="00B967FB">
      <w:pPr>
        <w:pStyle w:val="BodyText"/>
        <w:rPr>
          <w:sz w:val="24"/>
          <w:szCs w:val="24"/>
        </w:rPr>
      </w:pPr>
    </w:p>
    <w:p w:rsidR="00B967FB" w:rsidRPr="00800EFA" w:rsidRDefault="00B967FB" w:rsidP="00B967FB">
      <w:pPr>
        <w:pStyle w:val="BodyText"/>
        <w:rPr>
          <w:sz w:val="24"/>
          <w:szCs w:val="24"/>
        </w:rPr>
      </w:pPr>
      <w:r w:rsidRPr="00800EFA">
        <w:rPr>
          <w:sz w:val="24"/>
          <w:szCs w:val="24"/>
        </w:rPr>
        <w:t>Definitions and Notes:</w:t>
      </w:r>
    </w:p>
    <w:p w:rsidR="00B967FB" w:rsidRPr="00800EFA" w:rsidRDefault="00B967FB" w:rsidP="00B967FB">
      <w:pPr>
        <w:pStyle w:val="BodyText"/>
        <w:rPr>
          <w:sz w:val="24"/>
          <w:szCs w:val="24"/>
        </w:rPr>
      </w:pPr>
      <w:r w:rsidRPr="00800EFA">
        <w:rPr>
          <w:sz w:val="24"/>
          <w:szCs w:val="24"/>
        </w:rPr>
        <w:t xml:space="preserve"> </w:t>
      </w:r>
    </w:p>
    <w:p w:rsidR="00B967FB" w:rsidRDefault="00B967FB" w:rsidP="007A1237">
      <w:pPr>
        <w:pStyle w:val="BodyText"/>
        <w:numPr>
          <w:ilvl w:val="0"/>
          <w:numId w:val="19"/>
        </w:numPr>
        <w:rPr>
          <w:sz w:val="24"/>
          <w:szCs w:val="24"/>
        </w:rPr>
      </w:pPr>
      <w:r w:rsidRPr="00800EFA">
        <w:rPr>
          <w:sz w:val="24"/>
          <w:szCs w:val="24"/>
        </w:rPr>
        <w:t xml:space="preserve">"Direct" special education expenditures include only those that can be related </w:t>
      </w:r>
    </w:p>
    <w:p w:rsidR="00B967FB" w:rsidRPr="00800EFA" w:rsidRDefault="00B967FB" w:rsidP="00B967FB">
      <w:pPr>
        <w:pStyle w:val="BodyText"/>
        <w:ind w:left="360"/>
        <w:rPr>
          <w:sz w:val="24"/>
          <w:szCs w:val="24"/>
        </w:rPr>
      </w:pPr>
      <w:r>
        <w:rPr>
          <w:sz w:val="24"/>
          <w:szCs w:val="24"/>
        </w:rPr>
        <w:t xml:space="preserve">       </w:t>
      </w:r>
      <w:proofErr w:type="gramStart"/>
      <w:r w:rsidRPr="00800EFA">
        <w:rPr>
          <w:sz w:val="24"/>
          <w:szCs w:val="24"/>
        </w:rPr>
        <w:t>specifically</w:t>
      </w:r>
      <w:proofErr w:type="gramEnd"/>
      <w:r w:rsidRPr="00800EFA">
        <w:rPr>
          <w:sz w:val="24"/>
          <w:szCs w:val="24"/>
        </w:rPr>
        <w:t xml:space="preserve"> to special education pupils.</w:t>
      </w:r>
    </w:p>
    <w:p w:rsidR="00B967FB" w:rsidRDefault="00B967FB" w:rsidP="007A1237">
      <w:pPr>
        <w:pStyle w:val="BodyText"/>
        <w:numPr>
          <w:ilvl w:val="0"/>
          <w:numId w:val="19"/>
        </w:numPr>
        <w:rPr>
          <w:sz w:val="24"/>
          <w:szCs w:val="24"/>
        </w:rPr>
      </w:pPr>
      <w:r w:rsidRPr="00800EFA">
        <w:rPr>
          <w:sz w:val="24"/>
          <w:szCs w:val="24"/>
        </w:rPr>
        <w:t xml:space="preserve">"Other instructional" includes supervisory, textbooks and instructional equipment, </w:t>
      </w:r>
      <w:r>
        <w:rPr>
          <w:sz w:val="24"/>
          <w:szCs w:val="24"/>
        </w:rPr>
        <w:t xml:space="preserve"> </w:t>
      </w:r>
    </w:p>
    <w:p w:rsidR="00B967FB" w:rsidRPr="00800EFA" w:rsidRDefault="00B967FB" w:rsidP="00B967FB">
      <w:pPr>
        <w:pStyle w:val="BodyText"/>
        <w:ind w:left="720"/>
        <w:rPr>
          <w:sz w:val="24"/>
          <w:szCs w:val="24"/>
        </w:rPr>
      </w:pPr>
      <w:proofErr w:type="gramStart"/>
      <w:r w:rsidRPr="00800EFA">
        <w:rPr>
          <w:sz w:val="24"/>
          <w:szCs w:val="24"/>
        </w:rPr>
        <w:t>guidance</w:t>
      </w:r>
      <w:proofErr w:type="gramEnd"/>
      <w:r w:rsidRPr="00800EFA">
        <w:rPr>
          <w:sz w:val="24"/>
          <w:szCs w:val="24"/>
        </w:rPr>
        <w:t xml:space="preserve">, and psychological services. </w:t>
      </w:r>
    </w:p>
    <w:p w:rsidR="00B967FB" w:rsidRDefault="00B967FB" w:rsidP="007A1237">
      <w:pPr>
        <w:pStyle w:val="BodyText"/>
        <w:numPr>
          <w:ilvl w:val="0"/>
          <w:numId w:val="19"/>
        </w:numPr>
        <w:rPr>
          <w:sz w:val="24"/>
          <w:szCs w:val="24"/>
        </w:rPr>
      </w:pPr>
      <w:r w:rsidRPr="00800EFA">
        <w:rPr>
          <w:sz w:val="24"/>
          <w:szCs w:val="24"/>
        </w:rPr>
        <w:t xml:space="preserve">"MA Public Schools and Collaboratives" includes other public school districts, </w:t>
      </w:r>
    </w:p>
    <w:p w:rsidR="00B967FB" w:rsidRPr="00800EFA" w:rsidRDefault="00B967FB" w:rsidP="00B967FB">
      <w:pPr>
        <w:pStyle w:val="BodyText"/>
        <w:ind w:left="720"/>
        <w:rPr>
          <w:sz w:val="24"/>
          <w:szCs w:val="24"/>
        </w:rPr>
      </w:pPr>
      <w:proofErr w:type="spellStart"/>
      <w:proofErr w:type="gramStart"/>
      <w:r w:rsidRPr="00800EFA">
        <w:rPr>
          <w:sz w:val="24"/>
          <w:szCs w:val="24"/>
        </w:rPr>
        <w:t>collaboratives</w:t>
      </w:r>
      <w:proofErr w:type="spellEnd"/>
      <w:proofErr w:type="gramEnd"/>
      <w:r w:rsidRPr="00800EFA">
        <w:rPr>
          <w:sz w:val="24"/>
          <w:szCs w:val="24"/>
        </w:rPr>
        <w:t xml:space="preserve">, and charter schools. </w:t>
      </w:r>
    </w:p>
    <w:p w:rsidR="00B967FB" w:rsidRPr="00B967FB" w:rsidRDefault="00B967FB" w:rsidP="007A1237">
      <w:pPr>
        <w:pStyle w:val="BodyText"/>
        <w:numPr>
          <w:ilvl w:val="0"/>
          <w:numId w:val="19"/>
        </w:numPr>
      </w:pPr>
      <w:r w:rsidRPr="00800EFA">
        <w:rPr>
          <w:sz w:val="24"/>
          <w:szCs w:val="24"/>
        </w:rPr>
        <w:t xml:space="preserve">Spending from state "circuit breaker" funds is included.  Otherwise, spending from </w:t>
      </w:r>
    </w:p>
    <w:p w:rsidR="00B967FB" w:rsidRDefault="00B967FB" w:rsidP="00B967FB">
      <w:pPr>
        <w:pStyle w:val="BodyText"/>
        <w:ind w:left="720"/>
        <w:rPr>
          <w:sz w:val="24"/>
          <w:szCs w:val="24"/>
        </w:rPr>
      </w:pPr>
      <w:proofErr w:type="gramStart"/>
      <w:r w:rsidRPr="00800EFA">
        <w:rPr>
          <w:sz w:val="24"/>
          <w:szCs w:val="24"/>
        </w:rPr>
        <w:t>grants</w:t>
      </w:r>
      <w:proofErr w:type="gramEnd"/>
      <w:r w:rsidRPr="00800EFA">
        <w:rPr>
          <w:sz w:val="24"/>
          <w:szCs w:val="24"/>
        </w:rPr>
        <w:t xml:space="preserve">, revolving funds, or other non-appropriated revenue sources </w:t>
      </w:r>
    </w:p>
    <w:p w:rsidR="00B967FB" w:rsidRDefault="00B967FB" w:rsidP="00B967FB">
      <w:pPr>
        <w:pStyle w:val="BodyText"/>
        <w:ind w:left="720"/>
      </w:pPr>
      <w:r w:rsidRPr="00800EFA">
        <w:rPr>
          <w:sz w:val="24"/>
          <w:szCs w:val="24"/>
        </w:rPr>
        <w:t>(</w:t>
      </w:r>
      <w:proofErr w:type="gramStart"/>
      <w:r w:rsidRPr="00800EFA">
        <w:rPr>
          <w:sz w:val="24"/>
          <w:szCs w:val="24"/>
        </w:rPr>
        <w:t>totaling</w:t>
      </w:r>
      <w:proofErr w:type="gramEnd"/>
      <w:r w:rsidRPr="00800EFA">
        <w:rPr>
          <w:sz w:val="24"/>
          <w:szCs w:val="24"/>
        </w:rPr>
        <w:t xml:space="preserve"> less than four percent of total special education spending statewide) is excluded.</w:t>
      </w:r>
      <w:r w:rsidRPr="00C92410">
        <w:tab/>
      </w:r>
    </w:p>
    <w:p w:rsidR="00AB7F6E" w:rsidRDefault="00AB7F6E" w:rsidP="00B967FB">
      <w:pPr>
        <w:pStyle w:val="BodyText"/>
        <w:ind w:left="720"/>
      </w:pPr>
    </w:p>
    <w:p w:rsidR="00B967FB" w:rsidRPr="00C426C2" w:rsidRDefault="00B967FB" w:rsidP="00B967FB">
      <w:pPr>
        <w:pStyle w:val="ESETableChartFigHeaders"/>
        <w:rPr>
          <w:rFonts w:ascii="Times New Roman" w:hAnsi="Times New Roman"/>
          <w:sz w:val="24"/>
        </w:rPr>
      </w:pPr>
      <w:r w:rsidRPr="00C426C2">
        <w:rPr>
          <w:rFonts w:ascii="Times New Roman" w:hAnsi="Times New Roman"/>
          <w:sz w:val="24"/>
        </w:rPr>
        <w:t>Figure I: Direct Special Education Expenditures, FY04–FY11</w:t>
      </w:r>
    </w:p>
    <w:tbl>
      <w:tblPr>
        <w:tblW w:w="0" w:type="auto"/>
        <w:tblInd w:w="348" w:type="dxa"/>
        <w:tblBorders>
          <w:top w:val="single" w:sz="12" w:space="0" w:color="auto"/>
          <w:bottom w:val="single" w:sz="12" w:space="0" w:color="auto"/>
        </w:tblBorders>
        <w:tblLook w:val="04A0"/>
      </w:tblPr>
      <w:tblGrid>
        <w:gridCol w:w="1180"/>
        <w:gridCol w:w="908"/>
        <w:gridCol w:w="1101"/>
        <w:gridCol w:w="1256"/>
        <w:gridCol w:w="1243"/>
        <w:gridCol w:w="1174"/>
        <w:gridCol w:w="986"/>
        <w:gridCol w:w="1260"/>
      </w:tblGrid>
      <w:tr w:rsidR="00B967FB" w:rsidRPr="00CC24A7" w:rsidTr="00B967FB">
        <w:trPr>
          <w:tblHeader/>
        </w:trPr>
        <w:tc>
          <w:tcPr>
            <w:tcW w:w="1180" w:type="dxa"/>
            <w:tcBorders>
              <w:bottom w:val="nil"/>
              <w:right w:val="single" w:sz="8" w:space="0" w:color="auto"/>
            </w:tcBorders>
          </w:tcPr>
          <w:p w:rsidR="00B967FB" w:rsidRDefault="00B967FB" w:rsidP="00B967FB">
            <w:pPr>
              <w:pStyle w:val="ESESourceLine"/>
            </w:pPr>
          </w:p>
        </w:tc>
        <w:tc>
          <w:tcPr>
            <w:tcW w:w="2009" w:type="dxa"/>
            <w:gridSpan w:val="2"/>
            <w:tcBorders>
              <w:top w:val="single" w:sz="12" w:space="0" w:color="auto"/>
              <w:left w:val="single" w:sz="8" w:space="0" w:color="auto"/>
              <w:bottom w:val="nil"/>
              <w:right w:val="single" w:sz="8" w:space="0" w:color="auto"/>
            </w:tcBorders>
          </w:tcPr>
          <w:p w:rsidR="00B967FB" w:rsidRPr="00CC24A7" w:rsidRDefault="00B967FB" w:rsidP="00B967FB">
            <w:pPr>
              <w:pStyle w:val="ESESourceLine"/>
              <w:jc w:val="center"/>
              <w:rPr>
                <w:i w:val="0"/>
              </w:rPr>
            </w:pPr>
            <w:r w:rsidRPr="00CC24A7">
              <w:rPr>
                <w:rFonts w:ascii="Arial Narrow" w:hAnsi="Arial Narrow"/>
                <w:i w:val="0"/>
                <w:szCs w:val="20"/>
              </w:rPr>
              <w:t>In-district Instruction</w:t>
            </w:r>
          </w:p>
        </w:tc>
        <w:tc>
          <w:tcPr>
            <w:tcW w:w="2499" w:type="dxa"/>
            <w:gridSpan w:val="2"/>
            <w:tcBorders>
              <w:top w:val="single" w:sz="12" w:space="0" w:color="auto"/>
              <w:left w:val="single" w:sz="8" w:space="0" w:color="auto"/>
              <w:bottom w:val="nil"/>
              <w:right w:val="single" w:sz="8" w:space="0" w:color="auto"/>
            </w:tcBorders>
          </w:tcPr>
          <w:p w:rsidR="00B967FB" w:rsidRPr="00CC24A7" w:rsidRDefault="00B967FB" w:rsidP="00B967FB">
            <w:pPr>
              <w:pStyle w:val="ESESourceLine"/>
              <w:jc w:val="center"/>
              <w:rPr>
                <w:i w:val="0"/>
              </w:rPr>
            </w:pPr>
            <w:r w:rsidRPr="00CC24A7">
              <w:rPr>
                <w:rFonts w:ascii="Arial Narrow" w:hAnsi="Arial Narrow"/>
                <w:i w:val="0"/>
                <w:szCs w:val="20"/>
              </w:rPr>
              <w:t>Out-of-district Tuition</w:t>
            </w:r>
          </w:p>
        </w:tc>
        <w:tc>
          <w:tcPr>
            <w:tcW w:w="3420" w:type="dxa"/>
            <w:gridSpan w:val="3"/>
            <w:tcBorders>
              <w:left w:val="single" w:sz="8" w:space="0" w:color="auto"/>
              <w:bottom w:val="nil"/>
            </w:tcBorders>
          </w:tcPr>
          <w:p w:rsidR="00B967FB" w:rsidRDefault="00B967FB" w:rsidP="00B967FB">
            <w:pPr>
              <w:pStyle w:val="ESESourceLine"/>
            </w:pPr>
          </w:p>
        </w:tc>
      </w:tr>
      <w:tr w:rsidR="00B967FB" w:rsidRPr="00CC24A7" w:rsidTr="00B967FB">
        <w:trPr>
          <w:tblHeader/>
        </w:trPr>
        <w:tc>
          <w:tcPr>
            <w:tcW w:w="1180" w:type="dxa"/>
            <w:tcBorders>
              <w:top w:val="nil"/>
              <w:bottom w:val="nil"/>
              <w:right w:val="single" w:sz="8" w:space="0" w:color="auto"/>
            </w:tcBorders>
            <w:vAlign w:val="center"/>
          </w:tcPr>
          <w:p w:rsidR="00B967FB" w:rsidRPr="00CC24A7" w:rsidRDefault="00B967FB" w:rsidP="00B967FB">
            <w:pPr>
              <w:rPr>
                <w:rFonts w:ascii="Arial Narrow" w:hAnsi="Arial Narrow"/>
                <w:sz w:val="20"/>
                <w:szCs w:val="20"/>
              </w:rPr>
            </w:pPr>
          </w:p>
        </w:tc>
        <w:tc>
          <w:tcPr>
            <w:tcW w:w="908" w:type="dxa"/>
            <w:tcBorders>
              <w:top w:val="nil"/>
              <w:left w:val="single" w:sz="8" w:space="0" w:color="auto"/>
              <w:bottom w:val="single" w:sz="4" w:space="0" w:color="auto"/>
            </w:tcBorders>
            <w:vAlign w:val="center"/>
          </w:tcPr>
          <w:p w:rsidR="00B967FB" w:rsidRPr="00CC24A7" w:rsidRDefault="00B967FB" w:rsidP="00B967FB">
            <w:pPr>
              <w:jc w:val="center"/>
              <w:rPr>
                <w:rFonts w:ascii="Arial Narrow" w:eastAsia="Arial Unicode MS" w:hAnsi="Arial Narrow"/>
                <w:sz w:val="20"/>
                <w:szCs w:val="20"/>
              </w:rPr>
            </w:pPr>
            <w:r w:rsidRPr="00CC24A7">
              <w:rPr>
                <w:rFonts w:ascii="Arial Narrow" w:eastAsia="Arial Unicode MS" w:hAnsi="Arial Narrow"/>
                <w:sz w:val="20"/>
                <w:szCs w:val="20"/>
              </w:rPr>
              <w:t>A</w:t>
            </w:r>
          </w:p>
        </w:tc>
        <w:tc>
          <w:tcPr>
            <w:tcW w:w="1101" w:type="dxa"/>
            <w:tcBorders>
              <w:top w:val="nil"/>
              <w:bottom w:val="single" w:sz="4" w:space="0" w:color="auto"/>
              <w:right w:val="single" w:sz="8" w:space="0" w:color="auto"/>
            </w:tcBorders>
            <w:vAlign w:val="center"/>
          </w:tcPr>
          <w:p w:rsidR="00B967FB" w:rsidRPr="00CC24A7" w:rsidRDefault="00B967FB" w:rsidP="00B967FB">
            <w:pPr>
              <w:jc w:val="center"/>
              <w:rPr>
                <w:rFonts w:ascii="Arial Narrow" w:eastAsia="Arial Unicode MS" w:hAnsi="Arial Narrow"/>
                <w:sz w:val="20"/>
                <w:szCs w:val="20"/>
              </w:rPr>
            </w:pPr>
            <w:r w:rsidRPr="00CC24A7">
              <w:rPr>
                <w:rFonts w:ascii="Arial Narrow" w:eastAsia="Arial Unicode MS" w:hAnsi="Arial Narrow"/>
                <w:sz w:val="20"/>
                <w:szCs w:val="20"/>
              </w:rPr>
              <w:t>B</w:t>
            </w:r>
          </w:p>
        </w:tc>
        <w:tc>
          <w:tcPr>
            <w:tcW w:w="1256" w:type="dxa"/>
            <w:tcBorders>
              <w:top w:val="nil"/>
              <w:left w:val="single" w:sz="8" w:space="0" w:color="auto"/>
              <w:bottom w:val="single" w:sz="4" w:space="0" w:color="auto"/>
            </w:tcBorders>
            <w:vAlign w:val="center"/>
          </w:tcPr>
          <w:p w:rsidR="00B967FB" w:rsidRPr="00CC24A7" w:rsidRDefault="00B967FB" w:rsidP="00B967FB">
            <w:pPr>
              <w:jc w:val="center"/>
              <w:rPr>
                <w:rFonts w:ascii="Arial Narrow" w:eastAsia="Arial Unicode MS" w:hAnsi="Arial Narrow"/>
                <w:sz w:val="20"/>
                <w:szCs w:val="20"/>
              </w:rPr>
            </w:pPr>
            <w:r w:rsidRPr="00CC24A7">
              <w:rPr>
                <w:rFonts w:ascii="Arial Narrow" w:eastAsia="Arial Unicode MS" w:hAnsi="Arial Narrow"/>
                <w:sz w:val="20"/>
                <w:szCs w:val="20"/>
              </w:rPr>
              <w:t>C</w:t>
            </w:r>
          </w:p>
        </w:tc>
        <w:tc>
          <w:tcPr>
            <w:tcW w:w="1243" w:type="dxa"/>
            <w:tcBorders>
              <w:top w:val="nil"/>
              <w:bottom w:val="single" w:sz="4" w:space="0" w:color="auto"/>
              <w:right w:val="single" w:sz="8" w:space="0" w:color="auto"/>
            </w:tcBorders>
            <w:vAlign w:val="center"/>
          </w:tcPr>
          <w:p w:rsidR="00B967FB" w:rsidRPr="00CC24A7" w:rsidRDefault="00B967FB" w:rsidP="00B967FB">
            <w:pPr>
              <w:jc w:val="center"/>
              <w:rPr>
                <w:rFonts w:ascii="Arial Narrow" w:eastAsia="Arial Unicode MS" w:hAnsi="Arial Narrow"/>
                <w:sz w:val="20"/>
                <w:szCs w:val="20"/>
              </w:rPr>
            </w:pPr>
            <w:r w:rsidRPr="00CC24A7">
              <w:rPr>
                <w:rFonts w:ascii="Arial Narrow" w:eastAsia="Arial Unicode MS" w:hAnsi="Arial Narrow"/>
                <w:sz w:val="20"/>
                <w:szCs w:val="20"/>
              </w:rPr>
              <w:t>D</w:t>
            </w:r>
          </w:p>
        </w:tc>
        <w:tc>
          <w:tcPr>
            <w:tcW w:w="1174" w:type="dxa"/>
            <w:tcBorders>
              <w:top w:val="nil"/>
              <w:left w:val="single" w:sz="8" w:space="0" w:color="auto"/>
              <w:bottom w:val="single" w:sz="4" w:space="0" w:color="auto"/>
            </w:tcBorders>
            <w:vAlign w:val="center"/>
          </w:tcPr>
          <w:p w:rsidR="00B967FB" w:rsidRPr="00CC24A7" w:rsidRDefault="00B967FB" w:rsidP="00B967FB">
            <w:pPr>
              <w:jc w:val="center"/>
              <w:rPr>
                <w:rFonts w:ascii="Arial Narrow" w:eastAsia="Arial Unicode MS" w:hAnsi="Arial Narrow"/>
                <w:sz w:val="20"/>
                <w:szCs w:val="20"/>
              </w:rPr>
            </w:pPr>
            <w:r w:rsidRPr="00CC24A7">
              <w:rPr>
                <w:rFonts w:ascii="Arial Narrow" w:eastAsia="Arial Unicode MS" w:hAnsi="Arial Narrow"/>
                <w:sz w:val="20"/>
                <w:szCs w:val="20"/>
              </w:rPr>
              <w:t>E</w:t>
            </w:r>
          </w:p>
        </w:tc>
        <w:tc>
          <w:tcPr>
            <w:tcW w:w="986" w:type="dxa"/>
            <w:tcBorders>
              <w:top w:val="nil"/>
              <w:bottom w:val="single" w:sz="4" w:space="0" w:color="auto"/>
            </w:tcBorders>
            <w:vAlign w:val="center"/>
          </w:tcPr>
          <w:p w:rsidR="00B967FB" w:rsidRPr="00CC24A7" w:rsidRDefault="00B967FB" w:rsidP="00B967FB">
            <w:pPr>
              <w:jc w:val="center"/>
              <w:rPr>
                <w:rFonts w:ascii="Arial Narrow" w:eastAsia="Arial Unicode MS" w:hAnsi="Arial Narrow"/>
                <w:sz w:val="20"/>
                <w:szCs w:val="20"/>
              </w:rPr>
            </w:pPr>
            <w:r w:rsidRPr="00CC24A7">
              <w:rPr>
                <w:rFonts w:ascii="Arial Narrow" w:eastAsia="Arial Unicode MS" w:hAnsi="Arial Narrow"/>
                <w:sz w:val="20"/>
                <w:szCs w:val="20"/>
              </w:rPr>
              <w:t>F</w:t>
            </w:r>
          </w:p>
        </w:tc>
        <w:tc>
          <w:tcPr>
            <w:tcW w:w="1260" w:type="dxa"/>
            <w:tcBorders>
              <w:top w:val="nil"/>
              <w:bottom w:val="single" w:sz="4" w:space="0" w:color="auto"/>
            </w:tcBorders>
            <w:vAlign w:val="center"/>
          </w:tcPr>
          <w:p w:rsidR="00B967FB" w:rsidRPr="00CC24A7" w:rsidRDefault="00B967FB" w:rsidP="00B967FB">
            <w:pPr>
              <w:jc w:val="center"/>
              <w:rPr>
                <w:rFonts w:ascii="Arial Narrow" w:eastAsia="Arial Unicode MS" w:hAnsi="Arial Narrow"/>
                <w:sz w:val="20"/>
                <w:szCs w:val="20"/>
              </w:rPr>
            </w:pPr>
            <w:r w:rsidRPr="00CC24A7">
              <w:rPr>
                <w:rFonts w:ascii="Arial Narrow" w:eastAsia="Arial Unicode MS" w:hAnsi="Arial Narrow"/>
                <w:sz w:val="20"/>
                <w:szCs w:val="20"/>
              </w:rPr>
              <w:t>G</w:t>
            </w:r>
          </w:p>
        </w:tc>
      </w:tr>
      <w:tr w:rsidR="00B967FB" w:rsidRPr="00CC24A7" w:rsidTr="00B967FB">
        <w:trPr>
          <w:tblHeader/>
        </w:trPr>
        <w:tc>
          <w:tcPr>
            <w:tcW w:w="1180" w:type="dxa"/>
            <w:tcBorders>
              <w:top w:val="nil"/>
              <w:bottom w:val="single" w:sz="4" w:space="0" w:color="auto"/>
              <w:right w:val="single" w:sz="8" w:space="0" w:color="auto"/>
            </w:tcBorders>
            <w:vAlign w:val="center"/>
          </w:tcPr>
          <w:p w:rsidR="00B967FB" w:rsidRPr="00CC24A7" w:rsidRDefault="00B967FB" w:rsidP="00B967FB">
            <w:pPr>
              <w:rPr>
                <w:rFonts w:ascii="Arial Narrow" w:hAnsi="Arial Narrow"/>
                <w:sz w:val="20"/>
                <w:szCs w:val="20"/>
              </w:rPr>
            </w:pPr>
            <w:r w:rsidRPr="00CC24A7">
              <w:rPr>
                <w:rFonts w:ascii="Arial Narrow" w:hAnsi="Arial Narrow"/>
                <w:sz w:val="20"/>
                <w:szCs w:val="20"/>
              </w:rPr>
              <w:t>Fiscal Year</w:t>
            </w:r>
          </w:p>
        </w:tc>
        <w:tc>
          <w:tcPr>
            <w:tcW w:w="908" w:type="dxa"/>
            <w:tcBorders>
              <w:top w:val="single" w:sz="4" w:space="0" w:color="auto"/>
              <w:left w:val="single" w:sz="8" w:space="0" w:color="auto"/>
              <w:bottom w:val="single" w:sz="4" w:space="0" w:color="auto"/>
            </w:tcBorders>
            <w:vAlign w:val="center"/>
          </w:tcPr>
          <w:p w:rsidR="00B967FB" w:rsidRPr="00CC24A7" w:rsidRDefault="00B967FB" w:rsidP="00B967FB">
            <w:pPr>
              <w:jc w:val="center"/>
              <w:rPr>
                <w:rFonts w:ascii="Arial Narrow" w:eastAsia="Arial Unicode MS" w:hAnsi="Arial Narrow"/>
                <w:sz w:val="20"/>
                <w:szCs w:val="20"/>
              </w:rPr>
            </w:pPr>
            <w:r w:rsidRPr="00CC24A7">
              <w:rPr>
                <w:rFonts w:ascii="Arial Narrow" w:hAnsi="Arial Narrow"/>
                <w:sz w:val="20"/>
                <w:szCs w:val="20"/>
              </w:rPr>
              <w:t>Teaching</w:t>
            </w:r>
          </w:p>
        </w:tc>
        <w:tc>
          <w:tcPr>
            <w:tcW w:w="1101" w:type="dxa"/>
            <w:tcBorders>
              <w:top w:val="single" w:sz="4" w:space="0" w:color="auto"/>
              <w:bottom w:val="single" w:sz="4" w:space="0" w:color="auto"/>
              <w:right w:val="single" w:sz="8" w:space="0" w:color="auto"/>
            </w:tcBorders>
            <w:vAlign w:val="center"/>
          </w:tcPr>
          <w:p w:rsidR="00B967FB" w:rsidRPr="00CC24A7" w:rsidRDefault="00B967FB" w:rsidP="00B967FB">
            <w:pPr>
              <w:jc w:val="center"/>
              <w:rPr>
                <w:rFonts w:ascii="Arial Narrow" w:eastAsia="Arial Unicode MS" w:hAnsi="Arial Narrow"/>
                <w:sz w:val="20"/>
                <w:szCs w:val="20"/>
              </w:rPr>
            </w:pPr>
            <w:r w:rsidRPr="00CC24A7">
              <w:rPr>
                <w:rFonts w:ascii="Arial Narrow" w:hAnsi="Arial Narrow"/>
                <w:sz w:val="20"/>
                <w:szCs w:val="20"/>
              </w:rPr>
              <w:t>Other</w:t>
            </w:r>
            <w:r w:rsidRPr="00CC24A7">
              <w:rPr>
                <w:rFonts w:ascii="Arial Narrow" w:hAnsi="Arial Narrow"/>
                <w:sz w:val="20"/>
                <w:szCs w:val="20"/>
              </w:rPr>
              <w:br/>
              <w:t>Instructional</w:t>
            </w:r>
          </w:p>
        </w:tc>
        <w:tc>
          <w:tcPr>
            <w:tcW w:w="1256" w:type="dxa"/>
            <w:tcBorders>
              <w:top w:val="single" w:sz="4" w:space="0" w:color="auto"/>
              <w:left w:val="single" w:sz="8" w:space="0" w:color="auto"/>
              <w:bottom w:val="single" w:sz="4" w:space="0" w:color="auto"/>
            </w:tcBorders>
            <w:vAlign w:val="center"/>
          </w:tcPr>
          <w:p w:rsidR="00B967FB" w:rsidRPr="00CC24A7" w:rsidRDefault="00B967FB" w:rsidP="00B967FB">
            <w:pPr>
              <w:jc w:val="center"/>
              <w:rPr>
                <w:rFonts w:ascii="Arial Narrow" w:hAnsi="Arial Narrow"/>
                <w:sz w:val="20"/>
                <w:szCs w:val="20"/>
              </w:rPr>
            </w:pPr>
            <w:r w:rsidRPr="00CC24A7">
              <w:rPr>
                <w:rFonts w:ascii="Arial Narrow" w:hAnsi="Arial Narrow"/>
                <w:sz w:val="20"/>
                <w:szCs w:val="20"/>
              </w:rPr>
              <w:t>M</w:t>
            </w:r>
            <w:r>
              <w:rPr>
                <w:rFonts w:ascii="Arial Narrow" w:hAnsi="Arial Narrow"/>
                <w:sz w:val="20"/>
                <w:szCs w:val="20"/>
              </w:rPr>
              <w:t>A</w:t>
            </w:r>
            <w:r w:rsidRPr="00CC24A7">
              <w:rPr>
                <w:rFonts w:ascii="Arial Narrow" w:hAnsi="Arial Narrow"/>
                <w:sz w:val="20"/>
                <w:szCs w:val="20"/>
              </w:rPr>
              <w:t xml:space="preserve"> Public</w:t>
            </w:r>
            <w:r w:rsidRPr="00CC24A7">
              <w:rPr>
                <w:rFonts w:ascii="Arial Narrow" w:hAnsi="Arial Narrow"/>
                <w:sz w:val="20"/>
                <w:szCs w:val="20"/>
              </w:rPr>
              <w:br/>
              <w:t>Schools and</w:t>
            </w:r>
            <w:r w:rsidRPr="00CC24A7">
              <w:rPr>
                <w:rFonts w:ascii="Arial Narrow" w:hAnsi="Arial Narrow"/>
                <w:sz w:val="20"/>
                <w:szCs w:val="20"/>
              </w:rPr>
              <w:br/>
              <w:t>Collaboratives</w:t>
            </w:r>
          </w:p>
        </w:tc>
        <w:tc>
          <w:tcPr>
            <w:tcW w:w="1243" w:type="dxa"/>
            <w:tcBorders>
              <w:top w:val="single" w:sz="4" w:space="0" w:color="auto"/>
              <w:bottom w:val="single" w:sz="4" w:space="0" w:color="auto"/>
              <w:right w:val="single" w:sz="8" w:space="0" w:color="auto"/>
            </w:tcBorders>
            <w:vAlign w:val="center"/>
          </w:tcPr>
          <w:p w:rsidR="00B967FB" w:rsidRPr="00CC24A7" w:rsidRDefault="00B967FB" w:rsidP="00B967FB">
            <w:pPr>
              <w:jc w:val="center"/>
              <w:rPr>
                <w:rFonts w:ascii="Arial Narrow" w:hAnsi="Arial Narrow"/>
                <w:sz w:val="20"/>
                <w:szCs w:val="20"/>
              </w:rPr>
            </w:pPr>
            <w:r>
              <w:rPr>
                <w:rFonts w:ascii="Arial Narrow" w:hAnsi="Arial Narrow"/>
                <w:sz w:val="20"/>
                <w:szCs w:val="20"/>
              </w:rPr>
              <w:t>MA</w:t>
            </w:r>
            <w:r w:rsidRPr="00CC24A7">
              <w:rPr>
                <w:rFonts w:ascii="Arial Narrow" w:hAnsi="Arial Narrow"/>
                <w:sz w:val="20"/>
                <w:szCs w:val="20"/>
              </w:rPr>
              <w:t xml:space="preserve"> Private</w:t>
            </w:r>
            <w:r w:rsidRPr="00CC24A7">
              <w:rPr>
                <w:rFonts w:ascii="Arial Narrow" w:hAnsi="Arial Narrow"/>
                <w:sz w:val="20"/>
                <w:szCs w:val="20"/>
              </w:rPr>
              <w:br/>
              <w:t>and</w:t>
            </w:r>
          </w:p>
          <w:p w:rsidR="00B967FB" w:rsidRPr="00CC24A7" w:rsidRDefault="00B967FB" w:rsidP="00B967FB">
            <w:pPr>
              <w:jc w:val="center"/>
              <w:rPr>
                <w:rFonts w:ascii="Arial Narrow" w:hAnsi="Arial Narrow"/>
                <w:sz w:val="20"/>
                <w:szCs w:val="20"/>
              </w:rPr>
            </w:pPr>
            <w:r w:rsidRPr="00CC24A7">
              <w:rPr>
                <w:rFonts w:ascii="Arial Narrow" w:hAnsi="Arial Narrow"/>
                <w:sz w:val="20"/>
                <w:szCs w:val="20"/>
              </w:rPr>
              <w:t>Out-of-State Schools</w:t>
            </w:r>
          </w:p>
        </w:tc>
        <w:tc>
          <w:tcPr>
            <w:tcW w:w="1174" w:type="dxa"/>
            <w:tcBorders>
              <w:top w:val="single" w:sz="4" w:space="0" w:color="auto"/>
              <w:left w:val="single" w:sz="8" w:space="0" w:color="auto"/>
              <w:bottom w:val="single" w:sz="4" w:space="0" w:color="auto"/>
            </w:tcBorders>
            <w:vAlign w:val="center"/>
          </w:tcPr>
          <w:p w:rsidR="00B967FB" w:rsidRPr="00CC24A7" w:rsidRDefault="00B967FB" w:rsidP="00B967FB">
            <w:pPr>
              <w:jc w:val="center"/>
              <w:rPr>
                <w:rFonts w:ascii="Arial Narrow" w:hAnsi="Arial Narrow"/>
                <w:sz w:val="20"/>
                <w:szCs w:val="20"/>
              </w:rPr>
            </w:pPr>
            <w:r w:rsidRPr="00CC24A7">
              <w:rPr>
                <w:rFonts w:ascii="Arial Narrow" w:hAnsi="Arial Narrow"/>
                <w:sz w:val="20"/>
                <w:szCs w:val="20"/>
              </w:rPr>
              <w:t>Combined</w:t>
            </w:r>
            <w:r w:rsidRPr="00CC24A7">
              <w:rPr>
                <w:rFonts w:ascii="Arial Narrow" w:hAnsi="Arial Narrow"/>
                <w:sz w:val="20"/>
                <w:szCs w:val="20"/>
              </w:rPr>
              <w:br/>
              <w:t>Special Ed</w:t>
            </w:r>
            <w:r w:rsidRPr="00CC24A7">
              <w:rPr>
                <w:rFonts w:ascii="Arial Narrow" w:hAnsi="Arial Narrow"/>
                <w:sz w:val="20"/>
                <w:szCs w:val="20"/>
              </w:rPr>
              <w:br/>
              <w:t>Expenditures</w:t>
            </w:r>
            <w:r w:rsidRPr="00CC24A7">
              <w:rPr>
                <w:rFonts w:ascii="Arial Narrow" w:hAnsi="Arial Narrow"/>
                <w:sz w:val="20"/>
                <w:szCs w:val="20"/>
              </w:rPr>
              <w:br/>
              <w:t>(A+B+C+D)</w:t>
            </w:r>
          </w:p>
        </w:tc>
        <w:tc>
          <w:tcPr>
            <w:tcW w:w="986" w:type="dxa"/>
            <w:tcBorders>
              <w:top w:val="single" w:sz="4" w:space="0" w:color="auto"/>
              <w:bottom w:val="single" w:sz="4" w:space="0" w:color="auto"/>
            </w:tcBorders>
            <w:vAlign w:val="center"/>
          </w:tcPr>
          <w:p w:rsidR="00B967FB" w:rsidRPr="00CC24A7" w:rsidRDefault="00B967FB" w:rsidP="00B967FB">
            <w:pPr>
              <w:jc w:val="center"/>
              <w:rPr>
                <w:rFonts w:ascii="Arial Narrow" w:hAnsi="Arial Narrow"/>
                <w:sz w:val="20"/>
                <w:szCs w:val="20"/>
              </w:rPr>
            </w:pPr>
            <w:smartTag w:uri="urn:schemas-microsoft-com:office:smarttags" w:element="place">
              <w:smartTag w:uri="urn:schemas-microsoft-com:office:smarttags" w:element="PlaceName">
                <w:r w:rsidRPr="00CC24A7">
                  <w:rPr>
                    <w:rFonts w:ascii="Arial Narrow" w:hAnsi="Arial Narrow"/>
                    <w:sz w:val="20"/>
                    <w:szCs w:val="20"/>
                  </w:rPr>
                  <w:t>Total</w:t>
                </w:r>
              </w:smartTag>
              <w:r w:rsidRPr="00CC24A7">
                <w:rPr>
                  <w:rFonts w:ascii="Arial Narrow" w:hAnsi="Arial Narrow"/>
                  <w:sz w:val="20"/>
                  <w:szCs w:val="20"/>
                </w:rPr>
                <w:br/>
              </w:r>
              <w:smartTag w:uri="urn:schemas-microsoft-com:office:smarttags" w:element="PlaceType">
                <w:r w:rsidRPr="00CC24A7">
                  <w:rPr>
                    <w:rFonts w:ascii="Arial Narrow" w:hAnsi="Arial Narrow"/>
                    <w:sz w:val="20"/>
                    <w:szCs w:val="20"/>
                  </w:rPr>
                  <w:t>School</w:t>
                </w:r>
              </w:smartTag>
            </w:smartTag>
            <w:r w:rsidRPr="00CC24A7">
              <w:rPr>
                <w:rFonts w:ascii="Arial Narrow" w:hAnsi="Arial Narrow"/>
                <w:sz w:val="20"/>
                <w:szCs w:val="20"/>
              </w:rPr>
              <w:br/>
              <w:t>Operating</w:t>
            </w:r>
            <w:r w:rsidRPr="00CC24A7">
              <w:rPr>
                <w:rFonts w:ascii="Arial Narrow" w:hAnsi="Arial Narrow"/>
                <w:sz w:val="20"/>
                <w:szCs w:val="20"/>
              </w:rPr>
              <w:br/>
              <w:t>Budget</w:t>
            </w:r>
          </w:p>
        </w:tc>
        <w:tc>
          <w:tcPr>
            <w:tcW w:w="1260" w:type="dxa"/>
            <w:tcBorders>
              <w:top w:val="single" w:sz="4" w:space="0" w:color="auto"/>
              <w:bottom w:val="single" w:sz="4" w:space="0" w:color="auto"/>
            </w:tcBorders>
            <w:vAlign w:val="center"/>
          </w:tcPr>
          <w:p w:rsidR="00B967FB" w:rsidRPr="00CC24A7" w:rsidRDefault="00B967FB" w:rsidP="00B967FB">
            <w:pPr>
              <w:jc w:val="center"/>
              <w:rPr>
                <w:rFonts w:ascii="Arial Narrow" w:hAnsi="Arial Narrow"/>
                <w:sz w:val="20"/>
                <w:szCs w:val="20"/>
              </w:rPr>
            </w:pPr>
            <w:r w:rsidRPr="00CC24A7">
              <w:rPr>
                <w:rFonts w:ascii="Arial Narrow" w:hAnsi="Arial Narrow"/>
                <w:sz w:val="20"/>
                <w:szCs w:val="20"/>
              </w:rPr>
              <w:t>Special</w:t>
            </w:r>
            <w:r w:rsidRPr="00CC24A7">
              <w:rPr>
                <w:rFonts w:ascii="Arial Narrow" w:hAnsi="Arial Narrow"/>
                <w:sz w:val="20"/>
                <w:szCs w:val="20"/>
              </w:rPr>
              <w:br/>
              <w:t>Education</w:t>
            </w:r>
            <w:r w:rsidRPr="00CC24A7">
              <w:rPr>
                <w:rFonts w:ascii="Arial Narrow" w:hAnsi="Arial Narrow"/>
                <w:sz w:val="20"/>
                <w:szCs w:val="20"/>
              </w:rPr>
              <w:br/>
              <w:t>% of Budget</w:t>
            </w:r>
            <w:r w:rsidRPr="00CC24A7">
              <w:rPr>
                <w:rFonts w:ascii="Arial Narrow" w:hAnsi="Arial Narrow"/>
                <w:sz w:val="20"/>
                <w:szCs w:val="20"/>
              </w:rPr>
              <w:br/>
              <w:t>(E as % of F)</w:t>
            </w:r>
          </w:p>
        </w:tc>
      </w:tr>
      <w:tr w:rsidR="00B967FB" w:rsidRPr="00CC24A7" w:rsidTr="00B967FB">
        <w:tc>
          <w:tcPr>
            <w:tcW w:w="1180" w:type="dxa"/>
            <w:tcBorders>
              <w:top w:val="single" w:sz="4" w:space="0" w:color="auto"/>
              <w:right w:val="single" w:sz="8" w:space="0" w:color="auto"/>
            </w:tcBorders>
            <w:vAlign w:val="center"/>
          </w:tcPr>
          <w:p w:rsidR="00B967FB" w:rsidRPr="00CC24A7" w:rsidRDefault="00B967FB" w:rsidP="00B967FB">
            <w:pPr>
              <w:rPr>
                <w:rFonts w:ascii="Arial Narrow" w:eastAsia="Arial Unicode MS" w:hAnsi="Arial Narrow"/>
                <w:sz w:val="20"/>
                <w:szCs w:val="20"/>
              </w:rPr>
            </w:pPr>
            <w:r w:rsidRPr="00CC24A7">
              <w:rPr>
                <w:rFonts w:ascii="Arial Narrow" w:hAnsi="Arial Narrow"/>
                <w:sz w:val="20"/>
                <w:szCs w:val="20"/>
              </w:rPr>
              <w:t>2004</w:t>
            </w:r>
          </w:p>
        </w:tc>
        <w:tc>
          <w:tcPr>
            <w:tcW w:w="908" w:type="dxa"/>
            <w:tcBorders>
              <w:top w:val="single" w:sz="4" w:space="0" w:color="auto"/>
              <w:left w:val="single" w:sz="8" w:space="0" w:color="auto"/>
              <w:bottom w:val="nil"/>
            </w:tcBorders>
            <w:vAlign w:val="center"/>
          </w:tcPr>
          <w:p w:rsidR="00B967FB" w:rsidRPr="00CC24A7" w:rsidRDefault="00B967FB" w:rsidP="00B967FB">
            <w:pPr>
              <w:jc w:val="right"/>
              <w:rPr>
                <w:rFonts w:ascii="Arial Narrow" w:eastAsia="Arial Unicode MS" w:hAnsi="Arial Narrow"/>
                <w:sz w:val="20"/>
                <w:szCs w:val="20"/>
              </w:rPr>
            </w:pPr>
            <w:r w:rsidRPr="00CC24A7">
              <w:rPr>
                <w:rFonts w:ascii="Arial Narrow" w:hAnsi="Arial Narrow"/>
                <w:sz w:val="20"/>
                <w:szCs w:val="20"/>
              </w:rPr>
              <w:t>877</w:t>
            </w:r>
          </w:p>
        </w:tc>
        <w:tc>
          <w:tcPr>
            <w:tcW w:w="1101" w:type="dxa"/>
            <w:tcBorders>
              <w:top w:val="single" w:sz="4" w:space="0" w:color="auto"/>
              <w:bottom w:val="nil"/>
              <w:right w:val="single" w:sz="8" w:space="0" w:color="auto"/>
            </w:tcBorders>
            <w:vAlign w:val="center"/>
          </w:tcPr>
          <w:p w:rsidR="00B967FB" w:rsidRPr="00CC24A7" w:rsidRDefault="00B967FB" w:rsidP="00B967FB">
            <w:pPr>
              <w:jc w:val="right"/>
              <w:rPr>
                <w:rFonts w:ascii="Arial Narrow" w:eastAsia="Arial Unicode MS" w:hAnsi="Arial Narrow"/>
                <w:sz w:val="20"/>
                <w:szCs w:val="20"/>
              </w:rPr>
            </w:pPr>
            <w:r w:rsidRPr="00CC24A7">
              <w:rPr>
                <w:rFonts w:ascii="Arial Narrow" w:hAnsi="Arial Narrow"/>
                <w:sz w:val="20"/>
                <w:szCs w:val="20"/>
              </w:rPr>
              <w:t>165</w:t>
            </w:r>
          </w:p>
        </w:tc>
        <w:tc>
          <w:tcPr>
            <w:tcW w:w="1256" w:type="dxa"/>
            <w:tcBorders>
              <w:top w:val="single" w:sz="4" w:space="0" w:color="auto"/>
              <w:left w:val="single" w:sz="8" w:space="0" w:color="auto"/>
              <w:bottom w:val="nil"/>
            </w:tcBorders>
            <w:vAlign w:val="center"/>
          </w:tcPr>
          <w:p w:rsidR="00B967FB" w:rsidRPr="00CC24A7" w:rsidRDefault="00B967FB" w:rsidP="00B967FB">
            <w:pPr>
              <w:jc w:val="right"/>
              <w:rPr>
                <w:rFonts w:ascii="Arial Narrow" w:eastAsia="Arial Unicode MS" w:hAnsi="Arial Narrow"/>
                <w:sz w:val="20"/>
                <w:szCs w:val="20"/>
              </w:rPr>
            </w:pPr>
            <w:r w:rsidRPr="00CC24A7">
              <w:rPr>
                <w:rFonts w:ascii="Arial Narrow" w:hAnsi="Arial Narrow"/>
                <w:sz w:val="20"/>
                <w:szCs w:val="20"/>
              </w:rPr>
              <w:t>182</w:t>
            </w:r>
          </w:p>
        </w:tc>
        <w:tc>
          <w:tcPr>
            <w:tcW w:w="1243" w:type="dxa"/>
            <w:tcBorders>
              <w:top w:val="single" w:sz="4" w:space="0" w:color="auto"/>
              <w:bottom w:val="nil"/>
              <w:right w:val="single" w:sz="8" w:space="0" w:color="auto"/>
            </w:tcBorders>
            <w:vAlign w:val="center"/>
          </w:tcPr>
          <w:p w:rsidR="00B967FB" w:rsidRPr="00CC24A7" w:rsidRDefault="00B967FB" w:rsidP="00B967FB">
            <w:pPr>
              <w:jc w:val="right"/>
              <w:rPr>
                <w:rFonts w:ascii="Arial Narrow" w:eastAsia="Arial Unicode MS" w:hAnsi="Arial Narrow"/>
                <w:sz w:val="20"/>
                <w:szCs w:val="20"/>
              </w:rPr>
            </w:pPr>
            <w:r w:rsidRPr="00CC24A7">
              <w:rPr>
                <w:rFonts w:ascii="Arial Narrow" w:hAnsi="Arial Narrow"/>
                <w:sz w:val="20"/>
                <w:szCs w:val="20"/>
              </w:rPr>
              <w:t>325</w:t>
            </w:r>
          </w:p>
        </w:tc>
        <w:tc>
          <w:tcPr>
            <w:tcW w:w="1174" w:type="dxa"/>
            <w:tcBorders>
              <w:top w:val="single" w:sz="4" w:space="0" w:color="auto"/>
              <w:left w:val="single" w:sz="8" w:space="0" w:color="auto"/>
            </w:tcBorders>
            <w:vAlign w:val="center"/>
          </w:tcPr>
          <w:p w:rsidR="00B967FB" w:rsidRPr="00CC24A7" w:rsidRDefault="00B967FB" w:rsidP="00B967FB">
            <w:pPr>
              <w:jc w:val="right"/>
              <w:rPr>
                <w:rFonts w:ascii="Arial Narrow" w:eastAsia="Arial Unicode MS" w:hAnsi="Arial Narrow"/>
                <w:sz w:val="20"/>
                <w:szCs w:val="20"/>
              </w:rPr>
            </w:pPr>
            <w:r w:rsidRPr="00CC24A7">
              <w:rPr>
                <w:rFonts w:ascii="Arial Narrow" w:hAnsi="Arial Narrow"/>
                <w:sz w:val="20"/>
                <w:szCs w:val="20"/>
              </w:rPr>
              <w:t>1,549</w:t>
            </w:r>
          </w:p>
        </w:tc>
        <w:tc>
          <w:tcPr>
            <w:tcW w:w="986" w:type="dxa"/>
            <w:tcBorders>
              <w:top w:val="single" w:sz="4" w:space="0" w:color="auto"/>
            </w:tcBorders>
            <w:vAlign w:val="center"/>
          </w:tcPr>
          <w:p w:rsidR="00B967FB" w:rsidRPr="00CC24A7" w:rsidRDefault="00B967FB" w:rsidP="00B967FB">
            <w:pPr>
              <w:jc w:val="right"/>
              <w:rPr>
                <w:rFonts w:ascii="Arial Narrow" w:eastAsia="Arial Unicode MS" w:hAnsi="Arial Narrow"/>
                <w:sz w:val="20"/>
                <w:szCs w:val="20"/>
              </w:rPr>
            </w:pPr>
            <w:r w:rsidRPr="00CC24A7">
              <w:rPr>
                <w:rFonts w:ascii="Arial Narrow" w:hAnsi="Arial Narrow"/>
                <w:sz w:val="20"/>
                <w:szCs w:val="20"/>
              </w:rPr>
              <w:t>8,330</w:t>
            </w:r>
          </w:p>
        </w:tc>
        <w:tc>
          <w:tcPr>
            <w:tcW w:w="1260" w:type="dxa"/>
            <w:tcBorders>
              <w:top w:val="single" w:sz="4" w:space="0" w:color="auto"/>
            </w:tcBorders>
            <w:vAlign w:val="center"/>
          </w:tcPr>
          <w:p w:rsidR="00B967FB" w:rsidRPr="00CC24A7" w:rsidRDefault="00B967FB" w:rsidP="00B967FB">
            <w:pPr>
              <w:jc w:val="center"/>
              <w:rPr>
                <w:rFonts w:ascii="Arial Narrow" w:eastAsia="Arial Unicode MS" w:hAnsi="Arial Narrow"/>
                <w:sz w:val="20"/>
                <w:szCs w:val="20"/>
              </w:rPr>
            </w:pPr>
            <w:r w:rsidRPr="00CC24A7">
              <w:rPr>
                <w:rFonts w:ascii="Arial Narrow" w:hAnsi="Arial Narrow"/>
                <w:sz w:val="20"/>
                <w:szCs w:val="20"/>
              </w:rPr>
              <w:t>18.6</w:t>
            </w:r>
            <w:r>
              <w:rPr>
                <w:rFonts w:ascii="Arial Narrow" w:hAnsi="Arial Narrow"/>
                <w:sz w:val="20"/>
                <w:szCs w:val="20"/>
              </w:rPr>
              <w:t>%</w:t>
            </w:r>
          </w:p>
        </w:tc>
      </w:tr>
      <w:tr w:rsidR="00B967FB" w:rsidRPr="00CC24A7" w:rsidTr="00B967FB">
        <w:tc>
          <w:tcPr>
            <w:tcW w:w="1180" w:type="dxa"/>
            <w:tcBorders>
              <w:right w:val="single" w:sz="8" w:space="0" w:color="auto"/>
            </w:tcBorders>
            <w:vAlign w:val="center"/>
          </w:tcPr>
          <w:p w:rsidR="00B967FB" w:rsidRPr="00CC24A7" w:rsidRDefault="00B967FB" w:rsidP="00B967FB">
            <w:pPr>
              <w:rPr>
                <w:rFonts w:ascii="Arial Narrow" w:eastAsia="Arial Unicode MS" w:hAnsi="Arial Narrow"/>
                <w:sz w:val="20"/>
                <w:szCs w:val="20"/>
              </w:rPr>
            </w:pPr>
            <w:r w:rsidRPr="00CC24A7">
              <w:rPr>
                <w:rFonts w:ascii="Arial Narrow" w:hAnsi="Arial Narrow"/>
                <w:sz w:val="20"/>
                <w:szCs w:val="20"/>
              </w:rPr>
              <w:t>2005</w:t>
            </w:r>
          </w:p>
        </w:tc>
        <w:tc>
          <w:tcPr>
            <w:tcW w:w="908" w:type="dxa"/>
            <w:tcBorders>
              <w:top w:val="nil"/>
              <w:left w:val="single" w:sz="8" w:space="0" w:color="auto"/>
              <w:bottom w:val="nil"/>
            </w:tcBorders>
            <w:vAlign w:val="center"/>
          </w:tcPr>
          <w:p w:rsidR="00B967FB" w:rsidRPr="00CC24A7" w:rsidRDefault="00B967FB" w:rsidP="00B967FB">
            <w:pPr>
              <w:jc w:val="right"/>
              <w:rPr>
                <w:rFonts w:ascii="Arial Narrow" w:eastAsia="Arial Unicode MS" w:hAnsi="Arial Narrow"/>
                <w:sz w:val="20"/>
                <w:szCs w:val="20"/>
              </w:rPr>
            </w:pPr>
            <w:r w:rsidRPr="00CC24A7">
              <w:rPr>
                <w:rFonts w:ascii="Arial Narrow" w:hAnsi="Arial Narrow"/>
                <w:sz w:val="20"/>
                <w:szCs w:val="20"/>
              </w:rPr>
              <w:t>925</w:t>
            </w:r>
          </w:p>
        </w:tc>
        <w:tc>
          <w:tcPr>
            <w:tcW w:w="1101" w:type="dxa"/>
            <w:tcBorders>
              <w:top w:val="nil"/>
              <w:bottom w:val="nil"/>
              <w:right w:val="single" w:sz="8" w:space="0" w:color="auto"/>
            </w:tcBorders>
            <w:vAlign w:val="center"/>
          </w:tcPr>
          <w:p w:rsidR="00B967FB" w:rsidRPr="00CC24A7" w:rsidRDefault="00B967FB" w:rsidP="00B967FB">
            <w:pPr>
              <w:jc w:val="right"/>
              <w:rPr>
                <w:rFonts w:ascii="Arial Narrow" w:eastAsia="Arial Unicode MS" w:hAnsi="Arial Narrow"/>
                <w:sz w:val="20"/>
                <w:szCs w:val="20"/>
              </w:rPr>
            </w:pPr>
            <w:r w:rsidRPr="00CC24A7">
              <w:rPr>
                <w:rFonts w:ascii="Arial Narrow" w:hAnsi="Arial Narrow"/>
                <w:sz w:val="20"/>
                <w:szCs w:val="20"/>
              </w:rPr>
              <w:t>180</w:t>
            </w:r>
          </w:p>
        </w:tc>
        <w:tc>
          <w:tcPr>
            <w:tcW w:w="1256" w:type="dxa"/>
            <w:tcBorders>
              <w:top w:val="nil"/>
              <w:left w:val="single" w:sz="8" w:space="0" w:color="auto"/>
              <w:bottom w:val="nil"/>
            </w:tcBorders>
            <w:vAlign w:val="center"/>
          </w:tcPr>
          <w:p w:rsidR="00B967FB" w:rsidRPr="00CC24A7" w:rsidRDefault="00B967FB" w:rsidP="00B967FB">
            <w:pPr>
              <w:jc w:val="right"/>
              <w:rPr>
                <w:rFonts w:ascii="Arial Narrow" w:eastAsia="Arial Unicode MS" w:hAnsi="Arial Narrow"/>
                <w:sz w:val="20"/>
                <w:szCs w:val="20"/>
              </w:rPr>
            </w:pPr>
            <w:r w:rsidRPr="00CC24A7">
              <w:rPr>
                <w:rFonts w:ascii="Arial Narrow" w:hAnsi="Arial Narrow"/>
                <w:sz w:val="20"/>
                <w:szCs w:val="20"/>
              </w:rPr>
              <w:t>184</w:t>
            </w:r>
          </w:p>
        </w:tc>
        <w:tc>
          <w:tcPr>
            <w:tcW w:w="1243" w:type="dxa"/>
            <w:tcBorders>
              <w:top w:val="nil"/>
              <w:bottom w:val="nil"/>
              <w:right w:val="single" w:sz="8" w:space="0" w:color="auto"/>
            </w:tcBorders>
            <w:vAlign w:val="center"/>
          </w:tcPr>
          <w:p w:rsidR="00B967FB" w:rsidRPr="00CC24A7" w:rsidRDefault="00B967FB" w:rsidP="00B967FB">
            <w:pPr>
              <w:jc w:val="right"/>
              <w:rPr>
                <w:rFonts w:ascii="Arial Narrow" w:eastAsia="Arial Unicode MS" w:hAnsi="Arial Narrow"/>
                <w:sz w:val="20"/>
                <w:szCs w:val="20"/>
              </w:rPr>
            </w:pPr>
            <w:r w:rsidRPr="00CC24A7">
              <w:rPr>
                <w:rFonts w:ascii="Arial Narrow" w:hAnsi="Arial Narrow"/>
                <w:sz w:val="20"/>
                <w:szCs w:val="20"/>
              </w:rPr>
              <w:t>369</w:t>
            </w:r>
          </w:p>
        </w:tc>
        <w:tc>
          <w:tcPr>
            <w:tcW w:w="1174" w:type="dxa"/>
            <w:tcBorders>
              <w:left w:val="single" w:sz="8" w:space="0" w:color="auto"/>
            </w:tcBorders>
            <w:vAlign w:val="center"/>
          </w:tcPr>
          <w:p w:rsidR="00B967FB" w:rsidRPr="00CC24A7" w:rsidRDefault="00B967FB" w:rsidP="00B967FB">
            <w:pPr>
              <w:jc w:val="right"/>
              <w:rPr>
                <w:rFonts w:ascii="Arial Narrow" w:eastAsia="Arial Unicode MS" w:hAnsi="Arial Narrow"/>
                <w:sz w:val="20"/>
                <w:szCs w:val="20"/>
              </w:rPr>
            </w:pPr>
            <w:r w:rsidRPr="00CC24A7">
              <w:rPr>
                <w:rFonts w:ascii="Arial Narrow" w:hAnsi="Arial Narrow"/>
                <w:sz w:val="20"/>
                <w:szCs w:val="20"/>
              </w:rPr>
              <w:t>1,657</w:t>
            </w:r>
          </w:p>
        </w:tc>
        <w:tc>
          <w:tcPr>
            <w:tcW w:w="986" w:type="dxa"/>
            <w:vAlign w:val="center"/>
          </w:tcPr>
          <w:p w:rsidR="00B967FB" w:rsidRPr="00CC24A7" w:rsidRDefault="00B967FB" w:rsidP="00B967FB">
            <w:pPr>
              <w:jc w:val="right"/>
              <w:rPr>
                <w:rFonts w:ascii="Arial Narrow" w:eastAsia="Arial Unicode MS" w:hAnsi="Arial Narrow"/>
                <w:sz w:val="20"/>
                <w:szCs w:val="20"/>
              </w:rPr>
            </w:pPr>
            <w:r w:rsidRPr="00CC24A7">
              <w:rPr>
                <w:rFonts w:ascii="Arial Narrow" w:hAnsi="Arial Narrow"/>
                <w:sz w:val="20"/>
                <w:szCs w:val="20"/>
              </w:rPr>
              <w:t>8,770</w:t>
            </w:r>
          </w:p>
        </w:tc>
        <w:tc>
          <w:tcPr>
            <w:tcW w:w="1260" w:type="dxa"/>
            <w:vAlign w:val="center"/>
          </w:tcPr>
          <w:p w:rsidR="00B967FB" w:rsidRPr="00CC24A7" w:rsidRDefault="00B967FB" w:rsidP="00B967FB">
            <w:pPr>
              <w:jc w:val="center"/>
              <w:rPr>
                <w:rFonts w:ascii="Arial Narrow" w:eastAsia="Arial Unicode MS" w:hAnsi="Arial Narrow"/>
                <w:sz w:val="20"/>
                <w:szCs w:val="20"/>
              </w:rPr>
            </w:pPr>
            <w:r w:rsidRPr="00CC24A7">
              <w:rPr>
                <w:rFonts w:ascii="Arial Narrow" w:hAnsi="Arial Narrow"/>
                <w:sz w:val="20"/>
                <w:szCs w:val="20"/>
              </w:rPr>
              <w:t>18.9</w:t>
            </w:r>
            <w:r>
              <w:rPr>
                <w:rFonts w:ascii="Arial Narrow" w:hAnsi="Arial Narrow"/>
                <w:sz w:val="20"/>
                <w:szCs w:val="20"/>
              </w:rPr>
              <w:t>%</w:t>
            </w:r>
          </w:p>
        </w:tc>
      </w:tr>
      <w:tr w:rsidR="00B967FB" w:rsidRPr="00CC24A7" w:rsidTr="00B967FB">
        <w:tc>
          <w:tcPr>
            <w:tcW w:w="1180" w:type="dxa"/>
            <w:tcBorders>
              <w:right w:val="single" w:sz="8" w:space="0" w:color="auto"/>
            </w:tcBorders>
            <w:vAlign w:val="center"/>
          </w:tcPr>
          <w:p w:rsidR="00B967FB" w:rsidRPr="00CC24A7" w:rsidRDefault="00B967FB" w:rsidP="00B967FB">
            <w:pPr>
              <w:rPr>
                <w:rFonts w:ascii="Arial Narrow" w:eastAsia="Arial Unicode MS" w:hAnsi="Arial Narrow"/>
                <w:sz w:val="20"/>
                <w:szCs w:val="20"/>
              </w:rPr>
            </w:pPr>
            <w:r w:rsidRPr="00CC24A7">
              <w:rPr>
                <w:rFonts w:ascii="Arial Narrow" w:hAnsi="Arial Narrow"/>
                <w:sz w:val="20"/>
                <w:szCs w:val="20"/>
              </w:rPr>
              <w:t>2006</w:t>
            </w:r>
          </w:p>
        </w:tc>
        <w:tc>
          <w:tcPr>
            <w:tcW w:w="908" w:type="dxa"/>
            <w:tcBorders>
              <w:top w:val="nil"/>
              <w:left w:val="single" w:sz="8" w:space="0" w:color="auto"/>
              <w:bottom w:val="nil"/>
            </w:tcBorders>
            <w:vAlign w:val="center"/>
          </w:tcPr>
          <w:p w:rsidR="00B967FB" w:rsidRPr="00CC24A7" w:rsidRDefault="00B967FB" w:rsidP="00B967FB">
            <w:pPr>
              <w:jc w:val="right"/>
              <w:rPr>
                <w:rFonts w:ascii="Arial Narrow" w:eastAsia="Arial Unicode MS" w:hAnsi="Arial Narrow"/>
                <w:sz w:val="20"/>
                <w:szCs w:val="20"/>
              </w:rPr>
            </w:pPr>
            <w:r w:rsidRPr="00CC24A7">
              <w:rPr>
                <w:rFonts w:ascii="Arial Narrow" w:hAnsi="Arial Narrow"/>
                <w:sz w:val="20"/>
                <w:szCs w:val="20"/>
              </w:rPr>
              <w:t>989</w:t>
            </w:r>
          </w:p>
        </w:tc>
        <w:tc>
          <w:tcPr>
            <w:tcW w:w="1101" w:type="dxa"/>
            <w:tcBorders>
              <w:top w:val="nil"/>
              <w:bottom w:val="nil"/>
              <w:right w:val="single" w:sz="8" w:space="0" w:color="auto"/>
            </w:tcBorders>
            <w:vAlign w:val="center"/>
          </w:tcPr>
          <w:p w:rsidR="00B967FB" w:rsidRPr="00CC24A7" w:rsidRDefault="00B967FB" w:rsidP="00B967FB">
            <w:pPr>
              <w:jc w:val="right"/>
              <w:rPr>
                <w:rFonts w:ascii="Arial Narrow" w:eastAsia="Arial Unicode MS" w:hAnsi="Arial Narrow"/>
                <w:sz w:val="20"/>
                <w:szCs w:val="20"/>
              </w:rPr>
            </w:pPr>
            <w:r w:rsidRPr="00CC24A7">
              <w:rPr>
                <w:rFonts w:ascii="Arial Narrow" w:hAnsi="Arial Narrow"/>
                <w:sz w:val="20"/>
                <w:szCs w:val="20"/>
              </w:rPr>
              <w:t>188</w:t>
            </w:r>
          </w:p>
        </w:tc>
        <w:tc>
          <w:tcPr>
            <w:tcW w:w="1256" w:type="dxa"/>
            <w:tcBorders>
              <w:top w:val="nil"/>
              <w:left w:val="single" w:sz="8" w:space="0" w:color="auto"/>
              <w:bottom w:val="nil"/>
            </w:tcBorders>
            <w:vAlign w:val="center"/>
          </w:tcPr>
          <w:p w:rsidR="00B967FB" w:rsidRPr="00CC24A7" w:rsidRDefault="00B967FB" w:rsidP="00B967FB">
            <w:pPr>
              <w:jc w:val="right"/>
              <w:rPr>
                <w:rFonts w:ascii="Arial Narrow" w:eastAsia="Arial Unicode MS" w:hAnsi="Arial Narrow"/>
                <w:sz w:val="20"/>
                <w:szCs w:val="20"/>
              </w:rPr>
            </w:pPr>
            <w:r w:rsidRPr="00CC24A7">
              <w:rPr>
                <w:rFonts w:ascii="Arial Narrow" w:hAnsi="Arial Narrow"/>
                <w:sz w:val="20"/>
                <w:szCs w:val="20"/>
              </w:rPr>
              <w:t>194</w:t>
            </w:r>
          </w:p>
        </w:tc>
        <w:tc>
          <w:tcPr>
            <w:tcW w:w="1243" w:type="dxa"/>
            <w:tcBorders>
              <w:top w:val="nil"/>
              <w:bottom w:val="nil"/>
              <w:right w:val="single" w:sz="8" w:space="0" w:color="auto"/>
            </w:tcBorders>
            <w:vAlign w:val="center"/>
          </w:tcPr>
          <w:p w:rsidR="00B967FB" w:rsidRPr="00CC24A7" w:rsidRDefault="00B967FB" w:rsidP="00B967FB">
            <w:pPr>
              <w:jc w:val="right"/>
              <w:rPr>
                <w:rFonts w:ascii="Arial Narrow" w:eastAsia="Arial Unicode MS" w:hAnsi="Arial Narrow"/>
                <w:sz w:val="20"/>
                <w:szCs w:val="20"/>
              </w:rPr>
            </w:pPr>
            <w:r w:rsidRPr="00CC24A7">
              <w:rPr>
                <w:rFonts w:ascii="Arial Narrow" w:hAnsi="Arial Narrow"/>
                <w:sz w:val="20"/>
                <w:szCs w:val="20"/>
              </w:rPr>
              <w:t>390</w:t>
            </w:r>
          </w:p>
        </w:tc>
        <w:tc>
          <w:tcPr>
            <w:tcW w:w="1174" w:type="dxa"/>
            <w:tcBorders>
              <w:left w:val="single" w:sz="8" w:space="0" w:color="auto"/>
            </w:tcBorders>
            <w:vAlign w:val="center"/>
          </w:tcPr>
          <w:p w:rsidR="00B967FB" w:rsidRPr="00CC24A7" w:rsidRDefault="00B967FB" w:rsidP="00B967FB">
            <w:pPr>
              <w:jc w:val="right"/>
              <w:rPr>
                <w:rFonts w:ascii="Arial Narrow" w:eastAsia="Arial Unicode MS" w:hAnsi="Arial Narrow"/>
                <w:sz w:val="20"/>
                <w:szCs w:val="20"/>
              </w:rPr>
            </w:pPr>
            <w:r w:rsidRPr="00CC24A7">
              <w:rPr>
                <w:rFonts w:ascii="Arial Narrow" w:hAnsi="Arial Narrow"/>
                <w:sz w:val="20"/>
                <w:szCs w:val="20"/>
              </w:rPr>
              <w:t>1,762</w:t>
            </w:r>
          </w:p>
        </w:tc>
        <w:tc>
          <w:tcPr>
            <w:tcW w:w="986" w:type="dxa"/>
            <w:vAlign w:val="center"/>
          </w:tcPr>
          <w:p w:rsidR="00B967FB" w:rsidRPr="00CC24A7" w:rsidRDefault="00B967FB" w:rsidP="00B967FB">
            <w:pPr>
              <w:jc w:val="right"/>
              <w:rPr>
                <w:rFonts w:ascii="Arial Narrow" w:eastAsia="Arial Unicode MS" w:hAnsi="Arial Narrow"/>
                <w:sz w:val="20"/>
                <w:szCs w:val="20"/>
              </w:rPr>
            </w:pPr>
            <w:r w:rsidRPr="00CC24A7">
              <w:rPr>
                <w:rFonts w:ascii="Arial Narrow" w:hAnsi="Arial Narrow"/>
                <w:sz w:val="20"/>
                <w:szCs w:val="20"/>
              </w:rPr>
              <w:t>9,206</w:t>
            </w:r>
          </w:p>
        </w:tc>
        <w:tc>
          <w:tcPr>
            <w:tcW w:w="1260" w:type="dxa"/>
            <w:vAlign w:val="center"/>
          </w:tcPr>
          <w:p w:rsidR="00B967FB" w:rsidRPr="00CC24A7" w:rsidRDefault="00B967FB" w:rsidP="00B967FB">
            <w:pPr>
              <w:jc w:val="center"/>
              <w:rPr>
                <w:rFonts w:ascii="Arial Narrow" w:eastAsia="Arial Unicode MS" w:hAnsi="Arial Narrow"/>
                <w:sz w:val="20"/>
                <w:szCs w:val="20"/>
              </w:rPr>
            </w:pPr>
            <w:r w:rsidRPr="00CC24A7">
              <w:rPr>
                <w:rFonts w:ascii="Arial Narrow" w:hAnsi="Arial Narrow"/>
                <w:sz w:val="20"/>
                <w:szCs w:val="20"/>
              </w:rPr>
              <w:t>19.1</w:t>
            </w:r>
            <w:r>
              <w:rPr>
                <w:rFonts w:ascii="Arial Narrow" w:hAnsi="Arial Narrow"/>
                <w:sz w:val="20"/>
                <w:szCs w:val="20"/>
              </w:rPr>
              <w:t>%</w:t>
            </w:r>
          </w:p>
        </w:tc>
      </w:tr>
      <w:tr w:rsidR="00B967FB" w:rsidRPr="00CC24A7" w:rsidTr="00B967FB">
        <w:tc>
          <w:tcPr>
            <w:tcW w:w="1180" w:type="dxa"/>
            <w:tcBorders>
              <w:right w:val="single" w:sz="8" w:space="0" w:color="auto"/>
            </w:tcBorders>
            <w:vAlign w:val="center"/>
          </w:tcPr>
          <w:p w:rsidR="00B967FB" w:rsidRPr="00CC24A7" w:rsidRDefault="00B967FB" w:rsidP="00B967FB">
            <w:pPr>
              <w:rPr>
                <w:rFonts w:ascii="Arial Narrow" w:hAnsi="Arial Narrow"/>
                <w:sz w:val="20"/>
                <w:szCs w:val="20"/>
              </w:rPr>
            </w:pPr>
            <w:r w:rsidRPr="00CC24A7">
              <w:rPr>
                <w:rFonts w:ascii="Arial Narrow" w:hAnsi="Arial Narrow"/>
                <w:sz w:val="20"/>
                <w:szCs w:val="20"/>
              </w:rPr>
              <w:t>2007</w:t>
            </w:r>
          </w:p>
        </w:tc>
        <w:tc>
          <w:tcPr>
            <w:tcW w:w="908" w:type="dxa"/>
            <w:tcBorders>
              <w:top w:val="nil"/>
              <w:left w:val="single" w:sz="8" w:space="0" w:color="auto"/>
              <w:bottom w:val="nil"/>
            </w:tcBorders>
            <w:vAlign w:val="center"/>
          </w:tcPr>
          <w:p w:rsidR="00B967FB" w:rsidRPr="00CC24A7" w:rsidRDefault="00B967FB" w:rsidP="00B967FB">
            <w:pPr>
              <w:jc w:val="right"/>
              <w:rPr>
                <w:rFonts w:ascii="Arial Narrow" w:hAnsi="Arial Narrow"/>
                <w:sz w:val="20"/>
                <w:szCs w:val="20"/>
              </w:rPr>
            </w:pPr>
            <w:r w:rsidRPr="00CC24A7">
              <w:rPr>
                <w:rFonts w:ascii="Arial Narrow" w:hAnsi="Arial Narrow"/>
                <w:sz w:val="20"/>
                <w:szCs w:val="20"/>
              </w:rPr>
              <w:t>1,042</w:t>
            </w:r>
          </w:p>
        </w:tc>
        <w:tc>
          <w:tcPr>
            <w:tcW w:w="1101" w:type="dxa"/>
            <w:tcBorders>
              <w:top w:val="nil"/>
              <w:bottom w:val="nil"/>
              <w:right w:val="single" w:sz="8" w:space="0" w:color="auto"/>
            </w:tcBorders>
            <w:vAlign w:val="center"/>
          </w:tcPr>
          <w:p w:rsidR="00B967FB" w:rsidRPr="00CC24A7" w:rsidRDefault="00B967FB" w:rsidP="00B967FB">
            <w:pPr>
              <w:jc w:val="right"/>
              <w:rPr>
                <w:rFonts w:ascii="Arial Narrow" w:hAnsi="Arial Narrow"/>
                <w:sz w:val="20"/>
                <w:szCs w:val="20"/>
              </w:rPr>
            </w:pPr>
            <w:r w:rsidRPr="00CC24A7">
              <w:rPr>
                <w:rFonts w:ascii="Arial Narrow" w:hAnsi="Arial Narrow"/>
                <w:sz w:val="20"/>
                <w:szCs w:val="20"/>
              </w:rPr>
              <w:t>195</w:t>
            </w:r>
          </w:p>
        </w:tc>
        <w:tc>
          <w:tcPr>
            <w:tcW w:w="1256" w:type="dxa"/>
            <w:tcBorders>
              <w:top w:val="nil"/>
              <w:left w:val="single" w:sz="8" w:space="0" w:color="auto"/>
              <w:bottom w:val="nil"/>
            </w:tcBorders>
            <w:vAlign w:val="center"/>
          </w:tcPr>
          <w:p w:rsidR="00B967FB" w:rsidRPr="00CC24A7" w:rsidRDefault="00B967FB" w:rsidP="00B967FB">
            <w:pPr>
              <w:jc w:val="right"/>
              <w:rPr>
                <w:rFonts w:ascii="Arial Narrow" w:hAnsi="Arial Narrow"/>
                <w:sz w:val="20"/>
                <w:szCs w:val="20"/>
              </w:rPr>
            </w:pPr>
            <w:r w:rsidRPr="00CC24A7">
              <w:rPr>
                <w:rFonts w:ascii="Arial Narrow" w:hAnsi="Arial Narrow"/>
                <w:sz w:val="20"/>
                <w:szCs w:val="20"/>
              </w:rPr>
              <w:t>204</w:t>
            </w:r>
          </w:p>
        </w:tc>
        <w:tc>
          <w:tcPr>
            <w:tcW w:w="1243" w:type="dxa"/>
            <w:tcBorders>
              <w:top w:val="nil"/>
              <w:bottom w:val="nil"/>
              <w:right w:val="single" w:sz="8" w:space="0" w:color="auto"/>
            </w:tcBorders>
            <w:vAlign w:val="center"/>
          </w:tcPr>
          <w:p w:rsidR="00B967FB" w:rsidRPr="00CC24A7" w:rsidRDefault="00B967FB" w:rsidP="00B967FB">
            <w:pPr>
              <w:jc w:val="right"/>
              <w:rPr>
                <w:rFonts w:ascii="Arial Narrow" w:hAnsi="Arial Narrow"/>
                <w:sz w:val="20"/>
                <w:szCs w:val="20"/>
              </w:rPr>
            </w:pPr>
            <w:r w:rsidRPr="00CC24A7">
              <w:rPr>
                <w:rFonts w:ascii="Arial Narrow" w:hAnsi="Arial Narrow"/>
                <w:sz w:val="20"/>
                <w:szCs w:val="20"/>
              </w:rPr>
              <w:t>420</w:t>
            </w:r>
          </w:p>
        </w:tc>
        <w:tc>
          <w:tcPr>
            <w:tcW w:w="1174" w:type="dxa"/>
            <w:tcBorders>
              <w:left w:val="single" w:sz="8" w:space="0" w:color="auto"/>
            </w:tcBorders>
            <w:vAlign w:val="center"/>
          </w:tcPr>
          <w:p w:rsidR="00B967FB" w:rsidRPr="00CC24A7" w:rsidRDefault="00B967FB" w:rsidP="00B967FB">
            <w:pPr>
              <w:jc w:val="right"/>
              <w:rPr>
                <w:rFonts w:ascii="Arial Narrow" w:hAnsi="Arial Narrow"/>
                <w:sz w:val="20"/>
                <w:szCs w:val="20"/>
              </w:rPr>
            </w:pPr>
            <w:r w:rsidRPr="00CC24A7">
              <w:rPr>
                <w:rFonts w:ascii="Arial Narrow" w:hAnsi="Arial Narrow"/>
                <w:sz w:val="20"/>
                <w:szCs w:val="20"/>
              </w:rPr>
              <w:t>1,862</w:t>
            </w:r>
          </w:p>
        </w:tc>
        <w:tc>
          <w:tcPr>
            <w:tcW w:w="986" w:type="dxa"/>
            <w:vAlign w:val="center"/>
          </w:tcPr>
          <w:p w:rsidR="00B967FB" w:rsidRPr="00CC24A7" w:rsidRDefault="00B967FB" w:rsidP="00B967FB">
            <w:pPr>
              <w:jc w:val="right"/>
              <w:rPr>
                <w:rFonts w:ascii="Arial Narrow" w:hAnsi="Arial Narrow"/>
                <w:sz w:val="20"/>
                <w:szCs w:val="20"/>
              </w:rPr>
            </w:pPr>
            <w:r w:rsidRPr="00CC24A7">
              <w:rPr>
                <w:rFonts w:ascii="Arial Narrow" w:hAnsi="Arial Narrow"/>
                <w:sz w:val="20"/>
                <w:szCs w:val="20"/>
              </w:rPr>
              <w:t>9,614</w:t>
            </w:r>
          </w:p>
        </w:tc>
        <w:tc>
          <w:tcPr>
            <w:tcW w:w="1260" w:type="dxa"/>
            <w:vAlign w:val="center"/>
          </w:tcPr>
          <w:p w:rsidR="00B967FB" w:rsidRPr="00CC24A7" w:rsidRDefault="00B967FB" w:rsidP="00B967FB">
            <w:pPr>
              <w:jc w:val="center"/>
              <w:rPr>
                <w:rFonts w:ascii="Arial Narrow" w:hAnsi="Arial Narrow"/>
                <w:sz w:val="20"/>
                <w:szCs w:val="20"/>
              </w:rPr>
            </w:pPr>
            <w:r w:rsidRPr="00CC24A7">
              <w:rPr>
                <w:rFonts w:ascii="Arial Narrow" w:hAnsi="Arial Narrow"/>
                <w:sz w:val="20"/>
                <w:szCs w:val="20"/>
              </w:rPr>
              <w:t>19.4</w:t>
            </w:r>
            <w:r>
              <w:rPr>
                <w:rFonts w:ascii="Arial Narrow" w:hAnsi="Arial Narrow"/>
                <w:sz w:val="20"/>
                <w:szCs w:val="20"/>
              </w:rPr>
              <w:t>%</w:t>
            </w:r>
          </w:p>
        </w:tc>
      </w:tr>
      <w:tr w:rsidR="00B967FB" w:rsidRPr="00CC24A7" w:rsidTr="00B967FB">
        <w:tc>
          <w:tcPr>
            <w:tcW w:w="1180" w:type="dxa"/>
            <w:tcBorders>
              <w:right w:val="single" w:sz="8" w:space="0" w:color="auto"/>
            </w:tcBorders>
            <w:vAlign w:val="center"/>
          </w:tcPr>
          <w:p w:rsidR="00B967FB" w:rsidRPr="00CC24A7" w:rsidRDefault="00B967FB" w:rsidP="00B967FB">
            <w:pPr>
              <w:rPr>
                <w:rFonts w:ascii="Arial Narrow" w:hAnsi="Arial Narrow"/>
                <w:sz w:val="20"/>
                <w:szCs w:val="20"/>
              </w:rPr>
            </w:pPr>
            <w:r w:rsidRPr="00CC24A7">
              <w:rPr>
                <w:rFonts w:ascii="Arial Narrow" w:hAnsi="Arial Narrow"/>
                <w:sz w:val="20"/>
                <w:szCs w:val="20"/>
              </w:rPr>
              <w:t>2008</w:t>
            </w:r>
          </w:p>
        </w:tc>
        <w:tc>
          <w:tcPr>
            <w:tcW w:w="908" w:type="dxa"/>
            <w:tcBorders>
              <w:top w:val="nil"/>
              <w:left w:val="single" w:sz="8" w:space="0" w:color="auto"/>
              <w:bottom w:val="nil"/>
            </w:tcBorders>
            <w:vAlign w:val="center"/>
          </w:tcPr>
          <w:p w:rsidR="00B967FB" w:rsidRPr="00CC24A7" w:rsidRDefault="00B967FB" w:rsidP="00B967FB">
            <w:pPr>
              <w:jc w:val="right"/>
              <w:rPr>
                <w:rFonts w:ascii="Arial Narrow" w:hAnsi="Arial Narrow"/>
                <w:sz w:val="20"/>
                <w:szCs w:val="20"/>
              </w:rPr>
            </w:pPr>
            <w:r w:rsidRPr="00CC24A7">
              <w:rPr>
                <w:rFonts w:ascii="Arial Narrow" w:hAnsi="Arial Narrow"/>
                <w:sz w:val="20"/>
                <w:szCs w:val="20"/>
              </w:rPr>
              <w:t>1,092</w:t>
            </w:r>
          </w:p>
        </w:tc>
        <w:tc>
          <w:tcPr>
            <w:tcW w:w="1101" w:type="dxa"/>
            <w:tcBorders>
              <w:top w:val="nil"/>
              <w:bottom w:val="nil"/>
              <w:right w:val="single" w:sz="8" w:space="0" w:color="auto"/>
            </w:tcBorders>
            <w:vAlign w:val="center"/>
          </w:tcPr>
          <w:p w:rsidR="00B967FB" w:rsidRPr="00CC24A7" w:rsidRDefault="00B967FB" w:rsidP="00B967FB">
            <w:pPr>
              <w:jc w:val="right"/>
              <w:rPr>
                <w:rFonts w:ascii="Arial Narrow" w:hAnsi="Arial Narrow"/>
                <w:sz w:val="20"/>
                <w:szCs w:val="20"/>
              </w:rPr>
            </w:pPr>
            <w:r w:rsidRPr="00CC24A7">
              <w:rPr>
                <w:rFonts w:ascii="Arial Narrow" w:hAnsi="Arial Narrow"/>
                <w:sz w:val="20"/>
                <w:szCs w:val="20"/>
              </w:rPr>
              <w:t>196</w:t>
            </w:r>
          </w:p>
        </w:tc>
        <w:tc>
          <w:tcPr>
            <w:tcW w:w="1256" w:type="dxa"/>
            <w:tcBorders>
              <w:top w:val="nil"/>
              <w:left w:val="single" w:sz="8" w:space="0" w:color="auto"/>
              <w:bottom w:val="nil"/>
            </w:tcBorders>
            <w:vAlign w:val="center"/>
          </w:tcPr>
          <w:p w:rsidR="00B967FB" w:rsidRPr="00CC24A7" w:rsidRDefault="00B967FB" w:rsidP="00B967FB">
            <w:pPr>
              <w:jc w:val="right"/>
              <w:rPr>
                <w:rFonts w:ascii="Arial Narrow" w:hAnsi="Arial Narrow"/>
                <w:sz w:val="20"/>
                <w:szCs w:val="20"/>
              </w:rPr>
            </w:pPr>
            <w:r w:rsidRPr="00CC24A7">
              <w:rPr>
                <w:rFonts w:ascii="Arial Narrow" w:hAnsi="Arial Narrow"/>
                <w:sz w:val="20"/>
                <w:szCs w:val="20"/>
              </w:rPr>
              <w:t>212</w:t>
            </w:r>
          </w:p>
        </w:tc>
        <w:tc>
          <w:tcPr>
            <w:tcW w:w="1243" w:type="dxa"/>
            <w:tcBorders>
              <w:top w:val="nil"/>
              <w:bottom w:val="nil"/>
              <w:right w:val="single" w:sz="8" w:space="0" w:color="auto"/>
            </w:tcBorders>
            <w:vAlign w:val="center"/>
          </w:tcPr>
          <w:p w:rsidR="00B967FB" w:rsidRPr="00CC24A7" w:rsidRDefault="00B967FB" w:rsidP="00B967FB">
            <w:pPr>
              <w:jc w:val="right"/>
              <w:rPr>
                <w:rFonts w:ascii="Arial Narrow" w:hAnsi="Arial Narrow"/>
                <w:sz w:val="20"/>
                <w:szCs w:val="20"/>
              </w:rPr>
            </w:pPr>
            <w:r w:rsidRPr="00CC24A7">
              <w:rPr>
                <w:rFonts w:ascii="Arial Narrow" w:hAnsi="Arial Narrow"/>
                <w:sz w:val="20"/>
                <w:szCs w:val="20"/>
              </w:rPr>
              <w:t>437</w:t>
            </w:r>
          </w:p>
        </w:tc>
        <w:tc>
          <w:tcPr>
            <w:tcW w:w="1174" w:type="dxa"/>
            <w:tcBorders>
              <w:left w:val="single" w:sz="8" w:space="0" w:color="auto"/>
            </w:tcBorders>
            <w:vAlign w:val="center"/>
          </w:tcPr>
          <w:p w:rsidR="00B967FB" w:rsidRPr="00CC24A7" w:rsidRDefault="00B967FB" w:rsidP="00B967FB">
            <w:pPr>
              <w:jc w:val="right"/>
              <w:rPr>
                <w:rFonts w:ascii="Arial Narrow" w:hAnsi="Arial Narrow"/>
                <w:sz w:val="20"/>
                <w:szCs w:val="20"/>
              </w:rPr>
            </w:pPr>
            <w:r w:rsidRPr="00CC24A7">
              <w:rPr>
                <w:rFonts w:ascii="Arial Narrow" w:hAnsi="Arial Narrow"/>
                <w:sz w:val="20"/>
                <w:szCs w:val="20"/>
              </w:rPr>
              <w:t>1,936</w:t>
            </w:r>
          </w:p>
        </w:tc>
        <w:tc>
          <w:tcPr>
            <w:tcW w:w="986" w:type="dxa"/>
            <w:vAlign w:val="center"/>
          </w:tcPr>
          <w:p w:rsidR="00B967FB" w:rsidRPr="00CC24A7" w:rsidRDefault="00B967FB" w:rsidP="00B967FB">
            <w:pPr>
              <w:jc w:val="right"/>
              <w:rPr>
                <w:rFonts w:ascii="Arial Narrow" w:hAnsi="Arial Narrow"/>
                <w:sz w:val="20"/>
                <w:szCs w:val="20"/>
              </w:rPr>
            </w:pPr>
            <w:r w:rsidRPr="00CC24A7">
              <w:rPr>
                <w:rFonts w:ascii="Arial Narrow" w:hAnsi="Arial Narrow"/>
                <w:sz w:val="20"/>
                <w:szCs w:val="20"/>
              </w:rPr>
              <w:t>9,863</w:t>
            </w:r>
          </w:p>
        </w:tc>
        <w:tc>
          <w:tcPr>
            <w:tcW w:w="1260" w:type="dxa"/>
            <w:vAlign w:val="center"/>
          </w:tcPr>
          <w:p w:rsidR="00B967FB" w:rsidRPr="00CC24A7" w:rsidRDefault="00B967FB" w:rsidP="00B967FB">
            <w:pPr>
              <w:jc w:val="center"/>
              <w:rPr>
                <w:rFonts w:ascii="Arial Narrow" w:hAnsi="Arial Narrow"/>
                <w:sz w:val="20"/>
                <w:szCs w:val="20"/>
              </w:rPr>
            </w:pPr>
            <w:r w:rsidRPr="00CC24A7">
              <w:rPr>
                <w:rFonts w:ascii="Arial Narrow" w:hAnsi="Arial Narrow"/>
                <w:sz w:val="20"/>
                <w:szCs w:val="20"/>
              </w:rPr>
              <w:t>19.6</w:t>
            </w:r>
            <w:r>
              <w:rPr>
                <w:rFonts w:ascii="Arial Narrow" w:hAnsi="Arial Narrow"/>
                <w:sz w:val="20"/>
                <w:szCs w:val="20"/>
              </w:rPr>
              <w:t>%</w:t>
            </w:r>
          </w:p>
        </w:tc>
      </w:tr>
      <w:tr w:rsidR="00B967FB" w:rsidTr="00B967FB">
        <w:tc>
          <w:tcPr>
            <w:tcW w:w="1180" w:type="dxa"/>
            <w:tcBorders>
              <w:right w:val="single" w:sz="8" w:space="0" w:color="auto"/>
            </w:tcBorders>
            <w:vAlign w:val="center"/>
          </w:tcPr>
          <w:p w:rsidR="00B967FB" w:rsidRPr="00CC24A7" w:rsidRDefault="00B967FB" w:rsidP="00B967FB">
            <w:pPr>
              <w:rPr>
                <w:rFonts w:ascii="Arial Narrow" w:hAnsi="Arial Narrow"/>
                <w:sz w:val="20"/>
                <w:szCs w:val="20"/>
              </w:rPr>
            </w:pPr>
            <w:r w:rsidRPr="00CC24A7">
              <w:rPr>
                <w:rFonts w:ascii="Arial Narrow" w:hAnsi="Arial Narrow"/>
                <w:sz w:val="20"/>
                <w:szCs w:val="20"/>
              </w:rPr>
              <w:t>2009</w:t>
            </w:r>
          </w:p>
        </w:tc>
        <w:tc>
          <w:tcPr>
            <w:tcW w:w="908" w:type="dxa"/>
            <w:tcBorders>
              <w:top w:val="nil"/>
              <w:left w:val="single" w:sz="8" w:space="0" w:color="auto"/>
              <w:bottom w:val="nil"/>
            </w:tcBorders>
            <w:vAlign w:val="center"/>
          </w:tcPr>
          <w:p w:rsidR="00B967FB" w:rsidRPr="00CC24A7" w:rsidRDefault="00B967FB" w:rsidP="00B967FB">
            <w:pPr>
              <w:jc w:val="right"/>
              <w:rPr>
                <w:rFonts w:ascii="Arial Narrow" w:hAnsi="Arial Narrow"/>
                <w:sz w:val="20"/>
                <w:szCs w:val="20"/>
              </w:rPr>
            </w:pPr>
            <w:r w:rsidRPr="00CC24A7">
              <w:rPr>
                <w:rFonts w:ascii="Arial Narrow" w:hAnsi="Arial Narrow"/>
                <w:sz w:val="20"/>
                <w:szCs w:val="20"/>
              </w:rPr>
              <w:t>1,200</w:t>
            </w:r>
          </w:p>
        </w:tc>
        <w:tc>
          <w:tcPr>
            <w:tcW w:w="1101" w:type="dxa"/>
            <w:tcBorders>
              <w:top w:val="nil"/>
              <w:bottom w:val="nil"/>
              <w:right w:val="single" w:sz="8" w:space="0" w:color="auto"/>
            </w:tcBorders>
            <w:vAlign w:val="center"/>
          </w:tcPr>
          <w:p w:rsidR="00B967FB" w:rsidRPr="00CC24A7" w:rsidRDefault="00B967FB" w:rsidP="00B967FB">
            <w:pPr>
              <w:jc w:val="right"/>
              <w:rPr>
                <w:rFonts w:ascii="Arial Narrow" w:hAnsi="Arial Narrow"/>
                <w:sz w:val="20"/>
                <w:szCs w:val="20"/>
              </w:rPr>
            </w:pPr>
            <w:r w:rsidRPr="00CC24A7">
              <w:rPr>
                <w:rFonts w:ascii="Arial Narrow" w:hAnsi="Arial Narrow"/>
                <w:sz w:val="20"/>
                <w:szCs w:val="20"/>
              </w:rPr>
              <w:t>214</w:t>
            </w:r>
          </w:p>
        </w:tc>
        <w:tc>
          <w:tcPr>
            <w:tcW w:w="1256" w:type="dxa"/>
            <w:tcBorders>
              <w:top w:val="nil"/>
              <w:left w:val="single" w:sz="8" w:space="0" w:color="auto"/>
              <w:bottom w:val="nil"/>
            </w:tcBorders>
            <w:vAlign w:val="center"/>
          </w:tcPr>
          <w:p w:rsidR="00B967FB" w:rsidRPr="00CC24A7" w:rsidRDefault="00B967FB" w:rsidP="00B967FB">
            <w:pPr>
              <w:jc w:val="right"/>
              <w:rPr>
                <w:rFonts w:ascii="Arial Narrow" w:hAnsi="Arial Narrow"/>
                <w:sz w:val="20"/>
                <w:szCs w:val="20"/>
              </w:rPr>
            </w:pPr>
            <w:r w:rsidRPr="00CC24A7">
              <w:rPr>
                <w:rFonts w:ascii="Arial Narrow" w:hAnsi="Arial Narrow"/>
                <w:sz w:val="20"/>
                <w:szCs w:val="20"/>
              </w:rPr>
              <w:t>224</w:t>
            </w:r>
          </w:p>
        </w:tc>
        <w:tc>
          <w:tcPr>
            <w:tcW w:w="1243" w:type="dxa"/>
            <w:tcBorders>
              <w:top w:val="nil"/>
              <w:bottom w:val="nil"/>
              <w:right w:val="single" w:sz="8" w:space="0" w:color="auto"/>
            </w:tcBorders>
            <w:vAlign w:val="center"/>
          </w:tcPr>
          <w:p w:rsidR="00B967FB" w:rsidRPr="00CC24A7" w:rsidRDefault="00B967FB" w:rsidP="00B967FB">
            <w:pPr>
              <w:jc w:val="right"/>
              <w:rPr>
                <w:rFonts w:ascii="Arial Narrow" w:hAnsi="Arial Narrow"/>
                <w:sz w:val="20"/>
                <w:szCs w:val="20"/>
              </w:rPr>
            </w:pPr>
            <w:r w:rsidRPr="00CC24A7">
              <w:rPr>
                <w:rFonts w:ascii="Arial Narrow" w:hAnsi="Arial Narrow"/>
                <w:sz w:val="20"/>
                <w:szCs w:val="20"/>
              </w:rPr>
              <w:t>417</w:t>
            </w:r>
          </w:p>
        </w:tc>
        <w:tc>
          <w:tcPr>
            <w:tcW w:w="1174" w:type="dxa"/>
            <w:tcBorders>
              <w:left w:val="single" w:sz="8" w:space="0" w:color="auto"/>
            </w:tcBorders>
            <w:vAlign w:val="center"/>
          </w:tcPr>
          <w:p w:rsidR="00B967FB" w:rsidRPr="00CC24A7" w:rsidRDefault="00B967FB" w:rsidP="00B967FB">
            <w:pPr>
              <w:jc w:val="right"/>
              <w:rPr>
                <w:rFonts w:ascii="Arial Narrow" w:hAnsi="Arial Narrow"/>
                <w:sz w:val="20"/>
                <w:szCs w:val="20"/>
              </w:rPr>
            </w:pPr>
            <w:r w:rsidRPr="00CC24A7">
              <w:rPr>
                <w:rFonts w:ascii="Arial Narrow" w:hAnsi="Arial Narrow"/>
                <w:sz w:val="20"/>
                <w:szCs w:val="20"/>
              </w:rPr>
              <w:t>2,056</w:t>
            </w:r>
          </w:p>
        </w:tc>
        <w:tc>
          <w:tcPr>
            <w:tcW w:w="986" w:type="dxa"/>
            <w:vAlign w:val="center"/>
          </w:tcPr>
          <w:p w:rsidR="00B967FB" w:rsidRPr="00CC24A7" w:rsidRDefault="00B967FB" w:rsidP="00B967FB">
            <w:pPr>
              <w:jc w:val="right"/>
              <w:rPr>
                <w:rFonts w:ascii="Arial Narrow" w:hAnsi="Arial Narrow"/>
                <w:sz w:val="20"/>
                <w:szCs w:val="20"/>
              </w:rPr>
            </w:pPr>
            <w:r w:rsidRPr="00CC24A7">
              <w:rPr>
                <w:rFonts w:ascii="Arial Narrow" w:hAnsi="Arial Narrow"/>
                <w:sz w:val="20"/>
                <w:szCs w:val="20"/>
              </w:rPr>
              <w:t>10,246</w:t>
            </w:r>
          </w:p>
        </w:tc>
        <w:tc>
          <w:tcPr>
            <w:tcW w:w="1260" w:type="dxa"/>
            <w:vAlign w:val="center"/>
          </w:tcPr>
          <w:p w:rsidR="00B967FB" w:rsidRPr="00CC24A7" w:rsidRDefault="00B967FB" w:rsidP="00B967FB">
            <w:pPr>
              <w:jc w:val="center"/>
              <w:rPr>
                <w:rFonts w:ascii="Arial Narrow" w:hAnsi="Arial Narrow"/>
                <w:sz w:val="20"/>
                <w:szCs w:val="20"/>
              </w:rPr>
            </w:pPr>
            <w:r w:rsidRPr="00CC24A7">
              <w:rPr>
                <w:rFonts w:ascii="Arial Narrow" w:hAnsi="Arial Narrow"/>
                <w:sz w:val="20"/>
                <w:szCs w:val="20"/>
              </w:rPr>
              <w:t>20.1</w:t>
            </w:r>
            <w:r>
              <w:rPr>
                <w:rFonts w:ascii="Arial Narrow" w:hAnsi="Arial Narrow"/>
                <w:sz w:val="20"/>
                <w:szCs w:val="20"/>
              </w:rPr>
              <w:t>%</w:t>
            </w:r>
          </w:p>
        </w:tc>
      </w:tr>
      <w:tr w:rsidR="00B967FB" w:rsidRPr="00CC24A7" w:rsidTr="00B967FB">
        <w:tc>
          <w:tcPr>
            <w:tcW w:w="1180" w:type="dxa"/>
            <w:tcBorders>
              <w:right w:val="single" w:sz="8" w:space="0" w:color="auto"/>
            </w:tcBorders>
            <w:vAlign w:val="center"/>
          </w:tcPr>
          <w:p w:rsidR="00B967FB" w:rsidRPr="00CC24A7" w:rsidRDefault="00B967FB" w:rsidP="00B967FB">
            <w:pPr>
              <w:rPr>
                <w:rFonts w:ascii="Arial Narrow" w:hAnsi="Arial Narrow"/>
                <w:sz w:val="20"/>
                <w:szCs w:val="20"/>
              </w:rPr>
            </w:pPr>
            <w:r w:rsidRPr="00CC24A7">
              <w:rPr>
                <w:rFonts w:ascii="Arial Narrow" w:hAnsi="Arial Narrow"/>
                <w:sz w:val="20"/>
                <w:szCs w:val="20"/>
              </w:rPr>
              <w:t>2010</w:t>
            </w:r>
          </w:p>
        </w:tc>
        <w:tc>
          <w:tcPr>
            <w:tcW w:w="908" w:type="dxa"/>
            <w:tcBorders>
              <w:top w:val="nil"/>
              <w:left w:val="single" w:sz="8" w:space="0" w:color="auto"/>
              <w:bottom w:val="nil"/>
            </w:tcBorders>
            <w:vAlign w:val="center"/>
          </w:tcPr>
          <w:p w:rsidR="00B967FB" w:rsidRPr="00CC24A7" w:rsidRDefault="00B967FB" w:rsidP="00B967FB">
            <w:pPr>
              <w:jc w:val="right"/>
              <w:rPr>
                <w:rFonts w:ascii="Arial Narrow" w:hAnsi="Arial Narrow"/>
                <w:sz w:val="20"/>
                <w:szCs w:val="20"/>
              </w:rPr>
            </w:pPr>
            <w:r w:rsidRPr="00CC24A7">
              <w:rPr>
                <w:rFonts w:ascii="Arial Narrow" w:hAnsi="Arial Narrow"/>
                <w:sz w:val="20"/>
                <w:szCs w:val="20"/>
              </w:rPr>
              <w:t>1,224</w:t>
            </w:r>
          </w:p>
        </w:tc>
        <w:tc>
          <w:tcPr>
            <w:tcW w:w="1101" w:type="dxa"/>
            <w:tcBorders>
              <w:top w:val="nil"/>
              <w:bottom w:val="nil"/>
              <w:right w:val="single" w:sz="8" w:space="0" w:color="auto"/>
            </w:tcBorders>
            <w:vAlign w:val="center"/>
          </w:tcPr>
          <w:p w:rsidR="00B967FB" w:rsidRPr="00CC24A7" w:rsidRDefault="00B967FB" w:rsidP="00B967FB">
            <w:pPr>
              <w:jc w:val="right"/>
              <w:rPr>
                <w:rFonts w:ascii="Arial Narrow" w:hAnsi="Arial Narrow"/>
                <w:sz w:val="20"/>
                <w:szCs w:val="20"/>
              </w:rPr>
            </w:pPr>
            <w:r w:rsidRPr="00CC24A7">
              <w:rPr>
                <w:rFonts w:ascii="Arial Narrow" w:hAnsi="Arial Narrow"/>
                <w:sz w:val="20"/>
                <w:szCs w:val="20"/>
              </w:rPr>
              <w:t>219</w:t>
            </w:r>
          </w:p>
        </w:tc>
        <w:tc>
          <w:tcPr>
            <w:tcW w:w="1256" w:type="dxa"/>
            <w:tcBorders>
              <w:top w:val="nil"/>
              <w:left w:val="single" w:sz="8" w:space="0" w:color="auto"/>
              <w:bottom w:val="nil"/>
            </w:tcBorders>
            <w:vAlign w:val="center"/>
          </w:tcPr>
          <w:p w:rsidR="00B967FB" w:rsidRPr="00CC24A7" w:rsidRDefault="00B967FB" w:rsidP="00B967FB">
            <w:pPr>
              <w:jc w:val="right"/>
              <w:rPr>
                <w:rFonts w:ascii="Arial Narrow" w:hAnsi="Arial Narrow"/>
                <w:sz w:val="20"/>
                <w:szCs w:val="20"/>
              </w:rPr>
            </w:pPr>
            <w:r w:rsidRPr="00CC24A7">
              <w:rPr>
                <w:rFonts w:ascii="Arial Narrow" w:hAnsi="Arial Narrow"/>
                <w:sz w:val="20"/>
                <w:szCs w:val="20"/>
              </w:rPr>
              <w:t>228</w:t>
            </w:r>
          </w:p>
        </w:tc>
        <w:tc>
          <w:tcPr>
            <w:tcW w:w="1243" w:type="dxa"/>
            <w:tcBorders>
              <w:top w:val="nil"/>
              <w:bottom w:val="nil"/>
              <w:right w:val="single" w:sz="8" w:space="0" w:color="auto"/>
            </w:tcBorders>
            <w:vAlign w:val="center"/>
          </w:tcPr>
          <w:p w:rsidR="00B967FB" w:rsidRPr="00CC24A7" w:rsidRDefault="00B967FB" w:rsidP="00B967FB">
            <w:pPr>
              <w:jc w:val="right"/>
              <w:rPr>
                <w:rFonts w:ascii="Arial Narrow" w:hAnsi="Arial Narrow"/>
                <w:sz w:val="20"/>
                <w:szCs w:val="20"/>
              </w:rPr>
            </w:pPr>
            <w:r w:rsidRPr="00CC24A7">
              <w:rPr>
                <w:rFonts w:ascii="Arial Narrow" w:hAnsi="Arial Narrow"/>
                <w:sz w:val="20"/>
                <w:szCs w:val="20"/>
              </w:rPr>
              <w:t>422</w:t>
            </w:r>
          </w:p>
        </w:tc>
        <w:tc>
          <w:tcPr>
            <w:tcW w:w="1174" w:type="dxa"/>
            <w:tcBorders>
              <w:left w:val="single" w:sz="8" w:space="0" w:color="auto"/>
            </w:tcBorders>
            <w:vAlign w:val="center"/>
          </w:tcPr>
          <w:p w:rsidR="00B967FB" w:rsidRPr="00CC24A7" w:rsidRDefault="00B967FB" w:rsidP="00B967FB">
            <w:pPr>
              <w:jc w:val="right"/>
              <w:rPr>
                <w:rFonts w:ascii="Arial Narrow" w:hAnsi="Arial Narrow"/>
                <w:sz w:val="20"/>
                <w:szCs w:val="20"/>
              </w:rPr>
            </w:pPr>
            <w:r w:rsidRPr="00CC24A7">
              <w:rPr>
                <w:rFonts w:ascii="Arial Narrow" w:hAnsi="Arial Narrow"/>
                <w:sz w:val="20"/>
                <w:szCs w:val="20"/>
              </w:rPr>
              <w:t>2,093</w:t>
            </w:r>
          </w:p>
        </w:tc>
        <w:tc>
          <w:tcPr>
            <w:tcW w:w="986" w:type="dxa"/>
            <w:vAlign w:val="center"/>
          </w:tcPr>
          <w:p w:rsidR="00B967FB" w:rsidRPr="00CC24A7" w:rsidRDefault="00B967FB" w:rsidP="00B967FB">
            <w:pPr>
              <w:jc w:val="right"/>
              <w:rPr>
                <w:rFonts w:ascii="Arial Narrow" w:hAnsi="Arial Narrow"/>
                <w:sz w:val="20"/>
                <w:szCs w:val="20"/>
              </w:rPr>
            </w:pPr>
            <w:r w:rsidRPr="00CC24A7">
              <w:rPr>
                <w:rFonts w:ascii="Arial Narrow" w:hAnsi="Arial Narrow"/>
                <w:sz w:val="20"/>
                <w:szCs w:val="20"/>
              </w:rPr>
              <w:t>10,530</w:t>
            </w:r>
          </w:p>
        </w:tc>
        <w:tc>
          <w:tcPr>
            <w:tcW w:w="1260" w:type="dxa"/>
            <w:vAlign w:val="center"/>
          </w:tcPr>
          <w:p w:rsidR="00B967FB" w:rsidRPr="00CC24A7" w:rsidRDefault="00B967FB" w:rsidP="00B967FB">
            <w:pPr>
              <w:jc w:val="center"/>
              <w:rPr>
                <w:rFonts w:ascii="Arial Narrow" w:hAnsi="Arial Narrow"/>
                <w:sz w:val="20"/>
                <w:szCs w:val="20"/>
              </w:rPr>
            </w:pPr>
            <w:r w:rsidRPr="00CC24A7">
              <w:rPr>
                <w:rFonts w:ascii="Arial Narrow" w:hAnsi="Arial Narrow"/>
                <w:sz w:val="20"/>
                <w:szCs w:val="20"/>
              </w:rPr>
              <w:t>20.0</w:t>
            </w:r>
            <w:r>
              <w:rPr>
                <w:rFonts w:ascii="Arial Narrow" w:hAnsi="Arial Narrow"/>
                <w:sz w:val="20"/>
                <w:szCs w:val="20"/>
              </w:rPr>
              <w:t>%</w:t>
            </w:r>
          </w:p>
        </w:tc>
      </w:tr>
      <w:tr w:rsidR="00B967FB" w:rsidRPr="00CC24A7" w:rsidTr="00B967FB">
        <w:tc>
          <w:tcPr>
            <w:tcW w:w="1180" w:type="dxa"/>
            <w:tcBorders>
              <w:right w:val="single" w:sz="8" w:space="0" w:color="auto"/>
            </w:tcBorders>
            <w:vAlign w:val="center"/>
          </w:tcPr>
          <w:p w:rsidR="00B967FB" w:rsidRPr="00CC24A7" w:rsidRDefault="00B967FB" w:rsidP="00B967FB">
            <w:pPr>
              <w:rPr>
                <w:rFonts w:ascii="Arial Narrow" w:hAnsi="Arial Narrow"/>
                <w:sz w:val="20"/>
                <w:szCs w:val="20"/>
              </w:rPr>
            </w:pPr>
            <w:r>
              <w:rPr>
                <w:rFonts w:ascii="Arial Narrow" w:hAnsi="Arial Narrow"/>
                <w:sz w:val="20"/>
                <w:szCs w:val="20"/>
              </w:rPr>
              <w:t>2011</w:t>
            </w:r>
          </w:p>
        </w:tc>
        <w:tc>
          <w:tcPr>
            <w:tcW w:w="908" w:type="dxa"/>
            <w:tcBorders>
              <w:top w:val="nil"/>
              <w:left w:val="single" w:sz="8" w:space="0" w:color="auto"/>
              <w:bottom w:val="single" w:sz="12" w:space="0" w:color="auto"/>
            </w:tcBorders>
            <w:vAlign w:val="center"/>
          </w:tcPr>
          <w:p w:rsidR="00B967FB" w:rsidRPr="00CC24A7" w:rsidRDefault="00B967FB" w:rsidP="00B967FB">
            <w:pPr>
              <w:jc w:val="right"/>
              <w:rPr>
                <w:rFonts w:ascii="Arial Narrow" w:hAnsi="Arial Narrow"/>
                <w:sz w:val="20"/>
                <w:szCs w:val="20"/>
              </w:rPr>
            </w:pPr>
            <w:r>
              <w:rPr>
                <w:rFonts w:ascii="Arial Narrow" w:hAnsi="Arial Narrow"/>
                <w:sz w:val="20"/>
                <w:szCs w:val="20"/>
              </w:rPr>
              <w:t>1,215</w:t>
            </w:r>
          </w:p>
        </w:tc>
        <w:tc>
          <w:tcPr>
            <w:tcW w:w="1101" w:type="dxa"/>
            <w:tcBorders>
              <w:top w:val="nil"/>
              <w:bottom w:val="single" w:sz="12" w:space="0" w:color="auto"/>
              <w:right w:val="single" w:sz="8" w:space="0" w:color="auto"/>
            </w:tcBorders>
            <w:vAlign w:val="center"/>
          </w:tcPr>
          <w:p w:rsidR="00B967FB" w:rsidRPr="00CC24A7" w:rsidRDefault="00B967FB" w:rsidP="00B967FB">
            <w:pPr>
              <w:jc w:val="right"/>
              <w:rPr>
                <w:rFonts w:ascii="Arial Narrow" w:hAnsi="Arial Narrow"/>
                <w:sz w:val="20"/>
                <w:szCs w:val="20"/>
              </w:rPr>
            </w:pPr>
            <w:r>
              <w:rPr>
                <w:rFonts w:ascii="Arial Narrow" w:hAnsi="Arial Narrow"/>
                <w:sz w:val="20"/>
                <w:szCs w:val="20"/>
              </w:rPr>
              <w:t>228</w:t>
            </w:r>
          </w:p>
        </w:tc>
        <w:tc>
          <w:tcPr>
            <w:tcW w:w="1256" w:type="dxa"/>
            <w:tcBorders>
              <w:top w:val="nil"/>
              <w:left w:val="single" w:sz="8" w:space="0" w:color="auto"/>
              <w:bottom w:val="single" w:sz="12" w:space="0" w:color="auto"/>
            </w:tcBorders>
            <w:vAlign w:val="center"/>
          </w:tcPr>
          <w:p w:rsidR="00B967FB" w:rsidRPr="00CC24A7" w:rsidRDefault="00B967FB" w:rsidP="00B967FB">
            <w:pPr>
              <w:jc w:val="right"/>
              <w:rPr>
                <w:rFonts w:ascii="Arial Narrow" w:hAnsi="Arial Narrow"/>
                <w:sz w:val="20"/>
                <w:szCs w:val="20"/>
              </w:rPr>
            </w:pPr>
            <w:r>
              <w:rPr>
                <w:rFonts w:ascii="Arial Narrow" w:hAnsi="Arial Narrow"/>
                <w:sz w:val="20"/>
                <w:szCs w:val="20"/>
              </w:rPr>
              <w:t>246</w:t>
            </w:r>
          </w:p>
        </w:tc>
        <w:tc>
          <w:tcPr>
            <w:tcW w:w="1243" w:type="dxa"/>
            <w:tcBorders>
              <w:top w:val="nil"/>
              <w:bottom w:val="single" w:sz="12" w:space="0" w:color="auto"/>
              <w:right w:val="single" w:sz="8" w:space="0" w:color="auto"/>
            </w:tcBorders>
            <w:vAlign w:val="center"/>
          </w:tcPr>
          <w:p w:rsidR="00B967FB" w:rsidRPr="00CC24A7" w:rsidRDefault="00B967FB" w:rsidP="00B967FB">
            <w:pPr>
              <w:jc w:val="right"/>
              <w:rPr>
                <w:rFonts w:ascii="Arial Narrow" w:hAnsi="Arial Narrow"/>
                <w:sz w:val="20"/>
                <w:szCs w:val="20"/>
              </w:rPr>
            </w:pPr>
            <w:r>
              <w:rPr>
                <w:rFonts w:ascii="Arial Narrow" w:hAnsi="Arial Narrow"/>
                <w:sz w:val="20"/>
                <w:szCs w:val="20"/>
              </w:rPr>
              <w:t>436</w:t>
            </w:r>
          </w:p>
        </w:tc>
        <w:tc>
          <w:tcPr>
            <w:tcW w:w="1174" w:type="dxa"/>
            <w:tcBorders>
              <w:left w:val="single" w:sz="8" w:space="0" w:color="auto"/>
            </w:tcBorders>
            <w:vAlign w:val="center"/>
          </w:tcPr>
          <w:p w:rsidR="00B967FB" w:rsidRPr="00CC24A7" w:rsidRDefault="00B967FB" w:rsidP="00B967FB">
            <w:pPr>
              <w:jc w:val="right"/>
              <w:rPr>
                <w:rFonts w:ascii="Arial Narrow" w:hAnsi="Arial Narrow"/>
                <w:sz w:val="20"/>
                <w:szCs w:val="20"/>
              </w:rPr>
            </w:pPr>
            <w:r>
              <w:rPr>
                <w:rFonts w:ascii="Arial Narrow" w:hAnsi="Arial Narrow"/>
                <w:sz w:val="20"/>
                <w:szCs w:val="20"/>
              </w:rPr>
              <w:t>2,125</w:t>
            </w:r>
          </w:p>
        </w:tc>
        <w:tc>
          <w:tcPr>
            <w:tcW w:w="986" w:type="dxa"/>
            <w:vAlign w:val="center"/>
          </w:tcPr>
          <w:p w:rsidR="00B967FB" w:rsidRPr="00CC24A7" w:rsidRDefault="00B967FB" w:rsidP="00B967FB">
            <w:pPr>
              <w:jc w:val="right"/>
              <w:rPr>
                <w:rFonts w:ascii="Arial Narrow" w:hAnsi="Arial Narrow"/>
                <w:sz w:val="20"/>
                <w:szCs w:val="20"/>
              </w:rPr>
            </w:pPr>
            <w:r>
              <w:rPr>
                <w:rFonts w:ascii="Arial Narrow" w:hAnsi="Arial Narrow"/>
                <w:sz w:val="20"/>
                <w:szCs w:val="20"/>
              </w:rPr>
              <w:t>10,710</w:t>
            </w:r>
          </w:p>
        </w:tc>
        <w:tc>
          <w:tcPr>
            <w:tcW w:w="1260" w:type="dxa"/>
            <w:vAlign w:val="center"/>
          </w:tcPr>
          <w:p w:rsidR="00B967FB" w:rsidRPr="00CC24A7" w:rsidRDefault="00B967FB" w:rsidP="00B967FB">
            <w:pPr>
              <w:jc w:val="center"/>
              <w:rPr>
                <w:rFonts w:ascii="Arial Narrow" w:hAnsi="Arial Narrow"/>
                <w:sz w:val="20"/>
                <w:szCs w:val="20"/>
              </w:rPr>
            </w:pPr>
            <w:r>
              <w:rPr>
                <w:rFonts w:ascii="Arial Narrow" w:hAnsi="Arial Narrow"/>
                <w:sz w:val="20"/>
                <w:szCs w:val="20"/>
              </w:rPr>
              <w:t>19.8%</w:t>
            </w:r>
          </w:p>
        </w:tc>
      </w:tr>
    </w:tbl>
    <w:p w:rsidR="00B967FB" w:rsidRPr="00AB7F6E" w:rsidRDefault="00B967FB" w:rsidP="00B967FB">
      <w:pPr>
        <w:pStyle w:val="ESESourceLine"/>
        <w:rPr>
          <w:sz w:val="18"/>
          <w:szCs w:val="18"/>
        </w:rPr>
      </w:pPr>
      <w:r w:rsidRPr="00AB7F6E">
        <w:rPr>
          <w:sz w:val="18"/>
          <w:szCs w:val="18"/>
        </w:rPr>
        <w:t xml:space="preserve">Note: Values rounded to nearest million. Source: End of Year Pupil and Financial Report, </w:t>
      </w:r>
    </w:p>
    <w:p w:rsidR="00B967FB" w:rsidRPr="00AB7F6E" w:rsidRDefault="00B967FB" w:rsidP="00B967FB">
      <w:pPr>
        <w:pStyle w:val="ESESourceLine"/>
        <w:rPr>
          <w:sz w:val="18"/>
          <w:szCs w:val="18"/>
        </w:rPr>
      </w:pPr>
      <w:r w:rsidRPr="00AB7F6E">
        <w:rPr>
          <w:sz w:val="18"/>
          <w:szCs w:val="18"/>
        </w:rPr>
        <w:t>Schedule 4 – Special Education Expenditures by Prototype</w:t>
      </w:r>
    </w:p>
    <w:p w:rsidR="0087709C" w:rsidRPr="000C64F6" w:rsidRDefault="0087709C" w:rsidP="007A1237">
      <w:pPr>
        <w:pStyle w:val="Heading2"/>
        <w:numPr>
          <w:ilvl w:val="0"/>
          <w:numId w:val="17"/>
        </w:numPr>
        <w:ind w:left="0" w:firstLine="0"/>
      </w:pPr>
      <w:bookmarkStart w:id="24" w:name="_Toc342312320"/>
      <w:r w:rsidRPr="000C64F6">
        <w:t>Circuit Breaker</w:t>
      </w:r>
      <w:bookmarkEnd w:id="24"/>
    </w:p>
    <w:p w:rsidR="0087709C" w:rsidRDefault="0087709C" w:rsidP="0087709C">
      <w:pPr>
        <w:rPr>
          <w:b/>
          <w:sz w:val="32"/>
          <w:szCs w:val="32"/>
        </w:rPr>
      </w:pPr>
    </w:p>
    <w:p w:rsidR="0087709C" w:rsidRPr="00CF22F8" w:rsidRDefault="0087709C" w:rsidP="00CF22F8">
      <w:pPr>
        <w:pStyle w:val="BodyText"/>
        <w:rPr>
          <w:sz w:val="24"/>
          <w:szCs w:val="24"/>
        </w:rPr>
      </w:pPr>
      <w:r w:rsidRPr="00CF22F8">
        <w:rPr>
          <w:sz w:val="24"/>
          <w:szCs w:val="24"/>
        </w:rPr>
        <w:t>The state “Circuit Breaker” program – a special education reimbursement program enacted by the Legislature [St. 2000</w:t>
      </w:r>
      <w:r w:rsidR="00593E75" w:rsidRPr="00CF22F8">
        <w:rPr>
          <w:sz w:val="24"/>
          <w:szCs w:val="24"/>
        </w:rPr>
        <w:t>,</w:t>
      </w:r>
      <w:r w:rsidRPr="00CF22F8">
        <w:rPr>
          <w:sz w:val="24"/>
          <w:szCs w:val="24"/>
        </w:rPr>
        <w:t xml:space="preserve"> c. 159, § 171] – was first implemented in FY04. The “Circuit Breaker” program is designed to provide additional state financial assistance to school districts that have incurred exceptionally high costs in educating individual students with disabilities. The law supports shared costs between the state and the school district when costs rise above a certain level</w:t>
      </w:r>
      <w:r w:rsidR="00344F0C">
        <w:rPr>
          <w:sz w:val="24"/>
          <w:szCs w:val="24"/>
        </w:rPr>
        <w:t>, at which point the state will share up to 75% of the costs</w:t>
      </w:r>
      <w:r w:rsidRPr="00CF22F8">
        <w:rPr>
          <w:sz w:val="24"/>
          <w:szCs w:val="24"/>
        </w:rPr>
        <w:t>. Massachusetts state funds are available to reimburse a school district for students with disabilities whose special education costs exceed four times the state average foundation budget per pupil.  In FY10, and FY 11, rates fell well below the statutory maximum, at 42 percent and 43.66 percent respectively.  In FY 12</w:t>
      </w:r>
      <w:r w:rsidR="00CF22F8" w:rsidRPr="00CF22F8">
        <w:rPr>
          <w:sz w:val="24"/>
          <w:szCs w:val="24"/>
        </w:rPr>
        <w:t xml:space="preserve">, </w:t>
      </w:r>
      <w:r w:rsidRPr="00CF22F8">
        <w:rPr>
          <w:sz w:val="24"/>
          <w:szCs w:val="24"/>
        </w:rPr>
        <w:t xml:space="preserve">the reimbursement rate jumped to 68.71 percent, which is still less than the statutory maximum but which demonstrates a considerable increase in reimbursements to districts. </w:t>
      </w:r>
    </w:p>
    <w:p w:rsidR="0087709C" w:rsidRPr="00CF22F8" w:rsidRDefault="0087709C" w:rsidP="00CF22F8">
      <w:pPr>
        <w:pStyle w:val="BodyText"/>
        <w:rPr>
          <w:sz w:val="24"/>
          <w:szCs w:val="24"/>
        </w:rPr>
      </w:pPr>
    </w:p>
    <w:p w:rsidR="0087709C" w:rsidRPr="00CF22F8" w:rsidRDefault="0087709C" w:rsidP="00CF22F8">
      <w:pPr>
        <w:pStyle w:val="BodyText"/>
        <w:rPr>
          <w:sz w:val="24"/>
          <w:szCs w:val="24"/>
        </w:rPr>
      </w:pPr>
      <w:r w:rsidRPr="00CF22F8">
        <w:rPr>
          <w:sz w:val="24"/>
          <w:szCs w:val="24"/>
        </w:rPr>
        <w:t>In FY12, a total of 287 districts filed 20,663</w:t>
      </w:r>
      <w:r w:rsidR="00CF22F8" w:rsidRPr="00CF22F8">
        <w:rPr>
          <w:sz w:val="24"/>
          <w:szCs w:val="24"/>
        </w:rPr>
        <w:t xml:space="preserve"> claims; this is </w:t>
      </w:r>
      <w:r w:rsidRPr="00CF22F8">
        <w:rPr>
          <w:sz w:val="24"/>
          <w:szCs w:val="24"/>
        </w:rPr>
        <w:t xml:space="preserve">189 </w:t>
      </w:r>
      <w:r w:rsidR="00CF22F8" w:rsidRPr="00CF22F8">
        <w:rPr>
          <w:sz w:val="24"/>
          <w:szCs w:val="24"/>
        </w:rPr>
        <w:t>fewer</w:t>
      </w:r>
      <w:r w:rsidRPr="00CF22F8">
        <w:rPr>
          <w:sz w:val="24"/>
          <w:szCs w:val="24"/>
        </w:rPr>
        <w:t xml:space="preserve"> claims than were filed in FY11. The number of eligible students </w:t>
      </w:r>
      <w:r w:rsidR="00CF22F8" w:rsidRPr="00CF22F8">
        <w:rPr>
          <w:sz w:val="24"/>
          <w:szCs w:val="24"/>
        </w:rPr>
        <w:t>covered by</w:t>
      </w:r>
      <w:r w:rsidRPr="00CF22F8">
        <w:rPr>
          <w:sz w:val="24"/>
          <w:szCs w:val="24"/>
        </w:rPr>
        <w:t xml:space="preserve"> these claims was 9, 892</w:t>
      </w:r>
      <w:r w:rsidR="00CF22F8" w:rsidRPr="00CF22F8">
        <w:rPr>
          <w:sz w:val="24"/>
          <w:szCs w:val="24"/>
        </w:rPr>
        <w:t>,</w:t>
      </w:r>
      <w:r w:rsidRPr="00CF22F8">
        <w:rPr>
          <w:sz w:val="24"/>
          <w:szCs w:val="24"/>
        </w:rPr>
        <w:t xml:space="preserve"> and the total amount of eligible expenses claimed was just under $664 million, a decrease of more than $25 million from the previous fiscal year. The total amount reimbursed to school districts was approximately $203 million</w:t>
      </w:r>
      <w:r w:rsidR="00CF22F8" w:rsidRPr="00CF22F8">
        <w:rPr>
          <w:sz w:val="24"/>
          <w:szCs w:val="24"/>
        </w:rPr>
        <w:t xml:space="preserve">, an </w:t>
      </w:r>
      <w:r w:rsidRPr="00CF22F8">
        <w:rPr>
          <w:sz w:val="24"/>
          <w:szCs w:val="24"/>
        </w:rPr>
        <w:t>increase in reimbursements of $76 million.</w:t>
      </w:r>
    </w:p>
    <w:p w:rsidR="0087709C" w:rsidRPr="00CF22F8" w:rsidRDefault="0087709C" w:rsidP="00CF22F8">
      <w:pPr>
        <w:pStyle w:val="BodyText"/>
        <w:rPr>
          <w:sz w:val="24"/>
          <w:szCs w:val="24"/>
        </w:rPr>
      </w:pPr>
    </w:p>
    <w:p w:rsidR="0087709C" w:rsidRPr="00CF22F8" w:rsidRDefault="0087709C" w:rsidP="00CF22F8">
      <w:pPr>
        <w:pStyle w:val="BodyText"/>
        <w:rPr>
          <w:b/>
          <w:i/>
          <w:sz w:val="24"/>
          <w:szCs w:val="24"/>
        </w:rPr>
      </w:pPr>
      <w:r w:rsidRPr="00CF22F8">
        <w:rPr>
          <w:sz w:val="24"/>
          <w:szCs w:val="24"/>
        </w:rPr>
        <w:t>Claims submitted by districts through the “Circuit Breaker” reimbursement form indicate a shift in student placements based on the dollars spent. Students in private res</w:t>
      </w:r>
      <w:r w:rsidR="003469DE">
        <w:rPr>
          <w:sz w:val="24"/>
          <w:szCs w:val="24"/>
        </w:rPr>
        <w:t>idential placements claimed $201</w:t>
      </w:r>
      <w:r w:rsidRPr="00CF22F8">
        <w:rPr>
          <w:sz w:val="24"/>
          <w:szCs w:val="24"/>
        </w:rPr>
        <w:t xml:space="preserve"> million, a </w:t>
      </w:r>
      <w:r w:rsidR="003469DE">
        <w:rPr>
          <w:sz w:val="24"/>
          <w:szCs w:val="24"/>
        </w:rPr>
        <w:t>9</w:t>
      </w:r>
      <w:r w:rsidR="003F0B3C">
        <w:rPr>
          <w:sz w:val="24"/>
          <w:szCs w:val="24"/>
        </w:rPr>
        <w:t xml:space="preserve"> percent decrease</w:t>
      </w:r>
      <w:r w:rsidRPr="00CF22F8">
        <w:rPr>
          <w:sz w:val="24"/>
          <w:szCs w:val="24"/>
        </w:rPr>
        <w:t xml:space="preserve"> from the previous year. In-district placement claims</w:t>
      </w:r>
      <w:r w:rsidR="003469DE">
        <w:rPr>
          <w:sz w:val="24"/>
          <w:szCs w:val="24"/>
        </w:rPr>
        <w:t xml:space="preserve"> were $122</w:t>
      </w:r>
      <w:r w:rsidRPr="00CF22F8">
        <w:rPr>
          <w:sz w:val="24"/>
          <w:szCs w:val="24"/>
        </w:rPr>
        <w:t xml:space="preserve"> million, which </w:t>
      </w:r>
      <w:r w:rsidR="003F0B3C">
        <w:rPr>
          <w:sz w:val="24"/>
          <w:szCs w:val="24"/>
        </w:rPr>
        <w:t xml:space="preserve">is </w:t>
      </w:r>
      <w:r w:rsidR="003469DE">
        <w:rPr>
          <w:sz w:val="24"/>
          <w:szCs w:val="24"/>
        </w:rPr>
        <w:t>a de</w:t>
      </w:r>
      <w:r w:rsidRPr="00CF22F8">
        <w:rPr>
          <w:sz w:val="24"/>
          <w:szCs w:val="24"/>
        </w:rPr>
        <w:t xml:space="preserve">crease of </w:t>
      </w:r>
      <w:r w:rsidR="003F0B3C">
        <w:rPr>
          <w:sz w:val="24"/>
          <w:szCs w:val="24"/>
        </w:rPr>
        <w:t>8 percent</w:t>
      </w:r>
      <w:r w:rsidRPr="00CF22F8">
        <w:rPr>
          <w:sz w:val="24"/>
          <w:szCs w:val="24"/>
        </w:rPr>
        <w:t>.</w:t>
      </w:r>
      <w:r w:rsidR="00CF22F8" w:rsidRPr="00CF22F8">
        <w:rPr>
          <w:sz w:val="24"/>
          <w:szCs w:val="24"/>
        </w:rPr>
        <w:t xml:space="preserve"> </w:t>
      </w:r>
      <w:r w:rsidRPr="00CF22F8">
        <w:rPr>
          <w:sz w:val="24"/>
          <w:szCs w:val="24"/>
        </w:rPr>
        <w:t>Placements in educational col</w:t>
      </w:r>
      <w:r w:rsidR="003469DE">
        <w:rPr>
          <w:sz w:val="24"/>
          <w:szCs w:val="24"/>
        </w:rPr>
        <w:t>laborative programs claimed $150 million, which was an increase of $27</w:t>
      </w:r>
      <w:r w:rsidRPr="00CF22F8">
        <w:rPr>
          <w:sz w:val="24"/>
          <w:szCs w:val="24"/>
        </w:rPr>
        <w:t xml:space="preserve"> million</w:t>
      </w:r>
      <w:r w:rsidR="00CF22F8" w:rsidRPr="00CF22F8">
        <w:rPr>
          <w:sz w:val="24"/>
          <w:szCs w:val="24"/>
        </w:rPr>
        <w:t xml:space="preserve">; </w:t>
      </w:r>
      <w:r w:rsidRPr="00CF22F8">
        <w:rPr>
          <w:sz w:val="24"/>
          <w:szCs w:val="24"/>
        </w:rPr>
        <w:t>and pri</w:t>
      </w:r>
      <w:r w:rsidR="003469DE">
        <w:rPr>
          <w:sz w:val="24"/>
          <w:szCs w:val="24"/>
        </w:rPr>
        <w:t>vate day placements claimed $227</w:t>
      </w:r>
      <w:r w:rsidRPr="00CF22F8">
        <w:rPr>
          <w:sz w:val="24"/>
          <w:szCs w:val="24"/>
        </w:rPr>
        <w:t xml:space="preserve"> mill</w:t>
      </w:r>
      <w:r w:rsidR="003469DE">
        <w:rPr>
          <w:sz w:val="24"/>
          <w:szCs w:val="24"/>
        </w:rPr>
        <w:t>ion, a decrease of $15</w:t>
      </w:r>
      <w:r w:rsidRPr="00CF22F8">
        <w:rPr>
          <w:sz w:val="24"/>
          <w:szCs w:val="24"/>
        </w:rPr>
        <w:t xml:space="preserve"> million</w:t>
      </w:r>
      <w:r w:rsidRPr="00CF22F8">
        <w:rPr>
          <w:color w:val="FF0000"/>
          <w:sz w:val="24"/>
          <w:szCs w:val="24"/>
        </w:rPr>
        <w:t>.</w:t>
      </w:r>
    </w:p>
    <w:p w:rsidR="0087709C" w:rsidRDefault="0087709C" w:rsidP="0087709C"/>
    <w:p w:rsidR="00225DD0" w:rsidRPr="00D936EC" w:rsidRDefault="00225DD0" w:rsidP="00225DD0">
      <w:pPr>
        <w:pStyle w:val="ESETableChartFigHeaders"/>
        <w:rPr>
          <w:rFonts w:ascii="Times New Roman" w:hAnsi="Times New Roman"/>
          <w:sz w:val="24"/>
        </w:rPr>
      </w:pPr>
      <w:r>
        <w:rPr>
          <w:rFonts w:ascii="Times New Roman" w:hAnsi="Times New Roman"/>
          <w:sz w:val="24"/>
        </w:rPr>
        <w:t>Figure J</w:t>
      </w:r>
      <w:r w:rsidRPr="00D936EC">
        <w:rPr>
          <w:rFonts w:ascii="Times New Roman" w:hAnsi="Times New Roman"/>
          <w:sz w:val="24"/>
        </w:rPr>
        <w:t xml:space="preserve">:  Amounts claimed by Placement through Circuit Breaker                   </w:t>
      </w:r>
    </w:p>
    <w:tbl>
      <w:tblPr>
        <w:tblW w:w="0" w:type="auto"/>
        <w:tblBorders>
          <w:top w:val="single" w:sz="12" w:space="0" w:color="auto"/>
          <w:bottom w:val="single" w:sz="12" w:space="0" w:color="auto"/>
        </w:tblBorders>
        <w:tblCellMar>
          <w:top w:w="43" w:type="dxa"/>
          <w:left w:w="115" w:type="dxa"/>
          <w:bottom w:w="43" w:type="dxa"/>
          <w:right w:w="115" w:type="dxa"/>
        </w:tblCellMar>
        <w:tblLook w:val="01E0"/>
      </w:tblPr>
      <w:tblGrid>
        <w:gridCol w:w="1440"/>
        <w:gridCol w:w="1310"/>
        <w:gridCol w:w="1438"/>
        <w:gridCol w:w="1680"/>
        <w:gridCol w:w="1560"/>
      </w:tblGrid>
      <w:tr w:rsidR="00225DD0" w:rsidRPr="00C92410" w:rsidTr="003D4673">
        <w:tc>
          <w:tcPr>
            <w:tcW w:w="1440" w:type="dxa"/>
            <w:shd w:val="clear" w:color="auto" w:fill="auto"/>
            <w:vAlign w:val="center"/>
          </w:tcPr>
          <w:p w:rsidR="00225DD0" w:rsidRPr="00DD36CF" w:rsidRDefault="00225DD0" w:rsidP="003D4673">
            <w:pPr>
              <w:rPr>
                <w:sz w:val="20"/>
                <w:szCs w:val="20"/>
              </w:rPr>
            </w:pPr>
            <w:r w:rsidRPr="00DD36CF">
              <w:rPr>
                <w:sz w:val="20"/>
                <w:szCs w:val="20"/>
              </w:rPr>
              <w:t>Year</w:t>
            </w:r>
          </w:p>
        </w:tc>
        <w:tc>
          <w:tcPr>
            <w:tcW w:w="1310" w:type="dxa"/>
            <w:shd w:val="clear" w:color="auto" w:fill="auto"/>
            <w:vAlign w:val="center"/>
          </w:tcPr>
          <w:p w:rsidR="00225DD0" w:rsidRPr="00DD36CF" w:rsidRDefault="00225DD0" w:rsidP="003D4673">
            <w:pPr>
              <w:rPr>
                <w:sz w:val="20"/>
                <w:szCs w:val="20"/>
              </w:rPr>
            </w:pPr>
            <w:r w:rsidRPr="00DD36CF">
              <w:rPr>
                <w:sz w:val="20"/>
                <w:szCs w:val="20"/>
              </w:rPr>
              <w:t>Private Residential</w:t>
            </w:r>
          </w:p>
        </w:tc>
        <w:tc>
          <w:tcPr>
            <w:tcW w:w="1438" w:type="dxa"/>
            <w:shd w:val="clear" w:color="auto" w:fill="auto"/>
            <w:vAlign w:val="center"/>
          </w:tcPr>
          <w:p w:rsidR="00225DD0" w:rsidRPr="00DD36CF" w:rsidRDefault="00225DD0" w:rsidP="003D4673">
            <w:pPr>
              <w:rPr>
                <w:sz w:val="20"/>
                <w:szCs w:val="20"/>
              </w:rPr>
            </w:pPr>
            <w:r w:rsidRPr="00DD36CF">
              <w:rPr>
                <w:sz w:val="20"/>
                <w:szCs w:val="20"/>
              </w:rPr>
              <w:t>Private Day</w:t>
            </w:r>
          </w:p>
        </w:tc>
        <w:tc>
          <w:tcPr>
            <w:tcW w:w="1680" w:type="dxa"/>
            <w:shd w:val="clear" w:color="auto" w:fill="auto"/>
            <w:vAlign w:val="center"/>
          </w:tcPr>
          <w:p w:rsidR="00225DD0" w:rsidRPr="00DD36CF" w:rsidRDefault="00225DD0" w:rsidP="003D4673">
            <w:pPr>
              <w:rPr>
                <w:sz w:val="20"/>
                <w:szCs w:val="20"/>
              </w:rPr>
            </w:pPr>
            <w:r w:rsidRPr="00DD36CF">
              <w:rPr>
                <w:sz w:val="20"/>
                <w:szCs w:val="20"/>
              </w:rPr>
              <w:t>Collaborative</w:t>
            </w:r>
          </w:p>
        </w:tc>
        <w:tc>
          <w:tcPr>
            <w:tcW w:w="1560" w:type="dxa"/>
            <w:shd w:val="clear" w:color="auto" w:fill="auto"/>
            <w:vAlign w:val="center"/>
          </w:tcPr>
          <w:p w:rsidR="00225DD0" w:rsidRPr="00DD36CF" w:rsidRDefault="00225DD0" w:rsidP="003D4673">
            <w:pPr>
              <w:rPr>
                <w:sz w:val="20"/>
                <w:szCs w:val="20"/>
              </w:rPr>
            </w:pPr>
            <w:r w:rsidRPr="00DD36CF">
              <w:rPr>
                <w:sz w:val="20"/>
                <w:szCs w:val="20"/>
              </w:rPr>
              <w:t>In-District</w:t>
            </w:r>
          </w:p>
        </w:tc>
      </w:tr>
      <w:tr w:rsidR="00225DD0" w:rsidRPr="00C92410" w:rsidTr="003D4673">
        <w:tc>
          <w:tcPr>
            <w:tcW w:w="1440" w:type="dxa"/>
            <w:shd w:val="clear" w:color="auto" w:fill="auto"/>
            <w:vAlign w:val="center"/>
          </w:tcPr>
          <w:p w:rsidR="00225DD0" w:rsidRPr="00DD36CF" w:rsidRDefault="00225DD0" w:rsidP="003D4673">
            <w:pPr>
              <w:spacing w:line="360" w:lineRule="auto"/>
              <w:rPr>
                <w:sz w:val="20"/>
                <w:szCs w:val="20"/>
              </w:rPr>
            </w:pPr>
            <w:r w:rsidRPr="00DD36CF">
              <w:rPr>
                <w:sz w:val="20"/>
                <w:szCs w:val="20"/>
              </w:rPr>
              <w:t>FY06</w:t>
            </w:r>
          </w:p>
        </w:tc>
        <w:tc>
          <w:tcPr>
            <w:tcW w:w="1310" w:type="dxa"/>
            <w:shd w:val="clear" w:color="auto" w:fill="auto"/>
            <w:vAlign w:val="center"/>
          </w:tcPr>
          <w:p w:rsidR="00225DD0" w:rsidRPr="00DD36CF" w:rsidRDefault="00225DD0" w:rsidP="003D4673">
            <w:pPr>
              <w:spacing w:line="360" w:lineRule="auto"/>
              <w:rPr>
                <w:sz w:val="20"/>
                <w:szCs w:val="20"/>
              </w:rPr>
            </w:pPr>
            <w:r w:rsidRPr="00DD36CF">
              <w:rPr>
                <w:sz w:val="20"/>
                <w:szCs w:val="20"/>
              </w:rPr>
              <w:t>210</w:t>
            </w:r>
          </w:p>
        </w:tc>
        <w:tc>
          <w:tcPr>
            <w:tcW w:w="1438" w:type="dxa"/>
            <w:shd w:val="clear" w:color="auto" w:fill="auto"/>
            <w:vAlign w:val="center"/>
          </w:tcPr>
          <w:p w:rsidR="00225DD0" w:rsidRPr="00DD36CF" w:rsidRDefault="00225DD0" w:rsidP="003D4673">
            <w:pPr>
              <w:spacing w:line="360" w:lineRule="auto"/>
              <w:rPr>
                <w:sz w:val="20"/>
                <w:szCs w:val="20"/>
              </w:rPr>
            </w:pPr>
            <w:r w:rsidRPr="00DD36CF">
              <w:rPr>
                <w:sz w:val="20"/>
                <w:szCs w:val="20"/>
              </w:rPr>
              <w:t>160</w:t>
            </w:r>
          </w:p>
        </w:tc>
        <w:tc>
          <w:tcPr>
            <w:tcW w:w="1680" w:type="dxa"/>
            <w:shd w:val="clear" w:color="auto" w:fill="auto"/>
            <w:vAlign w:val="center"/>
          </w:tcPr>
          <w:p w:rsidR="00225DD0" w:rsidRPr="00DD36CF" w:rsidRDefault="00225DD0" w:rsidP="003D4673">
            <w:pPr>
              <w:spacing w:line="360" w:lineRule="auto"/>
              <w:rPr>
                <w:sz w:val="20"/>
                <w:szCs w:val="20"/>
              </w:rPr>
            </w:pPr>
            <w:r w:rsidRPr="00DD36CF">
              <w:rPr>
                <w:sz w:val="20"/>
                <w:szCs w:val="20"/>
              </w:rPr>
              <w:t>114</w:t>
            </w:r>
          </w:p>
        </w:tc>
        <w:tc>
          <w:tcPr>
            <w:tcW w:w="1560" w:type="dxa"/>
            <w:shd w:val="clear" w:color="auto" w:fill="auto"/>
            <w:vAlign w:val="center"/>
          </w:tcPr>
          <w:p w:rsidR="00225DD0" w:rsidRPr="00DD36CF" w:rsidRDefault="00225DD0" w:rsidP="003D4673">
            <w:pPr>
              <w:spacing w:line="360" w:lineRule="auto"/>
              <w:rPr>
                <w:sz w:val="20"/>
                <w:szCs w:val="20"/>
              </w:rPr>
            </w:pPr>
            <w:r w:rsidRPr="00DD36CF">
              <w:rPr>
                <w:sz w:val="20"/>
                <w:szCs w:val="20"/>
              </w:rPr>
              <w:t>149</w:t>
            </w:r>
          </w:p>
        </w:tc>
      </w:tr>
      <w:tr w:rsidR="00225DD0" w:rsidRPr="00C92410" w:rsidTr="003D4673">
        <w:tc>
          <w:tcPr>
            <w:tcW w:w="1440" w:type="dxa"/>
            <w:shd w:val="clear" w:color="auto" w:fill="auto"/>
            <w:vAlign w:val="center"/>
          </w:tcPr>
          <w:p w:rsidR="00225DD0" w:rsidRPr="00DD36CF" w:rsidRDefault="00225DD0" w:rsidP="003D4673">
            <w:pPr>
              <w:spacing w:line="360" w:lineRule="auto"/>
              <w:rPr>
                <w:sz w:val="20"/>
                <w:szCs w:val="20"/>
              </w:rPr>
            </w:pPr>
            <w:r w:rsidRPr="00DD36CF">
              <w:rPr>
                <w:sz w:val="20"/>
                <w:szCs w:val="20"/>
              </w:rPr>
              <w:t>FY07</w:t>
            </w:r>
          </w:p>
        </w:tc>
        <w:tc>
          <w:tcPr>
            <w:tcW w:w="1310" w:type="dxa"/>
            <w:shd w:val="clear" w:color="auto" w:fill="auto"/>
            <w:vAlign w:val="center"/>
          </w:tcPr>
          <w:p w:rsidR="00225DD0" w:rsidRPr="00DD36CF" w:rsidRDefault="00225DD0" w:rsidP="003D4673">
            <w:pPr>
              <w:spacing w:line="360" w:lineRule="auto"/>
              <w:rPr>
                <w:sz w:val="20"/>
                <w:szCs w:val="20"/>
              </w:rPr>
            </w:pPr>
            <w:r w:rsidRPr="00DD36CF">
              <w:rPr>
                <w:sz w:val="20"/>
                <w:szCs w:val="20"/>
              </w:rPr>
              <w:t>206</w:t>
            </w:r>
          </w:p>
        </w:tc>
        <w:tc>
          <w:tcPr>
            <w:tcW w:w="1438" w:type="dxa"/>
            <w:shd w:val="clear" w:color="auto" w:fill="auto"/>
            <w:vAlign w:val="center"/>
          </w:tcPr>
          <w:p w:rsidR="00225DD0" w:rsidRPr="00DD36CF" w:rsidRDefault="00225DD0" w:rsidP="003D4673">
            <w:pPr>
              <w:spacing w:line="360" w:lineRule="auto"/>
              <w:rPr>
                <w:sz w:val="20"/>
                <w:szCs w:val="20"/>
              </w:rPr>
            </w:pPr>
            <w:r w:rsidRPr="00DD36CF">
              <w:rPr>
                <w:sz w:val="20"/>
                <w:szCs w:val="20"/>
              </w:rPr>
              <w:t>182</w:t>
            </w:r>
          </w:p>
        </w:tc>
        <w:tc>
          <w:tcPr>
            <w:tcW w:w="1680" w:type="dxa"/>
            <w:shd w:val="clear" w:color="auto" w:fill="auto"/>
            <w:vAlign w:val="center"/>
          </w:tcPr>
          <w:p w:rsidR="00225DD0" w:rsidRPr="00DD36CF" w:rsidRDefault="00225DD0" w:rsidP="003D4673">
            <w:pPr>
              <w:spacing w:line="360" w:lineRule="auto"/>
              <w:rPr>
                <w:sz w:val="20"/>
                <w:szCs w:val="20"/>
              </w:rPr>
            </w:pPr>
            <w:r w:rsidRPr="00DD36CF">
              <w:rPr>
                <w:sz w:val="20"/>
                <w:szCs w:val="20"/>
              </w:rPr>
              <w:t>121</w:t>
            </w:r>
          </w:p>
        </w:tc>
        <w:tc>
          <w:tcPr>
            <w:tcW w:w="1560" w:type="dxa"/>
            <w:shd w:val="clear" w:color="auto" w:fill="auto"/>
            <w:vAlign w:val="center"/>
          </w:tcPr>
          <w:p w:rsidR="00225DD0" w:rsidRPr="00DD36CF" w:rsidRDefault="00225DD0" w:rsidP="003D4673">
            <w:pPr>
              <w:spacing w:line="360" w:lineRule="auto"/>
              <w:rPr>
                <w:sz w:val="20"/>
                <w:szCs w:val="20"/>
              </w:rPr>
            </w:pPr>
            <w:r w:rsidRPr="00DD36CF">
              <w:rPr>
                <w:sz w:val="20"/>
                <w:szCs w:val="20"/>
              </w:rPr>
              <w:t>146</w:t>
            </w:r>
          </w:p>
        </w:tc>
      </w:tr>
      <w:tr w:rsidR="00225DD0" w:rsidRPr="00C92410" w:rsidTr="003D4673">
        <w:tc>
          <w:tcPr>
            <w:tcW w:w="1440" w:type="dxa"/>
            <w:shd w:val="clear" w:color="auto" w:fill="auto"/>
            <w:vAlign w:val="center"/>
          </w:tcPr>
          <w:p w:rsidR="00225DD0" w:rsidRPr="00DD36CF" w:rsidRDefault="00225DD0" w:rsidP="003D4673">
            <w:pPr>
              <w:spacing w:line="360" w:lineRule="auto"/>
              <w:rPr>
                <w:sz w:val="20"/>
                <w:szCs w:val="20"/>
              </w:rPr>
            </w:pPr>
            <w:r w:rsidRPr="00DD36CF">
              <w:rPr>
                <w:sz w:val="20"/>
                <w:szCs w:val="20"/>
              </w:rPr>
              <w:t>FY08</w:t>
            </w:r>
          </w:p>
        </w:tc>
        <w:tc>
          <w:tcPr>
            <w:tcW w:w="1310" w:type="dxa"/>
            <w:shd w:val="clear" w:color="auto" w:fill="auto"/>
            <w:vAlign w:val="center"/>
          </w:tcPr>
          <w:p w:rsidR="00225DD0" w:rsidRPr="00DD36CF" w:rsidRDefault="00225DD0" w:rsidP="003D4673">
            <w:pPr>
              <w:spacing w:line="360" w:lineRule="auto"/>
              <w:rPr>
                <w:sz w:val="20"/>
                <w:szCs w:val="20"/>
              </w:rPr>
            </w:pPr>
            <w:r w:rsidRPr="00DD36CF">
              <w:rPr>
                <w:sz w:val="20"/>
                <w:szCs w:val="20"/>
              </w:rPr>
              <w:t>210</w:t>
            </w:r>
          </w:p>
        </w:tc>
        <w:tc>
          <w:tcPr>
            <w:tcW w:w="1438" w:type="dxa"/>
            <w:shd w:val="clear" w:color="auto" w:fill="auto"/>
            <w:vAlign w:val="center"/>
          </w:tcPr>
          <w:p w:rsidR="00225DD0" w:rsidRPr="00DD36CF" w:rsidRDefault="00225DD0" w:rsidP="003D4673">
            <w:pPr>
              <w:spacing w:line="360" w:lineRule="auto"/>
              <w:rPr>
                <w:sz w:val="20"/>
                <w:szCs w:val="20"/>
              </w:rPr>
            </w:pPr>
            <w:r w:rsidRPr="00DD36CF">
              <w:rPr>
                <w:sz w:val="20"/>
                <w:szCs w:val="20"/>
              </w:rPr>
              <w:t>202</w:t>
            </w:r>
          </w:p>
        </w:tc>
        <w:tc>
          <w:tcPr>
            <w:tcW w:w="1680" w:type="dxa"/>
            <w:shd w:val="clear" w:color="auto" w:fill="auto"/>
            <w:vAlign w:val="center"/>
          </w:tcPr>
          <w:p w:rsidR="00225DD0" w:rsidRPr="00DD36CF" w:rsidRDefault="00225DD0" w:rsidP="003D4673">
            <w:pPr>
              <w:spacing w:line="360" w:lineRule="auto"/>
              <w:rPr>
                <w:sz w:val="20"/>
                <w:szCs w:val="20"/>
              </w:rPr>
            </w:pPr>
            <w:r w:rsidRPr="00DD36CF">
              <w:rPr>
                <w:sz w:val="20"/>
                <w:szCs w:val="20"/>
              </w:rPr>
              <w:t>128</w:t>
            </w:r>
          </w:p>
        </w:tc>
        <w:tc>
          <w:tcPr>
            <w:tcW w:w="1560" w:type="dxa"/>
            <w:shd w:val="clear" w:color="auto" w:fill="auto"/>
            <w:vAlign w:val="center"/>
          </w:tcPr>
          <w:p w:rsidR="00225DD0" w:rsidRPr="00DD36CF" w:rsidRDefault="00225DD0" w:rsidP="003D4673">
            <w:pPr>
              <w:spacing w:line="360" w:lineRule="auto"/>
              <w:rPr>
                <w:sz w:val="20"/>
                <w:szCs w:val="20"/>
              </w:rPr>
            </w:pPr>
            <w:r w:rsidRPr="00DD36CF">
              <w:rPr>
                <w:sz w:val="20"/>
                <w:szCs w:val="20"/>
              </w:rPr>
              <w:t>146</w:t>
            </w:r>
          </w:p>
        </w:tc>
      </w:tr>
      <w:tr w:rsidR="00225DD0" w:rsidRPr="00C92410" w:rsidTr="003D4673">
        <w:tc>
          <w:tcPr>
            <w:tcW w:w="1440" w:type="dxa"/>
            <w:shd w:val="clear" w:color="auto" w:fill="auto"/>
            <w:vAlign w:val="center"/>
          </w:tcPr>
          <w:p w:rsidR="00225DD0" w:rsidRPr="00DD36CF" w:rsidRDefault="00225DD0" w:rsidP="003D4673">
            <w:pPr>
              <w:spacing w:line="360" w:lineRule="auto"/>
              <w:rPr>
                <w:sz w:val="20"/>
                <w:szCs w:val="20"/>
              </w:rPr>
            </w:pPr>
            <w:r w:rsidRPr="00DD36CF">
              <w:rPr>
                <w:sz w:val="20"/>
                <w:szCs w:val="20"/>
              </w:rPr>
              <w:t>FY09</w:t>
            </w:r>
          </w:p>
        </w:tc>
        <w:tc>
          <w:tcPr>
            <w:tcW w:w="1310" w:type="dxa"/>
            <w:shd w:val="clear" w:color="auto" w:fill="auto"/>
            <w:vAlign w:val="center"/>
          </w:tcPr>
          <w:p w:rsidR="00225DD0" w:rsidRPr="00DD36CF" w:rsidRDefault="00225DD0" w:rsidP="003D4673">
            <w:pPr>
              <w:spacing w:line="360" w:lineRule="auto"/>
              <w:rPr>
                <w:sz w:val="20"/>
                <w:szCs w:val="20"/>
              </w:rPr>
            </w:pPr>
            <w:r w:rsidRPr="00DD36CF">
              <w:rPr>
                <w:sz w:val="20"/>
                <w:szCs w:val="20"/>
              </w:rPr>
              <w:t>220</w:t>
            </w:r>
          </w:p>
        </w:tc>
        <w:tc>
          <w:tcPr>
            <w:tcW w:w="1438" w:type="dxa"/>
            <w:shd w:val="clear" w:color="auto" w:fill="auto"/>
            <w:vAlign w:val="center"/>
          </w:tcPr>
          <w:p w:rsidR="00225DD0" w:rsidRPr="00DD36CF" w:rsidRDefault="00225DD0" w:rsidP="003D4673">
            <w:pPr>
              <w:spacing w:line="360" w:lineRule="auto"/>
              <w:rPr>
                <w:sz w:val="20"/>
                <w:szCs w:val="20"/>
              </w:rPr>
            </w:pPr>
            <w:r w:rsidRPr="00DD36CF">
              <w:rPr>
                <w:sz w:val="20"/>
                <w:szCs w:val="20"/>
              </w:rPr>
              <w:t>220</w:t>
            </w:r>
          </w:p>
        </w:tc>
        <w:tc>
          <w:tcPr>
            <w:tcW w:w="1680" w:type="dxa"/>
            <w:shd w:val="clear" w:color="auto" w:fill="auto"/>
            <w:vAlign w:val="center"/>
          </w:tcPr>
          <w:p w:rsidR="00225DD0" w:rsidRPr="00DD36CF" w:rsidRDefault="00225DD0" w:rsidP="003D4673">
            <w:pPr>
              <w:spacing w:line="360" w:lineRule="auto"/>
              <w:rPr>
                <w:sz w:val="20"/>
                <w:szCs w:val="20"/>
              </w:rPr>
            </w:pPr>
            <w:r w:rsidRPr="00DD36CF">
              <w:rPr>
                <w:sz w:val="20"/>
                <w:szCs w:val="20"/>
              </w:rPr>
              <w:t>112</w:t>
            </w:r>
          </w:p>
        </w:tc>
        <w:tc>
          <w:tcPr>
            <w:tcW w:w="1560" w:type="dxa"/>
            <w:shd w:val="clear" w:color="auto" w:fill="auto"/>
            <w:vAlign w:val="center"/>
          </w:tcPr>
          <w:p w:rsidR="00225DD0" w:rsidRPr="00DD36CF" w:rsidRDefault="00225DD0" w:rsidP="003D4673">
            <w:pPr>
              <w:spacing w:line="360" w:lineRule="auto"/>
              <w:rPr>
                <w:sz w:val="20"/>
                <w:szCs w:val="20"/>
              </w:rPr>
            </w:pPr>
            <w:r w:rsidRPr="00DD36CF">
              <w:rPr>
                <w:sz w:val="20"/>
                <w:szCs w:val="20"/>
              </w:rPr>
              <w:t>174</w:t>
            </w:r>
          </w:p>
        </w:tc>
      </w:tr>
      <w:tr w:rsidR="00225DD0" w:rsidRPr="00C92410" w:rsidTr="003D4673">
        <w:tc>
          <w:tcPr>
            <w:tcW w:w="1440" w:type="dxa"/>
            <w:shd w:val="clear" w:color="auto" w:fill="auto"/>
            <w:vAlign w:val="center"/>
          </w:tcPr>
          <w:p w:rsidR="00225DD0" w:rsidRPr="00DD36CF" w:rsidRDefault="00225DD0" w:rsidP="003D4673">
            <w:pPr>
              <w:spacing w:line="360" w:lineRule="auto"/>
              <w:rPr>
                <w:sz w:val="20"/>
                <w:szCs w:val="20"/>
              </w:rPr>
            </w:pPr>
            <w:r w:rsidRPr="00DD36CF">
              <w:rPr>
                <w:sz w:val="20"/>
                <w:szCs w:val="20"/>
              </w:rPr>
              <w:t>FY10</w:t>
            </w:r>
          </w:p>
        </w:tc>
        <w:tc>
          <w:tcPr>
            <w:tcW w:w="1310" w:type="dxa"/>
            <w:shd w:val="clear" w:color="auto" w:fill="auto"/>
            <w:vAlign w:val="center"/>
          </w:tcPr>
          <w:p w:rsidR="00225DD0" w:rsidRPr="00DD36CF" w:rsidRDefault="00225DD0" w:rsidP="003D4673">
            <w:pPr>
              <w:spacing w:line="360" w:lineRule="auto"/>
              <w:rPr>
                <w:sz w:val="20"/>
                <w:szCs w:val="20"/>
              </w:rPr>
            </w:pPr>
            <w:r w:rsidRPr="00DD36CF">
              <w:rPr>
                <w:sz w:val="20"/>
                <w:szCs w:val="20"/>
              </w:rPr>
              <w:t>228</w:t>
            </w:r>
          </w:p>
        </w:tc>
        <w:tc>
          <w:tcPr>
            <w:tcW w:w="1438" w:type="dxa"/>
            <w:shd w:val="clear" w:color="auto" w:fill="auto"/>
            <w:vAlign w:val="center"/>
          </w:tcPr>
          <w:p w:rsidR="00225DD0" w:rsidRPr="00DD36CF" w:rsidRDefault="00225DD0" w:rsidP="003D4673">
            <w:pPr>
              <w:spacing w:line="360" w:lineRule="auto"/>
              <w:rPr>
                <w:sz w:val="20"/>
                <w:szCs w:val="20"/>
              </w:rPr>
            </w:pPr>
            <w:r w:rsidRPr="00DD36CF">
              <w:rPr>
                <w:sz w:val="20"/>
                <w:szCs w:val="20"/>
              </w:rPr>
              <w:t>240</w:t>
            </w:r>
          </w:p>
        </w:tc>
        <w:tc>
          <w:tcPr>
            <w:tcW w:w="1680" w:type="dxa"/>
            <w:shd w:val="clear" w:color="auto" w:fill="auto"/>
            <w:vAlign w:val="center"/>
          </w:tcPr>
          <w:p w:rsidR="00225DD0" w:rsidRPr="00DD36CF" w:rsidRDefault="00225DD0" w:rsidP="003D4673">
            <w:pPr>
              <w:spacing w:line="360" w:lineRule="auto"/>
              <w:rPr>
                <w:sz w:val="20"/>
                <w:szCs w:val="20"/>
              </w:rPr>
            </w:pPr>
            <w:r w:rsidRPr="00DD36CF">
              <w:rPr>
                <w:sz w:val="20"/>
                <w:szCs w:val="20"/>
              </w:rPr>
              <w:t>143</w:t>
            </w:r>
          </w:p>
        </w:tc>
        <w:tc>
          <w:tcPr>
            <w:tcW w:w="1560" w:type="dxa"/>
            <w:shd w:val="clear" w:color="auto" w:fill="auto"/>
            <w:vAlign w:val="center"/>
          </w:tcPr>
          <w:p w:rsidR="00225DD0" w:rsidRPr="00DD36CF" w:rsidRDefault="00225DD0" w:rsidP="003D4673">
            <w:pPr>
              <w:spacing w:line="360" w:lineRule="auto"/>
              <w:rPr>
                <w:sz w:val="20"/>
                <w:szCs w:val="20"/>
              </w:rPr>
            </w:pPr>
            <w:r w:rsidRPr="00DD36CF">
              <w:rPr>
                <w:sz w:val="20"/>
                <w:szCs w:val="20"/>
              </w:rPr>
              <w:t>142</w:t>
            </w:r>
          </w:p>
        </w:tc>
      </w:tr>
      <w:tr w:rsidR="00225DD0" w:rsidRPr="00C92410" w:rsidTr="003D4673">
        <w:tc>
          <w:tcPr>
            <w:tcW w:w="1440" w:type="dxa"/>
            <w:shd w:val="clear" w:color="auto" w:fill="auto"/>
            <w:vAlign w:val="center"/>
          </w:tcPr>
          <w:p w:rsidR="00225DD0" w:rsidRPr="00DD36CF" w:rsidRDefault="00225DD0" w:rsidP="003D4673">
            <w:pPr>
              <w:spacing w:line="360" w:lineRule="auto"/>
              <w:rPr>
                <w:sz w:val="20"/>
                <w:szCs w:val="20"/>
              </w:rPr>
            </w:pPr>
            <w:r w:rsidRPr="00DD36CF">
              <w:rPr>
                <w:sz w:val="20"/>
                <w:szCs w:val="20"/>
              </w:rPr>
              <w:t>FY11</w:t>
            </w:r>
          </w:p>
        </w:tc>
        <w:tc>
          <w:tcPr>
            <w:tcW w:w="1310" w:type="dxa"/>
            <w:shd w:val="clear" w:color="auto" w:fill="auto"/>
            <w:vAlign w:val="center"/>
          </w:tcPr>
          <w:p w:rsidR="00225DD0" w:rsidRPr="00DD36CF" w:rsidRDefault="00225DD0" w:rsidP="003D4673">
            <w:pPr>
              <w:spacing w:line="360" w:lineRule="auto"/>
              <w:rPr>
                <w:sz w:val="20"/>
                <w:szCs w:val="20"/>
              </w:rPr>
            </w:pPr>
            <w:r w:rsidRPr="00DD36CF">
              <w:rPr>
                <w:sz w:val="20"/>
                <w:szCs w:val="20"/>
              </w:rPr>
              <w:t>211</w:t>
            </w:r>
          </w:p>
        </w:tc>
        <w:tc>
          <w:tcPr>
            <w:tcW w:w="1438" w:type="dxa"/>
            <w:shd w:val="clear" w:color="auto" w:fill="auto"/>
            <w:vAlign w:val="center"/>
          </w:tcPr>
          <w:p w:rsidR="00225DD0" w:rsidRPr="00DD36CF" w:rsidRDefault="00225DD0" w:rsidP="003D4673">
            <w:pPr>
              <w:spacing w:line="360" w:lineRule="auto"/>
              <w:rPr>
                <w:sz w:val="20"/>
                <w:szCs w:val="20"/>
              </w:rPr>
            </w:pPr>
            <w:r w:rsidRPr="00DD36CF">
              <w:rPr>
                <w:sz w:val="20"/>
                <w:szCs w:val="20"/>
              </w:rPr>
              <w:t>242</w:t>
            </w:r>
          </w:p>
        </w:tc>
        <w:tc>
          <w:tcPr>
            <w:tcW w:w="1680" w:type="dxa"/>
            <w:shd w:val="clear" w:color="auto" w:fill="auto"/>
            <w:vAlign w:val="center"/>
          </w:tcPr>
          <w:p w:rsidR="00225DD0" w:rsidRPr="00DD36CF" w:rsidRDefault="00225DD0" w:rsidP="003D4673">
            <w:pPr>
              <w:spacing w:line="360" w:lineRule="auto"/>
              <w:rPr>
                <w:sz w:val="20"/>
                <w:szCs w:val="20"/>
              </w:rPr>
            </w:pPr>
            <w:r w:rsidRPr="00DD36CF">
              <w:rPr>
                <w:sz w:val="20"/>
                <w:szCs w:val="20"/>
              </w:rPr>
              <w:t>123</w:t>
            </w:r>
          </w:p>
        </w:tc>
        <w:tc>
          <w:tcPr>
            <w:tcW w:w="1560" w:type="dxa"/>
            <w:shd w:val="clear" w:color="auto" w:fill="auto"/>
            <w:vAlign w:val="center"/>
          </w:tcPr>
          <w:p w:rsidR="00225DD0" w:rsidRPr="00DD36CF" w:rsidRDefault="00225DD0" w:rsidP="003D4673">
            <w:pPr>
              <w:spacing w:line="360" w:lineRule="auto"/>
              <w:rPr>
                <w:sz w:val="20"/>
                <w:szCs w:val="20"/>
              </w:rPr>
            </w:pPr>
            <w:r w:rsidRPr="00DD36CF">
              <w:rPr>
                <w:sz w:val="20"/>
                <w:szCs w:val="20"/>
              </w:rPr>
              <w:t>154</w:t>
            </w:r>
          </w:p>
        </w:tc>
      </w:tr>
      <w:tr w:rsidR="00225DD0" w:rsidRPr="00C92410" w:rsidTr="003D4673">
        <w:tc>
          <w:tcPr>
            <w:tcW w:w="1440" w:type="dxa"/>
            <w:shd w:val="clear" w:color="auto" w:fill="auto"/>
            <w:vAlign w:val="center"/>
          </w:tcPr>
          <w:p w:rsidR="00225DD0" w:rsidRPr="00DD36CF" w:rsidRDefault="00225DD0" w:rsidP="003D4673">
            <w:pPr>
              <w:spacing w:line="360" w:lineRule="auto"/>
              <w:rPr>
                <w:sz w:val="20"/>
                <w:szCs w:val="20"/>
              </w:rPr>
            </w:pPr>
            <w:r w:rsidRPr="00DD36CF">
              <w:rPr>
                <w:sz w:val="20"/>
                <w:szCs w:val="20"/>
              </w:rPr>
              <w:t>FY12</w:t>
            </w:r>
          </w:p>
        </w:tc>
        <w:tc>
          <w:tcPr>
            <w:tcW w:w="1310" w:type="dxa"/>
            <w:shd w:val="clear" w:color="auto" w:fill="auto"/>
            <w:vAlign w:val="center"/>
          </w:tcPr>
          <w:p w:rsidR="00225DD0" w:rsidRPr="00DD36CF" w:rsidRDefault="00225DD0" w:rsidP="003D4673">
            <w:pPr>
              <w:spacing w:line="360" w:lineRule="auto"/>
              <w:rPr>
                <w:sz w:val="20"/>
                <w:szCs w:val="20"/>
              </w:rPr>
            </w:pPr>
            <w:r w:rsidRPr="00DD36CF">
              <w:rPr>
                <w:sz w:val="20"/>
                <w:szCs w:val="20"/>
              </w:rPr>
              <w:t>201</w:t>
            </w:r>
          </w:p>
        </w:tc>
        <w:tc>
          <w:tcPr>
            <w:tcW w:w="1438" w:type="dxa"/>
            <w:shd w:val="clear" w:color="auto" w:fill="auto"/>
            <w:vAlign w:val="center"/>
          </w:tcPr>
          <w:p w:rsidR="00225DD0" w:rsidRPr="00DD36CF" w:rsidRDefault="00225DD0" w:rsidP="003D4673">
            <w:pPr>
              <w:spacing w:line="360" w:lineRule="auto"/>
              <w:rPr>
                <w:sz w:val="20"/>
                <w:szCs w:val="20"/>
              </w:rPr>
            </w:pPr>
            <w:r w:rsidRPr="00DD36CF">
              <w:rPr>
                <w:sz w:val="20"/>
                <w:szCs w:val="20"/>
              </w:rPr>
              <w:t>227</w:t>
            </w:r>
          </w:p>
        </w:tc>
        <w:tc>
          <w:tcPr>
            <w:tcW w:w="1680" w:type="dxa"/>
            <w:shd w:val="clear" w:color="auto" w:fill="auto"/>
            <w:vAlign w:val="center"/>
          </w:tcPr>
          <w:p w:rsidR="00225DD0" w:rsidRPr="00DD36CF" w:rsidRDefault="00225DD0" w:rsidP="003D4673">
            <w:pPr>
              <w:spacing w:line="360" w:lineRule="auto"/>
              <w:rPr>
                <w:sz w:val="20"/>
                <w:szCs w:val="20"/>
              </w:rPr>
            </w:pPr>
            <w:r w:rsidRPr="00DD36CF">
              <w:rPr>
                <w:sz w:val="20"/>
                <w:szCs w:val="20"/>
              </w:rPr>
              <w:t>150</w:t>
            </w:r>
          </w:p>
        </w:tc>
        <w:tc>
          <w:tcPr>
            <w:tcW w:w="1560" w:type="dxa"/>
            <w:shd w:val="clear" w:color="auto" w:fill="auto"/>
            <w:vAlign w:val="center"/>
          </w:tcPr>
          <w:p w:rsidR="00225DD0" w:rsidRPr="00DD36CF" w:rsidRDefault="00225DD0" w:rsidP="003D4673">
            <w:pPr>
              <w:spacing w:line="360" w:lineRule="auto"/>
              <w:rPr>
                <w:sz w:val="20"/>
                <w:szCs w:val="20"/>
              </w:rPr>
            </w:pPr>
            <w:r w:rsidRPr="00DD36CF">
              <w:rPr>
                <w:sz w:val="20"/>
                <w:szCs w:val="20"/>
              </w:rPr>
              <w:t>122</w:t>
            </w:r>
          </w:p>
        </w:tc>
      </w:tr>
    </w:tbl>
    <w:p w:rsidR="00225DD0" w:rsidRDefault="00225DD0" w:rsidP="00225DD0">
      <w:pPr>
        <w:pStyle w:val="ESESourceLine"/>
      </w:pPr>
      <w:r w:rsidRPr="00C92410">
        <w:t xml:space="preserve">Note: Total amount claimed rounded to nearest million.  Additional information can be found in the Implementation of the Special Education Reimbursement ("Circuit Breaker") Program annual report, which is located at: </w:t>
      </w:r>
      <w:hyperlink r:id="rId25" w:history="1">
        <w:r w:rsidRPr="00C92410">
          <w:rPr>
            <w:rStyle w:val="Hyperlink"/>
            <w:i w:val="0"/>
          </w:rPr>
          <w:t>http://www.doe.mass.edu/research/reports/legislative.html</w:t>
        </w:r>
      </w:hyperlink>
      <w:r w:rsidRPr="00C92410">
        <w:t xml:space="preserve">. </w:t>
      </w:r>
    </w:p>
    <w:p w:rsidR="00AB7F6E" w:rsidRDefault="00AB7F6E" w:rsidP="00AB7F6E"/>
    <w:p w:rsidR="00AB7F6E" w:rsidRPr="00AB7F6E" w:rsidRDefault="00AB7F6E" w:rsidP="00AB7F6E"/>
    <w:p w:rsidR="0087709C" w:rsidRPr="000C64F6" w:rsidRDefault="0087709C" w:rsidP="007A1237">
      <w:pPr>
        <w:pStyle w:val="Heading2"/>
        <w:numPr>
          <w:ilvl w:val="0"/>
          <w:numId w:val="17"/>
        </w:numPr>
        <w:ind w:left="0" w:firstLine="0"/>
      </w:pPr>
      <w:bookmarkStart w:id="25" w:name="_Toc342312321"/>
      <w:r w:rsidRPr="000C64F6">
        <w:t>School-Based Medicaid</w:t>
      </w:r>
      <w:bookmarkEnd w:id="25"/>
    </w:p>
    <w:p w:rsidR="0087709C" w:rsidRDefault="0087709C" w:rsidP="0087709C">
      <w:pPr>
        <w:rPr>
          <w:b/>
          <w:sz w:val="28"/>
          <w:szCs w:val="28"/>
        </w:rPr>
      </w:pPr>
    </w:p>
    <w:p w:rsidR="000C407E" w:rsidRDefault="000C407E" w:rsidP="000C407E">
      <w:r>
        <w:t xml:space="preserve">The School-Based Medicaid program allows local education authorities (LEAs), such as cities and towns, charter schools, public health commissions, and regional school districts, to seek payment for providing medically necessary Medicaid services (direct services) to eligible MassHealth-enrolled children. This program also allows such agencies to seek payment for participating in activities that support the administration of the state's Medicaid program (administrative activities). This would include outreach, and those activities that aid the delivery of direct services to Medicaid-enrolled children with individualized education plans (IEPs). </w:t>
      </w:r>
    </w:p>
    <w:p w:rsidR="000C407E" w:rsidRDefault="000C407E" w:rsidP="000C407E">
      <w:pPr>
        <w:pStyle w:val="NormalWeb"/>
      </w:pPr>
      <w:r>
        <w:t>State law allows LEAs to participate in the Municipal Medicaid program and to seek payment for either direct services or administrative activities. In order to participate in the program, LEAs must sign provider contracts with the state Medicaid agency. Municipal Medicaid providers can bill MassHealth in accordance with the contract terms.</w:t>
      </w:r>
    </w:p>
    <w:p w:rsidR="009D6311" w:rsidRPr="006200C4" w:rsidRDefault="009D6311" w:rsidP="009D6311">
      <w:pPr>
        <w:rPr>
          <w:b/>
          <w:sz w:val="18"/>
          <w:szCs w:val="18"/>
          <w:highlight w:val="yellow"/>
        </w:rPr>
      </w:pPr>
      <w:r w:rsidRPr="008F4455">
        <w:rPr>
          <w:b/>
        </w:rPr>
        <w:t xml:space="preserve">Figure </w:t>
      </w:r>
      <w:r>
        <w:rPr>
          <w:b/>
        </w:rPr>
        <w:t>L</w:t>
      </w:r>
      <w:r w:rsidRPr="008F4455">
        <w:rPr>
          <w:b/>
        </w:rPr>
        <w:t>: Municipal Medicaid Funding Breakdown, FY12</w:t>
      </w:r>
      <w:r>
        <w:rPr>
          <w:b/>
        </w:rPr>
        <w:t xml:space="preserve"> </w:t>
      </w:r>
      <w:r w:rsidRPr="006200C4">
        <w:rPr>
          <w:b/>
          <w:sz w:val="18"/>
          <w:szCs w:val="18"/>
        </w:rPr>
        <w:t>(does not include charter schools)</w:t>
      </w:r>
    </w:p>
    <w:p w:rsidR="009D6311" w:rsidRDefault="000C5D3E" w:rsidP="009D6311">
      <w:r>
        <w:rPr>
          <w:noProof/>
        </w:rPr>
        <w:pict>
          <v:group id="_x0000_s1069" alt="Figure L: shows municipal medicaid funding  breakdown for FY10" style="position:absolute;margin-left:41.25pt;margin-top:9.3pt;width:361.95pt;height:155.3pt;z-index:251660800" coordorigin="1872,2971" coordsize="7344,3036">
            <v:shapetype id="_x0000_t202" coordsize="21600,21600" o:spt="202" path="m,l,21600r21600,l21600,xe">
              <v:stroke joinstyle="miter"/>
              <v:path gradientshapeok="t" o:connecttype="rect"/>
            </v:shapetype>
            <v:shape id="_x0000_s1070" type="#_x0000_t202" style="position:absolute;left:3312;top:2971;width:1846;height:462" fillcolor="silver" strokeweight="1pt">
              <v:textbox style="mso-next-textbox:#_x0000_s1070">
                <w:txbxContent>
                  <w:p w:rsidR="00627C64" w:rsidRPr="00440F06" w:rsidRDefault="00627C64" w:rsidP="009D6311">
                    <w:pPr>
                      <w:rPr>
                        <w:rFonts w:ascii="Arial Narrow" w:hAnsi="Arial Narrow"/>
                        <w:sz w:val="20"/>
                        <w:szCs w:val="20"/>
                      </w:rPr>
                    </w:pPr>
                    <w:r>
                      <w:rPr>
                        <w:rFonts w:ascii="Arial Narrow" w:hAnsi="Arial Narrow"/>
                        <w:sz w:val="20"/>
                        <w:szCs w:val="20"/>
                      </w:rPr>
                      <w:t>400</w:t>
                    </w:r>
                    <w:r w:rsidRPr="00440F06">
                      <w:rPr>
                        <w:rFonts w:ascii="Arial Narrow" w:hAnsi="Arial Narrow"/>
                        <w:sz w:val="20"/>
                        <w:szCs w:val="20"/>
                      </w:rPr>
                      <w:t xml:space="preserve"> Districts in State</w:t>
                    </w:r>
                  </w:p>
                </w:txbxContent>
              </v:textbox>
            </v:shape>
            <v:shape id="_x0000_s1071" type="#_x0000_t202" style="position:absolute;left:1872;top:3700;width:1846;height:591" filled="f" fillcolor="silver" strokeweight="1pt">
              <v:textbox style="mso-next-textbox:#_x0000_s1071">
                <w:txbxContent>
                  <w:p w:rsidR="00627C64" w:rsidRPr="00440F06" w:rsidRDefault="00627C64" w:rsidP="009D6311">
                    <w:pPr>
                      <w:rPr>
                        <w:rFonts w:ascii="Arial Narrow" w:hAnsi="Arial Narrow"/>
                        <w:sz w:val="20"/>
                        <w:szCs w:val="20"/>
                      </w:rPr>
                    </w:pPr>
                    <w:r>
                      <w:rPr>
                        <w:rFonts w:ascii="Arial Narrow" w:hAnsi="Arial Narrow"/>
                        <w:sz w:val="20"/>
                        <w:szCs w:val="20"/>
                      </w:rPr>
                      <w:t>102 Districts (25</w:t>
                    </w:r>
                    <w:r w:rsidRPr="00440F06">
                      <w:rPr>
                        <w:rFonts w:ascii="Arial Narrow" w:hAnsi="Arial Narrow"/>
                        <w:sz w:val="20"/>
                        <w:szCs w:val="20"/>
                      </w:rPr>
                      <w:t xml:space="preserve">%) </w:t>
                    </w:r>
                  </w:p>
                  <w:p w:rsidR="00627C64" w:rsidRPr="00440F06" w:rsidRDefault="00627C64" w:rsidP="009D6311">
                    <w:pPr>
                      <w:rPr>
                        <w:rFonts w:ascii="Arial Narrow" w:hAnsi="Arial Narrow"/>
                        <w:sz w:val="20"/>
                        <w:szCs w:val="20"/>
                      </w:rPr>
                    </w:pPr>
                    <w:r w:rsidRPr="00440F06">
                      <w:rPr>
                        <w:rFonts w:ascii="Arial Narrow" w:hAnsi="Arial Narrow"/>
                        <w:sz w:val="20"/>
                        <w:szCs w:val="20"/>
                      </w:rPr>
                      <w:t>Did Not Participate</w:t>
                    </w:r>
                  </w:p>
                </w:txbxContent>
              </v:textbox>
            </v:shape>
            <v:shape id="_x0000_s1072" type="#_x0000_t202" style="position:absolute;left:4872;top:3700;width:1846;height:591" fillcolor="silver" strokeweight="1pt">
              <v:textbox style="mso-next-textbox:#_x0000_s1072">
                <w:txbxContent>
                  <w:p w:rsidR="00627C64" w:rsidRPr="00440F06" w:rsidRDefault="00627C64" w:rsidP="009D6311">
                    <w:pPr>
                      <w:rPr>
                        <w:rFonts w:ascii="Arial Narrow" w:hAnsi="Arial Narrow"/>
                        <w:sz w:val="20"/>
                        <w:szCs w:val="20"/>
                      </w:rPr>
                    </w:pPr>
                    <w:r>
                      <w:rPr>
                        <w:rFonts w:ascii="Arial Narrow" w:hAnsi="Arial Narrow"/>
                        <w:sz w:val="20"/>
                        <w:szCs w:val="20"/>
                      </w:rPr>
                      <w:t>298 School Districts (75</w:t>
                    </w:r>
                    <w:r w:rsidRPr="00440F06">
                      <w:rPr>
                        <w:rFonts w:ascii="Arial Narrow" w:hAnsi="Arial Narrow"/>
                        <w:sz w:val="20"/>
                        <w:szCs w:val="20"/>
                      </w:rPr>
                      <w:t xml:space="preserve">%) Participated </w:t>
                    </w:r>
                  </w:p>
                </w:txbxContent>
              </v:textbox>
            </v:shape>
            <v:shape id="_x0000_s1073" type="#_x0000_t202" style="position:absolute;left:3312;top:4558;width:2047;height:591" filled="f" fillcolor="silver" strokeweight="1pt">
              <v:textbox style="mso-next-textbox:#_x0000_s1073">
                <w:txbxContent>
                  <w:p w:rsidR="00627C64" w:rsidRPr="00440F06" w:rsidRDefault="00627C64" w:rsidP="009D6311">
                    <w:pPr>
                      <w:rPr>
                        <w:rFonts w:ascii="Arial Narrow" w:hAnsi="Arial Narrow"/>
                        <w:sz w:val="20"/>
                        <w:szCs w:val="20"/>
                      </w:rPr>
                    </w:pPr>
                    <w:r>
                      <w:rPr>
                        <w:rFonts w:ascii="Arial Narrow" w:hAnsi="Arial Narrow"/>
                        <w:sz w:val="20"/>
                        <w:szCs w:val="20"/>
                      </w:rPr>
                      <w:t>49 Districts (16</w:t>
                    </w:r>
                    <w:r w:rsidRPr="00440F06">
                      <w:rPr>
                        <w:rFonts w:ascii="Arial Narrow" w:hAnsi="Arial Narrow"/>
                        <w:sz w:val="20"/>
                        <w:szCs w:val="20"/>
                      </w:rPr>
                      <w:t xml:space="preserve">%) Received No Income </w:t>
                    </w:r>
                  </w:p>
                </w:txbxContent>
              </v:textbox>
            </v:shape>
            <v:shape id="_x0000_s1074" type="#_x0000_t202" style="position:absolute;left:6035;top:4558;width:1846;height:591" fillcolor="silver" strokeweight="1pt">
              <v:textbox style="mso-next-textbox:#_x0000_s1074">
                <w:txbxContent>
                  <w:p w:rsidR="00627C64" w:rsidRPr="00440F06" w:rsidRDefault="00627C64" w:rsidP="009D6311">
                    <w:pPr>
                      <w:rPr>
                        <w:rFonts w:ascii="Arial Narrow" w:hAnsi="Arial Narrow"/>
                        <w:sz w:val="20"/>
                        <w:szCs w:val="20"/>
                      </w:rPr>
                    </w:pPr>
                    <w:r>
                      <w:rPr>
                        <w:rFonts w:ascii="Arial Narrow" w:hAnsi="Arial Narrow"/>
                        <w:sz w:val="20"/>
                        <w:szCs w:val="20"/>
                      </w:rPr>
                      <w:t>249 Districts (83</w:t>
                    </w:r>
                    <w:r w:rsidRPr="00440F06">
                      <w:rPr>
                        <w:rFonts w:ascii="Arial Narrow" w:hAnsi="Arial Narrow"/>
                        <w:sz w:val="20"/>
                        <w:szCs w:val="20"/>
                      </w:rPr>
                      <w:t xml:space="preserve">%) Received Revenue </w:t>
                    </w:r>
                  </w:p>
                </w:txbxContent>
              </v:textbox>
            </v:shape>
            <v:shape id="_x0000_s1075" type="#_x0000_t202" style="position:absolute;left:6981;top:5416;width:2235;height:591" fillcolor="silver" strokeweight="1pt">
              <v:textbox style="mso-next-textbox:#_x0000_s1075">
                <w:txbxContent>
                  <w:p w:rsidR="00627C64" w:rsidRDefault="00627C64" w:rsidP="009D6311">
                    <w:pPr>
                      <w:rPr>
                        <w:rFonts w:ascii="Arial Narrow" w:hAnsi="Arial Narrow"/>
                        <w:sz w:val="20"/>
                        <w:szCs w:val="20"/>
                      </w:rPr>
                    </w:pPr>
                    <w:r>
                      <w:rPr>
                        <w:rFonts w:ascii="Arial Narrow" w:hAnsi="Arial Narrow"/>
                        <w:sz w:val="20"/>
                        <w:szCs w:val="20"/>
                      </w:rPr>
                      <w:t xml:space="preserve"> 144 Districts (48</w:t>
                    </w:r>
                    <w:r w:rsidRPr="00440F06">
                      <w:rPr>
                        <w:rFonts w:ascii="Arial Narrow" w:hAnsi="Arial Narrow"/>
                        <w:sz w:val="20"/>
                        <w:szCs w:val="20"/>
                      </w:rPr>
                      <w:t xml:space="preserve">%) </w:t>
                    </w:r>
                  </w:p>
                  <w:p w:rsidR="00627C64" w:rsidRPr="00440F06" w:rsidRDefault="00627C64" w:rsidP="009D6311">
                    <w:pPr>
                      <w:rPr>
                        <w:rFonts w:ascii="Arial Narrow" w:hAnsi="Arial Narrow"/>
                        <w:sz w:val="20"/>
                        <w:szCs w:val="20"/>
                      </w:rPr>
                    </w:pPr>
                    <w:r w:rsidRPr="00440F06">
                      <w:rPr>
                        <w:rFonts w:ascii="Arial Narrow" w:hAnsi="Arial Narrow"/>
                        <w:sz w:val="20"/>
                        <w:szCs w:val="20"/>
                      </w:rPr>
                      <w:t xml:space="preserve">Received 100% of Claim </w:t>
                    </w:r>
                  </w:p>
                </w:txbxContent>
              </v:textbox>
            </v:shape>
            <v:shape id="_x0000_s1076" type="#_x0000_t202" style="position:absolute;left:4451;top:5416;width:2145;height:591" filled="f" fillcolor="silver" strokeweight="1pt">
              <v:textbox style="mso-next-textbox:#_x0000_s1076">
                <w:txbxContent>
                  <w:p w:rsidR="00627C64" w:rsidRDefault="00627C64" w:rsidP="009D6311">
                    <w:pPr>
                      <w:rPr>
                        <w:rFonts w:ascii="Arial Narrow" w:hAnsi="Arial Narrow"/>
                        <w:sz w:val="20"/>
                        <w:szCs w:val="20"/>
                      </w:rPr>
                    </w:pPr>
                    <w:r>
                      <w:rPr>
                        <w:rFonts w:ascii="Arial Narrow" w:hAnsi="Arial Narrow"/>
                        <w:sz w:val="20"/>
                        <w:szCs w:val="20"/>
                      </w:rPr>
                      <w:t>105 Districts (35</w:t>
                    </w:r>
                    <w:r w:rsidRPr="00440F06">
                      <w:rPr>
                        <w:rFonts w:ascii="Arial Narrow" w:hAnsi="Arial Narrow"/>
                        <w:sz w:val="20"/>
                        <w:szCs w:val="20"/>
                      </w:rPr>
                      <w:t xml:space="preserve">%) </w:t>
                    </w:r>
                  </w:p>
                  <w:p w:rsidR="00627C64" w:rsidRPr="00440F06" w:rsidRDefault="00627C64" w:rsidP="009D6311">
                    <w:pPr>
                      <w:rPr>
                        <w:rFonts w:ascii="Arial Narrow" w:hAnsi="Arial Narrow"/>
                        <w:sz w:val="20"/>
                        <w:szCs w:val="20"/>
                      </w:rPr>
                    </w:pPr>
                    <w:r w:rsidRPr="00440F06">
                      <w:rPr>
                        <w:rFonts w:ascii="Arial Narrow" w:hAnsi="Arial Narrow"/>
                        <w:sz w:val="20"/>
                        <w:szCs w:val="20"/>
                      </w:rPr>
                      <w:t xml:space="preserve">Received Some Income </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2" o:spid="_x0000_s1077" type="#_x0000_t34" style="position:absolute;left:4773;top:2992;width:267;height:1149;rotation:270;flip:x" o:connectortype="elbow" adj="9893,55988,-406113" strokeweight="2.25pt"/>
            <v:shape id="_s1033" o:spid="_x0000_s1078" type="#_x0000_t34" style="position:absolute;left:3624;top:2992;width:267;height:1149;rotation:270" o:connectortype="elbow" adj="9893,-55988,-149881" strokeweight="2.25pt"/>
            <v:shape id="_x0000_s1079" type="#_x0000_t34" style="position:absolute;left:6273;top:3850;width:267;height:1149;rotation:270;flip:x" o:connectortype="elbow" adj="9893,55988,-406113" strokeweight="2.25pt"/>
            <v:shape id="_x0000_s1080" type="#_x0000_t34" style="position:absolute;left:5124;top:3850;width:267;height:1149;rotation:270" o:connectortype="elbow" adj="9893,-55988,-149881" strokeweight="2.25pt"/>
            <v:shape id="_x0000_s1081" type="#_x0000_t34" style="position:absolute;left:7422;top:4708;width:267;height:1149;rotation:270;flip:x" o:connectortype="elbow" adj="9893,55988,-406113" strokeweight="2.25pt"/>
            <v:shape id="_x0000_s1082" type="#_x0000_t34" style="position:absolute;left:6273;top:4708;width:267;height:1149;rotation:270" o:connectortype="elbow" adj="9893,-55988,-149881" strokeweight="2.25pt"/>
          </v:group>
        </w:pict>
      </w:r>
    </w:p>
    <w:p w:rsidR="009D6311" w:rsidRDefault="009D6311" w:rsidP="009D6311"/>
    <w:p w:rsidR="009D6311" w:rsidRDefault="009D6311" w:rsidP="009D6311"/>
    <w:p w:rsidR="009D6311" w:rsidRDefault="009D6311" w:rsidP="009D6311"/>
    <w:p w:rsidR="009D6311" w:rsidRDefault="009D6311" w:rsidP="009D6311">
      <w:pPr>
        <w:rPr>
          <w:highlight w:val="yellow"/>
        </w:rPr>
      </w:pPr>
    </w:p>
    <w:p w:rsidR="009D6311" w:rsidRDefault="009D6311" w:rsidP="009D6311"/>
    <w:p w:rsidR="009D6311" w:rsidRDefault="009D6311" w:rsidP="009D6311"/>
    <w:p w:rsidR="009D6311" w:rsidRDefault="009D6311" w:rsidP="009D6311"/>
    <w:p w:rsidR="009D6311" w:rsidRDefault="009D6311" w:rsidP="009D6311"/>
    <w:p w:rsidR="009D6311" w:rsidRDefault="009D6311" w:rsidP="009D6311">
      <w:pPr>
        <w:rPr>
          <w:b/>
        </w:rPr>
      </w:pPr>
    </w:p>
    <w:p w:rsidR="009D6311" w:rsidRDefault="009D6311" w:rsidP="009D6311">
      <w:pPr>
        <w:rPr>
          <w:highlight w:val="yellow"/>
        </w:rPr>
      </w:pPr>
    </w:p>
    <w:p w:rsidR="009D6311" w:rsidRDefault="009D6311" w:rsidP="009D6311"/>
    <w:p w:rsidR="009D6311" w:rsidRDefault="009D6311" w:rsidP="009D6311">
      <w:pPr>
        <w:rPr>
          <w:i/>
          <w:sz w:val="20"/>
          <w:szCs w:val="20"/>
        </w:rPr>
      </w:pPr>
      <w:r w:rsidRPr="00156FB5">
        <w:rPr>
          <w:i/>
          <w:sz w:val="20"/>
          <w:szCs w:val="20"/>
        </w:rPr>
        <w:t>Source:</w:t>
      </w:r>
      <w:r>
        <w:rPr>
          <w:i/>
          <w:sz w:val="20"/>
          <w:szCs w:val="20"/>
        </w:rPr>
        <w:t xml:space="preserve"> MADESE Finance Office and MA EOHHS Office of School-Based Medicaid</w:t>
      </w:r>
    </w:p>
    <w:p w:rsidR="009D6311" w:rsidRPr="00156FB5" w:rsidRDefault="009D6311" w:rsidP="009D6311">
      <w:pPr>
        <w:rPr>
          <w:i/>
          <w:sz w:val="20"/>
          <w:szCs w:val="20"/>
        </w:rPr>
      </w:pPr>
    </w:p>
    <w:p w:rsidR="008F4455" w:rsidRPr="00520721" w:rsidRDefault="008F4455" w:rsidP="00520721">
      <w:pPr>
        <w:pStyle w:val="BodyText"/>
        <w:rPr>
          <w:sz w:val="24"/>
          <w:szCs w:val="24"/>
        </w:rPr>
      </w:pPr>
      <w:r w:rsidRPr="00520721">
        <w:rPr>
          <w:sz w:val="24"/>
          <w:szCs w:val="24"/>
        </w:rPr>
        <w:t>The figures for the School-Based Medicaid program for FY2012 are provided below</w:t>
      </w:r>
      <w:r w:rsidR="00CF22F8">
        <w:rPr>
          <w:sz w:val="24"/>
          <w:szCs w:val="24"/>
        </w:rPr>
        <w:t xml:space="preserve"> in Figure K.</w:t>
      </w:r>
    </w:p>
    <w:p w:rsidR="008F4455" w:rsidRPr="00520721" w:rsidRDefault="008F4455" w:rsidP="00520721">
      <w:pPr>
        <w:pStyle w:val="BodyText"/>
        <w:rPr>
          <w:sz w:val="24"/>
          <w:szCs w:val="24"/>
        </w:rPr>
      </w:pPr>
      <w:r w:rsidRPr="00520721">
        <w:rPr>
          <w:sz w:val="24"/>
          <w:szCs w:val="24"/>
        </w:rPr>
        <w:t xml:space="preserve">Total revenue received by providers in FY12 </w:t>
      </w:r>
      <w:r w:rsidR="00CF22F8">
        <w:rPr>
          <w:sz w:val="24"/>
          <w:szCs w:val="24"/>
        </w:rPr>
        <w:t>was</w:t>
      </w:r>
      <w:r w:rsidRPr="00520721">
        <w:rPr>
          <w:sz w:val="24"/>
          <w:szCs w:val="24"/>
        </w:rPr>
        <w:t xml:space="preserve"> $74,117,545</w:t>
      </w:r>
      <w:r w:rsidR="00CF22F8">
        <w:rPr>
          <w:sz w:val="24"/>
          <w:szCs w:val="24"/>
        </w:rPr>
        <w:t xml:space="preserve">; </w:t>
      </w:r>
      <w:r w:rsidRPr="00520721">
        <w:rPr>
          <w:sz w:val="24"/>
          <w:szCs w:val="24"/>
        </w:rPr>
        <w:t xml:space="preserve">$48,209,025 </w:t>
      </w:r>
      <w:r w:rsidR="00CF22F8">
        <w:rPr>
          <w:sz w:val="24"/>
          <w:szCs w:val="24"/>
        </w:rPr>
        <w:t xml:space="preserve">is </w:t>
      </w:r>
      <w:r w:rsidRPr="00520721">
        <w:rPr>
          <w:sz w:val="24"/>
          <w:szCs w:val="24"/>
        </w:rPr>
        <w:t>for Direct Services Claims (DSC) and $25,908,520 for Admin</w:t>
      </w:r>
      <w:r w:rsidR="00CF22F8">
        <w:rPr>
          <w:sz w:val="24"/>
          <w:szCs w:val="24"/>
        </w:rPr>
        <w:t>istrative</w:t>
      </w:r>
      <w:r w:rsidRPr="00520721">
        <w:rPr>
          <w:sz w:val="24"/>
          <w:szCs w:val="24"/>
        </w:rPr>
        <w:t xml:space="preserve"> Activity Claiming (AAC).</w:t>
      </w:r>
      <w:r w:rsidR="00CF22F8">
        <w:rPr>
          <w:sz w:val="24"/>
          <w:szCs w:val="24"/>
        </w:rPr>
        <w:t xml:space="preserve"> Three hundred twenty-eight </w:t>
      </w:r>
      <w:r w:rsidRPr="00520721">
        <w:rPr>
          <w:sz w:val="24"/>
          <w:szCs w:val="24"/>
        </w:rPr>
        <w:t>providers received revenue in FY12</w:t>
      </w:r>
      <w:r w:rsidR="00CF22F8">
        <w:rPr>
          <w:sz w:val="24"/>
          <w:szCs w:val="24"/>
        </w:rPr>
        <w:t>; o</w:t>
      </w:r>
      <w:r w:rsidRPr="00520721">
        <w:rPr>
          <w:sz w:val="24"/>
          <w:szCs w:val="24"/>
        </w:rPr>
        <w:t>f those</w:t>
      </w:r>
      <w:r w:rsidR="00CF22F8">
        <w:rPr>
          <w:sz w:val="24"/>
          <w:szCs w:val="24"/>
        </w:rPr>
        <w:t>,</w:t>
      </w:r>
      <w:r w:rsidRPr="00520721">
        <w:rPr>
          <w:sz w:val="24"/>
          <w:szCs w:val="24"/>
        </w:rPr>
        <w:t xml:space="preserve"> 29 were charter schools.</w:t>
      </w:r>
    </w:p>
    <w:p w:rsidR="00170086" w:rsidRDefault="00170086" w:rsidP="00225DD0">
      <w:pPr>
        <w:spacing w:line="276" w:lineRule="auto"/>
        <w:rPr>
          <w:b/>
        </w:rPr>
      </w:pPr>
    </w:p>
    <w:p w:rsidR="00170086" w:rsidRDefault="00170086" w:rsidP="00170086">
      <w:pPr>
        <w:pStyle w:val="BodyText"/>
        <w:rPr>
          <w:sz w:val="24"/>
          <w:szCs w:val="24"/>
        </w:rPr>
      </w:pPr>
      <w:r w:rsidRPr="00520721">
        <w:rPr>
          <w:sz w:val="24"/>
          <w:szCs w:val="24"/>
        </w:rPr>
        <w:t xml:space="preserve">The data also show a decrease of 7.45 percent in participating districts from fiscal year 2011 and a decrease of 8.3 percent decrease in districts receiving at least some revenue (see Figure L). It is important to note that the data shown in Figure L can be somewhat misleading, as the revenue that districts receive in any given fiscal year is often generated by claims from earlier fiscal years. </w:t>
      </w:r>
      <w:r>
        <w:rPr>
          <w:sz w:val="24"/>
          <w:szCs w:val="24"/>
        </w:rPr>
        <w:t>While this data is not conclusive, it is likely that the decreased claiming is a result of a “fee for service” methodology that requires additional paperwork and documentation.  This methodology was instituted July 1, 2009</w:t>
      </w:r>
      <w:r w:rsidRPr="00520721">
        <w:rPr>
          <w:sz w:val="24"/>
          <w:szCs w:val="24"/>
        </w:rPr>
        <w:t xml:space="preserve"> </w:t>
      </w:r>
      <w:r>
        <w:rPr>
          <w:sz w:val="24"/>
          <w:szCs w:val="24"/>
        </w:rPr>
        <w:t xml:space="preserve">and the two year decrease in claims suggests it is not as popular as the former “bundled rate” </w:t>
      </w:r>
      <w:r w:rsidRPr="00520721">
        <w:rPr>
          <w:sz w:val="24"/>
          <w:szCs w:val="24"/>
        </w:rPr>
        <w:t>methodology.</w:t>
      </w:r>
      <w:r>
        <w:rPr>
          <w:sz w:val="24"/>
          <w:szCs w:val="24"/>
        </w:rPr>
        <w:t xml:space="preserve">  Massachusetts was required to change its methodology due to insufficient documentation of services under the former method.</w:t>
      </w:r>
    </w:p>
    <w:p w:rsidR="00170086" w:rsidRDefault="00170086" w:rsidP="00225DD0">
      <w:pPr>
        <w:spacing w:line="276" w:lineRule="auto"/>
        <w:rPr>
          <w:b/>
        </w:rPr>
      </w:pPr>
    </w:p>
    <w:p w:rsidR="00170086" w:rsidRDefault="00170086" w:rsidP="00225DD0">
      <w:pPr>
        <w:spacing w:line="276" w:lineRule="auto"/>
        <w:rPr>
          <w:b/>
        </w:rPr>
      </w:pPr>
    </w:p>
    <w:p w:rsidR="00170086" w:rsidRDefault="00170086" w:rsidP="00225DD0">
      <w:pPr>
        <w:spacing w:line="276" w:lineRule="auto"/>
        <w:rPr>
          <w:b/>
        </w:rPr>
      </w:pPr>
    </w:p>
    <w:p w:rsidR="00170086" w:rsidRDefault="00170086" w:rsidP="00225DD0">
      <w:pPr>
        <w:spacing w:line="276" w:lineRule="auto"/>
        <w:rPr>
          <w:b/>
        </w:rPr>
      </w:pPr>
    </w:p>
    <w:p w:rsidR="00225DD0" w:rsidRPr="008F4455" w:rsidRDefault="00225DD0" w:rsidP="00225DD0">
      <w:pPr>
        <w:spacing w:line="276" w:lineRule="auto"/>
        <w:rPr>
          <w:b/>
        </w:rPr>
      </w:pPr>
      <w:r w:rsidRPr="008F4455">
        <w:rPr>
          <w:b/>
        </w:rPr>
        <w:t xml:space="preserve">Figure </w:t>
      </w:r>
      <w:r>
        <w:rPr>
          <w:b/>
        </w:rPr>
        <w:t>K</w:t>
      </w:r>
      <w:r w:rsidRPr="008F4455">
        <w:rPr>
          <w:b/>
        </w:rPr>
        <w:t>: Total Municipal Medicaid Claims, FY07-FY11</w:t>
      </w:r>
    </w:p>
    <w:p w:rsidR="00225DD0" w:rsidRPr="00C626C2" w:rsidRDefault="00225DD0" w:rsidP="00225DD0">
      <w:pPr>
        <w:ind w:left="360"/>
        <w:rPr>
          <w:highlight w:val="yellow"/>
        </w:rPr>
      </w:pPr>
      <w:r>
        <w:rPr>
          <w:noProof/>
          <w:lang w:eastAsia="zh-CN"/>
        </w:rPr>
        <w:drawing>
          <wp:inline distT="0" distB="0" distL="0" distR="0">
            <wp:extent cx="5314950" cy="3057525"/>
            <wp:effectExtent l="0" t="0" r="0" b="0"/>
            <wp:docPr id="1" name="Object 8" descr="In fiscal year 2007, total municipal medicaid claims were 108 million. In FY08, total claims were 111 million. In FY09, total claims were 110.8 million. In FY10, total claims were 65.1 million. In FY11, total claims were 64.1 million."/>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25DD0" w:rsidRPr="00C92410" w:rsidRDefault="00225DD0" w:rsidP="00225DD0">
      <w:pPr>
        <w:pStyle w:val="ESESourceLine"/>
        <w:ind w:left="360"/>
      </w:pPr>
      <w:r w:rsidRPr="00C92410">
        <w:t xml:space="preserve">Note: Values rounded to nearest </w:t>
      </w:r>
      <w:r>
        <w:t xml:space="preserve">tenth of a </w:t>
      </w:r>
      <w:r w:rsidRPr="00C92410">
        <w:t>million.</w:t>
      </w:r>
    </w:p>
    <w:p w:rsidR="00B07D98" w:rsidRPr="00F83F14" w:rsidRDefault="00B07D98" w:rsidP="00B07D98">
      <w:pPr>
        <w:rPr>
          <w:i/>
          <w:sz w:val="12"/>
          <w:szCs w:val="12"/>
        </w:rPr>
      </w:pPr>
    </w:p>
    <w:p w:rsidR="00C1493C" w:rsidRDefault="00C1493C" w:rsidP="007A1237">
      <w:pPr>
        <w:pStyle w:val="Heading1"/>
        <w:numPr>
          <w:ilvl w:val="0"/>
          <w:numId w:val="12"/>
        </w:numPr>
        <w:ind w:left="0" w:firstLine="0"/>
      </w:pPr>
      <w:bookmarkStart w:id="26" w:name="_Toc342312322"/>
      <w:r>
        <w:t>Educational Collaboratives</w:t>
      </w:r>
      <w:bookmarkEnd w:id="26"/>
    </w:p>
    <w:p w:rsidR="006E117F" w:rsidRPr="00CF22F8" w:rsidRDefault="006E117F" w:rsidP="00520721">
      <w:pPr>
        <w:pStyle w:val="BodyText"/>
        <w:rPr>
          <w:sz w:val="24"/>
          <w:szCs w:val="24"/>
        </w:rPr>
      </w:pPr>
      <w:r w:rsidRPr="00CF22F8">
        <w:rPr>
          <w:sz w:val="24"/>
          <w:szCs w:val="24"/>
        </w:rPr>
        <w:t xml:space="preserve">Educational </w:t>
      </w:r>
      <w:proofErr w:type="spellStart"/>
      <w:r w:rsidRPr="00CF22F8">
        <w:rPr>
          <w:sz w:val="24"/>
          <w:szCs w:val="24"/>
        </w:rPr>
        <w:t>collaboratives</w:t>
      </w:r>
      <w:proofErr w:type="spellEnd"/>
      <w:r w:rsidRPr="00CF22F8">
        <w:rPr>
          <w:sz w:val="24"/>
          <w:szCs w:val="24"/>
        </w:rPr>
        <w:t xml:space="preserve"> </w:t>
      </w:r>
      <w:r w:rsidR="00CF22F8">
        <w:rPr>
          <w:sz w:val="24"/>
          <w:szCs w:val="24"/>
        </w:rPr>
        <w:t xml:space="preserve">continue to </w:t>
      </w:r>
      <w:r w:rsidRPr="00CF22F8">
        <w:rPr>
          <w:sz w:val="24"/>
          <w:szCs w:val="24"/>
        </w:rPr>
        <w:t xml:space="preserve">play an important role in delivering special education services to students throughout the Commonwealth, especially in the smallest districts, where capacity to provide extensive services may be limited. </w:t>
      </w:r>
      <w:r w:rsidR="000B5B9F" w:rsidRPr="00CF22F8">
        <w:rPr>
          <w:sz w:val="24"/>
          <w:szCs w:val="24"/>
        </w:rPr>
        <w:t>During -</w:t>
      </w:r>
      <w:r w:rsidR="00CF22F8">
        <w:rPr>
          <w:sz w:val="24"/>
          <w:szCs w:val="24"/>
        </w:rPr>
        <w:t>FY</w:t>
      </w:r>
      <w:r w:rsidR="000B5B9F" w:rsidRPr="00CF22F8">
        <w:rPr>
          <w:sz w:val="24"/>
          <w:szCs w:val="24"/>
        </w:rPr>
        <w:t>12</w:t>
      </w:r>
      <w:r w:rsidR="00CF22F8">
        <w:rPr>
          <w:sz w:val="24"/>
          <w:szCs w:val="24"/>
        </w:rPr>
        <w:t>,</w:t>
      </w:r>
      <w:r w:rsidR="000B5B9F" w:rsidRPr="00CF22F8">
        <w:rPr>
          <w:sz w:val="24"/>
          <w:szCs w:val="24"/>
        </w:rPr>
        <w:t xml:space="preserve"> 5</w:t>
      </w:r>
      <w:r w:rsidR="00CF22F8">
        <w:rPr>
          <w:sz w:val="24"/>
          <w:szCs w:val="24"/>
        </w:rPr>
        <w:t>,</w:t>
      </w:r>
      <w:r w:rsidR="000B5B9F" w:rsidRPr="00CF22F8">
        <w:rPr>
          <w:sz w:val="24"/>
          <w:szCs w:val="24"/>
        </w:rPr>
        <w:t>178</w:t>
      </w:r>
      <w:r w:rsidRPr="00CF22F8">
        <w:rPr>
          <w:sz w:val="24"/>
          <w:szCs w:val="24"/>
        </w:rPr>
        <w:t xml:space="preserve"> students, with a full range of disabilities, received direct services through educational</w:t>
      </w:r>
      <w:r w:rsidR="000B5B9F" w:rsidRPr="00CF22F8">
        <w:rPr>
          <w:sz w:val="24"/>
          <w:szCs w:val="24"/>
        </w:rPr>
        <w:t xml:space="preserve"> </w:t>
      </w:r>
      <w:proofErr w:type="spellStart"/>
      <w:r w:rsidRPr="00CF22F8">
        <w:rPr>
          <w:sz w:val="24"/>
          <w:szCs w:val="24"/>
        </w:rPr>
        <w:t>colla</w:t>
      </w:r>
      <w:r w:rsidR="000B5B9F" w:rsidRPr="00CF22F8">
        <w:rPr>
          <w:sz w:val="24"/>
          <w:szCs w:val="24"/>
        </w:rPr>
        <w:t>boratives</w:t>
      </w:r>
      <w:proofErr w:type="spellEnd"/>
      <w:r w:rsidR="000B5B9F" w:rsidRPr="00CF22F8">
        <w:rPr>
          <w:sz w:val="24"/>
          <w:szCs w:val="24"/>
        </w:rPr>
        <w:t xml:space="preserve">. </w:t>
      </w:r>
      <w:r w:rsidRPr="00CF22F8">
        <w:rPr>
          <w:sz w:val="24"/>
          <w:szCs w:val="24"/>
        </w:rPr>
        <w:t xml:space="preserve">Collaboratives collectively </w:t>
      </w:r>
      <w:r w:rsidR="000B5B9F" w:rsidRPr="00CF22F8">
        <w:rPr>
          <w:sz w:val="24"/>
          <w:szCs w:val="24"/>
        </w:rPr>
        <w:t>served 244 member</w:t>
      </w:r>
      <w:r w:rsidRPr="00CF22F8">
        <w:rPr>
          <w:sz w:val="24"/>
          <w:szCs w:val="24"/>
        </w:rPr>
        <w:t xml:space="preserve"> districts, had budgets that amounted to over $</w:t>
      </w:r>
      <w:r w:rsidR="00A21E55" w:rsidRPr="00CF22F8">
        <w:rPr>
          <w:sz w:val="24"/>
          <w:szCs w:val="24"/>
        </w:rPr>
        <w:t>325</w:t>
      </w:r>
      <w:r w:rsidR="000B5B9F" w:rsidRPr="00CF22F8">
        <w:rPr>
          <w:sz w:val="24"/>
          <w:szCs w:val="24"/>
        </w:rPr>
        <w:t xml:space="preserve"> million, and employed</w:t>
      </w:r>
      <w:r w:rsidRPr="00CF22F8">
        <w:rPr>
          <w:sz w:val="24"/>
          <w:szCs w:val="24"/>
        </w:rPr>
        <w:t xml:space="preserve"> </w:t>
      </w:r>
      <w:r w:rsidR="000B5B9F" w:rsidRPr="00CF22F8">
        <w:rPr>
          <w:sz w:val="24"/>
          <w:szCs w:val="24"/>
        </w:rPr>
        <w:t>3</w:t>
      </w:r>
      <w:r w:rsidR="00CF22F8">
        <w:rPr>
          <w:sz w:val="24"/>
          <w:szCs w:val="24"/>
        </w:rPr>
        <w:t>,</w:t>
      </w:r>
      <w:r w:rsidR="000B5B9F" w:rsidRPr="00CF22F8">
        <w:rPr>
          <w:sz w:val="24"/>
          <w:szCs w:val="24"/>
        </w:rPr>
        <w:t>688</w:t>
      </w:r>
      <w:r w:rsidRPr="00CF22F8">
        <w:rPr>
          <w:sz w:val="24"/>
          <w:szCs w:val="24"/>
        </w:rPr>
        <w:t xml:space="preserve"> staff.</w:t>
      </w:r>
    </w:p>
    <w:p w:rsidR="006E117F" w:rsidRPr="00CF22F8" w:rsidRDefault="006E117F" w:rsidP="00520721">
      <w:pPr>
        <w:pStyle w:val="BodyText"/>
        <w:rPr>
          <w:sz w:val="24"/>
          <w:szCs w:val="24"/>
        </w:rPr>
      </w:pPr>
    </w:p>
    <w:p w:rsidR="006E117F" w:rsidRPr="00CF22F8" w:rsidRDefault="006E117F" w:rsidP="00520721">
      <w:pPr>
        <w:pStyle w:val="BodyText"/>
        <w:rPr>
          <w:sz w:val="24"/>
          <w:szCs w:val="24"/>
        </w:rPr>
      </w:pPr>
      <w:r w:rsidRPr="00CF22F8">
        <w:rPr>
          <w:sz w:val="24"/>
          <w:szCs w:val="24"/>
        </w:rPr>
        <w:t xml:space="preserve"> Educational </w:t>
      </w:r>
      <w:proofErr w:type="spellStart"/>
      <w:r w:rsidRPr="00CF22F8">
        <w:rPr>
          <w:sz w:val="24"/>
          <w:szCs w:val="24"/>
        </w:rPr>
        <w:t>collaboratives</w:t>
      </w:r>
      <w:proofErr w:type="spellEnd"/>
      <w:r w:rsidRPr="00CF22F8">
        <w:rPr>
          <w:sz w:val="24"/>
          <w:szCs w:val="24"/>
        </w:rPr>
        <w:t xml:space="preserve"> have operated in M</w:t>
      </w:r>
      <w:r w:rsidR="00CF22F8">
        <w:rPr>
          <w:sz w:val="24"/>
          <w:szCs w:val="24"/>
        </w:rPr>
        <w:t>assachusetts</w:t>
      </w:r>
      <w:r w:rsidRPr="00CF22F8">
        <w:rPr>
          <w:sz w:val="24"/>
          <w:szCs w:val="24"/>
        </w:rPr>
        <w:t xml:space="preserve"> for over forty years. With the passage of Chapter 766, the Special Education law, in 1972, collaborative programs expanded as school districts recognized their value in serving low inciden</w:t>
      </w:r>
      <w:r w:rsidR="000236AD">
        <w:rPr>
          <w:sz w:val="24"/>
          <w:szCs w:val="24"/>
        </w:rPr>
        <w:t>ce</w:t>
      </w:r>
      <w:r w:rsidRPr="00CF22F8">
        <w:rPr>
          <w:sz w:val="24"/>
          <w:szCs w:val="24"/>
        </w:rPr>
        <w:t xml:space="preserve"> special education students. With this expansion came more responsibility for the districts acting as fiscal agents for the collaborative to manage the financing and hire teachers for the collaborative who then retained tenure in the lead district. </w:t>
      </w:r>
      <w:r w:rsidR="00D27FA4" w:rsidRPr="00CF22F8">
        <w:rPr>
          <w:sz w:val="24"/>
          <w:szCs w:val="24"/>
        </w:rPr>
        <w:t>During the 2011-2012 school year</w:t>
      </w:r>
      <w:r w:rsidR="00CF22F8">
        <w:rPr>
          <w:sz w:val="24"/>
          <w:szCs w:val="24"/>
        </w:rPr>
        <w:t>,</w:t>
      </w:r>
      <w:r w:rsidR="00D27FA4" w:rsidRPr="00CF22F8">
        <w:rPr>
          <w:sz w:val="24"/>
          <w:szCs w:val="24"/>
        </w:rPr>
        <w:t xml:space="preserve"> </w:t>
      </w:r>
      <w:proofErr w:type="spellStart"/>
      <w:r w:rsidR="00D27FA4" w:rsidRPr="00CF22F8">
        <w:rPr>
          <w:sz w:val="24"/>
          <w:szCs w:val="24"/>
        </w:rPr>
        <w:t>collaboratives</w:t>
      </w:r>
      <w:proofErr w:type="spellEnd"/>
      <w:r w:rsidR="00D27FA4" w:rsidRPr="00CF22F8">
        <w:rPr>
          <w:sz w:val="24"/>
          <w:szCs w:val="24"/>
        </w:rPr>
        <w:t xml:space="preserve"> experienced intense scrutiny regarding financial practices; this inspection culminated in legislation (Ch. 43, Acts of 2012) focused on improved accountability and enhanced oversight by </w:t>
      </w:r>
      <w:r w:rsidR="005B26F9" w:rsidRPr="00CF22F8">
        <w:rPr>
          <w:sz w:val="24"/>
          <w:szCs w:val="24"/>
        </w:rPr>
        <w:t>the Department</w:t>
      </w:r>
      <w:r w:rsidR="00D27FA4" w:rsidRPr="00CF22F8">
        <w:rPr>
          <w:sz w:val="24"/>
          <w:szCs w:val="24"/>
        </w:rPr>
        <w:t>.</w:t>
      </w:r>
    </w:p>
    <w:p w:rsidR="00D27FA4" w:rsidRPr="00CF22F8" w:rsidRDefault="00D27FA4" w:rsidP="00520721">
      <w:pPr>
        <w:pStyle w:val="BodyText"/>
        <w:rPr>
          <w:sz w:val="24"/>
          <w:szCs w:val="24"/>
        </w:rPr>
      </w:pPr>
    </w:p>
    <w:p w:rsidR="006E117F" w:rsidRPr="00CF22F8" w:rsidRDefault="00D27FA4" w:rsidP="00520721">
      <w:pPr>
        <w:pStyle w:val="BodyText"/>
        <w:rPr>
          <w:sz w:val="24"/>
          <w:szCs w:val="24"/>
        </w:rPr>
      </w:pPr>
      <w:r w:rsidRPr="00CF22F8">
        <w:rPr>
          <w:sz w:val="24"/>
          <w:szCs w:val="24"/>
        </w:rPr>
        <w:t xml:space="preserve">One provision of the new legislation authorized the development of regulations relating to educational </w:t>
      </w:r>
      <w:proofErr w:type="spellStart"/>
      <w:r w:rsidRPr="00CF22F8">
        <w:rPr>
          <w:sz w:val="24"/>
          <w:szCs w:val="24"/>
        </w:rPr>
        <w:t>collaboratives</w:t>
      </w:r>
      <w:proofErr w:type="spellEnd"/>
      <w:r w:rsidRPr="00CF22F8">
        <w:rPr>
          <w:sz w:val="24"/>
          <w:szCs w:val="24"/>
        </w:rPr>
        <w:t xml:space="preserve">. Proposed regulations have been written and have been opened for public comment. Another provision called for the establishment of a special legislative commission charged with studying the role of </w:t>
      </w:r>
      <w:proofErr w:type="spellStart"/>
      <w:r w:rsidRPr="00CF22F8">
        <w:rPr>
          <w:sz w:val="24"/>
          <w:szCs w:val="24"/>
        </w:rPr>
        <w:t>collaboratives</w:t>
      </w:r>
      <w:proofErr w:type="spellEnd"/>
      <w:r w:rsidRPr="00CF22F8">
        <w:rPr>
          <w:sz w:val="24"/>
          <w:szCs w:val="24"/>
        </w:rPr>
        <w:t xml:space="preserve"> in the Commonwealth. This commission </w:t>
      </w:r>
      <w:r w:rsidR="00DA0F60" w:rsidRPr="00CF22F8">
        <w:rPr>
          <w:sz w:val="24"/>
          <w:szCs w:val="24"/>
        </w:rPr>
        <w:t>will be filing its report in March 2013</w:t>
      </w:r>
      <w:r w:rsidR="00CF22F8">
        <w:rPr>
          <w:sz w:val="24"/>
          <w:szCs w:val="24"/>
        </w:rPr>
        <w:t>,</w:t>
      </w:r>
      <w:r w:rsidR="00DA0F60" w:rsidRPr="00CF22F8">
        <w:rPr>
          <w:sz w:val="24"/>
          <w:szCs w:val="24"/>
        </w:rPr>
        <w:t xml:space="preserve"> and </w:t>
      </w:r>
      <w:r w:rsidR="00CF22F8">
        <w:rPr>
          <w:sz w:val="24"/>
          <w:szCs w:val="24"/>
        </w:rPr>
        <w:t>is likely to</w:t>
      </w:r>
      <w:r w:rsidR="00DA0F60" w:rsidRPr="00CF22F8">
        <w:rPr>
          <w:sz w:val="24"/>
          <w:szCs w:val="24"/>
        </w:rPr>
        <w:t xml:space="preserve"> make recommendations regarding the efficiency and value of the current collaborative arrangement.</w:t>
      </w:r>
    </w:p>
    <w:p w:rsidR="006E117F" w:rsidRPr="00CF22F8" w:rsidRDefault="006E117F" w:rsidP="00520721">
      <w:pPr>
        <w:pStyle w:val="BodyText"/>
        <w:rPr>
          <w:sz w:val="24"/>
          <w:szCs w:val="24"/>
        </w:rPr>
      </w:pPr>
    </w:p>
    <w:p w:rsidR="006E117F" w:rsidRPr="00CF22F8" w:rsidRDefault="000236AD" w:rsidP="00520721">
      <w:pPr>
        <w:pStyle w:val="BodyText"/>
        <w:rPr>
          <w:sz w:val="24"/>
          <w:szCs w:val="24"/>
        </w:rPr>
      </w:pPr>
      <w:r>
        <w:rPr>
          <w:sz w:val="24"/>
          <w:szCs w:val="24"/>
        </w:rPr>
        <w:t>One</w:t>
      </w:r>
      <w:r w:rsidR="006E117F" w:rsidRPr="00CF22F8">
        <w:rPr>
          <w:sz w:val="24"/>
          <w:szCs w:val="24"/>
        </w:rPr>
        <w:t xml:space="preserve"> successful model for </w:t>
      </w:r>
      <w:r>
        <w:rPr>
          <w:sz w:val="24"/>
          <w:szCs w:val="24"/>
        </w:rPr>
        <w:t xml:space="preserve">an </w:t>
      </w:r>
      <w:r w:rsidR="00CF22F8">
        <w:rPr>
          <w:sz w:val="24"/>
          <w:szCs w:val="24"/>
        </w:rPr>
        <w:t xml:space="preserve">efficient and coordinated approach to resource sharing through partnerships with educational </w:t>
      </w:r>
      <w:proofErr w:type="spellStart"/>
      <w:r w:rsidR="00CF22F8">
        <w:rPr>
          <w:sz w:val="24"/>
          <w:szCs w:val="24"/>
        </w:rPr>
        <w:t>collaboratives</w:t>
      </w:r>
      <w:proofErr w:type="spellEnd"/>
      <w:r w:rsidR="00CF22F8">
        <w:rPr>
          <w:sz w:val="24"/>
          <w:szCs w:val="24"/>
        </w:rPr>
        <w:t xml:space="preserve"> </w:t>
      </w:r>
      <w:r>
        <w:rPr>
          <w:sz w:val="24"/>
          <w:szCs w:val="24"/>
        </w:rPr>
        <w:t xml:space="preserve">is the </w:t>
      </w:r>
      <w:r w:rsidR="006E117F" w:rsidRPr="00CF22F8">
        <w:rPr>
          <w:sz w:val="24"/>
          <w:szCs w:val="24"/>
        </w:rPr>
        <w:t xml:space="preserve">Special Education Transportation Pilot Program, which has realized more than $7 million dollars in savings for participating districts to date. A copy of the Special Education Transportation Task Force Report is available on the Massachusetts Organization for Educational Collaboratives (MOEC) website: </w:t>
      </w:r>
      <w:hyperlink r:id="rId27" w:history="1">
        <w:r w:rsidR="006E117F" w:rsidRPr="00CF22F8">
          <w:rPr>
            <w:rStyle w:val="Hyperlink"/>
            <w:sz w:val="24"/>
            <w:szCs w:val="24"/>
          </w:rPr>
          <w:t>www.moecnet.org</w:t>
        </w:r>
      </w:hyperlink>
      <w:r w:rsidR="006E117F" w:rsidRPr="00CF22F8">
        <w:rPr>
          <w:sz w:val="24"/>
          <w:szCs w:val="24"/>
        </w:rPr>
        <w:t>.</w:t>
      </w:r>
    </w:p>
    <w:p w:rsidR="00DA0F60" w:rsidRPr="00CF22F8" w:rsidRDefault="00DA0F60" w:rsidP="00520721">
      <w:pPr>
        <w:pStyle w:val="BodyText"/>
        <w:rPr>
          <w:sz w:val="24"/>
          <w:szCs w:val="24"/>
        </w:rPr>
      </w:pPr>
    </w:p>
    <w:p w:rsidR="00DA0F60" w:rsidRPr="00CF22F8" w:rsidRDefault="00DA0F60" w:rsidP="00520721">
      <w:pPr>
        <w:pStyle w:val="BodyText"/>
        <w:rPr>
          <w:sz w:val="24"/>
          <w:szCs w:val="24"/>
        </w:rPr>
      </w:pPr>
      <w:r w:rsidRPr="00CF22F8">
        <w:rPr>
          <w:sz w:val="24"/>
          <w:szCs w:val="24"/>
        </w:rPr>
        <w:t>As a component of increased accountability</w:t>
      </w:r>
      <w:r w:rsidR="00CF22F8">
        <w:rPr>
          <w:sz w:val="24"/>
          <w:szCs w:val="24"/>
        </w:rPr>
        <w:t>,</w:t>
      </w:r>
      <w:r w:rsidRPr="00CF22F8">
        <w:rPr>
          <w:sz w:val="24"/>
          <w:szCs w:val="24"/>
        </w:rPr>
        <w:t xml:space="preserve"> the Department has included </w:t>
      </w:r>
      <w:r w:rsidR="00CF22F8">
        <w:rPr>
          <w:sz w:val="24"/>
          <w:szCs w:val="24"/>
        </w:rPr>
        <w:t xml:space="preserve">educational </w:t>
      </w:r>
      <w:proofErr w:type="spellStart"/>
      <w:r w:rsidRPr="00CF22F8">
        <w:rPr>
          <w:sz w:val="24"/>
          <w:szCs w:val="24"/>
        </w:rPr>
        <w:t>collaboratives</w:t>
      </w:r>
      <w:proofErr w:type="spellEnd"/>
      <w:r w:rsidRPr="00CF22F8">
        <w:rPr>
          <w:sz w:val="24"/>
          <w:szCs w:val="24"/>
        </w:rPr>
        <w:t xml:space="preserve"> in the Department’s Program Quality Assurance (PQA) six-year cycle of coordinated program reviews </w:t>
      </w:r>
      <w:r w:rsidR="001A0F9E" w:rsidRPr="00CF22F8">
        <w:rPr>
          <w:sz w:val="24"/>
          <w:szCs w:val="24"/>
        </w:rPr>
        <w:t>since SY</w:t>
      </w:r>
      <w:r w:rsidRPr="00CF22F8">
        <w:rPr>
          <w:sz w:val="24"/>
          <w:szCs w:val="24"/>
        </w:rPr>
        <w:t xml:space="preserve"> 2010-2011. </w:t>
      </w:r>
    </w:p>
    <w:p w:rsidR="00C1493C" w:rsidRDefault="00C1493C" w:rsidP="007A1237">
      <w:pPr>
        <w:pStyle w:val="Heading1"/>
        <w:numPr>
          <w:ilvl w:val="0"/>
          <w:numId w:val="12"/>
        </w:numPr>
        <w:ind w:left="0" w:firstLine="0"/>
      </w:pPr>
      <w:bookmarkStart w:id="27" w:name="_Toc342312323"/>
      <w:r>
        <w:t>Additional Resources</w:t>
      </w:r>
      <w:bookmarkEnd w:id="27"/>
    </w:p>
    <w:p w:rsidR="009F2653" w:rsidRDefault="009F2653" w:rsidP="007A1237">
      <w:pPr>
        <w:pStyle w:val="Heading2"/>
        <w:numPr>
          <w:ilvl w:val="0"/>
          <w:numId w:val="18"/>
        </w:numPr>
        <w:ind w:left="0" w:firstLine="0"/>
      </w:pPr>
      <w:bookmarkStart w:id="28" w:name="_Toc342312324"/>
      <w:r w:rsidRPr="009F2653">
        <w:t>Bureau of Special Education Appeals</w:t>
      </w:r>
      <w:bookmarkEnd w:id="28"/>
    </w:p>
    <w:p w:rsidR="005B26F9" w:rsidRPr="005B26F9" w:rsidRDefault="005B26F9" w:rsidP="005B26F9"/>
    <w:p w:rsidR="009F2653" w:rsidRPr="00D55C12" w:rsidRDefault="009F2653" w:rsidP="00520721">
      <w:pPr>
        <w:pStyle w:val="BodyText"/>
        <w:rPr>
          <w:sz w:val="24"/>
          <w:szCs w:val="24"/>
        </w:rPr>
      </w:pPr>
      <w:r w:rsidRPr="00D55C12">
        <w:rPr>
          <w:sz w:val="24"/>
          <w:szCs w:val="24"/>
        </w:rPr>
        <w:t>The Bureau of Special Education Appeals (BSEA), an independent subdivision of the Division of Administrative Law Appeals, conducts mediations and due process hearings to resolve disputes among parents, school districts, private schools and state agencies</w:t>
      </w:r>
      <w:r w:rsidR="005B26F9" w:rsidRPr="00D55C12">
        <w:rPr>
          <w:sz w:val="24"/>
          <w:szCs w:val="24"/>
        </w:rPr>
        <w:t xml:space="preserve">, consistent with the IDEA and related laws. </w:t>
      </w:r>
      <w:r w:rsidRPr="00D55C12">
        <w:rPr>
          <w:sz w:val="24"/>
          <w:szCs w:val="24"/>
        </w:rPr>
        <w:t>The BSEA derives its authority from both federal law</w:t>
      </w:r>
      <w:r w:rsidR="005B26F9" w:rsidRPr="00D55C12">
        <w:rPr>
          <w:sz w:val="24"/>
          <w:szCs w:val="24"/>
        </w:rPr>
        <w:t xml:space="preserve"> </w:t>
      </w:r>
      <w:r w:rsidRPr="00D55C12">
        <w:rPr>
          <w:sz w:val="24"/>
          <w:szCs w:val="24"/>
        </w:rPr>
        <w:t>and regulations</w:t>
      </w:r>
      <w:r w:rsidR="005B26F9" w:rsidRPr="00D55C12">
        <w:rPr>
          <w:sz w:val="24"/>
          <w:szCs w:val="24"/>
        </w:rPr>
        <w:t>,</w:t>
      </w:r>
      <w:r w:rsidRPr="00D55C12">
        <w:rPr>
          <w:sz w:val="24"/>
          <w:szCs w:val="24"/>
        </w:rPr>
        <w:t xml:space="preserve"> and Massachusetts law and regulations</w:t>
      </w:r>
      <w:r w:rsidR="005B26F9" w:rsidRPr="00D55C12">
        <w:rPr>
          <w:sz w:val="24"/>
          <w:szCs w:val="24"/>
        </w:rPr>
        <w:t xml:space="preserve">, including </w:t>
      </w:r>
      <w:r w:rsidRPr="00D55C12">
        <w:rPr>
          <w:sz w:val="24"/>
          <w:szCs w:val="24"/>
        </w:rPr>
        <w:t>M</w:t>
      </w:r>
      <w:r w:rsidR="005B26F9" w:rsidRPr="00D55C12">
        <w:rPr>
          <w:sz w:val="24"/>
          <w:szCs w:val="24"/>
        </w:rPr>
        <w:t>.</w:t>
      </w:r>
      <w:r w:rsidRPr="00D55C12">
        <w:rPr>
          <w:sz w:val="24"/>
          <w:szCs w:val="24"/>
        </w:rPr>
        <w:t>G</w:t>
      </w:r>
      <w:r w:rsidR="005B26F9" w:rsidRPr="00D55C12">
        <w:rPr>
          <w:sz w:val="24"/>
          <w:szCs w:val="24"/>
        </w:rPr>
        <w:t>.</w:t>
      </w:r>
      <w:r w:rsidRPr="00D55C12">
        <w:rPr>
          <w:sz w:val="24"/>
          <w:szCs w:val="24"/>
        </w:rPr>
        <w:t>L c.71B</w:t>
      </w:r>
      <w:r w:rsidR="005B26F9" w:rsidRPr="00D55C12">
        <w:rPr>
          <w:sz w:val="24"/>
          <w:szCs w:val="24"/>
        </w:rPr>
        <w:t>. In addition to mediation and due process hearings (both of which must be offered pursuant to federal law), the BSEA offers the following alternative dispute resolution options: IEP Team meeting facilitations, settlement conferences, and advisory opinions.</w:t>
      </w:r>
    </w:p>
    <w:p w:rsidR="005B26F9" w:rsidRPr="00D55C12" w:rsidRDefault="005B26F9" w:rsidP="00520721">
      <w:pPr>
        <w:pStyle w:val="BodyText"/>
        <w:rPr>
          <w:sz w:val="24"/>
          <w:szCs w:val="24"/>
        </w:rPr>
      </w:pPr>
    </w:p>
    <w:p w:rsidR="009F2653" w:rsidRPr="00D55C12" w:rsidRDefault="009F2653" w:rsidP="00520721">
      <w:pPr>
        <w:pStyle w:val="BodyText"/>
        <w:rPr>
          <w:sz w:val="24"/>
          <w:szCs w:val="24"/>
        </w:rPr>
      </w:pPr>
      <w:r w:rsidRPr="00D55C12">
        <w:rPr>
          <w:sz w:val="24"/>
          <w:szCs w:val="24"/>
        </w:rPr>
        <w:t xml:space="preserve">A parent or a school district may request mediation and/or a due process hearing on any matter concerning the eligibility, evaluation, placement, </w:t>
      </w:r>
      <w:r w:rsidR="005B26F9" w:rsidRPr="00D55C12">
        <w:rPr>
          <w:sz w:val="24"/>
          <w:szCs w:val="24"/>
        </w:rPr>
        <w:t>I</w:t>
      </w:r>
      <w:r w:rsidRPr="00D55C12">
        <w:rPr>
          <w:sz w:val="24"/>
          <w:szCs w:val="24"/>
        </w:rPr>
        <w:t xml:space="preserve">ndividualized </w:t>
      </w:r>
      <w:r w:rsidR="005B26F9" w:rsidRPr="00D55C12">
        <w:rPr>
          <w:sz w:val="24"/>
          <w:szCs w:val="24"/>
        </w:rPr>
        <w:t>E</w:t>
      </w:r>
      <w:r w:rsidRPr="00D55C12">
        <w:rPr>
          <w:sz w:val="24"/>
          <w:szCs w:val="24"/>
        </w:rPr>
        <w:t xml:space="preserve">ducation </w:t>
      </w:r>
      <w:r w:rsidR="005B26F9" w:rsidRPr="00D55C12">
        <w:rPr>
          <w:sz w:val="24"/>
          <w:szCs w:val="24"/>
        </w:rPr>
        <w:t>P</w:t>
      </w:r>
      <w:r w:rsidRPr="00D55C12">
        <w:rPr>
          <w:sz w:val="24"/>
          <w:szCs w:val="24"/>
        </w:rPr>
        <w:t>rogram (IEP), provision of special education</w:t>
      </w:r>
      <w:r w:rsidR="005B26F9" w:rsidRPr="00D55C12">
        <w:rPr>
          <w:sz w:val="24"/>
          <w:szCs w:val="24"/>
        </w:rPr>
        <w:t>,</w:t>
      </w:r>
      <w:r w:rsidRPr="00D55C12">
        <w:rPr>
          <w:sz w:val="24"/>
          <w:szCs w:val="24"/>
        </w:rPr>
        <w:t xml:space="preserve"> or procedural protections for students with disabilities, in accordance with state and federal law.</w:t>
      </w:r>
      <w:r w:rsidRPr="00D55C12">
        <w:rPr>
          <w:rStyle w:val="FootnoteReference"/>
          <w:sz w:val="24"/>
          <w:szCs w:val="24"/>
        </w:rPr>
        <w:footnoteReference w:id="1"/>
      </w:r>
      <w:r w:rsidR="005B26F9" w:rsidRPr="00D55C12">
        <w:rPr>
          <w:sz w:val="24"/>
          <w:szCs w:val="24"/>
        </w:rPr>
        <w:t xml:space="preserve"> </w:t>
      </w:r>
      <w:r w:rsidRPr="00D55C12">
        <w:rPr>
          <w:sz w:val="24"/>
          <w:szCs w:val="24"/>
        </w:rPr>
        <w:t xml:space="preserve">In addition, a parent may request a hearing on any issue involving the denial of the free appropriate public education guaranteed by </w:t>
      </w:r>
      <w:hyperlink r:id="rId28" w:tooltip="External Link" w:history="1">
        <w:r w:rsidRPr="00D55C12">
          <w:rPr>
            <w:color w:val="0000FF"/>
            <w:sz w:val="24"/>
            <w:szCs w:val="24"/>
            <w:u w:val="single"/>
          </w:rPr>
          <w:t>Section 504 of the Rehabilitation Act of 1973</w:t>
        </w:r>
      </w:hyperlink>
      <w:r w:rsidRPr="00D55C12">
        <w:rPr>
          <w:sz w:val="24"/>
          <w:szCs w:val="24"/>
        </w:rPr>
        <w:t>.</w:t>
      </w:r>
    </w:p>
    <w:p w:rsidR="005B26F9" w:rsidRPr="00D55C12" w:rsidRDefault="005B26F9" w:rsidP="00520721">
      <w:pPr>
        <w:pStyle w:val="BodyText"/>
        <w:rPr>
          <w:sz w:val="24"/>
          <w:szCs w:val="24"/>
        </w:rPr>
      </w:pPr>
    </w:p>
    <w:p w:rsidR="009F2653" w:rsidRPr="00D55C12" w:rsidRDefault="009F2653" w:rsidP="00520721">
      <w:pPr>
        <w:pStyle w:val="BodyText"/>
        <w:rPr>
          <w:sz w:val="24"/>
          <w:szCs w:val="24"/>
        </w:rPr>
      </w:pPr>
      <w:r w:rsidRPr="00D55C12">
        <w:rPr>
          <w:sz w:val="24"/>
          <w:szCs w:val="24"/>
        </w:rPr>
        <w:t xml:space="preserve">Mediations and hearings are conducted by impartial mediators and hearing officers who do not have personal or professional interests that would conflict with their objectivity in the proceeding. The BSEA consists of seven hearing officers (all of whom are attorneys), seven mediators, </w:t>
      </w:r>
      <w:proofErr w:type="gramStart"/>
      <w:r w:rsidRPr="00D55C12">
        <w:rPr>
          <w:sz w:val="24"/>
          <w:szCs w:val="24"/>
        </w:rPr>
        <w:t>a</w:t>
      </w:r>
      <w:proofErr w:type="gramEnd"/>
      <w:r w:rsidRPr="00D55C12">
        <w:rPr>
          <w:sz w:val="24"/>
          <w:szCs w:val="24"/>
        </w:rPr>
        <w:t xml:space="preserve"> coordinator of mediation, a scheduling coordinator, administrative staff, and a director.</w:t>
      </w:r>
    </w:p>
    <w:p w:rsidR="005B26F9" w:rsidRPr="00D55C12" w:rsidRDefault="005B26F9" w:rsidP="005B26F9">
      <w:pPr>
        <w:pStyle w:val="BodyText"/>
        <w:rPr>
          <w:sz w:val="24"/>
          <w:szCs w:val="24"/>
        </w:rPr>
      </w:pPr>
    </w:p>
    <w:p w:rsidR="009F2653" w:rsidRPr="00D55C12" w:rsidRDefault="009F2653" w:rsidP="005B26F9">
      <w:pPr>
        <w:pStyle w:val="BodyText"/>
        <w:rPr>
          <w:sz w:val="24"/>
          <w:szCs w:val="24"/>
        </w:rPr>
      </w:pPr>
      <w:r w:rsidRPr="00D55C12">
        <w:rPr>
          <w:sz w:val="24"/>
          <w:szCs w:val="24"/>
        </w:rPr>
        <w:t>What follows is a summary of BSEA data for fiscal year</w:t>
      </w:r>
      <w:r w:rsidR="005B26F9" w:rsidRPr="00D55C12">
        <w:rPr>
          <w:sz w:val="24"/>
          <w:szCs w:val="24"/>
        </w:rPr>
        <w:t xml:space="preserve"> (FY)</w:t>
      </w:r>
      <w:r w:rsidRPr="00D55C12">
        <w:rPr>
          <w:sz w:val="24"/>
          <w:szCs w:val="24"/>
        </w:rPr>
        <w:t xml:space="preserve"> 2012</w:t>
      </w:r>
      <w:r w:rsidR="005B26F9" w:rsidRPr="00D55C12">
        <w:rPr>
          <w:sz w:val="24"/>
          <w:szCs w:val="24"/>
        </w:rPr>
        <w:t xml:space="preserve">, </w:t>
      </w:r>
      <w:r w:rsidRPr="00D55C12">
        <w:rPr>
          <w:sz w:val="24"/>
          <w:szCs w:val="24"/>
        </w:rPr>
        <w:t>covering the period July 1, 2011 through June 30, 2012.</w:t>
      </w:r>
    </w:p>
    <w:p w:rsidR="005B26F9" w:rsidRPr="00520721" w:rsidRDefault="005B26F9" w:rsidP="005B26F9">
      <w:pPr>
        <w:pStyle w:val="BodyText"/>
        <w:rPr>
          <w:sz w:val="24"/>
          <w:szCs w:val="24"/>
        </w:rPr>
      </w:pPr>
    </w:p>
    <w:p w:rsidR="009F2653" w:rsidRPr="00773020" w:rsidRDefault="009F2653" w:rsidP="007A1237">
      <w:pPr>
        <w:pStyle w:val="Heading3"/>
        <w:numPr>
          <w:ilvl w:val="1"/>
          <w:numId w:val="7"/>
        </w:numPr>
        <w:spacing w:before="0" w:after="0"/>
      </w:pPr>
      <w:bookmarkStart w:id="29" w:name="_Toc342312325"/>
      <w:r w:rsidRPr="00773020">
        <w:t>Rejected Individualized Education Programs</w:t>
      </w:r>
      <w:bookmarkEnd w:id="29"/>
    </w:p>
    <w:p w:rsidR="009F2653" w:rsidRPr="00D4371C" w:rsidRDefault="009F2653" w:rsidP="005B26F9">
      <w:pPr>
        <w:jc w:val="both"/>
        <w:rPr>
          <w:sz w:val="22"/>
        </w:rPr>
      </w:pPr>
    </w:p>
    <w:p w:rsidR="009F2653" w:rsidRDefault="009F2653" w:rsidP="005B26F9">
      <w:pPr>
        <w:pStyle w:val="BodyText"/>
        <w:rPr>
          <w:sz w:val="24"/>
          <w:szCs w:val="24"/>
        </w:rPr>
      </w:pPr>
      <w:r w:rsidRPr="00520721">
        <w:rPr>
          <w:sz w:val="24"/>
          <w:szCs w:val="24"/>
        </w:rPr>
        <w:t>During FY2012, the BSEA received 8,460 rejected IEPs, an increase of 112 rejected IEPs from the p</w:t>
      </w:r>
      <w:r w:rsidR="005B26F9">
        <w:rPr>
          <w:sz w:val="24"/>
          <w:szCs w:val="24"/>
        </w:rPr>
        <w:t>revious</w:t>
      </w:r>
      <w:r w:rsidRPr="00520721">
        <w:rPr>
          <w:sz w:val="24"/>
          <w:szCs w:val="24"/>
        </w:rPr>
        <w:t xml:space="preserve"> fiscal year.</w:t>
      </w:r>
    </w:p>
    <w:p w:rsidR="005B26F9" w:rsidRPr="00520721" w:rsidRDefault="005B26F9" w:rsidP="005B26F9">
      <w:pPr>
        <w:pStyle w:val="BodyText"/>
        <w:rPr>
          <w:sz w:val="24"/>
          <w:szCs w:val="24"/>
        </w:rPr>
      </w:pPr>
    </w:p>
    <w:p w:rsidR="009F2653" w:rsidRDefault="009F2653" w:rsidP="007A1237">
      <w:pPr>
        <w:pStyle w:val="Heading3"/>
        <w:numPr>
          <w:ilvl w:val="1"/>
          <w:numId w:val="7"/>
        </w:numPr>
        <w:spacing w:before="0" w:after="0"/>
      </w:pPr>
      <w:bookmarkStart w:id="30" w:name="_Toc342312326"/>
      <w:r w:rsidRPr="00773020">
        <w:t>Mediation</w:t>
      </w:r>
      <w:bookmarkEnd w:id="30"/>
    </w:p>
    <w:p w:rsidR="005B26F9" w:rsidRPr="005B26F9" w:rsidRDefault="005B26F9" w:rsidP="005B26F9"/>
    <w:p w:rsidR="0087709C" w:rsidRDefault="009F2653" w:rsidP="005B26F9">
      <w:pPr>
        <w:pStyle w:val="BodyText"/>
        <w:rPr>
          <w:sz w:val="24"/>
          <w:szCs w:val="24"/>
        </w:rPr>
      </w:pPr>
      <w:r w:rsidRPr="00520721">
        <w:rPr>
          <w:sz w:val="24"/>
          <w:szCs w:val="24"/>
        </w:rPr>
        <w:t xml:space="preserve">There were approximately 917 mediations concerning special education and Section 504 matters conducted by seven BSEA mediators during FY2012. This figure represents an </w:t>
      </w:r>
      <w:r w:rsidRPr="005B26F9">
        <w:rPr>
          <w:sz w:val="24"/>
          <w:szCs w:val="24"/>
        </w:rPr>
        <w:t>increase</w:t>
      </w:r>
      <w:r w:rsidRPr="00520721">
        <w:rPr>
          <w:i/>
          <w:sz w:val="24"/>
          <w:szCs w:val="24"/>
        </w:rPr>
        <w:t xml:space="preserve"> </w:t>
      </w:r>
      <w:r w:rsidRPr="00520721">
        <w:rPr>
          <w:sz w:val="24"/>
          <w:szCs w:val="24"/>
        </w:rPr>
        <w:t>of 108 mediations from the 809 conducted during the prior fiscal year. Approximately 86% of the mediations resulted in written agreements.</w:t>
      </w:r>
    </w:p>
    <w:p w:rsidR="005B26F9" w:rsidRPr="00520721" w:rsidRDefault="005B26F9" w:rsidP="005B26F9">
      <w:pPr>
        <w:pStyle w:val="BodyText"/>
        <w:rPr>
          <w:sz w:val="24"/>
          <w:szCs w:val="24"/>
        </w:rPr>
      </w:pPr>
    </w:p>
    <w:p w:rsidR="009F2653" w:rsidRDefault="009F2653" w:rsidP="007A1237">
      <w:pPr>
        <w:pStyle w:val="Heading3"/>
        <w:numPr>
          <w:ilvl w:val="1"/>
          <w:numId w:val="7"/>
        </w:numPr>
        <w:spacing w:before="0" w:after="0"/>
      </w:pPr>
      <w:bookmarkStart w:id="31" w:name="_Toc342312327"/>
      <w:r w:rsidRPr="00773020">
        <w:t>Hearings</w:t>
      </w:r>
      <w:bookmarkEnd w:id="31"/>
    </w:p>
    <w:p w:rsidR="005B26F9" w:rsidRPr="005B26F9" w:rsidRDefault="005B26F9" w:rsidP="005B26F9"/>
    <w:p w:rsidR="009F2653" w:rsidRDefault="009F2653" w:rsidP="005B26F9">
      <w:pPr>
        <w:pStyle w:val="BodyText"/>
        <w:rPr>
          <w:sz w:val="24"/>
          <w:szCs w:val="24"/>
        </w:rPr>
      </w:pPr>
      <w:r w:rsidRPr="00520721">
        <w:rPr>
          <w:sz w:val="24"/>
          <w:szCs w:val="24"/>
        </w:rPr>
        <w:t>There were 582 hearing requests received by the BSEA during FY2012</w:t>
      </w:r>
      <w:r w:rsidR="005B26F9">
        <w:rPr>
          <w:sz w:val="24"/>
          <w:szCs w:val="24"/>
        </w:rPr>
        <w:t xml:space="preserve">, </w:t>
      </w:r>
      <w:r w:rsidRPr="00520721">
        <w:rPr>
          <w:sz w:val="24"/>
          <w:szCs w:val="24"/>
        </w:rPr>
        <w:t xml:space="preserve">representing a </w:t>
      </w:r>
      <w:r w:rsidRPr="005B26F9">
        <w:rPr>
          <w:sz w:val="24"/>
          <w:szCs w:val="24"/>
        </w:rPr>
        <w:t xml:space="preserve">slight </w:t>
      </w:r>
      <w:r w:rsidRPr="003451C5">
        <w:rPr>
          <w:sz w:val="24"/>
          <w:szCs w:val="24"/>
        </w:rPr>
        <w:t xml:space="preserve">increase </w:t>
      </w:r>
      <w:r w:rsidRPr="00520721">
        <w:rPr>
          <w:sz w:val="24"/>
          <w:szCs w:val="24"/>
        </w:rPr>
        <w:t xml:space="preserve">from the 545 requests in the prior year. The majority of these hearing requests were resolved prior to proceeding to the formal hearing, or subsequent to the commencement of the hearing but prior to concluding the process. </w:t>
      </w:r>
    </w:p>
    <w:p w:rsidR="005B26F9" w:rsidRPr="00520721" w:rsidRDefault="005B26F9" w:rsidP="005B26F9">
      <w:pPr>
        <w:pStyle w:val="BodyText"/>
        <w:rPr>
          <w:sz w:val="24"/>
          <w:szCs w:val="24"/>
        </w:rPr>
      </w:pPr>
    </w:p>
    <w:p w:rsidR="009F2653" w:rsidRPr="00520721" w:rsidRDefault="003451C5" w:rsidP="005B26F9">
      <w:pPr>
        <w:pStyle w:val="BodyText"/>
        <w:rPr>
          <w:rFonts w:ascii="Arial" w:hAnsi="Arial" w:cs="Arial"/>
          <w:color w:val="000080"/>
          <w:sz w:val="24"/>
          <w:szCs w:val="24"/>
        </w:rPr>
      </w:pPr>
      <w:r>
        <w:rPr>
          <w:sz w:val="24"/>
          <w:szCs w:val="24"/>
        </w:rPr>
        <w:t>S</w:t>
      </w:r>
      <w:r w:rsidR="009F2653" w:rsidRPr="00520721">
        <w:rPr>
          <w:sz w:val="24"/>
          <w:szCs w:val="24"/>
        </w:rPr>
        <w:t>even (six full time equivalent</w:t>
      </w:r>
      <w:r w:rsidR="005B26F9">
        <w:rPr>
          <w:sz w:val="24"/>
          <w:szCs w:val="24"/>
        </w:rPr>
        <w:t xml:space="preserve"> or FTE</w:t>
      </w:r>
      <w:r w:rsidR="009F2653" w:rsidRPr="00520721">
        <w:rPr>
          <w:sz w:val="24"/>
          <w:szCs w:val="24"/>
        </w:rPr>
        <w:t>) BSEA hearing officers conducted full hearings resulting in 52 decisions. Of the</w:t>
      </w:r>
      <w:r>
        <w:rPr>
          <w:sz w:val="24"/>
          <w:szCs w:val="24"/>
        </w:rPr>
        <w:t xml:space="preserve">se, </w:t>
      </w:r>
      <w:r w:rsidR="009F2653" w:rsidRPr="00520721">
        <w:rPr>
          <w:sz w:val="24"/>
          <w:szCs w:val="24"/>
        </w:rPr>
        <w:t>parents fully prevailed in 13 (25%), school districts fully prevailed in 26 (50%)</w:t>
      </w:r>
      <w:r w:rsidR="005B26F9">
        <w:rPr>
          <w:sz w:val="24"/>
          <w:szCs w:val="24"/>
        </w:rPr>
        <w:t xml:space="preserve">. Thirteen decisions </w:t>
      </w:r>
      <w:r w:rsidR="009F2653" w:rsidRPr="00520721">
        <w:rPr>
          <w:sz w:val="24"/>
          <w:szCs w:val="24"/>
        </w:rPr>
        <w:t xml:space="preserve">(25%) comprised </w:t>
      </w:r>
      <w:r w:rsidR="005B26F9">
        <w:rPr>
          <w:sz w:val="24"/>
          <w:szCs w:val="24"/>
        </w:rPr>
        <w:t xml:space="preserve">decisions about school district assignment, </w:t>
      </w:r>
      <w:r w:rsidR="009F2653" w:rsidRPr="00520721">
        <w:rPr>
          <w:sz w:val="24"/>
          <w:szCs w:val="24"/>
        </w:rPr>
        <w:t>other agency involvement, or</w:t>
      </w:r>
      <w:r w:rsidR="005B26F9">
        <w:rPr>
          <w:sz w:val="24"/>
          <w:szCs w:val="24"/>
        </w:rPr>
        <w:t xml:space="preserve"> addressed</w:t>
      </w:r>
      <w:r w:rsidR="009F2653" w:rsidRPr="00520721">
        <w:rPr>
          <w:sz w:val="24"/>
          <w:szCs w:val="24"/>
        </w:rPr>
        <w:t xml:space="preserve"> mixed relief.</w:t>
      </w:r>
      <w:r w:rsidRPr="003451C5">
        <w:rPr>
          <w:sz w:val="24"/>
          <w:szCs w:val="24"/>
        </w:rPr>
        <w:t xml:space="preserve"> </w:t>
      </w:r>
      <w:r w:rsidRPr="00520721">
        <w:rPr>
          <w:sz w:val="24"/>
          <w:szCs w:val="24"/>
        </w:rPr>
        <w:t xml:space="preserve">In addition to the 52 </w:t>
      </w:r>
      <w:r>
        <w:rPr>
          <w:sz w:val="24"/>
          <w:szCs w:val="24"/>
        </w:rPr>
        <w:t xml:space="preserve">hearing </w:t>
      </w:r>
      <w:r w:rsidRPr="00520721">
        <w:rPr>
          <w:sz w:val="24"/>
          <w:szCs w:val="24"/>
        </w:rPr>
        <w:t xml:space="preserve">decisions, </w:t>
      </w:r>
      <w:r>
        <w:rPr>
          <w:sz w:val="24"/>
          <w:szCs w:val="24"/>
        </w:rPr>
        <w:t xml:space="preserve">hearing officers issued </w:t>
      </w:r>
      <w:r w:rsidRPr="00520721">
        <w:rPr>
          <w:sz w:val="24"/>
          <w:szCs w:val="24"/>
        </w:rPr>
        <w:t>at least 23 substan</w:t>
      </w:r>
      <w:r>
        <w:rPr>
          <w:sz w:val="24"/>
          <w:szCs w:val="24"/>
        </w:rPr>
        <w:t>tive written rulings during this period of time</w:t>
      </w:r>
      <w:r w:rsidRPr="00520721">
        <w:rPr>
          <w:sz w:val="24"/>
          <w:szCs w:val="24"/>
        </w:rPr>
        <w:t>.</w:t>
      </w:r>
    </w:p>
    <w:p w:rsidR="009F2653" w:rsidRDefault="009F2653" w:rsidP="005B26F9">
      <w:pPr>
        <w:jc w:val="both"/>
      </w:pPr>
    </w:p>
    <w:p w:rsidR="009F2653" w:rsidRPr="00773020" w:rsidRDefault="009F2653" w:rsidP="007A1237">
      <w:pPr>
        <w:pStyle w:val="Heading3"/>
        <w:numPr>
          <w:ilvl w:val="1"/>
          <w:numId w:val="7"/>
        </w:numPr>
        <w:spacing w:before="0" w:after="0"/>
      </w:pPr>
      <w:bookmarkStart w:id="32" w:name="_Toc342312328"/>
      <w:r w:rsidRPr="00773020">
        <w:t>Representation</w:t>
      </w:r>
      <w:bookmarkEnd w:id="32"/>
    </w:p>
    <w:p w:rsidR="009F2653" w:rsidRPr="003B6B44" w:rsidRDefault="009F2653" w:rsidP="005B26F9">
      <w:pPr>
        <w:jc w:val="both"/>
      </w:pPr>
    </w:p>
    <w:p w:rsidR="009F2653" w:rsidRPr="003B6B44" w:rsidRDefault="009F2653" w:rsidP="005B26F9">
      <w:pPr>
        <w:jc w:val="both"/>
      </w:pPr>
      <w:r w:rsidRPr="003B6B44">
        <w:t>Statistics with respect to outcome in relation to representation are as follows:</w:t>
      </w:r>
    </w:p>
    <w:p w:rsidR="009F2653" w:rsidRPr="00520721" w:rsidRDefault="009F2653" w:rsidP="005B26F9">
      <w:pPr>
        <w:pStyle w:val="BodyText"/>
        <w:rPr>
          <w:sz w:val="24"/>
          <w:szCs w:val="24"/>
        </w:rPr>
      </w:pPr>
    </w:p>
    <w:p w:rsidR="009F2653" w:rsidRPr="00520721" w:rsidRDefault="009F2653" w:rsidP="005B26F9">
      <w:pPr>
        <w:pStyle w:val="BodyText"/>
        <w:rPr>
          <w:sz w:val="24"/>
          <w:szCs w:val="24"/>
        </w:rPr>
      </w:pPr>
      <w:r w:rsidRPr="00520721">
        <w:rPr>
          <w:sz w:val="24"/>
          <w:szCs w:val="24"/>
        </w:rPr>
        <w:t>Of the 13 cases in which par</w:t>
      </w:r>
      <w:r w:rsidR="005B26F9">
        <w:rPr>
          <w:sz w:val="24"/>
          <w:szCs w:val="24"/>
        </w:rPr>
        <w:t xml:space="preserve">ents fully prevailed, </w:t>
      </w:r>
      <w:r w:rsidRPr="00520721">
        <w:rPr>
          <w:sz w:val="24"/>
          <w:szCs w:val="24"/>
        </w:rPr>
        <w:t>parents were represented by counsel in 7, by lay advocates in 2 and appeared pro se in 4;</w:t>
      </w:r>
      <w:r w:rsidR="005B26F9">
        <w:rPr>
          <w:sz w:val="24"/>
          <w:szCs w:val="24"/>
        </w:rPr>
        <w:t xml:space="preserve"> </w:t>
      </w:r>
      <w:r w:rsidRPr="00520721">
        <w:rPr>
          <w:sz w:val="24"/>
          <w:szCs w:val="24"/>
        </w:rPr>
        <w:t>the school district was represented by counsel in all matters.</w:t>
      </w:r>
    </w:p>
    <w:p w:rsidR="009F2653" w:rsidRPr="00520721" w:rsidRDefault="009F2653" w:rsidP="005B26F9">
      <w:pPr>
        <w:pStyle w:val="BodyText"/>
        <w:rPr>
          <w:sz w:val="24"/>
          <w:szCs w:val="24"/>
        </w:rPr>
      </w:pPr>
    </w:p>
    <w:p w:rsidR="009010E0" w:rsidRPr="00520721" w:rsidRDefault="009F2653" w:rsidP="005B26F9">
      <w:pPr>
        <w:pStyle w:val="BodyText"/>
        <w:rPr>
          <w:sz w:val="24"/>
          <w:szCs w:val="24"/>
        </w:rPr>
      </w:pPr>
      <w:r w:rsidRPr="00520721">
        <w:rPr>
          <w:sz w:val="24"/>
          <w:szCs w:val="24"/>
        </w:rPr>
        <w:t>Of the 26 cases in which s</w:t>
      </w:r>
      <w:r w:rsidR="005B26F9">
        <w:rPr>
          <w:sz w:val="24"/>
          <w:szCs w:val="24"/>
        </w:rPr>
        <w:t xml:space="preserve">chool districts fully prevailed, </w:t>
      </w:r>
      <w:r w:rsidRPr="00520721">
        <w:rPr>
          <w:sz w:val="24"/>
          <w:szCs w:val="24"/>
        </w:rPr>
        <w:t>the school district was represented by counsel in all matters;</w:t>
      </w:r>
      <w:r w:rsidR="005B26F9">
        <w:rPr>
          <w:sz w:val="24"/>
          <w:szCs w:val="24"/>
        </w:rPr>
        <w:t xml:space="preserve"> </w:t>
      </w:r>
      <w:r w:rsidRPr="00520721">
        <w:rPr>
          <w:sz w:val="24"/>
          <w:szCs w:val="24"/>
        </w:rPr>
        <w:t>parents appeared pro se in 14, were represented by counsel in 8 and by lay advocates in 4.</w:t>
      </w:r>
    </w:p>
    <w:p w:rsidR="009010E0" w:rsidRPr="00520721" w:rsidRDefault="009010E0" w:rsidP="005B26F9">
      <w:pPr>
        <w:pStyle w:val="BodyText"/>
        <w:rPr>
          <w:sz w:val="24"/>
          <w:szCs w:val="24"/>
        </w:rPr>
      </w:pPr>
    </w:p>
    <w:p w:rsidR="009010E0" w:rsidRPr="00520721" w:rsidRDefault="009010E0" w:rsidP="005B26F9">
      <w:pPr>
        <w:pStyle w:val="BodyText"/>
        <w:rPr>
          <w:sz w:val="24"/>
          <w:szCs w:val="24"/>
        </w:rPr>
      </w:pPr>
      <w:r w:rsidRPr="00520721">
        <w:rPr>
          <w:sz w:val="24"/>
          <w:szCs w:val="24"/>
        </w:rPr>
        <w:t xml:space="preserve">For further information </w:t>
      </w:r>
      <w:r w:rsidR="008E3A80">
        <w:rPr>
          <w:sz w:val="24"/>
          <w:szCs w:val="24"/>
        </w:rPr>
        <w:t xml:space="preserve">about the BSEA and its decisions, </w:t>
      </w:r>
      <w:r w:rsidRPr="00520721">
        <w:rPr>
          <w:sz w:val="24"/>
          <w:szCs w:val="24"/>
        </w:rPr>
        <w:t xml:space="preserve">please visit </w:t>
      </w:r>
      <w:hyperlink r:id="rId29" w:history="1">
        <w:r w:rsidRPr="00520721">
          <w:rPr>
            <w:rStyle w:val="Hyperlink"/>
            <w:sz w:val="24"/>
            <w:szCs w:val="24"/>
          </w:rPr>
          <w:t>http://www.mass.gov/anf/hearings-and-appeals/bureau-of-special-education-appeals-bsea/fiscal-year-2012-bsea-statistics.html</w:t>
        </w:r>
      </w:hyperlink>
      <w:r w:rsidR="008E3A80">
        <w:rPr>
          <w:sz w:val="24"/>
          <w:szCs w:val="24"/>
        </w:rPr>
        <w:t>.</w:t>
      </w:r>
    </w:p>
    <w:p w:rsidR="009010E0" w:rsidRPr="00520721" w:rsidRDefault="00B45955" w:rsidP="007A1237">
      <w:pPr>
        <w:pStyle w:val="Heading1"/>
        <w:numPr>
          <w:ilvl w:val="0"/>
          <w:numId w:val="12"/>
        </w:numPr>
        <w:ind w:left="0" w:firstLine="0"/>
      </w:pPr>
      <w:bookmarkStart w:id="33" w:name="_Toc342312329"/>
      <w:r>
        <w:t>Conclusion</w:t>
      </w:r>
      <w:bookmarkEnd w:id="33"/>
    </w:p>
    <w:p w:rsidR="009D6311" w:rsidRDefault="009D6311" w:rsidP="001D0863">
      <w:pPr>
        <w:spacing w:line="276" w:lineRule="auto"/>
        <w:rPr>
          <w:b/>
        </w:rPr>
      </w:pPr>
    </w:p>
    <w:p w:rsidR="001D0863" w:rsidRPr="00F74166" w:rsidRDefault="001D0863" w:rsidP="001D0863">
      <w:pPr>
        <w:spacing w:line="276" w:lineRule="auto"/>
        <w:rPr>
          <w:b/>
        </w:rPr>
      </w:pPr>
      <w:r w:rsidRPr="00F74166">
        <w:rPr>
          <w:b/>
        </w:rPr>
        <w:t>Contact Info</w:t>
      </w:r>
      <w:r>
        <w:rPr>
          <w:b/>
        </w:rPr>
        <w:t>rmation</w:t>
      </w:r>
    </w:p>
    <w:p w:rsidR="001D0863" w:rsidRDefault="001D0863" w:rsidP="001D0863">
      <w:r w:rsidRPr="00C92410">
        <w:t>The data for this report are a compilation of information from several units within the Department of Elementary and Secondary Education as well as input from the Massachusetts Organization of Education Collaboratives</w:t>
      </w:r>
      <w:r w:rsidR="00311FCB">
        <w:t xml:space="preserve">, </w:t>
      </w:r>
      <w:r w:rsidR="00311FCB" w:rsidRPr="00C92410">
        <w:t>the</w:t>
      </w:r>
      <w:r w:rsidRPr="00C92410">
        <w:t xml:space="preserve"> state </w:t>
      </w:r>
      <w:r>
        <w:t>Office</w:t>
      </w:r>
      <w:r w:rsidRPr="00C92410">
        <w:t xml:space="preserve"> of Medicaid</w:t>
      </w:r>
      <w:r w:rsidR="000236AD">
        <w:t>, and the Division of Administration Law Appeals</w:t>
      </w:r>
      <w:r w:rsidRPr="00C92410">
        <w:t xml:space="preserve">. If you have any questions, please contact the Office of Special Education Planning and Policy at the Department of Elementary and Secondary Education, Marcia Mittnacht, Director, by email at </w:t>
      </w:r>
      <w:hyperlink r:id="rId30" w:history="1">
        <w:r w:rsidRPr="00C40037">
          <w:rPr>
            <w:rStyle w:val="Hyperlink"/>
          </w:rPr>
          <w:t>mmmittnacht@doe.mass.edu</w:t>
        </w:r>
      </w:hyperlink>
      <w:r>
        <w:rPr>
          <w:u w:val="single"/>
        </w:rPr>
        <w:t xml:space="preserve">  </w:t>
      </w:r>
      <w:r w:rsidRPr="00C92410">
        <w:rPr>
          <w:u w:val="single"/>
        </w:rPr>
        <w:t xml:space="preserve"> </w:t>
      </w:r>
      <w:r w:rsidRPr="00C92410">
        <w:t>or by phone at 781-338-3375.</w:t>
      </w:r>
    </w:p>
    <w:sectPr w:rsidR="001D0863" w:rsidSect="00C72B0B">
      <w:footerReference w:type="default" r:id="rId31"/>
      <w:pgSz w:w="12240" w:h="15840"/>
      <w:pgMar w:top="990" w:right="1440" w:bottom="1260" w:left="144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42A" w:rsidRDefault="0074542A" w:rsidP="00FD2C86">
      <w:r>
        <w:separator/>
      </w:r>
    </w:p>
  </w:endnote>
  <w:endnote w:type="continuationSeparator" w:id="0">
    <w:p w:rsidR="0074542A" w:rsidRDefault="0074542A"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18955"/>
      <w:docPartObj>
        <w:docPartGallery w:val="Page Numbers (Bottom of Page)"/>
        <w:docPartUnique/>
      </w:docPartObj>
    </w:sdtPr>
    <w:sdtContent>
      <w:p w:rsidR="00627C64" w:rsidRDefault="000C5D3E">
        <w:pPr>
          <w:pStyle w:val="Footer"/>
          <w:jc w:val="right"/>
        </w:pPr>
        <w:fldSimple w:instr=" PAGE   \* MERGEFORMAT ">
          <w:r w:rsidR="00915371">
            <w:rPr>
              <w:noProof/>
            </w:rPr>
            <w:t>15</w:t>
          </w:r>
        </w:fldSimple>
      </w:p>
    </w:sdtContent>
  </w:sdt>
  <w:p w:rsidR="00627C64" w:rsidRDefault="00627C64" w:rsidP="00D674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42A" w:rsidRDefault="0074542A" w:rsidP="00FD2C86">
      <w:r>
        <w:separator/>
      </w:r>
    </w:p>
  </w:footnote>
  <w:footnote w:type="continuationSeparator" w:id="0">
    <w:p w:rsidR="0074542A" w:rsidRDefault="0074542A" w:rsidP="00FD2C86">
      <w:r>
        <w:continuationSeparator/>
      </w:r>
    </w:p>
  </w:footnote>
  <w:footnote w:id="1">
    <w:p w:rsidR="00627C64" w:rsidRPr="00A83976" w:rsidRDefault="00627C64" w:rsidP="009F2653">
      <w:pPr>
        <w:pStyle w:val="FootnoteText"/>
      </w:pPr>
      <w:r>
        <w:rPr>
          <w:rStyle w:val="FootnoteReference"/>
        </w:rPr>
        <w:footnoteRef/>
      </w:r>
      <w:r>
        <w:t xml:space="preserve"> </w:t>
      </w:r>
      <w:r w:rsidRPr="00A83976">
        <w:t>A school district may not, however, request a hearing on a parent's failure or refusal to consent to initial evaluation or initial placement of a child in a special education program, or to written revocation of parental consent for further provision of special education and related services.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410796D"/>
    <w:multiLevelType w:val="hybridMultilevel"/>
    <w:tmpl w:val="A0766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B0626"/>
    <w:multiLevelType w:val="hybridMultilevel"/>
    <w:tmpl w:val="80301668"/>
    <w:lvl w:ilvl="0" w:tplc="3EA83F42">
      <w:start w:val="3"/>
      <w:numFmt w:val="upperRoman"/>
      <w:lvlText w:val="%1."/>
      <w:lvlJc w:val="left"/>
      <w:pPr>
        <w:ind w:left="630" w:hanging="360"/>
      </w:pPr>
      <w:rPr>
        <w:rFonts w:hint="default"/>
      </w:rPr>
    </w:lvl>
    <w:lvl w:ilvl="1" w:tplc="04090015">
      <w:start w:val="1"/>
      <w:numFmt w:val="upperLetter"/>
      <w:lvlText w:val="%2."/>
      <w:lvlJc w:val="left"/>
      <w:pPr>
        <w:ind w:left="126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C580B"/>
    <w:multiLevelType w:val="hybridMultilevel"/>
    <w:tmpl w:val="B17C8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64666D"/>
    <w:multiLevelType w:val="hybridMultilevel"/>
    <w:tmpl w:val="70562A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5">
    <w:nsid w:val="2B7E2BFD"/>
    <w:multiLevelType w:val="hybridMultilevel"/>
    <w:tmpl w:val="8F46DC2A"/>
    <w:lvl w:ilvl="0" w:tplc="3EA83F42">
      <w:start w:val="3"/>
      <w:numFmt w:val="upperRoman"/>
      <w:lvlText w:val="%1."/>
      <w:lvlJc w:val="left"/>
      <w:pPr>
        <w:ind w:left="630" w:hanging="360"/>
      </w:pPr>
      <w:rPr>
        <w:rFonts w:hint="default"/>
      </w:rPr>
    </w:lvl>
    <w:lvl w:ilvl="1" w:tplc="04090015">
      <w:start w:val="1"/>
      <w:numFmt w:val="upperLetter"/>
      <w:lvlText w:val="%2."/>
      <w:lvlJc w:val="left"/>
      <w:pPr>
        <w:ind w:left="126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3B457D30"/>
    <w:multiLevelType w:val="hybridMultilevel"/>
    <w:tmpl w:val="3B92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443761"/>
    <w:multiLevelType w:val="hybridMultilevel"/>
    <w:tmpl w:val="A776C3EC"/>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E40B11"/>
    <w:multiLevelType w:val="hybridMultilevel"/>
    <w:tmpl w:val="CAE423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A33959"/>
    <w:multiLevelType w:val="hybridMultilevel"/>
    <w:tmpl w:val="7068A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CA370D"/>
    <w:multiLevelType w:val="hybridMultilevel"/>
    <w:tmpl w:val="28B29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393858"/>
    <w:multiLevelType w:val="hybridMultilevel"/>
    <w:tmpl w:val="F58CAED4"/>
    <w:lvl w:ilvl="0" w:tplc="AC860E04">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nsid w:val="447B6E46"/>
    <w:multiLevelType w:val="hybridMultilevel"/>
    <w:tmpl w:val="AF18D900"/>
    <w:lvl w:ilvl="0" w:tplc="3EA83F42">
      <w:start w:val="3"/>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783D7E"/>
    <w:multiLevelType w:val="hybridMultilevel"/>
    <w:tmpl w:val="ABC09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6">
    <w:nsid w:val="48D9736A"/>
    <w:multiLevelType w:val="hybridMultilevel"/>
    <w:tmpl w:val="201ACD86"/>
    <w:lvl w:ilvl="0" w:tplc="FF1EC4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D800021"/>
    <w:multiLevelType w:val="hybridMultilevel"/>
    <w:tmpl w:val="BDFA9684"/>
    <w:lvl w:ilvl="0" w:tplc="3EA83F42">
      <w:start w:val="3"/>
      <w:numFmt w:val="upperRoman"/>
      <w:lvlText w:val="%1."/>
      <w:lvlJc w:val="left"/>
      <w:pPr>
        <w:ind w:left="630" w:hanging="360"/>
      </w:pPr>
      <w:rPr>
        <w:rFonts w:hint="default"/>
      </w:rPr>
    </w:lvl>
    <w:lvl w:ilvl="1" w:tplc="04090015">
      <w:start w:val="1"/>
      <w:numFmt w:val="upperLetter"/>
      <w:lvlText w:val="%2."/>
      <w:lvlJc w:val="left"/>
      <w:pPr>
        <w:ind w:left="126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8A95EB8"/>
    <w:multiLevelType w:val="hybridMultilevel"/>
    <w:tmpl w:val="56A0D2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193DA8"/>
    <w:multiLevelType w:val="hybridMultilevel"/>
    <w:tmpl w:val="74600B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FF230D"/>
    <w:multiLevelType w:val="hybridMultilevel"/>
    <w:tmpl w:val="E09671E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BB6617"/>
    <w:multiLevelType w:val="multilevel"/>
    <w:tmpl w:val="D5D02F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E82208C"/>
    <w:multiLevelType w:val="hybridMultilevel"/>
    <w:tmpl w:val="C3CE4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17"/>
  </w:num>
  <w:num w:numId="4">
    <w:abstractNumId w:val="15"/>
  </w:num>
  <w:num w:numId="5">
    <w:abstractNumId w:val="6"/>
  </w:num>
  <w:num w:numId="6">
    <w:abstractNumId w:val="19"/>
  </w:num>
  <w:num w:numId="7">
    <w:abstractNumId w:val="2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14"/>
  </w:num>
  <w:num w:numId="12">
    <w:abstractNumId w:val="13"/>
  </w:num>
  <w:num w:numId="13">
    <w:abstractNumId w:val="21"/>
  </w:num>
  <w:num w:numId="14">
    <w:abstractNumId w:val="25"/>
  </w:num>
  <w:num w:numId="15">
    <w:abstractNumId w:val="1"/>
  </w:num>
  <w:num w:numId="16">
    <w:abstractNumId w:val="3"/>
  </w:num>
  <w:num w:numId="17">
    <w:abstractNumId w:val="22"/>
  </w:num>
  <w:num w:numId="18">
    <w:abstractNumId w:val="11"/>
  </w:num>
  <w:num w:numId="19">
    <w:abstractNumId w:val="16"/>
  </w:num>
  <w:num w:numId="20">
    <w:abstractNumId w:val="9"/>
  </w:num>
  <w:num w:numId="21">
    <w:abstractNumId w:val="2"/>
  </w:num>
  <w:num w:numId="22">
    <w:abstractNumId w:val="5"/>
  </w:num>
  <w:num w:numId="23">
    <w:abstractNumId w:val="12"/>
  </w:num>
  <w:num w:numId="24">
    <w:abstractNumId w:val="18"/>
  </w:num>
  <w:num w:numId="25">
    <w:abstractNumId w:val="23"/>
  </w:num>
  <w:num w:numId="26">
    <w:abstractNumId w:val="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1"/>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applyBreakingRules/>
  </w:compat>
  <w:rsids>
    <w:rsidRoot w:val="007102D5"/>
    <w:rsid w:val="00014352"/>
    <w:rsid w:val="000236AD"/>
    <w:rsid w:val="0003754C"/>
    <w:rsid w:val="00037703"/>
    <w:rsid w:val="00043616"/>
    <w:rsid w:val="000506EE"/>
    <w:rsid w:val="000711BA"/>
    <w:rsid w:val="00076BD2"/>
    <w:rsid w:val="00081FE8"/>
    <w:rsid w:val="00092A27"/>
    <w:rsid w:val="00097419"/>
    <w:rsid w:val="000A2DD0"/>
    <w:rsid w:val="000B1388"/>
    <w:rsid w:val="000B5B9F"/>
    <w:rsid w:val="000C3B85"/>
    <w:rsid w:val="000C407E"/>
    <w:rsid w:val="000C5AF1"/>
    <w:rsid w:val="000C5D3E"/>
    <w:rsid w:val="000C64F6"/>
    <w:rsid w:val="000D0E81"/>
    <w:rsid w:val="000D1FA5"/>
    <w:rsid w:val="00100600"/>
    <w:rsid w:val="00131111"/>
    <w:rsid w:val="00144CB4"/>
    <w:rsid w:val="00147F76"/>
    <w:rsid w:val="00150234"/>
    <w:rsid w:val="001512F2"/>
    <w:rsid w:val="00152CC8"/>
    <w:rsid w:val="00156FB5"/>
    <w:rsid w:val="00170086"/>
    <w:rsid w:val="0017022D"/>
    <w:rsid w:val="001817F6"/>
    <w:rsid w:val="00184ACF"/>
    <w:rsid w:val="001A028D"/>
    <w:rsid w:val="001A0F9E"/>
    <w:rsid w:val="001B0849"/>
    <w:rsid w:val="001B25AC"/>
    <w:rsid w:val="001C1CF3"/>
    <w:rsid w:val="001D0863"/>
    <w:rsid w:val="001F0E27"/>
    <w:rsid w:val="001F7209"/>
    <w:rsid w:val="002034A0"/>
    <w:rsid w:val="002054C3"/>
    <w:rsid w:val="00205D16"/>
    <w:rsid w:val="0020780F"/>
    <w:rsid w:val="00212EE5"/>
    <w:rsid w:val="00216F2A"/>
    <w:rsid w:val="00225DD0"/>
    <w:rsid w:val="00230945"/>
    <w:rsid w:val="0023165F"/>
    <w:rsid w:val="00234613"/>
    <w:rsid w:val="0023747B"/>
    <w:rsid w:val="002452A6"/>
    <w:rsid w:val="00252BEF"/>
    <w:rsid w:val="00261B5C"/>
    <w:rsid w:val="002625B1"/>
    <w:rsid w:val="00270067"/>
    <w:rsid w:val="00271F4C"/>
    <w:rsid w:val="00274356"/>
    <w:rsid w:val="00281475"/>
    <w:rsid w:val="002878F7"/>
    <w:rsid w:val="00294DFB"/>
    <w:rsid w:val="002A3596"/>
    <w:rsid w:val="002C0715"/>
    <w:rsid w:val="002C120B"/>
    <w:rsid w:val="002C1225"/>
    <w:rsid w:val="002C2113"/>
    <w:rsid w:val="002D593D"/>
    <w:rsid w:val="002D5CEE"/>
    <w:rsid w:val="002E00BF"/>
    <w:rsid w:val="002F1025"/>
    <w:rsid w:val="002F72BF"/>
    <w:rsid w:val="002F73E4"/>
    <w:rsid w:val="003101CA"/>
    <w:rsid w:val="00311FCB"/>
    <w:rsid w:val="00313FB8"/>
    <w:rsid w:val="0032461D"/>
    <w:rsid w:val="00324E05"/>
    <w:rsid w:val="003259D9"/>
    <w:rsid w:val="00335BE6"/>
    <w:rsid w:val="00344F0C"/>
    <w:rsid w:val="003451C5"/>
    <w:rsid w:val="00345DE2"/>
    <w:rsid w:val="0034620C"/>
    <w:rsid w:val="003469DE"/>
    <w:rsid w:val="003579F4"/>
    <w:rsid w:val="00370861"/>
    <w:rsid w:val="003801FC"/>
    <w:rsid w:val="00396628"/>
    <w:rsid w:val="003A45F4"/>
    <w:rsid w:val="003A590C"/>
    <w:rsid w:val="003B1D70"/>
    <w:rsid w:val="003B3B2E"/>
    <w:rsid w:val="003B7E97"/>
    <w:rsid w:val="003D0635"/>
    <w:rsid w:val="003D4673"/>
    <w:rsid w:val="003E587B"/>
    <w:rsid w:val="003E71FF"/>
    <w:rsid w:val="003F0B3C"/>
    <w:rsid w:val="003F3636"/>
    <w:rsid w:val="00402131"/>
    <w:rsid w:val="004173BE"/>
    <w:rsid w:val="00436532"/>
    <w:rsid w:val="00440BAB"/>
    <w:rsid w:val="0044270B"/>
    <w:rsid w:val="00443B97"/>
    <w:rsid w:val="00446BB7"/>
    <w:rsid w:val="0044758D"/>
    <w:rsid w:val="004501CD"/>
    <w:rsid w:val="00464491"/>
    <w:rsid w:val="00466D13"/>
    <w:rsid w:val="00466F0B"/>
    <w:rsid w:val="00474CB3"/>
    <w:rsid w:val="00484A33"/>
    <w:rsid w:val="004959C1"/>
    <w:rsid w:val="004A3531"/>
    <w:rsid w:val="004B12D4"/>
    <w:rsid w:val="004B3A59"/>
    <w:rsid w:val="004B5716"/>
    <w:rsid w:val="004C1FFA"/>
    <w:rsid w:val="004C6BA8"/>
    <w:rsid w:val="004D3CD6"/>
    <w:rsid w:val="004D45D4"/>
    <w:rsid w:val="004E0CA6"/>
    <w:rsid w:val="004E2B9E"/>
    <w:rsid w:val="004E322C"/>
    <w:rsid w:val="004F1C4B"/>
    <w:rsid w:val="0051028B"/>
    <w:rsid w:val="005152E7"/>
    <w:rsid w:val="00520721"/>
    <w:rsid w:val="00535ED7"/>
    <w:rsid w:val="00541BF9"/>
    <w:rsid w:val="005520F3"/>
    <w:rsid w:val="005864C9"/>
    <w:rsid w:val="0059053C"/>
    <w:rsid w:val="00593E75"/>
    <w:rsid w:val="005A367D"/>
    <w:rsid w:val="005B26F9"/>
    <w:rsid w:val="005B4D82"/>
    <w:rsid w:val="005C110D"/>
    <w:rsid w:val="005C6337"/>
    <w:rsid w:val="005E60A8"/>
    <w:rsid w:val="005E6ACA"/>
    <w:rsid w:val="005F037D"/>
    <w:rsid w:val="005F152D"/>
    <w:rsid w:val="005F1897"/>
    <w:rsid w:val="00603BD5"/>
    <w:rsid w:val="006112A8"/>
    <w:rsid w:val="00612132"/>
    <w:rsid w:val="006200C4"/>
    <w:rsid w:val="00627C64"/>
    <w:rsid w:val="006402D1"/>
    <w:rsid w:val="00663C8B"/>
    <w:rsid w:val="00675B1B"/>
    <w:rsid w:val="006902C1"/>
    <w:rsid w:val="00692D79"/>
    <w:rsid w:val="0069558B"/>
    <w:rsid w:val="006C03B3"/>
    <w:rsid w:val="006C5ACA"/>
    <w:rsid w:val="006C6F88"/>
    <w:rsid w:val="006D1B5E"/>
    <w:rsid w:val="006E117F"/>
    <w:rsid w:val="006F085B"/>
    <w:rsid w:val="006F4CF2"/>
    <w:rsid w:val="006F7C59"/>
    <w:rsid w:val="007102D5"/>
    <w:rsid w:val="00740C0D"/>
    <w:rsid w:val="0074542A"/>
    <w:rsid w:val="00753502"/>
    <w:rsid w:val="00755977"/>
    <w:rsid w:val="007601A8"/>
    <w:rsid w:val="007608B0"/>
    <w:rsid w:val="00765318"/>
    <w:rsid w:val="00773020"/>
    <w:rsid w:val="0077336E"/>
    <w:rsid w:val="00774672"/>
    <w:rsid w:val="007771D5"/>
    <w:rsid w:val="0077761F"/>
    <w:rsid w:val="007826C4"/>
    <w:rsid w:val="00786EBA"/>
    <w:rsid w:val="007A1237"/>
    <w:rsid w:val="007C3B04"/>
    <w:rsid w:val="007C7695"/>
    <w:rsid w:val="007C7C87"/>
    <w:rsid w:val="007F46D9"/>
    <w:rsid w:val="00800EFA"/>
    <w:rsid w:val="00811E3B"/>
    <w:rsid w:val="00816B59"/>
    <w:rsid w:val="00826061"/>
    <w:rsid w:val="00832115"/>
    <w:rsid w:val="00834B13"/>
    <w:rsid w:val="0084343B"/>
    <w:rsid w:val="00871349"/>
    <w:rsid w:val="008734A6"/>
    <w:rsid w:val="0087709C"/>
    <w:rsid w:val="0088258A"/>
    <w:rsid w:val="00884567"/>
    <w:rsid w:val="00885863"/>
    <w:rsid w:val="00886B0A"/>
    <w:rsid w:val="0089000D"/>
    <w:rsid w:val="00893181"/>
    <w:rsid w:val="008973F8"/>
    <w:rsid w:val="008B52BC"/>
    <w:rsid w:val="008C575C"/>
    <w:rsid w:val="008C71CC"/>
    <w:rsid w:val="008D0BEE"/>
    <w:rsid w:val="008D66B1"/>
    <w:rsid w:val="008E260F"/>
    <w:rsid w:val="008E3A80"/>
    <w:rsid w:val="008F2063"/>
    <w:rsid w:val="008F4455"/>
    <w:rsid w:val="009010E0"/>
    <w:rsid w:val="00901891"/>
    <w:rsid w:val="00901A5C"/>
    <w:rsid w:val="00901E49"/>
    <w:rsid w:val="00907BC7"/>
    <w:rsid w:val="00915371"/>
    <w:rsid w:val="00917245"/>
    <w:rsid w:val="00917329"/>
    <w:rsid w:val="00924F51"/>
    <w:rsid w:val="00976882"/>
    <w:rsid w:val="009827D6"/>
    <w:rsid w:val="009950C8"/>
    <w:rsid w:val="009A3016"/>
    <w:rsid w:val="009A724F"/>
    <w:rsid w:val="009C3D7B"/>
    <w:rsid w:val="009C4322"/>
    <w:rsid w:val="009C550C"/>
    <w:rsid w:val="009D6311"/>
    <w:rsid w:val="009D7BA2"/>
    <w:rsid w:val="009E45FA"/>
    <w:rsid w:val="009E46BE"/>
    <w:rsid w:val="009E7EE1"/>
    <w:rsid w:val="009F2653"/>
    <w:rsid w:val="00A03535"/>
    <w:rsid w:val="00A11174"/>
    <w:rsid w:val="00A21E55"/>
    <w:rsid w:val="00A25395"/>
    <w:rsid w:val="00A26CDB"/>
    <w:rsid w:val="00A3329D"/>
    <w:rsid w:val="00A5157F"/>
    <w:rsid w:val="00A5616B"/>
    <w:rsid w:val="00A60B29"/>
    <w:rsid w:val="00A663DF"/>
    <w:rsid w:val="00A73051"/>
    <w:rsid w:val="00A90661"/>
    <w:rsid w:val="00A942CA"/>
    <w:rsid w:val="00AA2AF8"/>
    <w:rsid w:val="00AB46CC"/>
    <w:rsid w:val="00AB5550"/>
    <w:rsid w:val="00AB7F6E"/>
    <w:rsid w:val="00AC3181"/>
    <w:rsid w:val="00AC6071"/>
    <w:rsid w:val="00AD0A1F"/>
    <w:rsid w:val="00AD298F"/>
    <w:rsid w:val="00AD424B"/>
    <w:rsid w:val="00AD72FC"/>
    <w:rsid w:val="00AE53BE"/>
    <w:rsid w:val="00AF1841"/>
    <w:rsid w:val="00AF2980"/>
    <w:rsid w:val="00AF5E6A"/>
    <w:rsid w:val="00B00A99"/>
    <w:rsid w:val="00B07D98"/>
    <w:rsid w:val="00B129CE"/>
    <w:rsid w:val="00B27DD4"/>
    <w:rsid w:val="00B316B3"/>
    <w:rsid w:val="00B42CA2"/>
    <w:rsid w:val="00B45955"/>
    <w:rsid w:val="00B55562"/>
    <w:rsid w:val="00B601E6"/>
    <w:rsid w:val="00B616AF"/>
    <w:rsid w:val="00B61B2F"/>
    <w:rsid w:val="00B724B9"/>
    <w:rsid w:val="00B747DA"/>
    <w:rsid w:val="00B8020C"/>
    <w:rsid w:val="00B81EF9"/>
    <w:rsid w:val="00B86476"/>
    <w:rsid w:val="00B87F39"/>
    <w:rsid w:val="00B9061D"/>
    <w:rsid w:val="00B967FB"/>
    <w:rsid w:val="00B97EA1"/>
    <w:rsid w:val="00BB065A"/>
    <w:rsid w:val="00BB5EE3"/>
    <w:rsid w:val="00BC227D"/>
    <w:rsid w:val="00BD1EF8"/>
    <w:rsid w:val="00BD6670"/>
    <w:rsid w:val="00BD6C17"/>
    <w:rsid w:val="00BE39EF"/>
    <w:rsid w:val="00BE446A"/>
    <w:rsid w:val="00C052D1"/>
    <w:rsid w:val="00C118B2"/>
    <w:rsid w:val="00C1493C"/>
    <w:rsid w:val="00C22492"/>
    <w:rsid w:val="00C24D9B"/>
    <w:rsid w:val="00C271D7"/>
    <w:rsid w:val="00C27B3B"/>
    <w:rsid w:val="00C27E21"/>
    <w:rsid w:val="00C426C2"/>
    <w:rsid w:val="00C42E95"/>
    <w:rsid w:val="00C50AB7"/>
    <w:rsid w:val="00C6738A"/>
    <w:rsid w:val="00C72B0B"/>
    <w:rsid w:val="00C75368"/>
    <w:rsid w:val="00C81D06"/>
    <w:rsid w:val="00C825F2"/>
    <w:rsid w:val="00CC22F1"/>
    <w:rsid w:val="00CC5CF5"/>
    <w:rsid w:val="00CD2CA8"/>
    <w:rsid w:val="00CD58F2"/>
    <w:rsid w:val="00CE018C"/>
    <w:rsid w:val="00CE1085"/>
    <w:rsid w:val="00CF22F8"/>
    <w:rsid w:val="00CF6B07"/>
    <w:rsid w:val="00D27FA4"/>
    <w:rsid w:val="00D3078C"/>
    <w:rsid w:val="00D37FC0"/>
    <w:rsid w:val="00D40A4A"/>
    <w:rsid w:val="00D44F3E"/>
    <w:rsid w:val="00D44FC2"/>
    <w:rsid w:val="00D53B5E"/>
    <w:rsid w:val="00D55C12"/>
    <w:rsid w:val="00D6178D"/>
    <w:rsid w:val="00D674EF"/>
    <w:rsid w:val="00D72BD5"/>
    <w:rsid w:val="00D76663"/>
    <w:rsid w:val="00D8264D"/>
    <w:rsid w:val="00D936EC"/>
    <w:rsid w:val="00D95D11"/>
    <w:rsid w:val="00DA0F60"/>
    <w:rsid w:val="00DA1B99"/>
    <w:rsid w:val="00DA49AE"/>
    <w:rsid w:val="00DA53B9"/>
    <w:rsid w:val="00DA63A7"/>
    <w:rsid w:val="00DC0C6B"/>
    <w:rsid w:val="00DC26EA"/>
    <w:rsid w:val="00DD3195"/>
    <w:rsid w:val="00DD4A21"/>
    <w:rsid w:val="00DE0201"/>
    <w:rsid w:val="00DE1217"/>
    <w:rsid w:val="00DF6DFF"/>
    <w:rsid w:val="00E03296"/>
    <w:rsid w:val="00E04B8E"/>
    <w:rsid w:val="00E068D5"/>
    <w:rsid w:val="00E06C5E"/>
    <w:rsid w:val="00E06F53"/>
    <w:rsid w:val="00E16060"/>
    <w:rsid w:val="00E23153"/>
    <w:rsid w:val="00E262E5"/>
    <w:rsid w:val="00E34296"/>
    <w:rsid w:val="00E3460D"/>
    <w:rsid w:val="00E3549E"/>
    <w:rsid w:val="00E61094"/>
    <w:rsid w:val="00E71141"/>
    <w:rsid w:val="00E72815"/>
    <w:rsid w:val="00E8514F"/>
    <w:rsid w:val="00EA71F0"/>
    <w:rsid w:val="00EB1F6F"/>
    <w:rsid w:val="00EB5993"/>
    <w:rsid w:val="00EB7F04"/>
    <w:rsid w:val="00ED343A"/>
    <w:rsid w:val="00ED6DEC"/>
    <w:rsid w:val="00F13965"/>
    <w:rsid w:val="00F16544"/>
    <w:rsid w:val="00F219C1"/>
    <w:rsid w:val="00F2470D"/>
    <w:rsid w:val="00F35FBE"/>
    <w:rsid w:val="00F36062"/>
    <w:rsid w:val="00F37358"/>
    <w:rsid w:val="00F44C7B"/>
    <w:rsid w:val="00F47C49"/>
    <w:rsid w:val="00F66EB7"/>
    <w:rsid w:val="00F7387F"/>
    <w:rsid w:val="00FA0025"/>
    <w:rsid w:val="00FA0972"/>
    <w:rsid w:val="00FC1271"/>
    <w:rsid w:val="00FD2C86"/>
    <w:rsid w:val="00FD69E2"/>
    <w:rsid w:val="00FD72F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85"/>
    <o:shapelayout v:ext="edit">
      <o:idmap v:ext="edit" data="1"/>
      <o:rules v:ext="edit">
        <o:r id="V:Rule7" type="connector" idref="#_x0000_s1081"/>
        <o:r id="V:Rule8" type="connector" idref="#_x0000_s1082"/>
        <o:r id="V:Rule9" type="connector" idref="#_x0000_s1079"/>
        <o:r id="V:Rule10" type="connector" idref="#_s1033"/>
        <o:r id="V:Rule11" type="connector" idref="#_x0000_s1080"/>
        <o:r id="V:Rule12" type="connector" idref="#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C75368"/>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link w:val="ESETableChartFigHeadersChar"/>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basedOn w:val="DefaultParagraphFont"/>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PlainText">
    <w:name w:val="Plain Text"/>
    <w:basedOn w:val="Normal"/>
    <w:link w:val="PlainTextChar"/>
    <w:uiPriority w:val="99"/>
    <w:unhideWhenUsed/>
    <w:rsid w:val="006F085B"/>
    <w:rPr>
      <w:rFonts w:ascii="Consolas" w:hAnsi="Consolas"/>
      <w:sz w:val="21"/>
      <w:szCs w:val="21"/>
    </w:rPr>
  </w:style>
  <w:style w:type="character" w:customStyle="1" w:styleId="PlainTextChar">
    <w:name w:val="Plain Text Char"/>
    <w:basedOn w:val="DefaultParagraphFont"/>
    <w:link w:val="PlainText"/>
    <w:uiPriority w:val="99"/>
    <w:rsid w:val="006F085B"/>
    <w:rPr>
      <w:rFonts w:ascii="Consolas" w:eastAsia="Times New Roman" w:hAnsi="Consolas" w:cs="Times New Roman"/>
      <w:sz w:val="21"/>
      <w:szCs w:val="21"/>
    </w:rPr>
  </w:style>
  <w:style w:type="paragraph" w:customStyle="1" w:styleId="Default">
    <w:name w:val="Default"/>
    <w:rsid w:val="00CD2CA8"/>
    <w:pPr>
      <w:autoSpaceDE w:val="0"/>
      <w:autoSpaceDN w:val="0"/>
      <w:adjustRightInd w:val="0"/>
    </w:pPr>
    <w:rPr>
      <w:color w:val="000000"/>
      <w:sz w:val="24"/>
      <w:szCs w:val="24"/>
    </w:rPr>
  </w:style>
  <w:style w:type="paragraph" w:styleId="NormalWeb">
    <w:name w:val="Normal (Web)"/>
    <w:basedOn w:val="Normal"/>
    <w:uiPriority w:val="99"/>
    <w:unhideWhenUsed/>
    <w:rsid w:val="00A90661"/>
    <w:pPr>
      <w:spacing w:before="100" w:beforeAutospacing="1" w:after="100" w:afterAutospacing="1"/>
    </w:pPr>
  </w:style>
  <w:style w:type="character" w:customStyle="1" w:styleId="em1">
    <w:name w:val="em1"/>
    <w:basedOn w:val="DefaultParagraphFont"/>
    <w:rsid w:val="00A90661"/>
    <w:rPr>
      <w:i/>
      <w:iCs/>
    </w:rPr>
  </w:style>
  <w:style w:type="character" w:customStyle="1" w:styleId="cesresulturi">
    <w:name w:val="cesresulturi"/>
    <w:basedOn w:val="DefaultParagraphFont"/>
    <w:rsid w:val="00A90661"/>
  </w:style>
  <w:style w:type="paragraph" w:styleId="ListParagraph">
    <w:name w:val="List Paragraph"/>
    <w:basedOn w:val="Normal"/>
    <w:uiPriority w:val="34"/>
    <w:qFormat/>
    <w:rsid w:val="00A90661"/>
    <w:pPr>
      <w:ind w:left="720"/>
      <w:contextualSpacing/>
    </w:pPr>
    <w:rPr>
      <w:rFonts w:ascii="Calibri" w:hAnsi="Calibri"/>
    </w:rPr>
  </w:style>
  <w:style w:type="character" w:customStyle="1" w:styleId="ESETableChartFigHeadersChar">
    <w:name w:val="ESE Table/Chart/Fig Headers Char"/>
    <w:basedOn w:val="DefaultParagraphFont"/>
    <w:link w:val="ESETableChartFigHeaders"/>
    <w:rsid w:val="009A724F"/>
    <w:rPr>
      <w:rFonts w:ascii="Arial" w:hAnsi="Arial"/>
      <w:b/>
      <w:sz w:val="22"/>
      <w:szCs w:val="24"/>
    </w:rPr>
  </w:style>
  <w:style w:type="paragraph" w:styleId="BodyText">
    <w:name w:val="Body Text"/>
    <w:basedOn w:val="Normal"/>
    <w:link w:val="BodyTextChar"/>
    <w:rsid w:val="009F2653"/>
    <w:rPr>
      <w:sz w:val="22"/>
      <w:szCs w:val="20"/>
    </w:rPr>
  </w:style>
  <w:style w:type="character" w:customStyle="1" w:styleId="BodyTextChar">
    <w:name w:val="Body Text Char"/>
    <w:basedOn w:val="DefaultParagraphFont"/>
    <w:link w:val="BodyText"/>
    <w:rsid w:val="009F2653"/>
    <w:rPr>
      <w:sz w:val="22"/>
    </w:rPr>
  </w:style>
  <w:style w:type="paragraph" w:styleId="FootnoteText">
    <w:name w:val="footnote text"/>
    <w:basedOn w:val="Normal"/>
    <w:link w:val="FootnoteTextChar"/>
    <w:rsid w:val="009F2653"/>
    <w:rPr>
      <w:sz w:val="20"/>
      <w:szCs w:val="20"/>
    </w:rPr>
  </w:style>
  <w:style w:type="character" w:customStyle="1" w:styleId="FootnoteTextChar">
    <w:name w:val="Footnote Text Char"/>
    <w:basedOn w:val="DefaultParagraphFont"/>
    <w:link w:val="FootnoteText"/>
    <w:rsid w:val="009F2653"/>
  </w:style>
  <w:style w:type="character" w:styleId="FootnoteReference">
    <w:name w:val="footnote reference"/>
    <w:rsid w:val="009F2653"/>
    <w:rPr>
      <w:vertAlign w:val="superscript"/>
    </w:rPr>
  </w:style>
  <w:style w:type="character" w:styleId="FollowedHyperlink">
    <w:name w:val="FollowedHyperlink"/>
    <w:basedOn w:val="DefaultParagraphFont"/>
    <w:rsid w:val="001A0F9E"/>
    <w:rPr>
      <w:color w:val="800080"/>
      <w:u w:val="single"/>
    </w:rPr>
  </w:style>
  <w:style w:type="character" w:styleId="CommentReference">
    <w:name w:val="annotation reference"/>
    <w:basedOn w:val="DefaultParagraphFont"/>
    <w:rsid w:val="00B07D98"/>
    <w:rPr>
      <w:sz w:val="16"/>
      <w:szCs w:val="16"/>
    </w:rPr>
  </w:style>
  <w:style w:type="paragraph" w:styleId="CommentText">
    <w:name w:val="annotation text"/>
    <w:basedOn w:val="Normal"/>
    <w:link w:val="CommentTextChar"/>
    <w:rsid w:val="00B07D98"/>
    <w:rPr>
      <w:sz w:val="20"/>
      <w:szCs w:val="20"/>
    </w:rPr>
  </w:style>
  <w:style w:type="character" w:customStyle="1" w:styleId="CommentTextChar">
    <w:name w:val="Comment Text Char"/>
    <w:basedOn w:val="DefaultParagraphFont"/>
    <w:link w:val="CommentText"/>
    <w:rsid w:val="00B07D98"/>
  </w:style>
  <w:style w:type="paragraph" w:styleId="CommentSubject">
    <w:name w:val="annotation subject"/>
    <w:basedOn w:val="CommentText"/>
    <w:next w:val="CommentText"/>
    <w:link w:val="CommentSubjectChar"/>
    <w:rsid w:val="00B07D98"/>
    <w:rPr>
      <w:b/>
      <w:bCs/>
    </w:rPr>
  </w:style>
  <w:style w:type="character" w:customStyle="1" w:styleId="CommentSubjectChar">
    <w:name w:val="Comment Subject Char"/>
    <w:basedOn w:val="CommentTextChar"/>
    <w:link w:val="CommentSubject"/>
    <w:rsid w:val="00B07D98"/>
    <w:rPr>
      <w:b/>
      <w:bCs/>
    </w:rPr>
  </w:style>
  <w:style w:type="paragraph" w:styleId="BalloonText">
    <w:name w:val="Balloon Text"/>
    <w:basedOn w:val="Normal"/>
    <w:link w:val="BalloonTextChar"/>
    <w:rsid w:val="00B07D98"/>
    <w:rPr>
      <w:rFonts w:ascii="Tahoma" w:hAnsi="Tahoma" w:cs="Tahoma"/>
      <w:sz w:val="16"/>
      <w:szCs w:val="16"/>
    </w:rPr>
  </w:style>
  <w:style w:type="character" w:customStyle="1" w:styleId="BalloonTextChar">
    <w:name w:val="Balloon Text Char"/>
    <w:basedOn w:val="DefaultParagraphFont"/>
    <w:link w:val="BalloonText"/>
    <w:rsid w:val="00B07D98"/>
    <w:rPr>
      <w:rFonts w:ascii="Tahoma" w:hAnsi="Tahoma" w:cs="Tahoma"/>
      <w:sz w:val="16"/>
      <w:szCs w:val="16"/>
    </w:rPr>
  </w:style>
  <w:style w:type="paragraph" w:styleId="BodyTextIndent">
    <w:name w:val="Body Text Indent"/>
    <w:basedOn w:val="Normal"/>
    <w:link w:val="BodyTextIndentChar"/>
    <w:rsid w:val="004B12D4"/>
    <w:pPr>
      <w:spacing w:after="120"/>
      <w:ind w:left="360"/>
    </w:pPr>
  </w:style>
  <w:style w:type="character" w:customStyle="1" w:styleId="BodyTextIndentChar">
    <w:name w:val="Body Text Indent Char"/>
    <w:basedOn w:val="DefaultParagraphFont"/>
    <w:link w:val="BodyTextIndent"/>
    <w:rsid w:val="004B12D4"/>
    <w:rPr>
      <w:sz w:val="24"/>
      <w:szCs w:val="24"/>
    </w:rPr>
  </w:style>
  <w:style w:type="table" w:styleId="TableGrid">
    <w:name w:val="Table Grid"/>
    <w:basedOn w:val="TableNormal"/>
    <w:uiPriority w:val="59"/>
    <w:rsid w:val="00225DD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7A1237"/>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uiPriority w:val="60"/>
    <w:rsid w:val="00BD1EF8"/>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354965860">
      <w:bodyDiv w:val="1"/>
      <w:marLeft w:val="0"/>
      <w:marRight w:val="0"/>
      <w:marTop w:val="0"/>
      <w:marBottom w:val="0"/>
      <w:divBdr>
        <w:top w:val="none" w:sz="0" w:space="0" w:color="auto"/>
        <w:left w:val="none" w:sz="0" w:space="0" w:color="auto"/>
        <w:bottom w:val="none" w:sz="0" w:space="0" w:color="auto"/>
        <w:right w:val="none" w:sz="0" w:space="0" w:color="auto"/>
      </w:divBdr>
    </w:div>
    <w:div w:id="888565154">
      <w:bodyDiv w:val="1"/>
      <w:marLeft w:val="0"/>
      <w:marRight w:val="0"/>
      <w:marTop w:val="0"/>
      <w:marBottom w:val="0"/>
      <w:divBdr>
        <w:top w:val="none" w:sz="0" w:space="0" w:color="auto"/>
        <w:left w:val="none" w:sz="0" w:space="0" w:color="auto"/>
        <w:bottom w:val="none" w:sz="0" w:space="0" w:color="auto"/>
        <w:right w:val="none" w:sz="0" w:space="0" w:color="auto"/>
      </w:divBdr>
    </w:div>
    <w:div w:id="898787935">
      <w:bodyDiv w:val="1"/>
      <w:marLeft w:val="0"/>
      <w:marRight w:val="0"/>
      <w:marTop w:val="0"/>
      <w:marBottom w:val="0"/>
      <w:divBdr>
        <w:top w:val="none" w:sz="0" w:space="0" w:color="auto"/>
        <w:left w:val="none" w:sz="0" w:space="0" w:color="auto"/>
        <w:bottom w:val="none" w:sz="0" w:space="0" w:color="auto"/>
        <w:right w:val="none" w:sz="0" w:space="0" w:color="auto"/>
      </w:divBdr>
      <w:divsChild>
        <w:div w:id="236017771">
          <w:marLeft w:val="0"/>
          <w:marRight w:val="0"/>
          <w:marTop w:val="0"/>
          <w:marBottom w:val="0"/>
          <w:divBdr>
            <w:top w:val="none" w:sz="0" w:space="0" w:color="auto"/>
            <w:left w:val="none" w:sz="0" w:space="0" w:color="auto"/>
            <w:bottom w:val="none" w:sz="0" w:space="0" w:color="auto"/>
            <w:right w:val="none" w:sz="0" w:space="0" w:color="auto"/>
          </w:divBdr>
          <w:divsChild>
            <w:div w:id="1707214335">
              <w:marLeft w:val="0"/>
              <w:marRight w:val="0"/>
              <w:marTop w:val="0"/>
              <w:marBottom w:val="0"/>
              <w:divBdr>
                <w:top w:val="none" w:sz="0" w:space="0" w:color="auto"/>
                <w:left w:val="none" w:sz="0" w:space="0" w:color="auto"/>
                <w:bottom w:val="none" w:sz="0" w:space="0" w:color="auto"/>
                <w:right w:val="none" w:sz="0" w:space="0" w:color="auto"/>
              </w:divBdr>
              <w:divsChild>
                <w:div w:id="939337259">
                  <w:marLeft w:val="0"/>
                  <w:marRight w:val="0"/>
                  <w:marTop w:val="0"/>
                  <w:marBottom w:val="0"/>
                  <w:divBdr>
                    <w:top w:val="none" w:sz="0" w:space="0" w:color="auto"/>
                    <w:left w:val="none" w:sz="0" w:space="0" w:color="auto"/>
                    <w:bottom w:val="none" w:sz="0" w:space="0" w:color="auto"/>
                    <w:right w:val="none" w:sz="0" w:space="0" w:color="auto"/>
                  </w:divBdr>
                  <w:divsChild>
                    <w:div w:id="90376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753151">
      <w:bodyDiv w:val="1"/>
      <w:marLeft w:val="0"/>
      <w:marRight w:val="0"/>
      <w:marTop w:val="0"/>
      <w:marBottom w:val="0"/>
      <w:divBdr>
        <w:top w:val="none" w:sz="0" w:space="0" w:color="auto"/>
        <w:left w:val="none" w:sz="0" w:space="0" w:color="auto"/>
        <w:bottom w:val="none" w:sz="0" w:space="0" w:color="auto"/>
        <w:right w:val="none" w:sz="0" w:space="0" w:color="auto"/>
      </w:divBdr>
    </w:div>
    <w:div w:id="1075519399">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77647458">
      <w:bodyDiv w:val="1"/>
      <w:marLeft w:val="0"/>
      <w:marRight w:val="0"/>
      <w:marTop w:val="0"/>
      <w:marBottom w:val="0"/>
      <w:divBdr>
        <w:top w:val="none" w:sz="0" w:space="0" w:color="auto"/>
        <w:left w:val="none" w:sz="0" w:space="0" w:color="auto"/>
        <w:bottom w:val="none" w:sz="0" w:space="0" w:color="auto"/>
        <w:right w:val="none" w:sz="0" w:space="0" w:color="auto"/>
      </w:divBdr>
    </w:div>
    <w:div w:id="195887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doe.mass.edu/sped/spp/" TargetMode="External"/><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hyperlink" Target="http://www.doe.mass.edu/mts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hyperlink" Target="http://www.doe.mass.edu/research/reports/legislative.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doe.mass.edu/mcas/2012/results/summary.pdf" TargetMode="External"/><Relationship Id="rId29" Type="http://schemas.openxmlformats.org/officeDocument/2006/relationships/hyperlink" Target="http://www.mass.gov/anf/hearings-and-appeals/bureau-of-special-education-appeals-bsea/fiscal-year-2012-bsea-statistics.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profiles.doe.mass.edu/state_report/special_ed.asp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doe.mass.edu/sped/spp/maspp.html" TargetMode="External"/><Relationship Id="rId28" Type="http://schemas.openxmlformats.org/officeDocument/2006/relationships/hyperlink" Target="http://www.ed.gov/policy/rights/reg/ocr/edlite-34cfr104.html" TargetMode="External"/><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oe.mass.edu" TargetMode="External"/><Relationship Id="rId22" Type="http://schemas.openxmlformats.org/officeDocument/2006/relationships/hyperlink" Target="http://www.doe.mass.edu/sped/hehir/" TargetMode="External"/><Relationship Id="rId27" Type="http://schemas.openxmlformats.org/officeDocument/2006/relationships/hyperlink" Target="http://www.moecnet.org" TargetMode="External"/><Relationship Id="rId30" Type="http://schemas.openxmlformats.org/officeDocument/2006/relationships/hyperlink" Target="mailto:mmmittnacht@doe.mass.ed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Sheet1!$A$2</c:f>
              <c:strCache>
                <c:ptCount val="1"/>
                <c:pt idx="0">
                  <c:v>Total Claims</c:v>
                </c:pt>
              </c:strCache>
            </c:strRef>
          </c:tx>
          <c:spPr>
            <a:solidFill>
              <a:sysClr val="windowText" lastClr="000000"/>
            </a:solidFill>
            <a:ln w="10057">
              <a:solidFill>
                <a:srgbClr val="000000"/>
              </a:solidFill>
              <a:prstDash val="solid"/>
            </a:ln>
          </c:spPr>
          <c:cat>
            <c:strRef>
              <c:f>Sheet1!$B$1:$F$1</c:f>
              <c:strCache>
                <c:ptCount val="5"/>
                <c:pt idx="0">
                  <c:v>2006-2007</c:v>
                </c:pt>
                <c:pt idx="1">
                  <c:v>2007-2008</c:v>
                </c:pt>
                <c:pt idx="2">
                  <c:v>2008-2009</c:v>
                </c:pt>
                <c:pt idx="3">
                  <c:v>2009-2010</c:v>
                </c:pt>
                <c:pt idx="4">
                  <c:v>2010-2011</c:v>
                </c:pt>
              </c:strCache>
            </c:strRef>
          </c:cat>
          <c:val>
            <c:numRef>
              <c:f>Sheet1!$B$2:$F$2</c:f>
              <c:numCache>
                <c:formatCode>General</c:formatCode>
                <c:ptCount val="5"/>
                <c:pt idx="0">
                  <c:v>108</c:v>
                </c:pt>
                <c:pt idx="1">
                  <c:v>111</c:v>
                </c:pt>
                <c:pt idx="2">
                  <c:v>110.8</c:v>
                </c:pt>
                <c:pt idx="3">
                  <c:v>65.099999999999994</c:v>
                </c:pt>
                <c:pt idx="4">
                  <c:v>64.099999999999994</c:v>
                </c:pt>
              </c:numCache>
            </c:numRef>
          </c:val>
        </c:ser>
        <c:axId val="114066176"/>
        <c:axId val="114067712"/>
      </c:barChart>
      <c:catAx>
        <c:axId val="114066176"/>
        <c:scaling>
          <c:orientation val="minMax"/>
        </c:scaling>
        <c:axPos val="b"/>
        <c:numFmt formatCode="General" sourceLinked="1"/>
        <c:tickLblPos val="low"/>
        <c:spPr>
          <a:ln w="2514">
            <a:solidFill>
              <a:srgbClr val="000000"/>
            </a:solidFill>
            <a:prstDash val="solid"/>
          </a:ln>
        </c:spPr>
        <c:txPr>
          <a:bodyPr rot="0" vert="horz"/>
          <a:lstStyle/>
          <a:p>
            <a:pPr>
              <a:defRPr sz="792" b="0" i="0" u="none" strike="noStrike" baseline="0">
                <a:solidFill>
                  <a:srgbClr val="000000"/>
                </a:solidFill>
                <a:latin typeface="Arial Narrow" pitchFamily="34" charset="0"/>
                <a:ea typeface="Calibri"/>
                <a:cs typeface="Calibri"/>
              </a:defRPr>
            </a:pPr>
            <a:endParaRPr lang="en-US"/>
          </a:p>
        </c:txPr>
        <c:crossAx val="114067712"/>
        <c:crosses val="autoZero"/>
        <c:auto val="1"/>
        <c:lblAlgn val="ctr"/>
        <c:lblOffset val="100"/>
        <c:tickLblSkip val="1"/>
        <c:tickMarkSkip val="1"/>
      </c:catAx>
      <c:valAx>
        <c:axId val="114067712"/>
        <c:scaling>
          <c:orientation val="minMax"/>
        </c:scaling>
        <c:axPos val="l"/>
        <c:majorGridlines>
          <c:spPr>
            <a:ln w="2514">
              <a:solidFill>
                <a:schemeClr val="bg1">
                  <a:lumMod val="50000"/>
                </a:schemeClr>
              </a:solidFill>
              <a:prstDash val="sysDash"/>
            </a:ln>
          </c:spPr>
        </c:majorGridlines>
        <c:numFmt formatCode="General" sourceLinked="1"/>
        <c:tickLblPos val="nextTo"/>
        <c:spPr>
          <a:ln w="2514">
            <a:solidFill>
              <a:srgbClr val="000000"/>
            </a:solidFill>
            <a:prstDash val="solid"/>
          </a:ln>
        </c:spPr>
        <c:txPr>
          <a:bodyPr rot="0" vert="horz"/>
          <a:lstStyle/>
          <a:p>
            <a:pPr>
              <a:defRPr sz="792" b="0" i="0" u="none" strike="noStrike" baseline="0">
                <a:solidFill>
                  <a:srgbClr val="000000"/>
                </a:solidFill>
                <a:latin typeface="Arial Narrow" pitchFamily="34" charset="0"/>
                <a:ea typeface="Calibri"/>
                <a:cs typeface="Calibri"/>
              </a:defRPr>
            </a:pPr>
            <a:endParaRPr lang="en-US"/>
          </a:p>
        </c:txPr>
        <c:crossAx val="114066176"/>
        <c:crosses val="autoZero"/>
        <c:crossBetween val="between"/>
      </c:valAx>
      <c:spPr>
        <a:solidFill>
          <a:sysClr val="window" lastClr="FFFFFF"/>
        </a:solidFill>
        <a:ln w="10057">
          <a:solidFill>
            <a:srgbClr val="808080"/>
          </a:solidFill>
          <a:prstDash val="solid"/>
        </a:ln>
      </c:spPr>
    </c:plotArea>
    <c:legend>
      <c:legendPos val="r"/>
      <c:spPr>
        <a:noFill/>
        <a:ln w="2514">
          <a:solidFill>
            <a:srgbClr val="000000"/>
          </a:solidFill>
          <a:prstDash val="solid"/>
        </a:ln>
      </c:spPr>
      <c:txPr>
        <a:bodyPr/>
        <a:lstStyle/>
        <a:p>
          <a:pPr>
            <a:defRPr sz="792" b="0" i="0" u="none" strike="noStrike" baseline="0">
              <a:solidFill>
                <a:srgbClr val="000000"/>
              </a:solidFill>
              <a:latin typeface="Arial Narrow" pitchFamily="34" charset="0"/>
              <a:ea typeface="Calibri"/>
              <a:cs typeface="Calibri"/>
            </a:defRPr>
          </a:pPr>
          <a:endParaRPr lang="en-US"/>
        </a:p>
      </c:txPr>
    </c:legend>
    <c:plotVisOnly val="1"/>
    <c:dispBlanksAs val="gap"/>
  </c:chart>
  <c:spPr>
    <a:noFill/>
    <a:ln>
      <a:noFill/>
    </a:ln>
  </c:spPr>
  <c:txPr>
    <a:bodyPr/>
    <a:lstStyle/>
    <a:p>
      <a:pPr>
        <a:defRPr sz="653" b="1" i="0" u="none" strike="noStrike" baseline="0">
          <a:solidFill>
            <a:srgbClr val="000000"/>
          </a:solidFill>
          <a:latin typeface="Calibri"/>
          <a:ea typeface="Calibri"/>
          <a:cs typeface="Calibri"/>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Assigned_x0020_to0 xmlns="25be41bb-4e40-41df-8035-1473690083e6">
      <UserInfo>
        <DisplayName>Mittnacht, Marcia M (DOE)</DisplayName>
        <AccountId>174</AccountId>
        <AccountType/>
      </UserInfo>
    </Assigned_x0020_to0>
    <OPR_x0020_Review_x0020_Complete xmlns="420bd55f-2c33-4ff2-a551-72d9aab89877">EOE/Governor's Review</OPR_x0020_Review_x0020_Complete>
    <Report_x0020_Name xmlns="25be41bb-4e40-41df-8035-1473690083e6" xsi:nil="true"/>
    <Due xmlns="25be41bb-4e40-41df-8035-1473690083e6" xsi:nil="true"/>
    <_dlc_DocId xmlns="733efe1c-5bbe-4968-87dc-d400e65c879f">DESE-138-232</_dlc_DocId>
    <_dlc_DocIdUrl xmlns="733efe1c-5bbe-4968-87dc-d400e65c879f">
      <Url>https://sharepoint.doemass.org/ese/ospre/leg/_layouts/DocIdRedir.aspx?ID=DESE-138-232</Url>
      <Description>DESE-138-232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B242348D0F544099F89B42BBD4DF83" ma:contentTypeVersion="10" ma:contentTypeDescription="Create a new document." ma:contentTypeScope="" ma:versionID="d45e34f14d1c6563eb349ce4bc1ff599">
  <xsd:schema xmlns:xsd="http://www.w3.org/2001/XMLSchema" xmlns:xs="http://www.w3.org/2001/XMLSchema" xmlns:p="http://schemas.microsoft.com/office/2006/metadata/properties" xmlns:ns2="25be41bb-4e40-41df-8035-1473690083e6" xmlns:ns3="733efe1c-5bbe-4968-87dc-d400e65c879f" xmlns:ns4="420bd55f-2c33-4ff2-a551-72d9aab89877" targetNamespace="http://schemas.microsoft.com/office/2006/metadata/properties" ma:root="true" ma:fieldsID="373799603bbdcf837aa1417bfd442dbe" ns2:_="" ns3:_="" ns4:_="">
    <xsd:import namespace="25be41bb-4e40-41df-8035-1473690083e6"/>
    <xsd:import namespace="733efe1c-5bbe-4968-87dc-d400e65c879f"/>
    <xsd:import namespace="420bd55f-2c33-4ff2-a551-72d9aab89877"/>
    <xsd:element name="properties">
      <xsd:complexType>
        <xsd:sequence>
          <xsd:element name="documentManagement">
            <xsd:complexType>
              <xsd:all>
                <xsd:element ref="ns2:Due" minOccurs="0"/>
                <xsd:element ref="ns2:Assigned_x0020_to0"/>
                <xsd:element ref="ns2:Report_x0020_Name" minOccurs="0"/>
                <xsd:element ref="ns3:_dlc_DocId" minOccurs="0"/>
                <xsd:element ref="ns3:_dlc_DocIdUrl" minOccurs="0"/>
                <xsd:element ref="ns3:_dlc_DocIdPersistId" minOccurs="0"/>
                <xsd:element ref="ns4:OPR_x0020_Review_x0020_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e41bb-4e40-41df-8035-1473690083e6" elementFormDefault="qualified">
    <xsd:import namespace="http://schemas.microsoft.com/office/2006/documentManagement/types"/>
    <xsd:import namespace="http://schemas.microsoft.com/office/infopath/2007/PartnerControls"/>
    <xsd:element name="Due" ma:index="8" nillable="true" ma:displayName="Due" ma:format="DateOnly" ma:internalName="Due">
      <xsd:simpleType>
        <xsd:restriction base="dms:DateTime"/>
      </xsd:simpleType>
    </xsd:element>
    <xsd:element name="Assigned_x0020_to0" ma:index="9" ma:displayName="Assigned to" ma:list="UserInfo" ma:SharePointGroup="0" ma:internalName="Assigned_x0020_to0"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port_x0020_Name" ma:index="10" nillable="true" ma:displayName="Report Name" ma:internalName="Repor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0bd55f-2c33-4ff2-a551-72d9aab89877" elementFormDefault="qualified">
    <xsd:import namespace="http://schemas.microsoft.com/office/2006/documentManagement/types"/>
    <xsd:import namespace="http://schemas.microsoft.com/office/infopath/2007/PartnerControls"/>
    <xsd:element name="OPR_x0020_Review_x0020_Complete" ma:index="14" nillable="true" ma:displayName="Status" ma:default="Authoring/Editing In Progress" ma:format="RadioButtons" ma:internalName="OPR_x0020_Review_x0020_Complete">
      <xsd:simpleType>
        <xsd:restriction base="dms:Choice">
          <xsd:enumeration value="Not Started"/>
          <xsd:enumeration value="Authoring/Editing In Progress"/>
          <xsd:enumeration value="Deputy Commissioner Review"/>
          <xsd:enumeration value="Commissioner's Review"/>
          <xsd:enumeration value="EOE/Governor's Review"/>
          <xsd:enumeration value="Submitted to Legislature"/>
          <xsd:enumeration value="Posted"/>
          <xsd:enumeration value="On Hol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CD4C4-294A-48C8-87FD-6F1EE5EF53EF}">
  <ds:schemaRefs>
    <ds:schemaRef ds:uri="http://schemas.microsoft.com/office/2006/metadata/properties"/>
    <ds:schemaRef ds:uri="25be41bb-4e40-41df-8035-1473690083e6"/>
    <ds:schemaRef ds:uri="420bd55f-2c33-4ff2-a551-72d9aab89877"/>
    <ds:schemaRef ds:uri="733efe1c-5bbe-4968-87dc-d400e65c879f"/>
  </ds:schemaRefs>
</ds:datastoreItem>
</file>

<file path=customXml/itemProps2.xml><?xml version="1.0" encoding="utf-8"?>
<ds:datastoreItem xmlns:ds="http://schemas.openxmlformats.org/officeDocument/2006/customXml" ds:itemID="{1C5A003E-48A3-4B8E-B972-1589EDF00DED}">
  <ds:schemaRefs>
    <ds:schemaRef ds:uri="http://schemas.microsoft.com/sharepoint/events"/>
  </ds:schemaRefs>
</ds:datastoreItem>
</file>

<file path=customXml/itemProps3.xml><?xml version="1.0" encoding="utf-8"?>
<ds:datastoreItem xmlns:ds="http://schemas.openxmlformats.org/officeDocument/2006/customXml" ds:itemID="{1DE1BAA4-309E-4F6C-841E-D06AB8B11F75}">
  <ds:schemaRefs>
    <ds:schemaRef ds:uri="http://schemas.microsoft.com/sharepoint/v3/contenttype/forms"/>
  </ds:schemaRefs>
</ds:datastoreItem>
</file>

<file path=customXml/itemProps4.xml><?xml version="1.0" encoding="utf-8"?>
<ds:datastoreItem xmlns:ds="http://schemas.openxmlformats.org/officeDocument/2006/customXml" ds:itemID="{F4EDFBDD-6213-4746-A0C9-1F591981E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e41bb-4e40-41df-8035-1473690083e6"/>
    <ds:schemaRef ds:uri="733efe1c-5bbe-4968-87dc-d400e65c879f"/>
    <ds:schemaRef ds:uri="420bd55f-2c33-4ff2-a551-72d9aab89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D2DADB-19DD-405A-98BB-82E15E1F221E}">
  <ds:schemaRefs>
    <ds:schemaRef ds:uri="http://schemas.microsoft.com/office/2006/metadata/longProperties"/>
  </ds:schemaRefs>
</ds:datastoreItem>
</file>

<file path=customXml/itemProps6.xml><?xml version="1.0" encoding="utf-8"?>
<ds:datastoreItem xmlns:ds="http://schemas.openxmlformats.org/officeDocument/2006/customXml" ds:itemID="{7AA989B7-9642-40B9-96CC-B502AA07E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6072</Words>
  <Characters>36883</Characters>
  <Application>Microsoft Office Word</Application>
  <DocSecurity>0</DocSecurity>
  <Lines>1189</Lines>
  <Paragraphs>728</Paragraphs>
  <ScaleCrop>false</ScaleCrop>
  <HeadingPairs>
    <vt:vector size="2" baseType="variant">
      <vt:variant>
        <vt:lpstr>Title</vt:lpstr>
      </vt:variant>
      <vt:variant>
        <vt:i4>1</vt:i4>
      </vt:variant>
    </vt:vector>
  </HeadingPairs>
  <TitlesOfParts>
    <vt:vector size="1" baseType="lpstr">
      <vt:lpstr>Annual report on Students with Disabilities 2011-2012</vt:lpstr>
    </vt:vector>
  </TitlesOfParts>
  <Company/>
  <LinksUpToDate>false</LinksUpToDate>
  <CharactersWithSpaces>42227</CharactersWithSpaces>
  <SharedDoc>false</SharedDoc>
  <HLinks>
    <vt:vector size="90" baseType="variant">
      <vt:variant>
        <vt:i4>7667744</vt:i4>
      </vt:variant>
      <vt:variant>
        <vt:i4>54</vt:i4>
      </vt:variant>
      <vt:variant>
        <vt:i4>0</vt:i4>
      </vt:variant>
      <vt:variant>
        <vt:i4>5</vt:i4>
      </vt:variant>
      <vt:variant>
        <vt:lpwstr>http://www.mass.gov/anf/hearings-and-appeals/bureau-of-special-education-appeals-bsea/fiscal-year-2012-bsea-statistics.html</vt:lpwstr>
      </vt:variant>
      <vt:variant>
        <vt:lpwstr/>
      </vt:variant>
      <vt:variant>
        <vt:i4>5963789</vt:i4>
      </vt:variant>
      <vt:variant>
        <vt:i4>51</vt:i4>
      </vt:variant>
      <vt:variant>
        <vt:i4>0</vt:i4>
      </vt:variant>
      <vt:variant>
        <vt:i4>5</vt:i4>
      </vt:variant>
      <vt:variant>
        <vt:lpwstr>http://www.ed.gov/policy/rights/reg/ocr/edlite-34cfr104.html</vt:lpwstr>
      </vt:variant>
      <vt:variant>
        <vt:lpwstr/>
      </vt:variant>
      <vt:variant>
        <vt:i4>7208971</vt:i4>
      </vt:variant>
      <vt:variant>
        <vt:i4>48</vt:i4>
      </vt:variant>
      <vt:variant>
        <vt:i4>0</vt:i4>
      </vt:variant>
      <vt:variant>
        <vt:i4>5</vt:i4>
      </vt:variant>
      <vt:variant>
        <vt:lpwstr>http://frwebgate.access.gpo.gov/cgi-bin/getdoc.cgi?dbname=108_cong_public_laws&amp;docid=f:publ446.108</vt:lpwstr>
      </vt:variant>
      <vt:variant>
        <vt:lpwstr/>
      </vt:variant>
      <vt:variant>
        <vt:i4>3211365</vt:i4>
      </vt:variant>
      <vt:variant>
        <vt:i4>45</vt:i4>
      </vt:variant>
      <vt:variant>
        <vt:i4>0</vt:i4>
      </vt:variant>
      <vt:variant>
        <vt:i4>5</vt:i4>
      </vt:variant>
      <vt:variant>
        <vt:lpwstr>http://www.moecnet.org/</vt:lpwstr>
      </vt:variant>
      <vt:variant>
        <vt:lpwstr/>
      </vt:variant>
      <vt:variant>
        <vt:i4>5767254</vt:i4>
      </vt:variant>
      <vt:variant>
        <vt:i4>39</vt:i4>
      </vt:variant>
      <vt:variant>
        <vt:i4>0</vt:i4>
      </vt:variant>
      <vt:variant>
        <vt:i4>5</vt:i4>
      </vt:variant>
      <vt:variant>
        <vt:lpwstr>http://www.doe.mass.edu/research/reports/legislative.html</vt:lpwstr>
      </vt:variant>
      <vt:variant>
        <vt:lpwstr/>
      </vt:variant>
      <vt:variant>
        <vt:i4>7143521</vt:i4>
      </vt:variant>
      <vt:variant>
        <vt:i4>36</vt:i4>
      </vt:variant>
      <vt:variant>
        <vt:i4>0</vt:i4>
      </vt:variant>
      <vt:variant>
        <vt:i4>5</vt:i4>
      </vt:variant>
      <vt:variant>
        <vt:lpwstr>http://www2.ed.gov/about/offices/list/osers/osep/rda/index.html</vt:lpwstr>
      </vt:variant>
      <vt:variant>
        <vt:lpwstr/>
      </vt:variant>
      <vt:variant>
        <vt:i4>3014777</vt:i4>
      </vt:variant>
      <vt:variant>
        <vt:i4>33</vt:i4>
      </vt:variant>
      <vt:variant>
        <vt:i4>0</vt:i4>
      </vt:variant>
      <vt:variant>
        <vt:i4>5</vt:i4>
      </vt:variant>
      <vt:variant>
        <vt:lpwstr>http://www.doe.mass.edu/boe/docs/2012-04/item2.docx</vt:lpwstr>
      </vt:variant>
      <vt:variant>
        <vt:lpwstr/>
      </vt:variant>
      <vt:variant>
        <vt:i4>3014777</vt:i4>
      </vt:variant>
      <vt:variant>
        <vt:i4>30</vt:i4>
      </vt:variant>
      <vt:variant>
        <vt:i4>0</vt:i4>
      </vt:variant>
      <vt:variant>
        <vt:i4>5</vt:i4>
      </vt:variant>
      <vt:variant>
        <vt:lpwstr>http://www.doe.mass.edu/boe/docs/2012-04/item2.docx</vt:lpwstr>
      </vt:variant>
      <vt:variant>
        <vt:lpwstr/>
      </vt:variant>
      <vt:variant>
        <vt:i4>2424946</vt:i4>
      </vt:variant>
      <vt:variant>
        <vt:i4>27</vt:i4>
      </vt:variant>
      <vt:variant>
        <vt:i4>0</vt:i4>
      </vt:variant>
      <vt:variant>
        <vt:i4>5</vt:i4>
      </vt:variant>
      <vt:variant>
        <vt:lpwstr>http://profiles.doe.mass.edu/state_report/special_ed.aspx</vt:lpwstr>
      </vt:variant>
      <vt:variant>
        <vt:lpwstr/>
      </vt:variant>
      <vt:variant>
        <vt:i4>2949182</vt:i4>
      </vt:variant>
      <vt:variant>
        <vt:i4>24</vt:i4>
      </vt:variant>
      <vt:variant>
        <vt:i4>0</vt:i4>
      </vt:variant>
      <vt:variant>
        <vt:i4>5</vt:i4>
      </vt:variant>
      <vt:variant>
        <vt:lpwstr>http://www.doe.mass.edu/sped/spp/maspp.html</vt:lpwstr>
      </vt:variant>
      <vt:variant>
        <vt:lpwstr/>
      </vt:variant>
      <vt:variant>
        <vt:i4>5636109</vt:i4>
      </vt:variant>
      <vt:variant>
        <vt:i4>18</vt:i4>
      </vt:variant>
      <vt:variant>
        <vt:i4>0</vt:i4>
      </vt:variant>
      <vt:variant>
        <vt:i4>5</vt:i4>
      </vt:variant>
      <vt:variant>
        <vt:lpwstr>http://www.doe.mass.edu/mtss/</vt:lpwstr>
      </vt:variant>
      <vt:variant>
        <vt:lpwstr/>
      </vt:variant>
      <vt:variant>
        <vt:i4>393306</vt:i4>
      </vt:variant>
      <vt:variant>
        <vt:i4>15</vt:i4>
      </vt:variant>
      <vt:variant>
        <vt:i4>0</vt:i4>
      </vt:variant>
      <vt:variant>
        <vt:i4>5</vt:i4>
      </vt:variant>
      <vt:variant>
        <vt:lpwstr>http://www.doe.mass.edu/mcas/2012/results/summary.pdf</vt:lpwstr>
      </vt:variant>
      <vt:variant>
        <vt:lpwstr/>
      </vt:variant>
      <vt:variant>
        <vt:i4>7274620</vt:i4>
      </vt:variant>
      <vt:variant>
        <vt:i4>12</vt:i4>
      </vt:variant>
      <vt:variant>
        <vt:i4>0</vt:i4>
      </vt:variant>
      <vt:variant>
        <vt:i4>5</vt:i4>
      </vt:variant>
      <vt:variant>
        <vt:lpwstr>http://idea.ed.gov/explore/view/p/%2Croot%2Cregs%2C300%2CD%2C300%252E307%2C</vt:lpwstr>
      </vt:variant>
      <vt:variant>
        <vt:lpwstr/>
      </vt:variant>
      <vt:variant>
        <vt:i4>1900596</vt:i4>
      </vt:variant>
      <vt:variant>
        <vt:i4>5</vt:i4>
      </vt:variant>
      <vt:variant>
        <vt:i4>0</vt:i4>
      </vt:variant>
      <vt:variant>
        <vt:i4>5</vt:i4>
      </vt:variant>
      <vt:variant>
        <vt:lpwstr/>
      </vt:variant>
      <vt:variant>
        <vt:lpwstr>_Toc337198907</vt:lpwstr>
      </vt:variant>
      <vt:variant>
        <vt:i4>5308435</vt:i4>
      </vt:variant>
      <vt:variant>
        <vt:i4>0</vt:i4>
      </vt:variant>
      <vt:variant>
        <vt:i4>0</vt:i4>
      </vt:variant>
      <vt:variant>
        <vt:i4>5</vt:i4>
      </vt:variant>
      <vt:variant>
        <vt:lpwstr>http://www.doe.mass.edu/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on Students with Disabilities 2011-2012</dc:title>
  <dc:creator>ESE</dc:creator>
  <cp:lastModifiedBy>dzou</cp:lastModifiedBy>
  <cp:revision>5</cp:revision>
  <cp:lastPrinted>2013-07-11T20:50:00Z</cp:lastPrinted>
  <dcterms:created xsi:type="dcterms:W3CDTF">2013-07-12T17:34:00Z</dcterms:created>
  <dcterms:modified xsi:type="dcterms:W3CDTF">2017-06-15T20:26:00Z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12 2013</vt:lpwstr>
  </property>
</Properties>
</file>