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A4B" w:rsidRDefault="00103964" w:rsidP="005F5A4B">
      <w:r>
        <w:rPr>
          <w:noProof/>
        </w:rPr>
        <w:pict>
          <v:rect id="Rectangle 1" o:spid="_x0000_s1060" style="position:absolute;margin-left:36.3pt;margin-top:15.85pt;width:410.2pt;height:760.05pt;z-index:25164595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" fillcolor="#4f81bd" stroked="f" strokeweight="2pt">
            <v:path arrowok="t"/>
            <v:textbox inset="21.6pt,1in,21.6pt">
              <w:txbxContent>
                <w:p w:rsidR="00231C50" w:rsidRPr="00F93369" w:rsidRDefault="00231C50" w:rsidP="005F5A4B">
                  <w:pPr>
                    <w:spacing w:before="240"/>
                    <w:ind w:left="1008"/>
                    <w:jc w:val="right"/>
                    <w:rPr>
                      <w:color w:val="FFFFFF"/>
                      <w:sz w:val="72"/>
                      <w:szCs w:val="72"/>
                    </w:rPr>
                  </w:pPr>
                  <w:r w:rsidRPr="00F93369">
                    <w:rPr>
                      <w:color w:val="FFFFFF"/>
                      <w:sz w:val="72"/>
                      <w:szCs w:val="72"/>
                    </w:rPr>
                    <w:t>Evaluation of the Human Resources Pilot</w:t>
                  </w:r>
                </w:p>
                <w:p w:rsidR="00231C50" w:rsidRPr="00F93369" w:rsidRDefault="00231C50" w:rsidP="005F5A4B">
                  <w:pPr>
                    <w:spacing w:before="240"/>
                    <w:ind w:left="1008"/>
                    <w:jc w:val="right"/>
                    <w:rPr>
                      <w:color w:val="FFFFFF"/>
                      <w:sz w:val="72"/>
                      <w:szCs w:val="72"/>
                    </w:rPr>
                  </w:pPr>
                  <w:r w:rsidRPr="00F93369">
                    <w:rPr>
                      <w:color w:val="FFFFFF"/>
                      <w:sz w:val="72"/>
                      <w:szCs w:val="72"/>
                    </w:rPr>
                    <w:t>Final Report</w:t>
                  </w:r>
                </w:p>
                <w:p w:rsidR="00231C50" w:rsidRPr="00F93369" w:rsidRDefault="00231C50" w:rsidP="005F5A4B">
                  <w:pPr>
                    <w:spacing w:before="240"/>
                    <w:ind w:left="1008"/>
                    <w:jc w:val="right"/>
                    <w:rPr>
                      <w:color w:val="FFFFFF"/>
                      <w:sz w:val="40"/>
                      <w:szCs w:val="40"/>
                    </w:rPr>
                  </w:pPr>
                  <w:r w:rsidRPr="00F93369">
                    <w:rPr>
                      <w:color w:val="FFFFFF"/>
                      <w:sz w:val="40"/>
                      <w:szCs w:val="40"/>
                    </w:rPr>
                    <w:t>September 2014</w:t>
                  </w:r>
                </w:p>
              </w:txbxContent>
            </v:textbox>
            <w10:wrap anchorx="page" anchory="page"/>
          </v:rect>
        </w:pict>
      </w:r>
      <w:r>
        <w:rPr>
          <w:noProof/>
        </w:rPr>
        <w:pict>
          <v:rect id="Rectangle 3" o:spid="_x0000_s1059" alt="Dark blue background" style="position:absolute;margin-left:446.75pt;margin-top:15.85pt;width:148.05pt;height:760.3pt;z-index:251644928;visibility:visible;mso-width-percent:242;mso-height-percent:960;mso-position-horizontal-relative:page;mso-position-vertical-relative:page;mso-width-percent:242;mso-height-percent:960;v-text-anchor:middle" fillcolor="#1f497d" stroked="f" strokeweight="2pt">
            <v:path arrowok="t"/>
            <v:textbox inset="14.4pt,,14.4pt">
              <w:txbxContent>
                <w:p w:rsidR="00231C50" w:rsidRPr="00F93369" w:rsidRDefault="00231C50" w:rsidP="005F5A4B">
                  <w:pPr>
                    <w:rPr>
                      <w:color w:val="FFFFFF"/>
                    </w:rPr>
                  </w:pPr>
                  <w:r w:rsidRPr="00F93369">
                    <w:rPr>
                      <w:color w:val="FFFFFF"/>
                    </w:rPr>
                    <w:t xml:space="preserve">     </w:t>
                  </w:r>
                </w:p>
              </w:txbxContent>
            </v:textbox>
            <w10:wrap anchorx="page" anchory="page"/>
          </v:rect>
        </w:pict>
      </w:r>
    </w:p>
    <w:p w:rsidR="005F5A4B" w:rsidRDefault="005F5A4B" w:rsidP="0035181C">
      <w:pPr>
        <w:pStyle w:val="BodyText"/>
      </w:pPr>
    </w:p>
    <w:p w:rsidR="005F5A4B" w:rsidRDefault="005F5A4B" w:rsidP="0035181C">
      <w:pPr>
        <w:pStyle w:val="BodyText"/>
        <w:rPr>
          <w:highlight w:val="yellow"/>
        </w:rPr>
      </w:pPr>
      <w:r>
        <w:rPr>
          <w:highlight w:val="yellow"/>
        </w:rPr>
        <w:br w:type="page"/>
      </w:r>
    </w:p>
    <w:p w:rsidR="005F5A4B" w:rsidRDefault="005F5A4B" w:rsidP="0035181C">
      <w:pPr>
        <w:pStyle w:val="BodyText"/>
        <w:sectPr w:rsidR="005F5A4B">
          <w:pgSz w:w="12240" w:h="15840"/>
          <w:pgMar w:top="1440" w:right="1440" w:bottom="1440" w:left="1440" w:header="720" w:footer="720" w:gutter="0"/>
          <w:pgNumType w:start="1"/>
          <w:cols w:space="720"/>
          <w:docGrid w:linePitch="299"/>
        </w:sectPr>
      </w:pPr>
    </w:p>
    <w:p w:rsidR="005F5A4B" w:rsidRPr="0026125A" w:rsidRDefault="005F5A4B" w:rsidP="0035181C">
      <w:pPr>
        <w:pStyle w:val="BodyText"/>
      </w:pPr>
    </w:p>
    <w:p w:rsidR="005F5A4B" w:rsidRPr="0026125A" w:rsidRDefault="005F5A4B" w:rsidP="0035181C">
      <w:pPr>
        <w:pStyle w:val="BodyText"/>
      </w:pPr>
    </w:p>
    <w:p w:rsidR="005F5A4B" w:rsidRPr="0026125A" w:rsidRDefault="005F5A4B" w:rsidP="0035181C">
      <w:pPr>
        <w:pStyle w:val="BodyText"/>
      </w:pPr>
    </w:p>
    <w:p w:rsidR="005F5A4B" w:rsidRPr="0026125A" w:rsidRDefault="005F5A4B" w:rsidP="0035181C">
      <w:pPr>
        <w:pStyle w:val="BodyText"/>
      </w:pPr>
    </w:p>
    <w:p w:rsidR="005F5A4B" w:rsidRPr="0026125A" w:rsidRDefault="005F5A4B" w:rsidP="0035181C">
      <w:pPr>
        <w:pStyle w:val="BodyText"/>
      </w:pPr>
    </w:p>
    <w:p w:rsidR="005F5A4B" w:rsidRPr="0026125A" w:rsidRDefault="005F5A4B" w:rsidP="0035181C">
      <w:pPr>
        <w:pStyle w:val="BodyText"/>
      </w:pPr>
    </w:p>
    <w:p w:rsidR="005F5A4B" w:rsidRPr="0026125A" w:rsidRDefault="005F5A4B" w:rsidP="0035181C">
      <w:pPr>
        <w:pStyle w:val="BodyText"/>
      </w:pPr>
    </w:p>
    <w:p w:rsidR="005F5A4B" w:rsidRPr="0026125A" w:rsidRDefault="005F5A4B" w:rsidP="0035181C">
      <w:pPr>
        <w:pStyle w:val="BodyText"/>
      </w:pPr>
    </w:p>
    <w:p w:rsidR="005F5A4B" w:rsidRPr="0026125A" w:rsidRDefault="005F5A4B" w:rsidP="0035181C">
      <w:pPr>
        <w:pStyle w:val="BodyText"/>
      </w:pPr>
    </w:p>
    <w:p w:rsidR="005F5A4B" w:rsidRPr="0026125A" w:rsidRDefault="005F5A4B" w:rsidP="0035181C">
      <w:pPr>
        <w:pStyle w:val="BodyText"/>
      </w:pPr>
    </w:p>
    <w:p w:rsidR="005F5A4B" w:rsidRPr="0026125A" w:rsidRDefault="005F5A4B" w:rsidP="0035181C">
      <w:pPr>
        <w:pStyle w:val="BodyText"/>
      </w:pPr>
    </w:p>
    <w:p w:rsidR="005F5A4B" w:rsidRPr="0026125A" w:rsidRDefault="005F5A4B" w:rsidP="0035181C">
      <w:pPr>
        <w:pStyle w:val="BodyText"/>
      </w:pPr>
    </w:p>
    <w:p w:rsidR="005F5A4B" w:rsidRPr="0026125A" w:rsidRDefault="005F5A4B" w:rsidP="0035181C">
      <w:pPr>
        <w:pStyle w:val="BodyText"/>
      </w:pPr>
    </w:p>
    <w:p w:rsidR="005F5A4B" w:rsidRPr="0026125A" w:rsidRDefault="005F5A4B" w:rsidP="0035181C">
      <w:pPr>
        <w:pStyle w:val="BodyText"/>
      </w:pPr>
    </w:p>
    <w:p w:rsidR="005F5A4B" w:rsidRPr="0026125A" w:rsidRDefault="005F5A4B" w:rsidP="0035181C">
      <w:pPr>
        <w:pStyle w:val="BodyText"/>
      </w:pPr>
    </w:p>
    <w:p w:rsidR="005F5A4B" w:rsidRPr="0026125A" w:rsidRDefault="005F5A4B" w:rsidP="0035181C">
      <w:pPr>
        <w:pStyle w:val="BodyText"/>
      </w:pPr>
    </w:p>
    <w:p w:rsidR="005F5A4B" w:rsidRPr="0026125A" w:rsidRDefault="005F5A4B" w:rsidP="0035181C">
      <w:pPr>
        <w:pStyle w:val="BodyText"/>
      </w:pPr>
    </w:p>
    <w:p w:rsidR="005F5A4B" w:rsidRPr="0026125A" w:rsidRDefault="005F5A4B" w:rsidP="0035181C">
      <w:pPr>
        <w:pStyle w:val="BodyText"/>
      </w:pPr>
    </w:p>
    <w:p w:rsidR="005F5A4B" w:rsidRPr="0026125A" w:rsidRDefault="005F5A4B" w:rsidP="0035181C">
      <w:pPr>
        <w:pStyle w:val="BodyText"/>
      </w:pPr>
    </w:p>
    <w:p w:rsidR="005F5A4B" w:rsidRPr="0026125A" w:rsidRDefault="005F5A4B" w:rsidP="0035181C">
      <w:pPr>
        <w:pStyle w:val="BodyText"/>
      </w:pPr>
    </w:p>
    <w:p w:rsidR="005F5A4B" w:rsidRDefault="005F5A4B" w:rsidP="0035181C">
      <w:pPr>
        <w:pStyle w:val="BodyText"/>
      </w:pPr>
    </w:p>
    <w:p w:rsidR="005F5A4B" w:rsidRDefault="005F5A4B" w:rsidP="0035181C">
      <w:pPr>
        <w:pStyle w:val="BodyText"/>
      </w:pPr>
    </w:p>
    <w:p w:rsidR="005F5A4B" w:rsidRPr="0026125A" w:rsidRDefault="005F5A4B" w:rsidP="0035181C">
      <w:pPr>
        <w:pStyle w:val="BodyText"/>
      </w:pPr>
    </w:p>
    <w:p w:rsidR="005F5A4B" w:rsidRDefault="005F5A4B" w:rsidP="00AC226D">
      <w:pPr>
        <w:pStyle w:val="BodyText"/>
        <w:ind w:firstLine="0"/>
      </w:pPr>
      <w:r>
        <w:t>This report</w:t>
      </w:r>
      <w:r w:rsidRPr="00A76D80">
        <w:t xml:space="preserve"> was prepared by SRI </w:t>
      </w:r>
      <w:r>
        <w:t xml:space="preserve">International and Nancy Brigham Associates </w:t>
      </w:r>
      <w:r w:rsidRPr="00A76D80">
        <w:t>with funds provided by</w:t>
      </w:r>
      <w:r>
        <w:t xml:space="preserve"> the</w:t>
      </w:r>
      <w:r w:rsidRPr="00A76D80">
        <w:t xml:space="preserve"> </w:t>
      </w:r>
      <w:r>
        <w:t>Massachusetts Department of Elementary and Secondary Education</w:t>
      </w:r>
      <w:r w:rsidRPr="00A87258">
        <w:t xml:space="preserve">. </w:t>
      </w:r>
    </w:p>
    <w:p w:rsidR="005F5A4B" w:rsidRPr="00A236C0" w:rsidRDefault="005F5A4B" w:rsidP="0035181C">
      <w:pPr>
        <w:pStyle w:val="BodyText"/>
        <w:rPr>
          <w:rFonts w:eastAsia="Calibri"/>
        </w:rPr>
      </w:pPr>
      <w:r>
        <w:br w:type="page"/>
      </w:r>
    </w:p>
    <w:p w:rsidR="005F5A4B" w:rsidRPr="00D6182E" w:rsidRDefault="005F5A4B" w:rsidP="005F5A4B">
      <w:pPr>
        <w:pStyle w:val="TitlepageTitle"/>
        <w:rPr>
          <w:rFonts w:ascii="Arial" w:hAnsi="Arial" w:cs="Arial"/>
        </w:rPr>
      </w:pPr>
      <w:r w:rsidRPr="00D6182E">
        <w:rPr>
          <w:rFonts w:ascii="Arial" w:hAnsi="Arial" w:cs="Arial"/>
        </w:rPr>
        <w:lastRenderedPageBreak/>
        <w:t xml:space="preserve">Evaluation of the Human Resources Pilot </w:t>
      </w:r>
    </w:p>
    <w:p w:rsidR="005F5A4B" w:rsidRPr="00D6182E" w:rsidRDefault="005F5A4B" w:rsidP="005F5A4B">
      <w:pPr>
        <w:pStyle w:val="TitlepageTitle"/>
        <w:rPr>
          <w:rFonts w:ascii="Arial" w:hAnsi="Arial" w:cs="Arial"/>
        </w:rPr>
      </w:pPr>
      <w:r w:rsidRPr="00D6182E">
        <w:rPr>
          <w:rFonts w:ascii="Arial" w:hAnsi="Arial" w:cs="Arial"/>
        </w:rPr>
        <w:t>Final Report</w:t>
      </w:r>
    </w:p>
    <w:p w:rsidR="00612911" w:rsidRDefault="00612911" w:rsidP="0035181C">
      <w:pPr>
        <w:pStyle w:val="BodyText"/>
      </w:pPr>
    </w:p>
    <w:p w:rsidR="005F5A4B" w:rsidRPr="00D6182E" w:rsidRDefault="00CD3E40" w:rsidP="00612911">
      <w:pPr>
        <w:jc w:val="center"/>
        <w:rPr>
          <w:rFonts w:ascii="Arial" w:hAnsi="Arial" w:cs="Arial"/>
          <w:sz w:val="32"/>
          <w:szCs w:val="32"/>
        </w:rPr>
      </w:pPr>
      <w:r>
        <w:rPr>
          <w:rFonts w:ascii="Arial" w:hAnsi="Arial" w:cs="Arial"/>
          <w:sz w:val="32"/>
          <w:szCs w:val="32"/>
        </w:rPr>
        <w:t>September</w:t>
      </w:r>
      <w:r w:rsidRPr="00D6182E">
        <w:rPr>
          <w:rFonts w:ascii="Arial" w:hAnsi="Arial" w:cs="Arial"/>
          <w:sz w:val="32"/>
          <w:szCs w:val="32"/>
        </w:rPr>
        <w:t xml:space="preserve"> </w:t>
      </w:r>
      <w:r w:rsidR="005F5A4B" w:rsidRPr="00D6182E">
        <w:rPr>
          <w:rFonts w:ascii="Arial" w:hAnsi="Arial" w:cs="Arial"/>
          <w:sz w:val="32"/>
          <w:szCs w:val="32"/>
        </w:rPr>
        <w:t>2014</w:t>
      </w:r>
    </w:p>
    <w:p w:rsidR="005F5A4B" w:rsidRDefault="005F5A4B" w:rsidP="0035181C">
      <w:pPr>
        <w:pStyle w:val="BodyText"/>
        <w:rPr>
          <w:rFonts w:eastAsia="Calibri"/>
        </w:rPr>
      </w:pPr>
    </w:p>
    <w:p w:rsidR="00612911" w:rsidRDefault="00612911" w:rsidP="0035181C">
      <w:pPr>
        <w:pStyle w:val="BodyText"/>
        <w:rPr>
          <w:rFonts w:eastAsia="Calibri"/>
        </w:rPr>
      </w:pPr>
    </w:p>
    <w:p w:rsidR="00612911" w:rsidRDefault="00612911" w:rsidP="0035181C">
      <w:pPr>
        <w:pStyle w:val="BodyText"/>
        <w:rPr>
          <w:rFonts w:eastAsia="Calibri"/>
        </w:rPr>
      </w:pPr>
    </w:p>
    <w:p w:rsidR="00612911" w:rsidRDefault="00612911" w:rsidP="0035181C">
      <w:pPr>
        <w:pStyle w:val="BodyText"/>
        <w:rPr>
          <w:rFonts w:eastAsia="Calibri"/>
        </w:rPr>
      </w:pPr>
    </w:p>
    <w:p w:rsidR="005F5A4B" w:rsidRDefault="005F5A4B" w:rsidP="0035181C">
      <w:pPr>
        <w:pStyle w:val="BodyText"/>
        <w:rPr>
          <w:rFonts w:eastAsia="Calibri"/>
        </w:rPr>
      </w:pPr>
    </w:p>
    <w:p w:rsidR="005F5A4B" w:rsidRPr="00D60E6E" w:rsidRDefault="005F5A4B" w:rsidP="0035181C">
      <w:pPr>
        <w:pStyle w:val="BodyText"/>
        <w:rPr>
          <w:rFonts w:eastAsia="Calibri"/>
        </w:rPr>
      </w:pPr>
    </w:p>
    <w:p w:rsidR="005F5A4B" w:rsidRPr="00D6182E" w:rsidRDefault="005F5A4B" w:rsidP="005F5A4B">
      <w:pPr>
        <w:pStyle w:val="TitlePageText"/>
        <w:rPr>
          <w:rFonts w:ascii="Arial" w:eastAsia="Calibri" w:hAnsi="Arial"/>
          <w:b/>
        </w:rPr>
      </w:pPr>
      <w:r w:rsidRPr="00D6182E">
        <w:rPr>
          <w:rFonts w:ascii="Arial" w:eastAsia="Calibri" w:hAnsi="Arial"/>
          <w:b/>
        </w:rPr>
        <w:t>Prepared for:</w:t>
      </w:r>
    </w:p>
    <w:p w:rsidR="005F5A4B" w:rsidRPr="00D6182E" w:rsidRDefault="005F5A4B" w:rsidP="005F5A4B">
      <w:pPr>
        <w:pStyle w:val="TitlePageText"/>
        <w:rPr>
          <w:rFonts w:ascii="Arial" w:hAnsi="Arial"/>
        </w:rPr>
      </w:pPr>
      <w:r w:rsidRPr="00D6182E">
        <w:rPr>
          <w:rFonts w:ascii="Arial" w:hAnsi="Arial"/>
        </w:rPr>
        <w:t xml:space="preserve">Carrie Conaway </w:t>
      </w:r>
      <w:r w:rsidRPr="00D6182E">
        <w:rPr>
          <w:rFonts w:ascii="Arial" w:hAnsi="Arial"/>
        </w:rPr>
        <w:br/>
        <w:t>Director of Planning, Research, and Evaluation</w:t>
      </w:r>
    </w:p>
    <w:p w:rsidR="005F5A4B" w:rsidRPr="00D6182E" w:rsidRDefault="005F5A4B" w:rsidP="005F5A4B">
      <w:pPr>
        <w:pStyle w:val="TitlePageText"/>
        <w:rPr>
          <w:rFonts w:ascii="Arial" w:hAnsi="Arial"/>
        </w:rPr>
      </w:pPr>
      <w:r w:rsidRPr="00D6182E">
        <w:rPr>
          <w:rFonts w:ascii="Arial" w:hAnsi="Arial"/>
        </w:rPr>
        <w:t>Massachusetts Department of Elementary and Secondary Education</w:t>
      </w:r>
    </w:p>
    <w:p w:rsidR="005F5A4B" w:rsidRPr="00D6182E" w:rsidRDefault="005F5A4B" w:rsidP="005F5A4B">
      <w:pPr>
        <w:pStyle w:val="TitlePageText"/>
        <w:rPr>
          <w:rFonts w:ascii="Arial" w:hAnsi="Arial"/>
        </w:rPr>
      </w:pPr>
      <w:r w:rsidRPr="00D6182E">
        <w:rPr>
          <w:rFonts w:ascii="Arial" w:hAnsi="Arial"/>
        </w:rPr>
        <w:t>Office of Planning and Research</w:t>
      </w:r>
    </w:p>
    <w:p w:rsidR="005F5A4B" w:rsidRPr="00D6182E" w:rsidRDefault="005F5A4B" w:rsidP="005F5A4B">
      <w:pPr>
        <w:pStyle w:val="TitlePageText"/>
        <w:rPr>
          <w:rFonts w:ascii="Arial" w:hAnsi="Arial"/>
        </w:rPr>
      </w:pPr>
      <w:r w:rsidRPr="00D6182E">
        <w:rPr>
          <w:rFonts w:ascii="Arial" w:hAnsi="Arial"/>
        </w:rPr>
        <w:t>75 Pleasant Street, 5th floor</w:t>
      </w:r>
    </w:p>
    <w:p w:rsidR="005F5A4B" w:rsidRPr="00D6182E" w:rsidRDefault="005F5A4B" w:rsidP="005F5A4B">
      <w:pPr>
        <w:pStyle w:val="TitlePageText"/>
        <w:rPr>
          <w:rFonts w:ascii="Arial" w:hAnsi="Arial"/>
        </w:rPr>
      </w:pPr>
      <w:r w:rsidRPr="00D6182E">
        <w:rPr>
          <w:rFonts w:ascii="Arial" w:hAnsi="Arial"/>
        </w:rPr>
        <w:t>Malden, MA 02148-4906</w:t>
      </w:r>
    </w:p>
    <w:p w:rsidR="005F5A4B" w:rsidRPr="00D6182E" w:rsidRDefault="005F5A4B" w:rsidP="005F5A4B">
      <w:pPr>
        <w:pStyle w:val="TitlePageText"/>
        <w:rPr>
          <w:rFonts w:ascii="Arial" w:hAnsi="Arial"/>
        </w:rPr>
      </w:pPr>
      <w:r w:rsidRPr="00D6182E">
        <w:rPr>
          <w:rFonts w:ascii="Arial" w:hAnsi="Arial"/>
        </w:rPr>
        <w:t>Phone: 781-338-3108</w:t>
      </w:r>
    </w:p>
    <w:p w:rsidR="005F5A4B" w:rsidRPr="00D6182E" w:rsidRDefault="005F5A4B" w:rsidP="005F5A4B">
      <w:pPr>
        <w:pStyle w:val="TitlePageText"/>
        <w:rPr>
          <w:rFonts w:ascii="Arial" w:hAnsi="Arial"/>
        </w:rPr>
      </w:pPr>
      <w:r w:rsidRPr="00D6182E">
        <w:rPr>
          <w:rFonts w:ascii="Arial" w:hAnsi="Arial"/>
        </w:rPr>
        <w:t>Email: cconaway@doe.mass.edu</w:t>
      </w:r>
    </w:p>
    <w:p w:rsidR="005F5A4B" w:rsidRDefault="005F5A4B" w:rsidP="0035181C">
      <w:pPr>
        <w:pStyle w:val="BodyText"/>
      </w:pPr>
    </w:p>
    <w:p w:rsidR="00612911" w:rsidRPr="00D60E6E" w:rsidRDefault="00612911" w:rsidP="0035181C">
      <w:pPr>
        <w:pStyle w:val="BodyText"/>
      </w:pPr>
    </w:p>
    <w:p w:rsidR="005F5A4B" w:rsidRPr="00D6182E" w:rsidRDefault="005F5A4B" w:rsidP="005F5A4B">
      <w:pPr>
        <w:pStyle w:val="TitlePageText"/>
        <w:rPr>
          <w:rFonts w:ascii="Arial" w:hAnsi="Arial"/>
          <w:b/>
        </w:rPr>
      </w:pPr>
      <w:r w:rsidRPr="00D6182E">
        <w:rPr>
          <w:rFonts w:ascii="Arial" w:hAnsi="Arial"/>
          <w:b/>
        </w:rPr>
        <w:t>Submitted by:</w:t>
      </w:r>
    </w:p>
    <w:p w:rsidR="005F5A4B" w:rsidRDefault="0083605F" w:rsidP="005F5A4B">
      <w:pPr>
        <w:pStyle w:val="TitlePageText"/>
        <w:rPr>
          <w:rFonts w:ascii="Arial" w:hAnsi="Arial"/>
        </w:rPr>
      </w:pPr>
      <w:proofErr w:type="spellStart"/>
      <w:r>
        <w:rPr>
          <w:rFonts w:ascii="Arial" w:hAnsi="Arial"/>
        </w:rPr>
        <w:t>Viki</w:t>
      </w:r>
      <w:proofErr w:type="spellEnd"/>
      <w:r>
        <w:rPr>
          <w:rFonts w:ascii="Arial" w:hAnsi="Arial"/>
        </w:rPr>
        <w:t xml:space="preserve"> Young, </w:t>
      </w:r>
      <w:proofErr w:type="spellStart"/>
      <w:r>
        <w:rPr>
          <w:rFonts w:ascii="Arial" w:hAnsi="Arial"/>
        </w:rPr>
        <w:t>Kaeli</w:t>
      </w:r>
      <w:proofErr w:type="spellEnd"/>
      <w:r>
        <w:rPr>
          <w:rFonts w:ascii="Arial" w:hAnsi="Arial"/>
        </w:rPr>
        <w:t xml:space="preserve"> Keating, </w:t>
      </w:r>
      <w:proofErr w:type="spellStart"/>
      <w:r>
        <w:rPr>
          <w:rFonts w:ascii="Arial" w:hAnsi="Arial"/>
        </w:rPr>
        <w:t>Kaily</w:t>
      </w:r>
      <w:proofErr w:type="spellEnd"/>
      <w:r>
        <w:rPr>
          <w:rFonts w:ascii="Arial" w:hAnsi="Arial"/>
        </w:rPr>
        <w:t xml:space="preserve"> Yee </w:t>
      </w:r>
    </w:p>
    <w:p w:rsidR="006338DB" w:rsidRDefault="006338DB" w:rsidP="005F5A4B">
      <w:pPr>
        <w:pStyle w:val="TitlePageText"/>
        <w:rPr>
          <w:rFonts w:ascii="Arial" w:hAnsi="Arial"/>
        </w:rPr>
      </w:pPr>
      <w:r>
        <w:rPr>
          <w:rFonts w:ascii="Arial" w:hAnsi="Arial"/>
        </w:rPr>
        <w:t>SRI International</w:t>
      </w:r>
    </w:p>
    <w:p w:rsidR="006338DB" w:rsidRDefault="006338DB" w:rsidP="005F5A4B">
      <w:pPr>
        <w:pStyle w:val="TitlePageText"/>
        <w:rPr>
          <w:rFonts w:ascii="Arial" w:hAnsi="Arial"/>
        </w:rPr>
      </w:pPr>
    </w:p>
    <w:p w:rsidR="006338DB" w:rsidRDefault="006338DB" w:rsidP="005F5A4B">
      <w:pPr>
        <w:pStyle w:val="TitlePageText"/>
        <w:rPr>
          <w:rFonts w:ascii="Arial" w:hAnsi="Arial"/>
        </w:rPr>
      </w:pPr>
      <w:r>
        <w:rPr>
          <w:rFonts w:ascii="Arial" w:hAnsi="Arial"/>
        </w:rPr>
        <w:t>Nancy Brigham</w:t>
      </w:r>
    </w:p>
    <w:p w:rsidR="006338DB" w:rsidRPr="00D6182E" w:rsidRDefault="006338DB" w:rsidP="005F5A4B">
      <w:pPr>
        <w:pStyle w:val="TitlePageText"/>
        <w:rPr>
          <w:rFonts w:ascii="Arial" w:hAnsi="Arial"/>
        </w:rPr>
      </w:pPr>
      <w:r>
        <w:rPr>
          <w:rFonts w:ascii="Arial" w:hAnsi="Arial"/>
        </w:rPr>
        <w:t>Nancy Brigham Associates</w:t>
      </w:r>
    </w:p>
    <w:p w:rsidR="005F5A4B" w:rsidRDefault="00C003E9" w:rsidP="0035181C">
      <w:pPr>
        <w:pStyle w:val="BodyText"/>
        <w:rPr>
          <w:rFonts w:eastAsia="Times" w:cs="Arial"/>
        </w:rPr>
      </w:pPr>
      <w:r>
        <w:rPr>
          <w:noProof/>
          <w:lang w:eastAsia="zh-CN" w:bidi="km-KH"/>
        </w:rPr>
        <w:drawing>
          <wp:anchor distT="0" distB="0" distL="114300" distR="114300" simplePos="0" relativeHeight="251646976" behindDoc="1" locked="0" layoutInCell="1" allowOverlap="1">
            <wp:simplePos x="0" y="0"/>
            <wp:positionH relativeFrom="column">
              <wp:posOffset>6350</wp:posOffset>
            </wp:positionH>
            <wp:positionV relativeFrom="paragraph">
              <wp:posOffset>1358900</wp:posOffset>
            </wp:positionV>
            <wp:extent cx="5510530" cy="579120"/>
            <wp:effectExtent l="19050" t="0" r="0" b="0"/>
            <wp:wrapTight wrapText="bothSides">
              <wp:wrapPolygon edited="0">
                <wp:start x="-75" y="0"/>
                <wp:lineTo x="-75" y="20605"/>
                <wp:lineTo x="21580" y="20605"/>
                <wp:lineTo x="21580" y="0"/>
                <wp:lineTo x="-75" y="0"/>
              </wp:wrapPolygon>
            </wp:wrapTight>
            <wp:docPr id="34" name="Picture 4" descr="SRI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RI Education"/>
                    <pic:cNvPicPr>
                      <a:picLocks noChangeAspect="1" noChangeArrowheads="1"/>
                    </pic:cNvPicPr>
                  </pic:nvPicPr>
                  <pic:blipFill>
                    <a:blip r:embed="rId13"/>
                    <a:srcRect/>
                    <a:stretch>
                      <a:fillRect/>
                    </a:stretch>
                  </pic:blipFill>
                  <pic:spPr bwMode="auto">
                    <a:xfrm>
                      <a:off x="0" y="0"/>
                      <a:ext cx="5510530" cy="579120"/>
                    </a:xfrm>
                    <a:prstGeom prst="rect">
                      <a:avLst/>
                    </a:prstGeom>
                    <a:noFill/>
                    <a:ln w="9525">
                      <a:noFill/>
                      <a:miter lim="800000"/>
                      <a:headEnd/>
                      <a:tailEnd/>
                    </a:ln>
                  </pic:spPr>
                </pic:pic>
              </a:graphicData>
            </a:graphic>
          </wp:anchor>
        </w:drawing>
      </w:r>
    </w:p>
    <w:p w:rsidR="00B4591D" w:rsidRDefault="00B4591D" w:rsidP="0000772A">
      <w:pPr>
        <w:pStyle w:val="ChapterTitle"/>
        <w:sectPr w:rsidR="00B4591D">
          <w:headerReference w:type="default" r:id="rId14"/>
          <w:footerReference w:type="default" r:id="rId15"/>
          <w:pgSz w:w="12240" w:h="15840"/>
          <w:pgMar w:top="1440" w:right="1440" w:bottom="1440" w:left="1440" w:header="720" w:footer="720" w:gutter="0"/>
          <w:pgNumType w:fmt="lowerRoman" w:start="1"/>
          <w:cols w:space="720"/>
          <w:docGrid w:linePitch="360"/>
        </w:sectPr>
      </w:pPr>
      <w:bookmarkStart w:id="0" w:name="_Toc394916528"/>
    </w:p>
    <w:p w:rsidR="00344B13" w:rsidRDefault="00344B13" w:rsidP="0000772A">
      <w:pPr>
        <w:pStyle w:val="ChapterTitle"/>
      </w:pPr>
      <w:bookmarkStart w:id="1" w:name="_Toc399828609"/>
      <w:r>
        <w:lastRenderedPageBreak/>
        <w:t>Acknowledgments</w:t>
      </w:r>
      <w:bookmarkEnd w:id="0"/>
      <w:bookmarkEnd w:id="1"/>
    </w:p>
    <w:p w:rsidR="00344B13" w:rsidRDefault="00F26BBA" w:rsidP="00F26BBA">
      <w:pPr>
        <w:pStyle w:val="BodyText"/>
        <w:ind w:firstLine="0"/>
      </w:pPr>
      <w:r>
        <w:t xml:space="preserve">The authors are grateful for their colleagues’ valuable contributions to this study and wish to acknowledge Kathie </w:t>
      </w:r>
      <w:proofErr w:type="spellStart"/>
      <w:r>
        <w:t>Mackin</w:t>
      </w:r>
      <w:proofErr w:type="spellEnd"/>
      <w:r>
        <w:t xml:space="preserve"> and Sheila </w:t>
      </w:r>
      <w:proofErr w:type="spellStart"/>
      <w:r>
        <w:t>Rosenblum</w:t>
      </w:r>
      <w:proofErr w:type="spellEnd"/>
      <w:r>
        <w:t xml:space="preserve"> at Nancy Brigham Associates for their analytic insights, Jordan Brown and Scott </w:t>
      </w:r>
      <w:proofErr w:type="spellStart"/>
      <w:r>
        <w:t>Tiell</w:t>
      </w:r>
      <w:proofErr w:type="spellEnd"/>
      <w:r>
        <w:t xml:space="preserve"> at SRI International for background research</w:t>
      </w:r>
      <w:r w:rsidR="00B73D94">
        <w:t xml:space="preserve">, and </w:t>
      </w:r>
      <w:proofErr w:type="spellStart"/>
      <w:r w:rsidR="00B73D94">
        <w:t>Bonnee</w:t>
      </w:r>
      <w:proofErr w:type="spellEnd"/>
      <w:r w:rsidR="00B73D94">
        <w:t xml:space="preserve"> </w:t>
      </w:r>
      <w:proofErr w:type="spellStart"/>
      <w:r w:rsidR="00B73D94">
        <w:t>Groover</w:t>
      </w:r>
      <w:proofErr w:type="spellEnd"/>
      <w:r w:rsidR="00B73D94">
        <w:t xml:space="preserve"> and Chi Nguyen for administrative assistance</w:t>
      </w:r>
      <w:r>
        <w:t xml:space="preserve">. </w:t>
      </w:r>
      <w:r w:rsidR="00344B13">
        <w:t xml:space="preserve">This </w:t>
      </w:r>
      <w:r>
        <w:t>evaluation was</w:t>
      </w:r>
      <w:r w:rsidR="00344B13">
        <w:t xml:space="preserve"> </w:t>
      </w:r>
      <w:r>
        <w:t xml:space="preserve">funded by the Massachusetts Department of Elementary and Secondary Education through federal Race to the Top funds. </w:t>
      </w:r>
      <w:r w:rsidR="00906C27">
        <w:t>The authors thank Carrie Conaway and Elizabeth Losee at the Department of Elementary and Secondary Education for their guidance</w:t>
      </w:r>
      <w:r w:rsidR="00A04537">
        <w:t>, and Susan Freedman and Jon Saphier for their insights throughout the project</w:t>
      </w:r>
      <w:r w:rsidR="00906C27">
        <w:t xml:space="preserve">. </w:t>
      </w:r>
      <w:r>
        <w:t xml:space="preserve">All views are solely those of the authors. </w:t>
      </w:r>
    </w:p>
    <w:p w:rsidR="00344B13" w:rsidRDefault="00344B13"/>
    <w:p w:rsidR="00344B13" w:rsidRDefault="00344B13"/>
    <w:p w:rsidR="00B4591D" w:rsidRDefault="00B4591D">
      <w:pPr>
        <w:rPr>
          <w:rFonts w:eastAsia="Times New Roman"/>
        </w:rPr>
      </w:pPr>
      <w:bookmarkStart w:id="2" w:name="_Toc343770096"/>
      <w:bookmarkStart w:id="3" w:name="_Toc221580724"/>
      <w:bookmarkStart w:id="4" w:name="_Toc364432534"/>
      <w:bookmarkStart w:id="5" w:name="_Toc399141138"/>
      <w:r>
        <w:br w:type="page"/>
      </w:r>
    </w:p>
    <w:p w:rsidR="005F5A4B" w:rsidRDefault="005F5A4B" w:rsidP="005F5A4B">
      <w:pPr>
        <w:pStyle w:val="ChapterTitle"/>
      </w:pPr>
      <w:bookmarkStart w:id="6" w:name="_Toc399828610"/>
      <w:r>
        <w:lastRenderedPageBreak/>
        <w:t>Contents</w:t>
      </w:r>
      <w:bookmarkEnd w:id="2"/>
      <w:bookmarkEnd w:id="3"/>
      <w:bookmarkEnd w:id="4"/>
      <w:bookmarkEnd w:id="5"/>
      <w:bookmarkEnd w:id="6"/>
    </w:p>
    <w:p w:rsidR="007C08A0" w:rsidRDefault="00103964">
      <w:pPr>
        <w:pStyle w:val="TOC1"/>
        <w:tabs>
          <w:tab w:val="right" w:leader="dot" w:pos="9350"/>
        </w:tabs>
        <w:rPr>
          <w:b w:val="0"/>
          <w:noProof/>
          <w:sz w:val="22"/>
          <w:szCs w:val="22"/>
        </w:rPr>
      </w:pPr>
      <w:r w:rsidRPr="00103964">
        <w:rPr>
          <w:rFonts w:eastAsia="Times" w:cs="Arial"/>
          <w:b w:val="0"/>
        </w:rPr>
        <w:fldChar w:fldCharType="begin"/>
      </w:r>
      <w:r w:rsidR="0000772A" w:rsidRPr="0000772A">
        <w:rPr>
          <w:rFonts w:eastAsia="Times" w:cs="Arial"/>
          <w:b w:val="0"/>
        </w:rPr>
        <w:instrText xml:space="preserve"> TOC \h \z \t "Heading 1,2,Heading 2,3,Heading 3,4,Chapter Title,1" </w:instrText>
      </w:r>
      <w:r w:rsidRPr="00103964">
        <w:rPr>
          <w:rFonts w:eastAsia="Times" w:cs="Arial"/>
          <w:b w:val="0"/>
        </w:rPr>
        <w:fldChar w:fldCharType="separate"/>
      </w:r>
      <w:hyperlink w:anchor="_Toc399828609" w:history="1">
        <w:r w:rsidR="007C08A0" w:rsidRPr="003037E9">
          <w:rPr>
            <w:rStyle w:val="Hyperlink"/>
            <w:noProof/>
          </w:rPr>
          <w:t>Acknowledgments</w:t>
        </w:r>
        <w:r w:rsidR="007C08A0">
          <w:rPr>
            <w:noProof/>
            <w:webHidden/>
          </w:rPr>
          <w:tab/>
        </w:r>
        <w:r>
          <w:rPr>
            <w:noProof/>
            <w:webHidden/>
          </w:rPr>
          <w:fldChar w:fldCharType="begin"/>
        </w:r>
        <w:r w:rsidR="007C08A0">
          <w:rPr>
            <w:noProof/>
            <w:webHidden/>
          </w:rPr>
          <w:instrText xml:space="preserve"> PAGEREF _Toc399828609 \h </w:instrText>
        </w:r>
        <w:r>
          <w:rPr>
            <w:noProof/>
            <w:webHidden/>
          </w:rPr>
        </w:r>
        <w:r>
          <w:rPr>
            <w:noProof/>
            <w:webHidden/>
          </w:rPr>
          <w:fldChar w:fldCharType="separate"/>
        </w:r>
        <w:r w:rsidR="00103836">
          <w:rPr>
            <w:noProof/>
            <w:webHidden/>
          </w:rPr>
          <w:t>i</w:t>
        </w:r>
        <w:r>
          <w:rPr>
            <w:noProof/>
            <w:webHidden/>
          </w:rPr>
          <w:fldChar w:fldCharType="end"/>
        </w:r>
      </w:hyperlink>
    </w:p>
    <w:p w:rsidR="007C08A0" w:rsidRDefault="00103964">
      <w:pPr>
        <w:pStyle w:val="TOC1"/>
        <w:tabs>
          <w:tab w:val="right" w:leader="dot" w:pos="9350"/>
        </w:tabs>
        <w:rPr>
          <w:b w:val="0"/>
          <w:noProof/>
          <w:sz w:val="22"/>
          <w:szCs w:val="22"/>
        </w:rPr>
      </w:pPr>
      <w:hyperlink w:anchor="_Toc399828612" w:history="1">
        <w:r w:rsidR="007C08A0" w:rsidRPr="003037E9">
          <w:rPr>
            <w:rStyle w:val="Hyperlink"/>
            <w:noProof/>
          </w:rPr>
          <w:t>Executive Summary</w:t>
        </w:r>
        <w:r w:rsidR="007C08A0">
          <w:rPr>
            <w:noProof/>
            <w:webHidden/>
          </w:rPr>
          <w:tab/>
        </w:r>
        <w:r>
          <w:rPr>
            <w:noProof/>
            <w:webHidden/>
          </w:rPr>
          <w:fldChar w:fldCharType="begin"/>
        </w:r>
        <w:r w:rsidR="007C08A0">
          <w:rPr>
            <w:noProof/>
            <w:webHidden/>
          </w:rPr>
          <w:instrText xml:space="preserve"> PAGEREF _Toc399828612 \h </w:instrText>
        </w:r>
        <w:r>
          <w:rPr>
            <w:noProof/>
            <w:webHidden/>
          </w:rPr>
        </w:r>
        <w:r>
          <w:rPr>
            <w:noProof/>
            <w:webHidden/>
          </w:rPr>
          <w:fldChar w:fldCharType="separate"/>
        </w:r>
        <w:r w:rsidR="00103836">
          <w:rPr>
            <w:noProof/>
            <w:webHidden/>
          </w:rPr>
          <w:t>iv</w:t>
        </w:r>
        <w:r>
          <w:rPr>
            <w:noProof/>
            <w:webHidden/>
          </w:rPr>
          <w:fldChar w:fldCharType="end"/>
        </w:r>
      </w:hyperlink>
    </w:p>
    <w:p w:rsidR="007C08A0" w:rsidRDefault="00103964">
      <w:pPr>
        <w:pStyle w:val="TOC1"/>
        <w:tabs>
          <w:tab w:val="right" w:leader="dot" w:pos="9350"/>
        </w:tabs>
        <w:rPr>
          <w:b w:val="0"/>
          <w:noProof/>
          <w:sz w:val="22"/>
          <w:szCs w:val="22"/>
        </w:rPr>
      </w:pPr>
      <w:hyperlink w:anchor="_Toc399828619" w:history="1">
        <w:r w:rsidR="007C08A0" w:rsidRPr="003037E9">
          <w:rPr>
            <w:rStyle w:val="Hyperlink"/>
            <w:noProof/>
          </w:rPr>
          <w:t>Chapter 1: Introduction</w:t>
        </w:r>
        <w:r w:rsidR="007C08A0">
          <w:rPr>
            <w:noProof/>
            <w:webHidden/>
          </w:rPr>
          <w:tab/>
        </w:r>
        <w:r>
          <w:rPr>
            <w:noProof/>
            <w:webHidden/>
          </w:rPr>
          <w:fldChar w:fldCharType="begin"/>
        </w:r>
        <w:r w:rsidR="007C08A0">
          <w:rPr>
            <w:noProof/>
            <w:webHidden/>
          </w:rPr>
          <w:instrText xml:space="preserve"> PAGEREF _Toc399828619 \h </w:instrText>
        </w:r>
        <w:r>
          <w:rPr>
            <w:noProof/>
            <w:webHidden/>
          </w:rPr>
        </w:r>
        <w:r>
          <w:rPr>
            <w:noProof/>
            <w:webHidden/>
          </w:rPr>
          <w:fldChar w:fldCharType="separate"/>
        </w:r>
        <w:r w:rsidR="00103836">
          <w:rPr>
            <w:noProof/>
            <w:webHidden/>
          </w:rPr>
          <w:t>1</w:t>
        </w:r>
        <w:r>
          <w:rPr>
            <w:noProof/>
            <w:webHidden/>
          </w:rPr>
          <w:fldChar w:fldCharType="end"/>
        </w:r>
      </w:hyperlink>
    </w:p>
    <w:p w:rsidR="007C08A0" w:rsidRDefault="00103964">
      <w:pPr>
        <w:pStyle w:val="TOC1"/>
        <w:tabs>
          <w:tab w:val="right" w:leader="dot" w:pos="9350"/>
        </w:tabs>
        <w:rPr>
          <w:b w:val="0"/>
          <w:noProof/>
          <w:sz w:val="22"/>
          <w:szCs w:val="22"/>
        </w:rPr>
      </w:pPr>
      <w:hyperlink w:anchor="_Toc399828620" w:history="1">
        <w:r w:rsidR="007C08A0" w:rsidRPr="003037E9">
          <w:rPr>
            <w:rStyle w:val="Hyperlink"/>
            <w:noProof/>
          </w:rPr>
          <w:t>Chapter 2: HR Pilot Program Overview</w:t>
        </w:r>
        <w:r w:rsidR="007C08A0">
          <w:rPr>
            <w:noProof/>
            <w:webHidden/>
          </w:rPr>
          <w:tab/>
        </w:r>
        <w:r>
          <w:rPr>
            <w:noProof/>
            <w:webHidden/>
          </w:rPr>
          <w:fldChar w:fldCharType="begin"/>
        </w:r>
        <w:r w:rsidR="007C08A0">
          <w:rPr>
            <w:noProof/>
            <w:webHidden/>
          </w:rPr>
          <w:instrText xml:space="preserve"> PAGEREF _Toc399828620 \h </w:instrText>
        </w:r>
        <w:r>
          <w:rPr>
            <w:noProof/>
            <w:webHidden/>
          </w:rPr>
        </w:r>
        <w:r>
          <w:rPr>
            <w:noProof/>
            <w:webHidden/>
          </w:rPr>
          <w:fldChar w:fldCharType="separate"/>
        </w:r>
        <w:r w:rsidR="00103836">
          <w:rPr>
            <w:noProof/>
            <w:webHidden/>
          </w:rPr>
          <w:t>3</w:t>
        </w:r>
        <w:r>
          <w:rPr>
            <w:noProof/>
            <w:webHidden/>
          </w:rPr>
          <w:fldChar w:fldCharType="end"/>
        </w:r>
      </w:hyperlink>
    </w:p>
    <w:p w:rsidR="007C08A0" w:rsidRDefault="00103964">
      <w:pPr>
        <w:pStyle w:val="TOC2"/>
      </w:pPr>
      <w:hyperlink w:anchor="_Toc399828621" w:history="1">
        <w:r w:rsidR="007C08A0" w:rsidRPr="003037E9">
          <w:rPr>
            <w:rStyle w:val="Hyperlink"/>
          </w:rPr>
          <w:t>HR Pilot District Contexts</w:t>
        </w:r>
        <w:r w:rsidR="007C08A0">
          <w:rPr>
            <w:webHidden/>
          </w:rPr>
          <w:tab/>
        </w:r>
        <w:r>
          <w:rPr>
            <w:webHidden/>
          </w:rPr>
          <w:fldChar w:fldCharType="begin"/>
        </w:r>
        <w:r w:rsidR="007C08A0">
          <w:rPr>
            <w:webHidden/>
          </w:rPr>
          <w:instrText xml:space="preserve"> PAGEREF _Toc399828621 \h </w:instrText>
        </w:r>
        <w:r>
          <w:rPr>
            <w:webHidden/>
          </w:rPr>
        </w:r>
        <w:r>
          <w:rPr>
            <w:webHidden/>
          </w:rPr>
          <w:fldChar w:fldCharType="separate"/>
        </w:r>
        <w:r w:rsidR="00103836">
          <w:rPr>
            <w:webHidden/>
          </w:rPr>
          <w:t>6</w:t>
        </w:r>
        <w:r>
          <w:rPr>
            <w:webHidden/>
          </w:rPr>
          <w:fldChar w:fldCharType="end"/>
        </w:r>
      </w:hyperlink>
    </w:p>
    <w:p w:rsidR="007C08A0" w:rsidRDefault="00103964">
      <w:pPr>
        <w:pStyle w:val="TOC3"/>
        <w:tabs>
          <w:tab w:val="right" w:leader="dot" w:pos="9350"/>
        </w:tabs>
        <w:rPr>
          <w:noProof/>
        </w:rPr>
      </w:pPr>
      <w:hyperlink w:anchor="_Toc399828622" w:history="1">
        <w:r w:rsidR="007C08A0" w:rsidRPr="003037E9">
          <w:rPr>
            <w:rStyle w:val="Hyperlink"/>
            <w:noProof/>
          </w:rPr>
          <w:t>Student Characteristics</w:t>
        </w:r>
        <w:r w:rsidR="007C08A0">
          <w:rPr>
            <w:noProof/>
            <w:webHidden/>
          </w:rPr>
          <w:tab/>
        </w:r>
        <w:r>
          <w:rPr>
            <w:noProof/>
            <w:webHidden/>
          </w:rPr>
          <w:fldChar w:fldCharType="begin"/>
        </w:r>
        <w:r w:rsidR="007C08A0">
          <w:rPr>
            <w:noProof/>
            <w:webHidden/>
          </w:rPr>
          <w:instrText xml:space="preserve"> PAGEREF _Toc399828622 \h </w:instrText>
        </w:r>
        <w:r>
          <w:rPr>
            <w:noProof/>
            <w:webHidden/>
          </w:rPr>
        </w:r>
        <w:r>
          <w:rPr>
            <w:noProof/>
            <w:webHidden/>
          </w:rPr>
          <w:fldChar w:fldCharType="separate"/>
        </w:r>
        <w:r w:rsidR="00103836">
          <w:rPr>
            <w:noProof/>
            <w:webHidden/>
          </w:rPr>
          <w:t>7</w:t>
        </w:r>
        <w:r>
          <w:rPr>
            <w:noProof/>
            <w:webHidden/>
          </w:rPr>
          <w:fldChar w:fldCharType="end"/>
        </w:r>
      </w:hyperlink>
    </w:p>
    <w:p w:rsidR="007C08A0" w:rsidRDefault="00103964">
      <w:pPr>
        <w:pStyle w:val="TOC3"/>
        <w:tabs>
          <w:tab w:val="right" w:leader="dot" w:pos="9350"/>
        </w:tabs>
        <w:rPr>
          <w:noProof/>
        </w:rPr>
      </w:pPr>
      <w:hyperlink w:anchor="_Toc399828623" w:history="1">
        <w:r w:rsidR="007C08A0" w:rsidRPr="003037E9">
          <w:rPr>
            <w:rStyle w:val="Hyperlink"/>
            <w:noProof/>
          </w:rPr>
          <w:t>Teacher Characteristics</w:t>
        </w:r>
        <w:r w:rsidR="007C08A0">
          <w:rPr>
            <w:noProof/>
            <w:webHidden/>
          </w:rPr>
          <w:tab/>
        </w:r>
        <w:r>
          <w:rPr>
            <w:noProof/>
            <w:webHidden/>
          </w:rPr>
          <w:fldChar w:fldCharType="begin"/>
        </w:r>
        <w:r w:rsidR="007C08A0">
          <w:rPr>
            <w:noProof/>
            <w:webHidden/>
          </w:rPr>
          <w:instrText xml:space="preserve"> PAGEREF _Toc399828623 \h </w:instrText>
        </w:r>
        <w:r>
          <w:rPr>
            <w:noProof/>
            <w:webHidden/>
          </w:rPr>
        </w:r>
        <w:r>
          <w:rPr>
            <w:noProof/>
            <w:webHidden/>
          </w:rPr>
          <w:fldChar w:fldCharType="separate"/>
        </w:r>
        <w:r w:rsidR="00103836">
          <w:rPr>
            <w:noProof/>
            <w:webHidden/>
          </w:rPr>
          <w:t>9</w:t>
        </w:r>
        <w:r>
          <w:rPr>
            <w:noProof/>
            <w:webHidden/>
          </w:rPr>
          <w:fldChar w:fldCharType="end"/>
        </w:r>
      </w:hyperlink>
    </w:p>
    <w:p w:rsidR="007C08A0" w:rsidRDefault="00103964">
      <w:pPr>
        <w:pStyle w:val="TOC3"/>
        <w:tabs>
          <w:tab w:val="right" w:leader="dot" w:pos="9350"/>
        </w:tabs>
        <w:rPr>
          <w:noProof/>
        </w:rPr>
      </w:pPr>
      <w:hyperlink w:anchor="_Toc399828624" w:history="1">
        <w:r w:rsidR="007C08A0" w:rsidRPr="003037E9">
          <w:rPr>
            <w:rStyle w:val="Hyperlink"/>
            <w:noProof/>
          </w:rPr>
          <w:t>Student Performance and District Capacity</w:t>
        </w:r>
        <w:r w:rsidR="007C08A0">
          <w:rPr>
            <w:noProof/>
            <w:webHidden/>
          </w:rPr>
          <w:tab/>
        </w:r>
        <w:r>
          <w:rPr>
            <w:noProof/>
            <w:webHidden/>
          </w:rPr>
          <w:fldChar w:fldCharType="begin"/>
        </w:r>
        <w:r w:rsidR="007C08A0">
          <w:rPr>
            <w:noProof/>
            <w:webHidden/>
          </w:rPr>
          <w:instrText xml:space="preserve"> PAGEREF _Toc399828624 \h </w:instrText>
        </w:r>
        <w:r>
          <w:rPr>
            <w:noProof/>
            <w:webHidden/>
          </w:rPr>
        </w:r>
        <w:r>
          <w:rPr>
            <w:noProof/>
            <w:webHidden/>
          </w:rPr>
          <w:fldChar w:fldCharType="separate"/>
        </w:r>
        <w:r w:rsidR="00103836">
          <w:rPr>
            <w:noProof/>
            <w:webHidden/>
          </w:rPr>
          <w:t>10</w:t>
        </w:r>
        <w:r>
          <w:rPr>
            <w:noProof/>
            <w:webHidden/>
          </w:rPr>
          <w:fldChar w:fldCharType="end"/>
        </w:r>
      </w:hyperlink>
    </w:p>
    <w:p w:rsidR="007C08A0" w:rsidRDefault="00103964">
      <w:pPr>
        <w:pStyle w:val="TOC1"/>
        <w:tabs>
          <w:tab w:val="right" w:leader="dot" w:pos="9350"/>
        </w:tabs>
        <w:rPr>
          <w:b w:val="0"/>
          <w:noProof/>
          <w:sz w:val="22"/>
          <w:szCs w:val="22"/>
        </w:rPr>
      </w:pPr>
      <w:hyperlink w:anchor="_Toc399828625" w:history="1">
        <w:r w:rsidR="007C08A0" w:rsidRPr="003037E9">
          <w:rPr>
            <w:rStyle w:val="Hyperlink"/>
            <w:noProof/>
          </w:rPr>
          <w:t>Chapter 3: District System Changes</w:t>
        </w:r>
        <w:r w:rsidR="007C08A0">
          <w:rPr>
            <w:noProof/>
            <w:webHidden/>
          </w:rPr>
          <w:tab/>
        </w:r>
        <w:r>
          <w:rPr>
            <w:noProof/>
            <w:webHidden/>
          </w:rPr>
          <w:fldChar w:fldCharType="begin"/>
        </w:r>
        <w:r w:rsidR="007C08A0">
          <w:rPr>
            <w:noProof/>
            <w:webHidden/>
          </w:rPr>
          <w:instrText xml:space="preserve"> PAGEREF _Toc399828625 \h </w:instrText>
        </w:r>
        <w:r>
          <w:rPr>
            <w:noProof/>
            <w:webHidden/>
          </w:rPr>
        </w:r>
        <w:r>
          <w:rPr>
            <w:noProof/>
            <w:webHidden/>
          </w:rPr>
          <w:fldChar w:fldCharType="separate"/>
        </w:r>
        <w:r w:rsidR="00103836">
          <w:rPr>
            <w:noProof/>
            <w:webHidden/>
          </w:rPr>
          <w:t>15</w:t>
        </w:r>
        <w:r>
          <w:rPr>
            <w:noProof/>
            <w:webHidden/>
          </w:rPr>
          <w:fldChar w:fldCharType="end"/>
        </w:r>
      </w:hyperlink>
    </w:p>
    <w:p w:rsidR="007C08A0" w:rsidRDefault="00103964">
      <w:pPr>
        <w:pStyle w:val="TOC2"/>
      </w:pPr>
      <w:hyperlink w:anchor="_Toc399828626" w:history="1">
        <w:r w:rsidR="007C08A0" w:rsidRPr="003037E9">
          <w:rPr>
            <w:rStyle w:val="Hyperlink"/>
          </w:rPr>
          <w:t>Changes in District Capacity</w:t>
        </w:r>
        <w:r w:rsidR="007C08A0">
          <w:rPr>
            <w:webHidden/>
          </w:rPr>
          <w:tab/>
        </w:r>
        <w:r>
          <w:rPr>
            <w:webHidden/>
          </w:rPr>
          <w:fldChar w:fldCharType="begin"/>
        </w:r>
        <w:r w:rsidR="007C08A0">
          <w:rPr>
            <w:webHidden/>
          </w:rPr>
          <w:instrText xml:space="preserve"> PAGEREF _Toc399828626 \h </w:instrText>
        </w:r>
        <w:r>
          <w:rPr>
            <w:webHidden/>
          </w:rPr>
        </w:r>
        <w:r>
          <w:rPr>
            <w:webHidden/>
          </w:rPr>
          <w:fldChar w:fldCharType="separate"/>
        </w:r>
        <w:r w:rsidR="00103836">
          <w:rPr>
            <w:webHidden/>
          </w:rPr>
          <w:t>15</w:t>
        </w:r>
        <w:r>
          <w:rPr>
            <w:webHidden/>
          </w:rPr>
          <w:fldChar w:fldCharType="end"/>
        </w:r>
      </w:hyperlink>
    </w:p>
    <w:p w:rsidR="007C08A0" w:rsidRDefault="00103964">
      <w:pPr>
        <w:pStyle w:val="TOC2"/>
      </w:pPr>
      <w:hyperlink w:anchor="_Toc399828627" w:history="1">
        <w:r w:rsidR="007C08A0" w:rsidRPr="003037E9">
          <w:rPr>
            <w:rStyle w:val="Hyperlink"/>
          </w:rPr>
          <w:t>Cultural Changes</w:t>
        </w:r>
        <w:r w:rsidR="007C08A0">
          <w:rPr>
            <w:webHidden/>
          </w:rPr>
          <w:tab/>
        </w:r>
        <w:r>
          <w:rPr>
            <w:webHidden/>
          </w:rPr>
          <w:fldChar w:fldCharType="begin"/>
        </w:r>
        <w:r w:rsidR="007C08A0">
          <w:rPr>
            <w:webHidden/>
          </w:rPr>
          <w:instrText xml:space="preserve"> PAGEREF _Toc399828627 \h </w:instrText>
        </w:r>
        <w:r>
          <w:rPr>
            <w:webHidden/>
          </w:rPr>
        </w:r>
        <w:r>
          <w:rPr>
            <w:webHidden/>
          </w:rPr>
          <w:fldChar w:fldCharType="separate"/>
        </w:r>
        <w:r w:rsidR="00103836">
          <w:rPr>
            <w:webHidden/>
          </w:rPr>
          <w:t>19</w:t>
        </w:r>
        <w:r>
          <w:rPr>
            <w:webHidden/>
          </w:rPr>
          <w:fldChar w:fldCharType="end"/>
        </w:r>
      </w:hyperlink>
    </w:p>
    <w:p w:rsidR="007C08A0" w:rsidRDefault="00103964">
      <w:pPr>
        <w:pStyle w:val="TOC1"/>
        <w:tabs>
          <w:tab w:val="right" w:leader="dot" w:pos="9350"/>
        </w:tabs>
        <w:rPr>
          <w:b w:val="0"/>
          <w:noProof/>
          <w:sz w:val="22"/>
          <w:szCs w:val="22"/>
        </w:rPr>
      </w:pPr>
      <w:hyperlink w:anchor="_Toc399828628" w:history="1">
        <w:r w:rsidR="007C08A0" w:rsidRPr="003037E9">
          <w:rPr>
            <w:rStyle w:val="Hyperlink"/>
            <w:noProof/>
          </w:rPr>
          <w:t>Chapter 4: Factors Affecting District Accomplishments</w:t>
        </w:r>
        <w:r w:rsidR="007C08A0">
          <w:rPr>
            <w:noProof/>
            <w:webHidden/>
          </w:rPr>
          <w:tab/>
        </w:r>
        <w:r>
          <w:rPr>
            <w:noProof/>
            <w:webHidden/>
          </w:rPr>
          <w:fldChar w:fldCharType="begin"/>
        </w:r>
        <w:r w:rsidR="007C08A0">
          <w:rPr>
            <w:noProof/>
            <w:webHidden/>
          </w:rPr>
          <w:instrText xml:space="preserve"> PAGEREF _Toc399828628 \h </w:instrText>
        </w:r>
        <w:r>
          <w:rPr>
            <w:noProof/>
            <w:webHidden/>
          </w:rPr>
        </w:r>
        <w:r>
          <w:rPr>
            <w:noProof/>
            <w:webHidden/>
          </w:rPr>
          <w:fldChar w:fldCharType="separate"/>
        </w:r>
        <w:r w:rsidR="00103836">
          <w:rPr>
            <w:noProof/>
            <w:webHidden/>
          </w:rPr>
          <w:t>21</w:t>
        </w:r>
        <w:r>
          <w:rPr>
            <w:noProof/>
            <w:webHidden/>
          </w:rPr>
          <w:fldChar w:fldCharType="end"/>
        </w:r>
      </w:hyperlink>
    </w:p>
    <w:p w:rsidR="007C08A0" w:rsidRDefault="00103964">
      <w:pPr>
        <w:pStyle w:val="TOC2"/>
      </w:pPr>
      <w:hyperlink w:anchor="_Toc399828629" w:history="1">
        <w:r w:rsidR="007C08A0" w:rsidRPr="003037E9">
          <w:rPr>
            <w:rStyle w:val="Hyperlink"/>
          </w:rPr>
          <w:t>District Leadership</w:t>
        </w:r>
        <w:r w:rsidR="007C08A0">
          <w:rPr>
            <w:webHidden/>
          </w:rPr>
          <w:tab/>
        </w:r>
        <w:r>
          <w:rPr>
            <w:webHidden/>
          </w:rPr>
          <w:fldChar w:fldCharType="begin"/>
        </w:r>
        <w:r w:rsidR="007C08A0">
          <w:rPr>
            <w:webHidden/>
          </w:rPr>
          <w:instrText xml:space="preserve"> PAGEREF _Toc399828629 \h </w:instrText>
        </w:r>
        <w:r>
          <w:rPr>
            <w:webHidden/>
          </w:rPr>
        </w:r>
        <w:r>
          <w:rPr>
            <w:webHidden/>
          </w:rPr>
          <w:fldChar w:fldCharType="separate"/>
        </w:r>
        <w:r w:rsidR="00103836">
          <w:rPr>
            <w:webHidden/>
          </w:rPr>
          <w:t>21</w:t>
        </w:r>
        <w:r>
          <w:rPr>
            <w:webHidden/>
          </w:rPr>
          <w:fldChar w:fldCharType="end"/>
        </w:r>
      </w:hyperlink>
    </w:p>
    <w:p w:rsidR="007C08A0" w:rsidRDefault="00103964">
      <w:pPr>
        <w:pStyle w:val="TOC2"/>
      </w:pPr>
      <w:hyperlink w:anchor="_Toc399828630" w:history="1">
        <w:r w:rsidR="007C08A0" w:rsidRPr="003037E9">
          <w:rPr>
            <w:rStyle w:val="Hyperlink"/>
          </w:rPr>
          <w:t>Labor-Management Relationship</w:t>
        </w:r>
        <w:r w:rsidR="007C08A0">
          <w:rPr>
            <w:webHidden/>
          </w:rPr>
          <w:tab/>
        </w:r>
        <w:r>
          <w:rPr>
            <w:webHidden/>
          </w:rPr>
          <w:fldChar w:fldCharType="begin"/>
        </w:r>
        <w:r w:rsidR="007C08A0">
          <w:rPr>
            <w:webHidden/>
          </w:rPr>
          <w:instrText xml:space="preserve"> PAGEREF _Toc399828630 \h </w:instrText>
        </w:r>
        <w:r>
          <w:rPr>
            <w:webHidden/>
          </w:rPr>
        </w:r>
        <w:r>
          <w:rPr>
            <w:webHidden/>
          </w:rPr>
          <w:fldChar w:fldCharType="separate"/>
        </w:r>
        <w:r w:rsidR="00103836">
          <w:rPr>
            <w:webHidden/>
          </w:rPr>
          <w:t>22</w:t>
        </w:r>
        <w:r>
          <w:rPr>
            <w:webHidden/>
          </w:rPr>
          <w:fldChar w:fldCharType="end"/>
        </w:r>
      </w:hyperlink>
    </w:p>
    <w:p w:rsidR="007C08A0" w:rsidRDefault="00103964">
      <w:pPr>
        <w:pStyle w:val="TOC2"/>
      </w:pPr>
      <w:hyperlink w:anchor="_Toc399828631" w:history="1">
        <w:r w:rsidR="007C08A0" w:rsidRPr="003037E9">
          <w:rPr>
            <w:rStyle w:val="Hyperlink"/>
          </w:rPr>
          <w:t>Communication and Buy-in</w:t>
        </w:r>
        <w:r w:rsidR="007C08A0">
          <w:rPr>
            <w:webHidden/>
          </w:rPr>
          <w:tab/>
        </w:r>
        <w:r>
          <w:rPr>
            <w:webHidden/>
          </w:rPr>
          <w:fldChar w:fldCharType="begin"/>
        </w:r>
        <w:r w:rsidR="007C08A0">
          <w:rPr>
            <w:webHidden/>
          </w:rPr>
          <w:instrText xml:space="preserve"> PAGEREF _Toc399828631 \h </w:instrText>
        </w:r>
        <w:r>
          <w:rPr>
            <w:webHidden/>
          </w:rPr>
        </w:r>
        <w:r>
          <w:rPr>
            <w:webHidden/>
          </w:rPr>
          <w:fldChar w:fldCharType="separate"/>
        </w:r>
        <w:r w:rsidR="00103836">
          <w:rPr>
            <w:webHidden/>
          </w:rPr>
          <w:t>24</w:t>
        </w:r>
        <w:r>
          <w:rPr>
            <w:webHidden/>
          </w:rPr>
          <w:fldChar w:fldCharType="end"/>
        </w:r>
      </w:hyperlink>
    </w:p>
    <w:p w:rsidR="007C08A0" w:rsidRDefault="00103964">
      <w:pPr>
        <w:pStyle w:val="TOC2"/>
      </w:pPr>
      <w:hyperlink w:anchor="_Toc399828632" w:history="1">
        <w:r w:rsidR="007C08A0" w:rsidRPr="003037E9">
          <w:rPr>
            <w:rStyle w:val="Hyperlink"/>
          </w:rPr>
          <w:t>Technical Assistance</w:t>
        </w:r>
        <w:r w:rsidR="007C08A0">
          <w:rPr>
            <w:webHidden/>
          </w:rPr>
          <w:tab/>
        </w:r>
        <w:r>
          <w:rPr>
            <w:webHidden/>
          </w:rPr>
          <w:fldChar w:fldCharType="begin"/>
        </w:r>
        <w:r w:rsidR="007C08A0">
          <w:rPr>
            <w:webHidden/>
          </w:rPr>
          <w:instrText xml:space="preserve"> PAGEREF _Toc399828632 \h </w:instrText>
        </w:r>
        <w:r>
          <w:rPr>
            <w:webHidden/>
          </w:rPr>
        </w:r>
        <w:r>
          <w:rPr>
            <w:webHidden/>
          </w:rPr>
          <w:fldChar w:fldCharType="separate"/>
        </w:r>
        <w:r w:rsidR="00103836">
          <w:rPr>
            <w:webHidden/>
          </w:rPr>
          <w:t>25</w:t>
        </w:r>
        <w:r>
          <w:rPr>
            <w:webHidden/>
          </w:rPr>
          <w:fldChar w:fldCharType="end"/>
        </w:r>
      </w:hyperlink>
    </w:p>
    <w:p w:rsidR="007C08A0" w:rsidRDefault="00103964">
      <w:pPr>
        <w:pStyle w:val="TOC1"/>
        <w:tabs>
          <w:tab w:val="right" w:leader="dot" w:pos="9350"/>
        </w:tabs>
        <w:rPr>
          <w:b w:val="0"/>
          <w:noProof/>
          <w:sz w:val="22"/>
          <w:szCs w:val="22"/>
        </w:rPr>
      </w:pPr>
      <w:hyperlink w:anchor="_Toc399828633" w:history="1">
        <w:r w:rsidR="007C08A0" w:rsidRPr="003037E9">
          <w:rPr>
            <w:rStyle w:val="Hyperlink"/>
            <w:noProof/>
          </w:rPr>
          <w:t>Chapter 5: Sustainability</w:t>
        </w:r>
        <w:r w:rsidR="007C08A0">
          <w:rPr>
            <w:noProof/>
            <w:webHidden/>
          </w:rPr>
          <w:tab/>
        </w:r>
        <w:r>
          <w:rPr>
            <w:noProof/>
            <w:webHidden/>
          </w:rPr>
          <w:fldChar w:fldCharType="begin"/>
        </w:r>
        <w:r w:rsidR="007C08A0">
          <w:rPr>
            <w:noProof/>
            <w:webHidden/>
          </w:rPr>
          <w:instrText xml:space="preserve"> PAGEREF _Toc399828633 \h </w:instrText>
        </w:r>
        <w:r>
          <w:rPr>
            <w:noProof/>
            <w:webHidden/>
          </w:rPr>
        </w:r>
        <w:r>
          <w:rPr>
            <w:noProof/>
            <w:webHidden/>
          </w:rPr>
          <w:fldChar w:fldCharType="separate"/>
        </w:r>
        <w:r w:rsidR="00103836">
          <w:rPr>
            <w:noProof/>
            <w:webHidden/>
          </w:rPr>
          <w:t>29</w:t>
        </w:r>
        <w:r>
          <w:rPr>
            <w:noProof/>
            <w:webHidden/>
          </w:rPr>
          <w:fldChar w:fldCharType="end"/>
        </w:r>
      </w:hyperlink>
    </w:p>
    <w:p w:rsidR="007C08A0" w:rsidRDefault="00103964">
      <w:pPr>
        <w:pStyle w:val="TOC1"/>
        <w:tabs>
          <w:tab w:val="right" w:leader="dot" w:pos="9350"/>
        </w:tabs>
        <w:rPr>
          <w:b w:val="0"/>
          <w:noProof/>
          <w:sz w:val="22"/>
          <w:szCs w:val="22"/>
        </w:rPr>
      </w:pPr>
      <w:hyperlink w:anchor="_Toc399828634" w:history="1">
        <w:r w:rsidR="00103836">
          <w:rPr>
            <w:rStyle w:val="Hyperlink"/>
            <w:noProof/>
          </w:rPr>
          <w:t>Chapter 6:</w:t>
        </w:r>
        <w:r w:rsidR="007C08A0" w:rsidRPr="003037E9">
          <w:rPr>
            <w:rStyle w:val="Hyperlink"/>
            <w:noProof/>
          </w:rPr>
          <w:t xml:space="preserve"> Conclusions and  Lessons Learned</w:t>
        </w:r>
        <w:r w:rsidR="007C08A0">
          <w:rPr>
            <w:noProof/>
            <w:webHidden/>
          </w:rPr>
          <w:tab/>
        </w:r>
        <w:r>
          <w:rPr>
            <w:noProof/>
            <w:webHidden/>
          </w:rPr>
          <w:fldChar w:fldCharType="begin"/>
        </w:r>
        <w:r w:rsidR="007C08A0">
          <w:rPr>
            <w:noProof/>
            <w:webHidden/>
          </w:rPr>
          <w:instrText xml:space="preserve"> PAGEREF _Toc399828634 \h </w:instrText>
        </w:r>
        <w:r>
          <w:rPr>
            <w:noProof/>
            <w:webHidden/>
          </w:rPr>
        </w:r>
        <w:r>
          <w:rPr>
            <w:noProof/>
            <w:webHidden/>
          </w:rPr>
          <w:fldChar w:fldCharType="separate"/>
        </w:r>
        <w:r w:rsidR="00103836">
          <w:rPr>
            <w:noProof/>
            <w:webHidden/>
          </w:rPr>
          <w:t>33</w:t>
        </w:r>
        <w:r>
          <w:rPr>
            <w:noProof/>
            <w:webHidden/>
          </w:rPr>
          <w:fldChar w:fldCharType="end"/>
        </w:r>
      </w:hyperlink>
    </w:p>
    <w:p w:rsidR="007C08A0" w:rsidRDefault="00103964">
      <w:pPr>
        <w:pStyle w:val="TOC2"/>
      </w:pPr>
      <w:hyperlink w:anchor="_Toc399828635" w:history="1">
        <w:r w:rsidR="007C08A0" w:rsidRPr="003037E9">
          <w:rPr>
            <w:rStyle w:val="Hyperlink"/>
          </w:rPr>
          <w:t>Lessons about Leadership</w:t>
        </w:r>
        <w:r w:rsidR="007C08A0">
          <w:rPr>
            <w:webHidden/>
          </w:rPr>
          <w:tab/>
        </w:r>
        <w:r>
          <w:rPr>
            <w:webHidden/>
          </w:rPr>
          <w:fldChar w:fldCharType="begin"/>
        </w:r>
        <w:r w:rsidR="007C08A0">
          <w:rPr>
            <w:webHidden/>
          </w:rPr>
          <w:instrText xml:space="preserve"> PAGEREF _Toc399828635 \h </w:instrText>
        </w:r>
        <w:r>
          <w:rPr>
            <w:webHidden/>
          </w:rPr>
        </w:r>
        <w:r>
          <w:rPr>
            <w:webHidden/>
          </w:rPr>
          <w:fldChar w:fldCharType="separate"/>
        </w:r>
        <w:r w:rsidR="00103836">
          <w:rPr>
            <w:webHidden/>
          </w:rPr>
          <w:t>35</w:t>
        </w:r>
        <w:r>
          <w:rPr>
            <w:webHidden/>
          </w:rPr>
          <w:fldChar w:fldCharType="end"/>
        </w:r>
      </w:hyperlink>
    </w:p>
    <w:p w:rsidR="007C08A0" w:rsidRDefault="00103964">
      <w:pPr>
        <w:pStyle w:val="TOC2"/>
      </w:pPr>
      <w:hyperlink w:anchor="_Toc399828636" w:history="1">
        <w:r w:rsidR="007C08A0" w:rsidRPr="003037E9">
          <w:rPr>
            <w:rStyle w:val="Hyperlink"/>
          </w:rPr>
          <w:t>Lessons about Successfully Implementing  Complex Initiatives</w:t>
        </w:r>
        <w:r w:rsidR="007C08A0">
          <w:rPr>
            <w:webHidden/>
          </w:rPr>
          <w:tab/>
        </w:r>
        <w:r>
          <w:rPr>
            <w:webHidden/>
          </w:rPr>
          <w:fldChar w:fldCharType="begin"/>
        </w:r>
        <w:r w:rsidR="007C08A0">
          <w:rPr>
            <w:webHidden/>
          </w:rPr>
          <w:instrText xml:space="preserve"> PAGEREF _Toc399828636 \h </w:instrText>
        </w:r>
        <w:r>
          <w:rPr>
            <w:webHidden/>
          </w:rPr>
        </w:r>
        <w:r>
          <w:rPr>
            <w:webHidden/>
          </w:rPr>
          <w:fldChar w:fldCharType="separate"/>
        </w:r>
        <w:r w:rsidR="00103836">
          <w:rPr>
            <w:webHidden/>
          </w:rPr>
          <w:t>35</w:t>
        </w:r>
        <w:r>
          <w:rPr>
            <w:webHidden/>
          </w:rPr>
          <w:fldChar w:fldCharType="end"/>
        </w:r>
      </w:hyperlink>
    </w:p>
    <w:p w:rsidR="007C08A0" w:rsidRDefault="00103964">
      <w:pPr>
        <w:pStyle w:val="TOC2"/>
      </w:pPr>
      <w:hyperlink w:anchor="_Toc399828637" w:history="1">
        <w:r w:rsidR="007C08A0" w:rsidRPr="003037E9">
          <w:rPr>
            <w:rStyle w:val="Hyperlink"/>
          </w:rPr>
          <w:t>Lessons about Inherent Limitations of  Technical Assistance</w:t>
        </w:r>
        <w:r w:rsidR="007C08A0">
          <w:rPr>
            <w:webHidden/>
          </w:rPr>
          <w:tab/>
        </w:r>
        <w:r>
          <w:rPr>
            <w:webHidden/>
          </w:rPr>
          <w:fldChar w:fldCharType="begin"/>
        </w:r>
        <w:r w:rsidR="007C08A0">
          <w:rPr>
            <w:webHidden/>
          </w:rPr>
          <w:instrText xml:space="preserve"> PAGEREF _Toc399828637 \h </w:instrText>
        </w:r>
        <w:r>
          <w:rPr>
            <w:webHidden/>
          </w:rPr>
        </w:r>
        <w:r>
          <w:rPr>
            <w:webHidden/>
          </w:rPr>
          <w:fldChar w:fldCharType="separate"/>
        </w:r>
        <w:r w:rsidR="00103836">
          <w:rPr>
            <w:webHidden/>
          </w:rPr>
          <w:t>35</w:t>
        </w:r>
        <w:r>
          <w:rPr>
            <w:webHidden/>
          </w:rPr>
          <w:fldChar w:fldCharType="end"/>
        </w:r>
      </w:hyperlink>
    </w:p>
    <w:p w:rsidR="007C08A0" w:rsidRDefault="00103964">
      <w:pPr>
        <w:pStyle w:val="TOC2"/>
      </w:pPr>
      <w:hyperlink w:anchor="_Toc399828638" w:history="1">
        <w:r w:rsidR="007C08A0" w:rsidRPr="003037E9">
          <w:rPr>
            <w:rStyle w:val="Hyperlink"/>
          </w:rPr>
          <w:t>Lessons about Teacher Voice</w:t>
        </w:r>
        <w:r w:rsidR="007C08A0">
          <w:rPr>
            <w:webHidden/>
          </w:rPr>
          <w:tab/>
        </w:r>
        <w:r>
          <w:rPr>
            <w:webHidden/>
          </w:rPr>
          <w:fldChar w:fldCharType="begin"/>
        </w:r>
        <w:r w:rsidR="007C08A0">
          <w:rPr>
            <w:webHidden/>
          </w:rPr>
          <w:instrText xml:space="preserve"> PAGEREF _Toc399828638 \h </w:instrText>
        </w:r>
        <w:r>
          <w:rPr>
            <w:webHidden/>
          </w:rPr>
        </w:r>
        <w:r>
          <w:rPr>
            <w:webHidden/>
          </w:rPr>
          <w:fldChar w:fldCharType="separate"/>
        </w:r>
        <w:r w:rsidR="00103836">
          <w:rPr>
            <w:webHidden/>
          </w:rPr>
          <w:t>36</w:t>
        </w:r>
        <w:r>
          <w:rPr>
            <w:webHidden/>
          </w:rPr>
          <w:fldChar w:fldCharType="end"/>
        </w:r>
      </w:hyperlink>
    </w:p>
    <w:p w:rsidR="007C08A0" w:rsidRDefault="00103964">
      <w:pPr>
        <w:pStyle w:val="TOC1"/>
        <w:tabs>
          <w:tab w:val="right" w:leader="dot" w:pos="9350"/>
        </w:tabs>
        <w:rPr>
          <w:b w:val="0"/>
          <w:noProof/>
          <w:sz w:val="22"/>
          <w:szCs w:val="22"/>
        </w:rPr>
      </w:pPr>
      <w:hyperlink w:anchor="_Toc399828639" w:history="1">
        <w:r w:rsidR="007C08A0" w:rsidRPr="003037E9">
          <w:rPr>
            <w:rStyle w:val="Hyperlink"/>
            <w:noProof/>
          </w:rPr>
          <w:t>References</w:t>
        </w:r>
        <w:r w:rsidR="007C08A0">
          <w:rPr>
            <w:noProof/>
            <w:webHidden/>
          </w:rPr>
          <w:tab/>
        </w:r>
        <w:r>
          <w:rPr>
            <w:noProof/>
            <w:webHidden/>
          </w:rPr>
          <w:fldChar w:fldCharType="begin"/>
        </w:r>
        <w:r w:rsidR="007C08A0">
          <w:rPr>
            <w:noProof/>
            <w:webHidden/>
          </w:rPr>
          <w:instrText xml:space="preserve"> PAGEREF _Toc399828639 \h </w:instrText>
        </w:r>
        <w:r>
          <w:rPr>
            <w:noProof/>
            <w:webHidden/>
          </w:rPr>
        </w:r>
        <w:r>
          <w:rPr>
            <w:noProof/>
            <w:webHidden/>
          </w:rPr>
          <w:fldChar w:fldCharType="separate"/>
        </w:r>
        <w:r w:rsidR="00103836">
          <w:rPr>
            <w:noProof/>
            <w:webHidden/>
          </w:rPr>
          <w:t>38</w:t>
        </w:r>
        <w:r>
          <w:rPr>
            <w:noProof/>
            <w:webHidden/>
          </w:rPr>
          <w:fldChar w:fldCharType="end"/>
        </w:r>
      </w:hyperlink>
    </w:p>
    <w:p w:rsidR="005F5A4B" w:rsidRDefault="00103964" w:rsidP="0035181C">
      <w:pPr>
        <w:pStyle w:val="BodyText"/>
        <w:rPr>
          <w:rFonts w:eastAsia="Times" w:cs="Arial"/>
        </w:rPr>
      </w:pPr>
      <w:r w:rsidRPr="0000772A">
        <w:rPr>
          <w:rFonts w:eastAsia="Times" w:cs="Arial"/>
        </w:rPr>
        <w:fldChar w:fldCharType="end"/>
      </w:r>
    </w:p>
    <w:p w:rsidR="005F5A4B" w:rsidRDefault="005F5A4B" w:rsidP="005F5A4B">
      <w:pPr>
        <w:rPr>
          <w:rFonts w:ascii="Calibri" w:eastAsia="Times New Roman" w:hAnsi="Calibri"/>
        </w:rPr>
      </w:pPr>
      <w:r>
        <w:br w:type="page"/>
      </w:r>
    </w:p>
    <w:p w:rsidR="005F5A4B" w:rsidRPr="00726854" w:rsidRDefault="005F5A4B" w:rsidP="005F5A4B">
      <w:pPr>
        <w:pStyle w:val="ChapterTitle"/>
      </w:pPr>
      <w:bookmarkStart w:id="7" w:name="_Toc399141139"/>
      <w:bookmarkStart w:id="8" w:name="_Toc399828611"/>
      <w:r w:rsidRPr="00726854">
        <w:lastRenderedPageBreak/>
        <w:t>Exhibits</w:t>
      </w:r>
      <w:bookmarkEnd w:id="7"/>
      <w:bookmarkEnd w:id="8"/>
    </w:p>
    <w:p w:rsidR="00E60AF2" w:rsidRPr="00E60AF2" w:rsidRDefault="00103964">
      <w:pPr>
        <w:pStyle w:val="TOC1"/>
        <w:tabs>
          <w:tab w:val="right" w:leader="dot" w:pos="9350"/>
        </w:tabs>
        <w:rPr>
          <w:b w:val="0"/>
          <w:noProof/>
          <w:lang w:eastAsia="ja-JP"/>
        </w:rPr>
      </w:pPr>
      <w:r w:rsidRPr="00103964">
        <w:rPr>
          <w:b w:val="0"/>
        </w:rPr>
        <w:fldChar w:fldCharType="begin"/>
      </w:r>
      <w:r w:rsidR="005F5A4B" w:rsidRPr="00E60AF2">
        <w:rPr>
          <w:b w:val="0"/>
        </w:rPr>
        <w:instrText xml:space="preserve"> TOC \h \z \t "Exhibit Title,1" </w:instrText>
      </w:r>
      <w:r w:rsidRPr="00103964">
        <w:rPr>
          <w:b w:val="0"/>
        </w:rPr>
        <w:fldChar w:fldCharType="separate"/>
      </w:r>
      <w:r w:rsidR="00E60AF2" w:rsidRPr="00E60AF2">
        <w:rPr>
          <w:b w:val="0"/>
          <w:noProof/>
        </w:rPr>
        <w:t>Exhibit 1. Conceptual Framework</w:t>
      </w:r>
      <w:r w:rsidR="00E60AF2" w:rsidRPr="00E60AF2">
        <w:rPr>
          <w:b w:val="0"/>
          <w:noProof/>
        </w:rPr>
        <w:tab/>
      </w:r>
      <w:r w:rsidRPr="00E60AF2">
        <w:rPr>
          <w:b w:val="0"/>
          <w:noProof/>
        </w:rPr>
        <w:fldChar w:fldCharType="begin"/>
      </w:r>
      <w:r w:rsidR="00E60AF2" w:rsidRPr="00E60AF2">
        <w:rPr>
          <w:b w:val="0"/>
          <w:noProof/>
        </w:rPr>
        <w:instrText xml:space="preserve"> PAGEREF _Toc273283756 \h </w:instrText>
      </w:r>
      <w:r w:rsidRPr="00E60AF2">
        <w:rPr>
          <w:b w:val="0"/>
          <w:noProof/>
        </w:rPr>
      </w:r>
      <w:r w:rsidRPr="00E60AF2">
        <w:rPr>
          <w:b w:val="0"/>
          <w:noProof/>
        </w:rPr>
        <w:fldChar w:fldCharType="separate"/>
      </w:r>
      <w:r w:rsidR="00103836">
        <w:rPr>
          <w:b w:val="0"/>
          <w:noProof/>
        </w:rPr>
        <w:t>5</w:t>
      </w:r>
      <w:r w:rsidRPr="00E60AF2">
        <w:rPr>
          <w:b w:val="0"/>
          <w:noProof/>
        </w:rPr>
        <w:fldChar w:fldCharType="end"/>
      </w:r>
    </w:p>
    <w:p w:rsidR="00E60AF2" w:rsidRPr="00E60AF2" w:rsidRDefault="00E60AF2">
      <w:pPr>
        <w:pStyle w:val="TOC1"/>
        <w:tabs>
          <w:tab w:val="right" w:leader="dot" w:pos="9350"/>
        </w:tabs>
        <w:rPr>
          <w:b w:val="0"/>
          <w:noProof/>
          <w:lang w:eastAsia="ja-JP"/>
        </w:rPr>
      </w:pPr>
      <w:r w:rsidRPr="00E60AF2">
        <w:rPr>
          <w:b w:val="0"/>
          <w:noProof/>
        </w:rPr>
        <w:t>Exhibit 2. Student Enrollment, 2008–09 Through 2013–14, by District</w:t>
      </w:r>
      <w:r w:rsidRPr="00E60AF2">
        <w:rPr>
          <w:b w:val="0"/>
          <w:noProof/>
        </w:rPr>
        <w:tab/>
      </w:r>
      <w:r w:rsidR="00103964" w:rsidRPr="00E60AF2">
        <w:rPr>
          <w:b w:val="0"/>
          <w:noProof/>
        </w:rPr>
        <w:fldChar w:fldCharType="begin"/>
      </w:r>
      <w:r w:rsidRPr="00E60AF2">
        <w:rPr>
          <w:b w:val="0"/>
          <w:noProof/>
        </w:rPr>
        <w:instrText xml:space="preserve"> PAGEREF _Toc273283757 \h </w:instrText>
      </w:r>
      <w:r w:rsidR="00103964" w:rsidRPr="00E60AF2">
        <w:rPr>
          <w:b w:val="0"/>
          <w:noProof/>
        </w:rPr>
      </w:r>
      <w:r w:rsidR="00103964" w:rsidRPr="00E60AF2">
        <w:rPr>
          <w:b w:val="0"/>
          <w:noProof/>
        </w:rPr>
        <w:fldChar w:fldCharType="separate"/>
      </w:r>
      <w:r w:rsidR="00103836">
        <w:rPr>
          <w:b w:val="0"/>
          <w:noProof/>
        </w:rPr>
        <w:t>7</w:t>
      </w:r>
      <w:r w:rsidR="00103964" w:rsidRPr="00E60AF2">
        <w:rPr>
          <w:b w:val="0"/>
          <w:noProof/>
        </w:rPr>
        <w:fldChar w:fldCharType="end"/>
      </w:r>
    </w:p>
    <w:p w:rsidR="00E60AF2" w:rsidRPr="00E60AF2" w:rsidRDefault="00E60AF2">
      <w:pPr>
        <w:pStyle w:val="TOC1"/>
        <w:tabs>
          <w:tab w:val="right" w:leader="dot" w:pos="9350"/>
        </w:tabs>
        <w:rPr>
          <w:b w:val="0"/>
          <w:noProof/>
          <w:lang w:eastAsia="ja-JP"/>
        </w:rPr>
      </w:pPr>
      <w:r w:rsidRPr="00E60AF2">
        <w:rPr>
          <w:b w:val="0"/>
          <w:noProof/>
        </w:rPr>
        <w:t>Exhibit 3. Student Ethnicity, 2013–14, by District</w:t>
      </w:r>
      <w:r w:rsidRPr="00E60AF2">
        <w:rPr>
          <w:b w:val="0"/>
          <w:noProof/>
        </w:rPr>
        <w:tab/>
      </w:r>
      <w:r w:rsidR="00103964" w:rsidRPr="00E60AF2">
        <w:rPr>
          <w:b w:val="0"/>
          <w:noProof/>
        </w:rPr>
        <w:fldChar w:fldCharType="begin"/>
      </w:r>
      <w:r w:rsidRPr="00E60AF2">
        <w:rPr>
          <w:b w:val="0"/>
          <w:noProof/>
        </w:rPr>
        <w:instrText xml:space="preserve"> PAGEREF _Toc273283758 \h </w:instrText>
      </w:r>
      <w:r w:rsidR="00103964" w:rsidRPr="00E60AF2">
        <w:rPr>
          <w:b w:val="0"/>
          <w:noProof/>
        </w:rPr>
      </w:r>
      <w:r w:rsidR="00103964" w:rsidRPr="00E60AF2">
        <w:rPr>
          <w:b w:val="0"/>
          <w:noProof/>
        </w:rPr>
        <w:fldChar w:fldCharType="separate"/>
      </w:r>
      <w:r w:rsidR="00103836">
        <w:rPr>
          <w:b w:val="0"/>
          <w:noProof/>
        </w:rPr>
        <w:t>7</w:t>
      </w:r>
      <w:r w:rsidR="00103964" w:rsidRPr="00E60AF2">
        <w:rPr>
          <w:b w:val="0"/>
          <w:noProof/>
        </w:rPr>
        <w:fldChar w:fldCharType="end"/>
      </w:r>
    </w:p>
    <w:p w:rsidR="00E60AF2" w:rsidRPr="00E60AF2" w:rsidRDefault="00E60AF2">
      <w:pPr>
        <w:pStyle w:val="TOC1"/>
        <w:tabs>
          <w:tab w:val="right" w:leader="dot" w:pos="9350"/>
        </w:tabs>
        <w:rPr>
          <w:b w:val="0"/>
          <w:noProof/>
          <w:lang w:eastAsia="ja-JP"/>
        </w:rPr>
      </w:pPr>
      <w:r w:rsidRPr="00E60AF2">
        <w:rPr>
          <w:b w:val="0"/>
          <w:noProof/>
        </w:rPr>
        <w:t>Exhibit 4. Percentage of Low-Income Students,</w:t>
      </w:r>
      <w:r w:rsidR="00F925BF">
        <w:rPr>
          <w:b w:val="0"/>
          <w:noProof/>
        </w:rPr>
        <w:t xml:space="preserve"> </w:t>
      </w:r>
      <w:r w:rsidRPr="00E60AF2">
        <w:rPr>
          <w:b w:val="0"/>
          <w:noProof/>
        </w:rPr>
        <w:t>2008–09 Through 2013–14, by District</w:t>
      </w:r>
      <w:r w:rsidRPr="00E60AF2">
        <w:rPr>
          <w:b w:val="0"/>
          <w:noProof/>
        </w:rPr>
        <w:tab/>
      </w:r>
      <w:r w:rsidR="00103964" w:rsidRPr="00E60AF2">
        <w:rPr>
          <w:b w:val="0"/>
          <w:noProof/>
        </w:rPr>
        <w:fldChar w:fldCharType="begin"/>
      </w:r>
      <w:r w:rsidRPr="00E60AF2">
        <w:rPr>
          <w:b w:val="0"/>
          <w:noProof/>
        </w:rPr>
        <w:instrText xml:space="preserve"> PAGEREF _Toc273283759 \h </w:instrText>
      </w:r>
      <w:r w:rsidR="00103964" w:rsidRPr="00E60AF2">
        <w:rPr>
          <w:b w:val="0"/>
          <w:noProof/>
        </w:rPr>
      </w:r>
      <w:r w:rsidR="00103964" w:rsidRPr="00E60AF2">
        <w:rPr>
          <w:b w:val="0"/>
          <w:noProof/>
        </w:rPr>
        <w:fldChar w:fldCharType="separate"/>
      </w:r>
      <w:r w:rsidR="00103836">
        <w:rPr>
          <w:b w:val="0"/>
          <w:noProof/>
        </w:rPr>
        <w:t>8</w:t>
      </w:r>
      <w:r w:rsidR="00103964" w:rsidRPr="00E60AF2">
        <w:rPr>
          <w:b w:val="0"/>
          <w:noProof/>
        </w:rPr>
        <w:fldChar w:fldCharType="end"/>
      </w:r>
    </w:p>
    <w:p w:rsidR="00E60AF2" w:rsidRPr="00E60AF2" w:rsidRDefault="00E60AF2" w:rsidP="00AE01EE">
      <w:pPr>
        <w:pStyle w:val="TOC1"/>
        <w:tabs>
          <w:tab w:val="right" w:leader="dot" w:pos="9350"/>
        </w:tabs>
        <w:ind w:left="360" w:hanging="360"/>
        <w:rPr>
          <w:b w:val="0"/>
          <w:noProof/>
          <w:lang w:eastAsia="ja-JP"/>
        </w:rPr>
      </w:pPr>
      <w:r w:rsidRPr="00E60AF2">
        <w:rPr>
          <w:b w:val="0"/>
          <w:noProof/>
        </w:rPr>
        <w:t>Exhibit 5. Number of Full-Time Equivalent Teachers,</w:t>
      </w:r>
      <w:r w:rsidR="00F925BF">
        <w:rPr>
          <w:b w:val="0"/>
          <w:noProof/>
        </w:rPr>
        <w:t xml:space="preserve"> </w:t>
      </w:r>
      <w:r w:rsidRPr="00E60AF2">
        <w:rPr>
          <w:b w:val="0"/>
          <w:noProof/>
        </w:rPr>
        <w:t xml:space="preserve">2008–09 Through 2013–14, </w:t>
      </w:r>
      <w:r w:rsidR="00AE01EE">
        <w:rPr>
          <w:b w:val="0"/>
          <w:noProof/>
        </w:rPr>
        <w:br/>
      </w:r>
      <w:r w:rsidRPr="00E60AF2">
        <w:rPr>
          <w:b w:val="0"/>
          <w:noProof/>
        </w:rPr>
        <w:t>by District</w:t>
      </w:r>
      <w:r w:rsidRPr="00E60AF2">
        <w:rPr>
          <w:b w:val="0"/>
          <w:noProof/>
        </w:rPr>
        <w:tab/>
      </w:r>
      <w:r w:rsidR="00103964" w:rsidRPr="00E60AF2">
        <w:rPr>
          <w:b w:val="0"/>
          <w:noProof/>
        </w:rPr>
        <w:fldChar w:fldCharType="begin"/>
      </w:r>
      <w:r w:rsidRPr="00E60AF2">
        <w:rPr>
          <w:b w:val="0"/>
          <w:noProof/>
        </w:rPr>
        <w:instrText xml:space="preserve"> PAGEREF _Toc273283760 \h </w:instrText>
      </w:r>
      <w:r w:rsidR="00103964" w:rsidRPr="00E60AF2">
        <w:rPr>
          <w:b w:val="0"/>
          <w:noProof/>
        </w:rPr>
      </w:r>
      <w:r w:rsidR="00103964" w:rsidRPr="00E60AF2">
        <w:rPr>
          <w:b w:val="0"/>
          <w:noProof/>
        </w:rPr>
        <w:fldChar w:fldCharType="separate"/>
      </w:r>
      <w:r w:rsidR="00103836">
        <w:rPr>
          <w:b w:val="0"/>
          <w:noProof/>
        </w:rPr>
        <w:t>9</w:t>
      </w:r>
      <w:r w:rsidR="00103964" w:rsidRPr="00E60AF2">
        <w:rPr>
          <w:b w:val="0"/>
          <w:noProof/>
        </w:rPr>
        <w:fldChar w:fldCharType="end"/>
      </w:r>
    </w:p>
    <w:p w:rsidR="00E60AF2" w:rsidRPr="00E60AF2" w:rsidRDefault="00E60AF2" w:rsidP="00AE01EE">
      <w:pPr>
        <w:pStyle w:val="TOC1"/>
        <w:tabs>
          <w:tab w:val="right" w:leader="dot" w:pos="9350"/>
        </w:tabs>
        <w:ind w:left="360" w:hanging="360"/>
        <w:rPr>
          <w:b w:val="0"/>
          <w:noProof/>
          <w:lang w:eastAsia="ja-JP"/>
        </w:rPr>
      </w:pPr>
      <w:r w:rsidRPr="00E60AF2">
        <w:rPr>
          <w:b w:val="0"/>
          <w:noProof/>
        </w:rPr>
        <w:t xml:space="preserve">Exhibit 6. Percentage of Teachers Licensed in Assignment and Percentage of Core </w:t>
      </w:r>
      <w:r w:rsidR="00AE01EE">
        <w:rPr>
          <w:b w:val="0"/>
          <w:noProof/>
        </w:rPr>
        <w:br/>
      </w:r>
      <w:r w:rsidRPr="00E60AF2">
        <w:rPr>
          <w:b w:val="0"/>
          <w:noProof/>
        </w:rPr>
        <w:t>Academic Classes Taught by Highly Qualified Teachers,</w:t>
      </w:r>
      <w:r w:rsidR="00F925BF">
        <w:rPr>
          <w:b w:val="0"/>
          <w:noProof/>
        </w:rPr>
        <w:t xml:space="preserve"> </w:t>
      </w:r>
      <w:r w:rsidRPr="00E60AF2">
        <w:rPr>
          <w:b w:val="0"/>
          <w:noProof/>
        </w:rPr>
        <w:t xml:space="preserve">2008–09 to 2012–13, </w:t>
      </w:r>
      <w:r w:rsidR="00AE01EE">
        <w:rPr>
          <w:b w:val="0"/>
          <w:noProof/>
        </w:rPr>
        <w:br/>
      </w:r>
      <w:r w:rsidRPr="00E60AF2">
        <w:rPr>
          <w:b w:val="0"/>
          <w:noProof/>
        </w:rPr>
        <w:t>by District</w:t>
      </w:r>
      <w:r w:rsidRPr="00E60AF2">
        <w:rPr>
          <w:b w:val="0"/>
          <w:noProof/>
        </w:rPr>
        <w:tab/>
      </w:r>
      <w:r w:rsidR="00103964" w:rsidRPr="00E60AF2">
        <w:rPr>
          <w:b w:val="0"/>
          <w:noProof/>
        </w:rPr>
        <w:fldChar w:fldCharType="begin"/>
      </w:r>
      <w:r w:rsidRPr="00E60AF2">
        <w:rPr>
          <w:b w:val="0"/>
          <w:noProof/>
        </w:rPr>
        <w:instrText xml:space="preserve"> PAGEREF _Toc273283761 \h </w:instrText>
      </w:r>
      <w:r w:rsidR="00103964" w:rsidRPr="00E60AF2">
        <w:rPr>
          <w:b w:val="0"/>
          <w:noProof/>
        </w:rPr>
      </w:r>
      <w:r w:rsidR="00103964" w:rsidRPr="00E60AF2">
        <w:rPr>
          <w:b w:val="0"/>
          <w:noProof/>
        </w:rPr>
        <w:fldChar w:fldCharType="separate"/>
      </w:r>
      <w:r w:rsidR="00103836">
        <w:rPr>
          <w:b w:val="0"/>
          <w:noProof/>
        </w:rPr>
        <w:t>10</w:t>
      </w:r>
      <w:r w:rsidR="00103964" w:rsidRPr="00E60AF2">
        <w:rPr>
          <w:b w:val="0"/>
          <w:noProof/>
        </w:rPr>
        <w:fldChar w:fldCharType="end"/>
      </w:r>
    </w:p>
    <w:p w:rsidR="00E60AF2" w:rsidRPr="00E60AF2" w:rsidRDefault="00E60AF2" w:rsidP="00AE01EE">
      <w:pPr>
        <w:pStyle w:val="TOC1"/>
        <w:tabs>
          <w:tab w:val="right" w:leader="dot" w:pos="9350"/>
        </w:tabs>
        <w:ind w:left="360" w:hanging="360"/>
        <w:rPr>
          <w:b w:val="0"/>
          <w:noProof/>
          <w:lang w:eastAsia="ja-JP"/>
        </w:rPr>
      </w:pPr>
      <w:r w:rsidRPr="00E60AF2">
        <w:rPr>
          <w:b w:val="0"/>
          <w:noProof/>
        </w:rPr>
        <w:t>Exhibit 7. Annual and Cumulative Progress and Performance Indices (PPIs)</w:t>
      </w:r>
      <w:r w:rsidR="00F925BF">
        <w:rPr>
          <w:b w:val="0"/>
          <w:noProof/>
        </w:rPr>
        <w:t xml:space="preserve"> </w:t>
      </w:r>
      <w:r w:rsidR="00AE01EE">
        <w:rPr>
          <w:b w:val="0"/>
          <w:noProof/>
        </w:rPr>
        <w:br/>
      </w:r>
      <w:r w:rsidRPr="00E60AF2">
        <w:rPr>
          <w:b w:val="0"/>
          <w:noProof/>
        </w:rPr>
        <w:t>for All Students, by District</w:t>
      </w:r>
      <w:r w:rsidRPr="00E60AF2">
        <w:rPr>
          <w:b w:val="0"/>
          <w:noProof/>
        </w:rPr>
        <w:tab/>
      </w:r>
      <w:r w:rsidR="00103964" w:rsidRPr="00E60AF2">
        <w:rPr>
          <w:b w:val="0"/>
          <w:noProof/>
        </w:rPr>
        <w:fldChar w:fldCharType="begin"/>
      </w:r>
      <w:r w:rsidRPr="00E60AF2">
        <w:rPr>
          <w:b w:val="0"/>
          <w:noProof/>
        </w:rPr>
        <w:instrText xml:space="preserve"> PAGEREF _Toc273283762 \h </w:instrText>
      </w:r>
      <w:r w:rsidR="00103964" w:rsidRPr="00E60AF2">
        <w:rPr>
          <w:b w:val="0"/>
          <w:noProof/>
        </w:rPr>
      </w:r>
      <w:r w:rsidR="00103964" w:rsidRPr="00E60AF2">
        <w:rPr>
          <w:b w:val="0"/>
          <w:noProof/>
        </w:rPr>
        <w:fldChar w:fldCharType="separate"/>
      </w:r>
      <w:r w:rsidR="00103836">
        <w:rPr>
          <w:b w:val="0"/>
          <w:noProof/>
        </w:rPr>
        <w:t>11</w:t>
      </w:r>
      <w:r w:rsidR="00103964" w:rsidRPr="00E60AF2">
        <w:rPr>
          <w:b w:val="0"/>
          <w:noProof/>
        </w:rPr>
        <w:fldChar w:fldCharType="end"/>
      </w:r>
    </w:p>
    <w:p w:rsidR="00E60AF2" w:rsidRPr="00E60AF2" w:rsidRDefault="00E60AF2" w:rsidP="00AE01EE">
      <w:pPr>
        <w:pStyle w:val="TOC1"/>
        <w:tabs>
          <w:tab w:val="right" w:leader="dot" w:pos="9350"/>
        </w:tabs>
        <w:ind w:left="360" w:hanging="360"/>
        <w:rPr>
          <w:b w:val="0"/>
          <w:noProof/>
          <w:lang w:eastAsia="ja-JP"/>
        </w:rPr>
      </w:pPr>
      <w:r w:rsidRPr="00E60AF2">
        <w:rPr>
          <w:b w:val="0"/>
          <w:noProof/>
        </w:rPr>
        <w:t xml:space="preserve">Exhibit 8. Range of Performance and Progress of Individual Schools, 2012–13, </w:t>
      </w:r>
      <w:r w:rsidR="00AE01EE">
        <w:rPr>
          <w:b w:val="0"/>
          <w:noProof/>
        </w:rPr>
        <w:br/>
      </w:r>
      <w:r w:rsidRPr="00E60AF2">
        <w:rPr>
          <w:b w:val="0"/>
          <w:noProof/>
        </w:rPr>
        <w:t>by District</w:t>
      </w:r>
      <w:r w:rsidRPr="00E60AF2">
        <w:rPr>
          <w:b w:val="0"/>
          <w:noProof/>
        </w:rPr>
        <w:tab/>
      </w:r>
      <w:r w:rsidR="00103964" w:rsidRPr="00E60AF2">
        <w:rPr>
          <w:b w:val="0"/>
          <w:noProof/>
        </w:rPr>
        <w:fldChar w:fldCharType="begin"/>
      </w:r>
      <w:r w:rsidRPr="00E60AF2">
        <w:rPr>
          <w:b w:val="0"/>
          <w:noProof/>
        </w:rPr>
        <w:instrText xml:space="preserve"> PAGEREF _Toc273283763 \h </w:instrText>
      </w:r>
      <w:r w:rsidR="00103964" w:rsidRPr="00E60AF2">
        <w:rPr>
          <w:b w:val="0"/>
          <w:noProof/>
        </w:rPr>
      </w:r>
      <w:r w:rsidR="00103964" w:rsidRPr="00E60AF2">
        <w:rPr>
          <w:b w:val="0"/>
          <w:noProof/>
        </w:rPr>
        <w:fldChar w:fldCharType="separate"/>
      </w:r>
      <w:r w:rsidR="00103836">
        <w:rPr>
          <w:b w:val="0"/>
          <w:noProof/>
        </w:rPr>
        <w:t>12</w:t>
      </w:r>
      <w:r w:rsidR="00103964" w:rsidRPr="00E60AF2">
        <w:rPr>
          <w:b w:val="0"/>
          <w:noProof/>
        </w:rPr>
        <w:fldChar w:fldCharType="end"/>
      </w:r>
    </w:p>
    <w:p w:rsidR="00E60AF2" w:rsidRPr="00E60AF2" w:rsidRDefault="00E60AF2">
      <w:pPr>
        <w:pStyle w:val="TOC1"/>
        <w:tabs>
          <w:tab w:val="right" w:leader="dot" w:pos="9350"/>
        </w:tabs>
        <w:rPr>
          <w:b w:val="0"/>
          <w:noProof/>
          <w:lang w:eastAsia="ja-JP"/>
        </w:rPr>
      </w:pPr>
      <w:r w:rsidRPr="00E60AF2">
        <w:rPr>
          <w:b w:val="0"/>
          <w:noProof/>
        </w:rPr>
        <w:t>Exhibit 9. District Performance Levels, 2013</w:t>
      </w:r>
      <w:r w:rsidRPr="00E60AF2">
        <w:rPr>
          <w:b w:val="0"/>
          <w:noProof/>
        </w:rPr>
        <w:tab/>
      </w:r>
      <w:r w:rsidR="00103964" w:rsidRPr="00E60AF2">
        <w:rPr>
          <w:b w:val="0"/>
          <w:noProof/>
        </w:rPr>
        <w:fldChar w:fldCharType="begin"/>
      </w:r>
      <w:r w:rsidRPr="00E60AF2">
        <w:rPr>
          <w:b w:val="0"/>
          <w:noProof/>
        </w:rPr>
        <w:instrText xml:space="preserve"> PAGEREF _Toc273283764 \h </w:instrText>
      </w:r>
      <w:r w:rsidR="00103964" w:rsidRPr="00E60AF2">
        <w:rPr>
          <w:b w:val="0"/>
          <w:noProof/>
        </w:rPr>
      </w:r>
      <w:r w:rsidR="00103964" w:rsidRPr="00E60AF2">
        <w:rPr>
          <w:b w:val="0"/>
          <w:noProof/>
        </w:rPr>
        <w:fldChar w:fldCharType="separate"/>
      </w:r>
      <w:r w:rsidR="00103836">
        <w:rPr>
          <w:b w:val="0"/>
          <w:noProof/>
        </w:rPr>
        <w:t>13</w:t>
      </w:r>
      <w:r w:rsidR="00103964" w:rsidRPr="00E60AF2">
        <w:rPr>
          <w:b w:val="0"/>
          <w:noProof/>
        </w:rPr>
        <w:fldChar w:fldCharType="end"/>
      </w:r>
    </w:p>
    <w:p w:rsidR="005F5A4B" w:rsidRPr="00E60AF2" w:rsidRDefault="00103964" w:rsidP="007F266D">
      <w:pPr>
        <w:pStyle w:val="BodyText"/>
        <w:ind w:left="1080" w:hanging="1080"/>
      </w:pPr>
      <w:r w:rsidRPr="00E60AF2">
        <w:rPr>
          <w:rFonts w:eastAsia="Times"/>
        </w:rPr>
        <w:fldChar w:fldCharType="end"/>
      </w:r>
    </w:p>
    <w:p w:rsidR="005F5A4B" w:rsidRDefault="005F5A4B" w:rsidP="0035181C">
      <w:pPr>
        <w:pStyle w:val="BodyText"/>
      </w:pPr>
    </w:p>
    <w:p w:rsidR="005F5A4B" w:rsidRDefault="005F5A4B" w:rsidP="005F5A4B">
      <w:pPr>
        <w:jc w:val="center"/>
        <w:sectPr w:rsidR="005F5A4B">
          <w:headerReference w:type="default" r:id="rId16"/>
          <w:footerReference w:type="default" r:id="rId17"/>
          <w:pgSz w:w="12240" w:h="15840"/>
          <w:pgMar w:top="1440" w:right="1440" w:bottom="1440" w:left="1440" w:header="720" w:footer="720" w:gutter="0"/>
          <w:pgNumType w:fmt="lowerRoman" w:start="1"/>
          <w:cols w:space="720"/>
          <w:docGrid w:linePitch="360"/>
        </w:sectPr>
      </w:pPr>
    </w:p>
    <w:p w:rsidR="00427AA7" w:rsidRDefault="00427AA7" w:rsidP="005F5A4B">
      <w:pPr>
        <w:pStyle w:val="ChapterTitle"/>
      </w:pPr>
      <w:bookmarkStart w:id="9" w:name="_Toc399828612"/>
      <w:r>
        <w:t>Executive Summary</w:t>
      </w:r>
      <w:bookmarkEnd w:id="9"/>
    </w:p>
    <w:p w:rsidR="002D4F7A" w:rsidRDefault="002D4F7A" w:rsidP="002D4F7A">
      <w:pPr>
        <w:pStyle w:val="Heading1"/>
        <w:spacing w:before="0"/>
      </w:pPr>
      <w:bookmarkStart w:id="10" w:name="_Toc394916529"/>
      <w:bookmarkStart w:id="11" w:name="_Toc399828613"/>
      <w:r>
        <w:t>Background</w:t>
      </w:r>
      <w:bookmarkEnd w:id="10"/>
      <w:bookmarkEnd w:id="11"/>
    </w:p>
    <w:p w:rsidR="002D4F7A" w:rsidRDefault="00D15319" w:rsidP="00A905FB">
      <w:pPr>
        <w:pStyle w:val="BodyText"/>
      </w:pPr>
      <w:r>
        <w:t>T</w:t>
      </w:r>
      <w:r w:rsidR="002D4F7A" w:rsidRPr="00F651F1">
        <w:t>he Massachusetts Department of Elementary and Secondary Education</w:t>
      </w:r>
      <w:r w:rsidR="002D4F7A">
        <w:t xml:space="preserve"> (ESE)</w:t>
      </w:r>
      <w:r w:rsidR="002D4F7A" w:rsidRPr="00F651F1">
        <w:t xml:space="preserve"> funded </w:t>
      </w:r>
      <w:r w:rsidR="002D4F7A">
        <w:t>the Hu</w:t>
      </w:r>
      <w:r w:rsidR="002D4F7A" w:rsidRPr="00F651F1">
        <w:t>man Resources (HR) Pilot</w:t>
      </w:r>
      <w:r w:rsidR="002D4F7A">
        <w:t xml:space="preserve"> </w:t>
      </w:r>
      <w:r w:rsidR="00D82A56">
        <w:t>i</w:t>
      </w:r>
      <w:r w:rsidR="002D4F7A">
        <w:t>nitiative</w:t>
      </w:r>
      <w:r w:rsidR="002D4F7A" w:rsidRPr="00F651F1">
        <w:t xml:space="preserve"> </w:t>
      </w:r>
      <w:r>
        <w:t xml:space="preserve">as one of three </w:t>
      </w:r>
      <w:proofErr w:type="gramStart"/>
      <w:r>
        <w:t>Race</w:t>
      </w:r>
      <w:proofErr w:type="gramEnd"/>
      <w:r>
        <w:t xml:space="preserve"> to the Top-funded </w:t>
      </w:r>
      <w:r w:rsidR="00E60AF2">
        <w:t>H</w:t>
      </w:r>
      <w:r>
        <w:t>u</w:t>
      </w:r>
      <w:r w:rsidR="00E60AF2">
        <w:t>man C</w:t>
      </w:r>
      <w:r>
        <w:t xml:space="preserve">apital </w:t>
      </w:r>
      <w:r w:rsidR="00E60AF2">
        <w:t>M</w:t>
      </w:r>
      <w:r w:rsidR="009D5896">
        <w:t xml:space="preserve">anagement </w:t>
      </w:r>
      <w:r w:rsidR="00E60AF2">
        <w:t>I</w:t>
      </w:r>
      <w:r>
        <w:t>nitiatives aimed at improving teacher quality in the service of greater student learning. The HR Pilot</w:t>
      </w:r>
      <w:r w:rsidR="007E7385">
        <w:t>, developed jointly by the Working Group for Educator Excellence (WGEE) and ESE,</w:t>
      </w:r>
      <w:r>
        <w:t xml:space="preserve"> </w:t>
      </w:r>
      <w:r w:rsidR="00A04537">
        <w:t xml:space="preserve">supported </w:t>
      </w:r>
      <w:r w:rsidR="002D4F7A" w:rsidRPr="00F651F1">
        <w:t xml:space="preserve">comprehensive reforms in human resource policies </w:t>
      </w:r>
      <w:r>
        <w:t xml:space="preserve">in three </w:t>
      </w:r>
      <w:r w:rsidR="002D4F7A" w:rsidRPr="00F651F1">
        <w:t>pilot districts</w:t>
      </w:r>
      <w:r w:rsidR="002D4F7A">
        <w:t xml:space="preserve">. This final report of the HR Pilot </w:t>
      </w:r>
      <w:r w:rsidR="002D4F7A" w:rsidRPr="00F651F1">
        <w:t xml:space="preserve">evaluation </w:t>
      </w:r>
      <w:r w:rsidR="002D4F7A">
        <w:t>a</w:t>
      </w:r>
      <w:r w:rsidR="002D4F7A" w:rsidRPr="00F651F1">
        <w:t xml:space="preserve">ddresses </w:t>
      </w:r>
      <w:r w:rsidR="00A04537">
        <w:t xml:space="preserve">the </w:t>
      </w:r>
      <w:r w:rsidR="002D4F7A">
        <w:t>overarching question</w:t>
      </w:r>
      <w:r w:rsidR="00144C49">
        <w:t>s</w:t>
      </w:r>
      <w:r w:rsidR="002D4F7A">
        <w:t>: T</w:t>
      </w:r>
      <w:r w:rsidR="002D4F7A" w:rsidRPr="00F651F1">
        <w:t>o what extent and</w:t>
      </w:r>
      <w:r w:rsidR="002D4F7A">
        <w:t xml:space="preserve"> in what ways did</w:t>
      </w:r>
      <w:r w:rsidR="002D4F7A" w:rsidRPr="00F651F1">
        <w:t xml:space="preserve"> the HR Pilot </w:t>
      </w:r>
      <w:r w:rsidR="002D4F7A">
        <w:t xml:space="preserve">attain </w:t>
      </w:r>
      <w:r w:rsidR="002D4F7A" w:rsidRPr="00F651F1">
        <w:t>its goal of reforming district human re</w:t>
      </w:r>
      <w:r w:rsidR="002D4F7A" w:rsidRPr="00F075A2">
        <w:t>sources systems to strengthen teach</w:t>
      </w:r>
      <w:r w:rsidR="00144C49">
        <w:t>er</w:t>
      </w:r>
      <w:r w:rsidR="002D4F7A" w:rsidRPr="00F075A2">
        <w:t xml:space="preserve"> quality</w:t>
      </w:r>
      <w:r w:rsidR="00144C49">
        <w:t>?</w:t>
      </w:r>
      <w:r w:rsidR="002D4F7A">
        <w:t xml:space="preserve"> </w:t>
      </w:r>
      <w:r w:rsidR="002D4F7A" w:rsidRPr="00932971">
        <w:t xml:space="preserve">The report </w:t>
      </w:r>
      <w:r>
        <w:t xml:space="preserve">draws on </w:t>
      </w:r>
      <w:r w:rsidR="002D4F7A" w:rsidRPr="00932971">
        <w:t xml:space="preserve">qualitative data collected </w:t>
      </w:r>
      <w:r>
        <w:t xml:space="preserve">during </w:t>
      </w:r>
      <w:r w:rsidR="002D4F7A" w:rsidRPr="00932971">
        <w:t xml:space="preserve">site visits to each district in </w:t>
      </w:r>
      <w:r w:rsidR="00F2012F">
        <w:t>fall 2012</w:t>
      </w:r>
      <w:r w:rsidR="005342FE">
        <w:t>,</w:t>
      </w:r>
      <w:r w:rsidR="00F2012F">
        <w:t xml:space="preserve"> </w:t>
      </w:r>
      <w:r w:rsidR="002D4F7A" w:rsidRPr="00932971">
        <w:t xml:space="preserve">spring </w:t>
      </w:r>
      <w:r w:rsidR="00F2012F">
        <w:t>2013</w:t>
      </w:r>
      <w:r w:rsidR="005342FE">
        <w:t xml:space="preserve">, and spring </w:t>
      </w:r>
      <w:r w:rsidR="00F2012F">
        <w:t>2014</w:t>
      </w:r>
      <w:r w:rsidR="002D4F7A" w:rsidRPr="00932971">
        <w:t xml:space="preserve">, and phone interviews in fall 2013. </w:t>
      </w:r>
    </w:p>
    <w:p w:rsidR="002D4F7A" w:rsidRDefault="002D4F7A" w:rsidP="002D4F7A">
      <w:pPr>
        <w:pStyle w:val="Heading1"/>
      </w:pPr>
      <w:bookmarkStart w:id="12" w:name="_Toc394916530"/>
      <w:bookmarkStart w:id="13" w:name="_Toc399828614"/>
      <w:r>
        <w:t>HR Pilot Initiative Overview</w:t>
      </w:r>
      <w:bookmarkEnd w:id="12"/>
      <w:bookmarkEnd w:id="13"/>
    </w:p>
    <w:p w:rsidR="007F5A1B" w:rsidRPr="007F5A1B" w:rsidRDefault="00D15319" w:rsidP="00F925BF">
      <w:pPr>
        <w:pStyle w:val="BodyText"/>
      </w:pPr>
      <w:r>
        <w:t>T</w:t>
      </w:r>
      <w:r w:rsidR="002D4F7A">
        <w:t xml:space="preserve">he HR Pilot </w:t>
      </w:r>
      <w:r w:rsidR="001B2E9C">
        <w:t>i</w:t>
      </w:r>
      <w:r w:rsidR="002D4F7A">
        <w:t>nitiative focuse</w:t>
      </w:r>
      <w:r w:rsidR="00544064">
        <w:t>d</w:t>
      </w:r>
      <w:r w:rsidR="002D4F7A">
        <w:t xml:space="preserve"> on </w:t>
      </w:r>
      <w:r w:rsidR="004E13A2">
        <w:t xml:space="preserve">the goal of </w:t>
      </w:r>
      <w:r w:rsidR="00135B33">
        <w:t>e</w:t>
      </w:r>
      <w:r w:rsidR="004E13A2">
        <w:t xml:space="preserve">ffecting systemic changes under </w:t>
      </w:r>
      <w:r w:rsidR="002D4F7A">
        <w:t xml:space="preserve">seven </w:t>
      </w:r>
      <w:r w:rsidR="00A04537">
        <w:t xml:space="preserve">HR </w:t>
      </w:r>
      <w:r>
        <w:t>“</w:t>
      </w:r>
      <w:r w:rsidR="002D4F7A">
        <w:t>levers</w:t>
      </w:r>
      <w:r>
        <w:t>,”</w:t>
      </w:r>
      <w:r w:rsidR="002D4F7A">
        <w:t xml:space="preserve"> </w:t>
      </w:r>
      <w:r w:rsidR="00135B33">
        <w:t xml:space="preserve">to </w:t>
      </w:r>
      <w:r w:rsidR="002D4F7A">
        <w:t xml:space="preserve">drive improvement in teacher knowledge and skills. </w:t>
      </w:r>
      <w:r>
        <w:t>The seven levers were</w:t>
      </w:r>
      <w:r w:rsidR="00144C49">
        <w:t xml:space="preserve">: </w:t>
      </w:r>
    </w:p>
    <w:p w:rsidR="00C44B40" w:rsidRPr="007F5A1B" w:rsidRDefault="00C44B40" w:rsidP="007F5A1B">
      <w:pPr>
        <w:pStyle w:val="ListParagraph"/>
        <w:numPr>
          <w:ilvl w:val="1"/>
          <w:numId w:val="20"/>
        </w:numPr>
      </w:pPr>
      <w:r w:rsidRPr="007F5A1B">
        <w:t xml:space="preserve">Recruitment, hiring, and placement </w:t>
      </w:r>
    </w:p>
    <w:p w:rsidR="00C44B40" w:rsidRPr="007F5A1B" w:rsidRDefault="00C44B40" w:rsidP="007F5A1B">
      <w:pPr>
        <w:pStyle w:val="ListParagraph"/>
        <w:numPr>
          <w:ilvl w:val="1"/>
          <w:numId w:val="20"/>
        </w:numPr>
      </w:pPr>
      <w:r w:rsidRPr="007F5A1B">
        <w:t>Induction</w:t>
      </w:r>
    </w:p>
    <w:p w:rsidR="00C44B40" w:rsidRPr="007F5A1B" w:rsidRDefault="00C44B40" w:rsidP="007F5A1B">
      <w:pPr>
        <w:pStyle w:val="ListParagraph"/>
        <w:numPr>
          <w:ilvl w:val="1"/>
          <w:numId w:val="20"/>
        </w:numPr>
      </w:pPr>
      <w:r w:rsidRPr="007F5A1B">
        <w:t xml:space="preserve">Professional development </w:t>
      </w:r>
    </w:p>
    <w:p w:rsidR="00C44B40" w:rsidRPr="007F5A1B" w:rsidRDefault="00C44B40" w:rsidP="007F5A1B">
      <w:pPr>
        <w:pStyle w:val="ListParagraph"/>
        <w:numPr>
          <w:ilvl w:val="1"/>
          <w:numId w:val="20"/>
        </w:numPr>
      </w:pPr>
      <w:r w:rsidRPr="007F5A1B">
        <w:t>Supervision and evaluation</w:t>
      </w:r>
    </w:p>
    <w:p w:rsidR="00C44B40" w:rsidRPr="007F5A1B" w:rsidRDefault="00C44B40" w:rsidP="007F5A1B">
      <w:pPr>
        <w:pStyle w:val="ListParagraph"/>
        <w:numPr>
          <w:ilvl w:val="1"/>
          <w:numId w:val="20"/>
        </w:numPr>
      </w:pPr>
      <w:r w:rsidRPr="007F5A1B">
        <w:t>Teacher leadership and career advancement</w:t>
      </w:r>
    </w:p>
    <w:p w:rsidR="00C44B40" w:rsidRPr="007F5A1B" w:rsidRDefault="00C44B40" w:rsidP="007F5A1B">
      <w:pPr>
        <w:pStyle w:val="ListParagraph"/>
        <w:numPr>
          <w:ilvl w:val="1"/>
          <w:numId w:val="20"/>
        </w:numPr>
      </w:pPr>
      <w:r w:rsidRPr="007F5A1B">
        <w:t xml:space="preserve">Organizational structure </w:t>
      </w:r>
    </w:p>
    <w:p w:rsidR="00C44B40" w:rsidRPr="007F5A1B" w:rsidRDefault="00C44B40" w:rsidP="007F5A1B">
      <w:pPr>
        <w:pStyle w:val="ListParagraph"/>
        <w:numPr>
          <w:ilvl w:val="1"/>
          <w:numId w:val="20"/>
        </w:numPr>
      </w:pPr>
      <w:r w:rsidRPr="007F5A1B">
        <w:t>Adult professional culture</w:t>
      </w:r>
    </w:p>
    <w:p w:rsidR="00ED0476" w:rsidRDefault="00ED0476" w:rsidP="00F925BF">
      <w:pPr>
        <w:pStyle w:val="BodyText"/>
      </w:pPr>
      <w:r>
        <w:t xml:space="preserve">Conceptually, HR Pilot would stimulate changes in policy and practice under these seven levers </w:t>
      </w:r>
      <w:r w:rsidR="00F97AF1">
        <w:t xml:space="preserve">so </w:t>
      </w:r>
      <w:r>
        <w:t xml:space="preserve">that they are consistent and aligned to what teachers need to know and </w:t>
      </w:r>
      <w:r w:rsidR="00F97AF1">
        <w:t>are</w:t>
      </w:r>
      <w:r>
        <w:t xml:space="preserve"> able to do effectively </w:t>
      </w:r>
      <w:r w:rsidR="00A770B4">
        <w:t>for students to meet content and performance standards.</w:t>
      </w:r>
    </w:p>
    <w:p w:rsidR="00A04537" w:rsidRDefault="00A04537" w:rsidP="00A905FB">
      <w:pPr>
        <w:pStyle w:val="BodyText"/>
      </w:pPr>
      <w:r>
        <w:t>Three pilot districts</w:t>
      </w:r>
      <w:r w:rsidR="00A770B4">
        <w:t xml:space="preserve"> were selected for their leadership, positive district-union relationship, and evidence of some progress under at least one of the levers. </w:t>
      </w:r>
      <w:r w:rsidR="00192FE6">
        <w:t>Attleboro, Brockton, and Revere began planning in 2011</w:t>
      </w:r>
      <w:r>
        <w:t xml:space="preserve"> </w:t>
      </w:r>
      <w:r w:rsidR="00ED0476">
        <w:t>and implementation in 2012. The grant ended in June 2014, for a roughly 2.5-year implementation period.</w:t>
      </w:r>
    </w:p>
    <w:p w:rsidR="00D15319" w:rsidRDefault="00D15319" w:rsidP="00A905FB">
      <w:pPr>
        <w:pStyle w:val="BodyText"/>
      </w:pPr>
      <w:r>
        <w:t xml:space="preserve">To implement the </w:t>
      </w:r>
      <w:r w:rsidR="00A04537">
        <w:t xml:space="preserve">HR Pilot </w:t>
      </w:r>
      <w:r>
        <w:t>local</w:t>
      </w:r>
      <w:r w:rsidR="00A04537">
        <w:t>ly</w:t>
      </w:r>
      <w:r>
        <w:t>, the districts formed steering committees to oversee the entire project and subcommittees to work on the levers</w:t>
      </w:r>
      <w:r w:rsidR="00751B7B">
        <w:t xml:space="preserve"> during the planning stage</w:t>
      </w:r>
      <w:r w:rsidR="00ED0476">
        <w:t>. C</w:t>
      </w:r>
      <w:r w:rsidR="00ED0476" w:rsidRPr="00DE64BE">
        <w:t>ommittee</w:t>
      </w:r>
      <w:r w:rsidR="00ED0476">
        <w:t xml:space="preserve"> members came from all levels of the system, with representation from classroom, school, and district levels</w:t>
      </w:r>
      <w:r w:rsidR="005A7195">
        <w:t>,</w:t>
      </w:r>
      <w:r w:rsidR="00ED0476">
        <w:t xml:space="preserve"> and from the local union. This committee structure</w:t>
      </w:r>
      <w:r w:rsidR="00ED0476">
        <w:sym w:font="Symbol" w:char="F0BE"/>
      </w:r>
      <w:r w:rsidR="00ED0476">
        <w:t>to differing degrees</w:t>
      </w:r>
      <w:r w:rsidR="00ED0476">
        <w:sym w:font="Symbol" w:char="F0BE"/>
      </w:r>
      <w:r w:rsidR="00ED0476">
        <w:t>became the main vehicle through which the districts identified and implemented changes in policy and practice under various HR levers.</w:t>
      </w:r>
      <w:r>
        <w:t xml:space="preserve"> </w:t>
      </w:r>
      <w:r w:rsidR="00A770B4">
        <w:t>The d</w:t>
      </w:r>
      <w:r>
        <w:t xml:space="preserve">istricts </w:t>
      </w:r>
      <w:r w:rsidR="0093347A">
        <w:t xml:space="preserve">also </w:t>
      </w:r>
      <w:r>
        <w:t xml:space="preserve">received technical assistance </w:t>
      </w:r>
      <w:r w:rsidR="007E7385">
        <w:t>from the WGEE</w:t>
      </w:r>
      <w:r w:rsidR="00B04E4E">
        <w:t>,</w:t>
      </w:r>
      <w:r w:rsidR="007E7385">
        <w:t xml:space="preserve"> </w:t>
      </w:r>
      <w:r>
        <w:t xml:space="preserve">comprising both cross-district opportunities for sharing and learning and district-specific supports. </w:t>
      </w:r>
    </w:p>
    <w:p w:rsidR="002D4F7A" w:rsidRDefault="002D4F7A" w:rsidP="002D4F7A">
      <w:pPr>
        <w:pStyle w:val="Heading1"/>
      </w:pPr>
      <w:bookmarkStart w:id="14" w:name="_Toc394916531"/>
      <w:bookmarkStart w:id="15" w:name="_Toc399828615"/>
      <w:r>
        <w:t>District Accomplishments</w:t>
      </w:r>
      <w:bookmarkEnd w:id="14"/>
      <w:bookmarkEnd w:id="15"/>
    </w:p>
    <w:p w:rsidR="001B37D6" w:rsidRDefault="00B01785" w:rsidP="004A7656">
      <w:pPr>
        <w:pStyle w:val="BodyText"/>
      </w:pPr>
      <w:r>
        <w:t xml:space="preserve">Overall, the three HR Pilot districts differed in the levers they actively worked on and the extent to which they made related changes in policy or practice. The </w:t>
      </w:r>
      <w:r w:rsidR="001B37D6">
        <w:t xml:space="preserve">common themes included the levers under which the districts could most easily define concrete changes, challenges in addressing adult professional culture, and challenges in aligning the seven levers into a coherent system. </w:t>
      </w:r>
    </w:p>
    <w:p w:rsidR="005036FC" w:rsidRDefault="002D4F7A" w:rsidP="004A7656">
      <w:pPr>
        <w:pStyle w:val="BodyText"/>
      </w:pPr>
      <w:r>
        <w:t>System</w:t>
      </w:r>
      <w:r w:rsidR="00F2642F">
        <w:t>s</w:t>
      </w:r>
      <w:r>
        <w:t xml:space="preserve"> changes </w:t>
      </w:r>
      <w:r w:rsidR="00F2642F">
        <w:t xml:space="preserve">in the three pilot districts </w:t>
      </w:r>
      <w:r>
        <w:t xml:space="preserve">took place primarily in the areas </w:t>
      </w:r>
      <w:r w:rsidR="00F2642F">
        <w:t xml:space="preserve">districts could most </w:t>
      </w:r>
      <w:r w:rsidR="00A770B4">
        <w:t xml:space="preserve">concretely </w:t>
      </w:r>
      <w:r w:rsidR="00F2642F">
        <w:t>define</w:t>
      </w:r>
      <w:r w:rsidR="00480E4F">
        <w:t xml:space="preserve"> and were aligned most closely with district priorities</w:t>
      </w:r>
      <w:r>
        <w:t xml:space="preserve">, </w:t>
      </w:r>
      <w:r w:rsidR="00B04E4E">
        <w:t xml:space="preserve">such as </w:t>
      </w:r>
      <w:r>
        <w:t>hiring, induction, and professional development.</w:t>
      </w:r>
      <w:r w:rsidR="00934943">
        <w:t xml:space="preserve"> </w:t>
      </w:r>
      <w:r w:rsidR="00A42FF6">
        <w:t>In particular, t</w:t>
      </w:r>
      <w:r>
        <w:t xml:space="preserve">he evaluation lever became the vehicle for implementing </w:t>
      </w:r>
      <w:r w:rsidR="00A770B4">
        <w:t xml:space="preserve">Massachusetts’ </w:t>
      </w:r>
      <w:r>
        <w:t xml:space="preserve">new educator evaluation framework and the hub of HR </w:t>
      </w:r>
      <w:r w:rsidR="00A770B4">
        <w:t xml:space="preserve">Pilot </w:t>
      </w:r>
      <w:r>
        <w:t xml:space="preserve">activities in all three districts. </w:t>
      </w:r>
    </w:p>
    <w:p w:rsidR="00AF2153" w:rsidRDefault="00AF2153" w:rsidP="004A7656">
      <w:pPr>
        <w:pStyle w:val="BodyText"/>
      </w:pPr>
      <w:r>
        <w:t xml:space="preserve">In implementing specific changes under the HR Pilot, the districts enhanced </w:t>
      </w:r>
      <w:r w:rsidR="005B621D">
        <w:t xml:space="preserve">central office and </w:t>
      </w:r>
      <w:r>
        <w:t>teacher leadership capacity</w:t>
      </w:r>
      <w:r w:rsidR="005D0607">
        <w:t>. E</w:t>
      </w:r>
      <w:r w:rsidR="00C65438">
        <w:t>ducator evaluation</w:t>
      </w:r>
      <w:r w:rsidR="005D0607">
        <w:t xml:space="preserve"> provided an occasion for creating new cadres of teacher leaders in the HR Pilot districts who helped train and support colleagues in the new evaluation process. These specific teacher leaders and the concept of teacher leaders more generally became a tool for supporting other changes</w:t>
      </w:r>
      <w:r w:rsidR="00B04E4E">
        <w:t>—</w:t>
      </w:r>
      <w:r w:rsidR="005D0607">
        <w:t>for example</w:t>
      </w:r>
      <w:r w:rsidR="007B7FF1">
        <w:t>,</w:t>
      </w:r>
      <w:r w:rsidR="005D0607">
        <w:t xml:space="preserve"> in professional development</w:t>
      </w:r>
      <w:r w:rsidR="00B04E4E">
        <w:t>—</w:t>
      </w:r>
      <w:r w:rsidR="005D0607">
        <w:t>in at least one of the HR Pilot districts. The pilot districts also expanded central office capacity to support hiring, recruitment, and new teacher induction.</w:t>
      </w:r>
    </w:p>
    <w:p w:rsidR="002D4F7A" w:rsidRDefault="005036FC" w:rsidP="004A7656">
      <w:pPr>
        <w:pStyle w:val="BodyText"/>
      </w:pPr>
      <w:r>
        <w:t xml:space="preserve">Districts also made concerted efforts to develop linkages among the other levers, and connections between subsets of levers </w:t>
      </w:r>
      <w:r w:rsidR="00776A77">
        <w:t xml:space="preserve">gradually </w:t>
      </w:r>
      <w:r>
        <w:t xml:space="preserve">emerged over the life of the project. </w:t>
      </w:r>
      <w:r w:rsidR="002D4F7A">
        <w:t xml:space="preserve">However, </w:t>
      </w:r>
      <w:r w:rsidR="00A770B4">
        <w:t xml:space="preserve">in the relatively short implementation period, districts had concentrated on activities under specific levers and </w:t>
      </w:r>
      <w:r w:rsidR="002D4F7A">
        <w:t xml:space="preserve">the districts </w:t>
      </w:r>
      <w:r w:rsidR="00A770B4">
        <w:t xml:space="preserve">had not developed an understanding of </w:t>
      </w:r>
      <w:r w:rsidR="002D4F7A">
        <w:t xml:space="preserve">how </w:t>
      </w:r>
      <w:r w:rsidR="00534B4D">
        <w:t xml:space="preserve">to </w:t>
      </w:r>
      <w:r w:rsidR="002D4F7A">
        <w:t xml:space="preserve">align </w:t>
      </w:r>
      <w:r w:rsidR="00776A77">
        <w:t xml:space="preserve">all </w:t>
      </w:r>
      <w:r w:rsidR="002D4F7A">
        <w:t>the levers into an integrated system.</w:t>
      </w:r>
      <w:r w:rsidR="00E51157">
        <w:t xml:space="preserve"> </w:t>
      </w:r>
    </w:p>
    <w:p w:rsidR="002D4F7A" w:rsidRPr="00D40F28" w:rsidRDefault="00A770B4" w:rsidP="00A905FB">
      <w:pPr>
        <w:pStyle w:val="BodyText"/>
      </w:pPr>
      <w:r>
        <w:t>In particular, a</w:t>
      </w:r>
      <w:r w:rsidR="00CE2320">
        <w:t>dult professional culture</w:t>
      </w:r>
      <w:r w:rsidR="00C02DD4">
        <w:t xml:space="preserve"> was one of </w:t>
      </w:r>
      <w:r w:rsidR="004A7656">
        <w:t>the most challen</w:t>
      </w:r>
      <w:r w:rsidR="00776A77">
        <w:t>ging levers to address directly</w:t>
      </w:r>
      <w:r w:rsidR="00C02DD4">
        <w:t xml:space="preserve"> because committee members found it difficult to identify concrete actions to alter culture district</w:t>
      </w:r>
      <w:r w:rsidR="00B82C30">
        <w:t>wide</w:t>
      </w:r>
      <w:r w:rsidR="00CE2320">
        <w:t xml:space="preserve">. </w:t>
      </w:r>
      <w:r>
        <w:t>T</w:t>
      </w:r>
      <w:r w:rsidR="00CE2320">
        <w:t>he processes the district</w:t>
      </w:r>
      <w:r>
        <w:t>s</w:t>
      </w:r>
      <w:r w:rsidR="00CE2320">
        <w:t xml:space="preserve"> </w:t>
      </w:r>
      <w:r>
        <w:t xml:space="preserve">pursued </w:t>
      </w:r>
      <w:r w:rsidR="00CE2320">
        <w:t xml:space="preserve">to </w:t>
      </w:r>
      <w:r>
        <w:t xml:space="preserve">implement </w:t>
      </w:r>
      <w:r w:rsidR="00CE2320">
        <w:t xml:space="preserve">the HR Pilot nevertheless </w:t>
      </w:r>
      <w:r w:rsidR="00B82C30">
        <w:t xml:space="preserve">fostered a </w:t>
      </w:r>
      <w:r w:rsidR="00CE2320">
        <w:t>culture</w:t>
      </w:r>
      <w:r w:rsidR="00B82C30">
        <w:t xml:space="preserve"> of wider educator engagement and participation</w:t>
      </w:r>
      <w:r w:rsidR="00CE2320">
        <w:t>. Th</w:t>
      </w:r>
      <w:r w:rsidR="002D4F7A" w:rsidRPr="00D40F28">
        <w:t>e committee structures generated opportunities for educators at all levels to add their voices to the decisionmaking process.</w:t>
      </w:r>
      <w:r w:rsidR="00934943">
        <w:t xml:space="preserve"> </w:t>
      </w:r>
      <w:r w:rsidR="002D4F7A" w:rsidRPr="00D40F28">
        <w:t xml:space="preserve">As </w:t>
      </w:r>
      <w:r w:rsidR="00B82C30">
        <w:t xml:space="preserve">a key </w:t>
      </w:r>
      <w:r w:rsidR="002D4F7A" w:rsidRPr="00D40F28">
        <w:t>channel of communication between administrators and teachers on district priorities, the committees promoted greater collaboration between district administrators and other educators.</w:t>
      </w:r>
      <w:r w:rsidR="00934943">
        <w:t xml:space="preserve"> </w:t>
      </w:r>
    </w:p>
    <w:p w:rsidR="002D4F7A" w:rsidRDefault="002D4F7A" w:rsidP="002D4F7A">
      <w:pPr>
        <w:pStyle w:val="Heading1"/>
        <w:spacing w:before="0"/>
      </w:pPr>
      <w:bookmarkStart w:id="16" w:name="_Toc394916532"/>
      <w:bookmarkStart w:id="17" w:name="_Toc399828616"/>
      <w:r>
        <w:t>Factors Affecting District Accomplishments</w:t>
      </w:r>
      <w:bookmarkEnd w:id="16"/>
      <w:bookmarkEnd w:id="17"/>
      <w:r>
        <w:t xml:space="preserve"> </w:t>
      </w:r>
    </w:p>
    <w:p w:rsidR="002D4F7A" w:rsidRPr="00F93369" w:rsidRDefault="002D4F7A" w:rsidP="00A905FB">
      <w:pPr>
        <w:pStyle w:val="BodyText"/>
        <w:rPr>
          <w:rFonts w:eastAsia="MS Mincho"/>
        </w:rPr>
      </w:pPr>
      <w:r w:rsidRPr="00F93369">
        <w:rPr>
          <w:rFonts w:eastAsia="MS Mincho"/>
        </w:rPr>
        <w:t xml:space="preserve">Four factors </w:t>
      </w:r>
      <w:r w:rsidR="00F2642F" w:rsidRPr="00F93369">
        <w:rPr>
          <w:rFonts w:eastAsia="MS Mincho"/>
        </w:rPr>
        <w:t>helped explain variation in implementing</w:t>
      </w:r>
      <w:r w:rsidRPr="00F93369">
        <w:rPr>
          <w:rFonts w:eastAsia="MS Mincho"/>
        </w:rPr>
        <w:t xml:space="preserve"> the </w:t>
      </w:r>
      <w:r w:rsidR="00F2642F" w:rsidRPr="00F93369">
        <w:rPr>
          <w:rFonts w:eastAsia="MS Mincho"/>
        </w:rPr>
        <w:t xml:space="preserve">local </w:t>
      </w:r>
      <w:r w:rsidRPr="00F93369">
        <w:rPr>
          <w:rFonts w:eastAsia="MS Mincho"/>
        </w:rPr>
        <w:t xml:space="preserve">HR Pilot </w:t>
      </w:r>
      <w:r w:rsidR="00F2642F" w:rsidRPr="00F93369">
        <w:rPr>
          <w:rFonts w:eastAsia="MS Mincho"/>
        </w:rPr>
        <w:t>projects in each district</w:t>
      </w:r>
      <w:r w:rsidRPr="00F93369">
        <w:rPr>
          <w:rFonts w:eastAsia="MS Mincho"/>
        </w:rPr>
        <w:t>: leadership</w:t>
      </w:r>
      <w:r w:rsidR="007213C3" w:rsidRPr="00F93369">
        <w:rPr>
          <w:rFonts w:eastAsia="MS Mincho"/>
        </w:rPr>
        <w:t>,</w:t>
      </w:r>
      <w:r w:rsidRPr="00F93369">
        <w:rPr>
          <w:rFonts w:eastAsia="MS Mincho"/>
        </w:rPr>
        <w:t xml:space="preserve"> labor management relations</w:t>
      </w:r>
      <w:r w:rsidR="007213C3" w:rsidRPr="00F93369">
        <w:rPr>
          <w:rFonts w:eastAsia="MS Mincho"/>
        </w:rPr>
        <w:t>,</w:t>
      </w:r>
      <w:r w:rsidRPr="00F93369">
        <w:rPr>
          <w:rFonts w:eastAsia="MS Mincho"/>
        </w:rPr>
        <w:t xml:space="preserve"> communication and buy-in</w:t>
      </w:r>
      <w:r w:rsidR="007213C3" w:rsidRPr="00F93369">
        <w:rPr>
          <w:rFonts w:eastAsia="MS Mincho"/>
        </w:rPr>
        <w:t>,</w:t>
      </w:r>
      <w:r w:rsidRPr="00F93369">
        <w:rPr>
          <w:rFonts w:eastAsia="MS Mincho"/>
        </w:rPr>
        <w:t xml:space="preserve"> and technical assistance. </w:t>
      </w:r>
    </w:p>
    <w:p w:rsidR="002D4F7A" w:rsidRDefault="00F2642F" w:rsidP="00A905FB">
      <w:pPr>
        <w:pStyle w:val="BodyText"/>
      </w:pPr>
      <w:r>
        <w:t>In the three districts, t</w:t>
      </w:r>
      <w:r w:rsidR="002D4F7A" w:rsidRPr="00CD3EBE">
        <w:t>he superintendent was the</w:t>
      </w:r>
      <w:r w:rsidR="002D4F7A">
        <w:t xml:space="preserve"> </w:t>
      </w:r>
      <w:r>
        <w:t xml:space="preserve">key decisionmaker </w:t>
      </w:r>
      <w:r w:rsidR="002D4F7A" w:rsidRPr="00CD3EBE">
        <w:t xml:space="preserve">in </w:t>
      </w:r>
      <w:r>
        <w:t xml:space="preserve">agreeing to participate in the </w:t>
      </w:r>
      <w:r w:rsidR="002D4F7A" w:rsidRPr="00CD3EBE">
        <w:t>HR Pilot.</w:t>
      </w:r>
      <w:r>
        <w:t xml:space="preserve"> </w:t>
      </w:r>
      <w:r w:rsidR="002D4F7A">
        <w:t xml:space="preserve">Once implementation </w:t>
      </w:r>
      <w:r>
        <w:t>was underway</w:t>
      </w:r>
      <w:r w:rsidR="002D4F7A">
        <w:t>, leaders signaled their ongoing support by</w:t>
      </w:r>
      <w:r w:rsidR="002D4F7A" w:rsidRPr="00CD3EBE">
        <w:t xml:space="preserve"> </w:t>
      </w:r>
      <w:r w:rsidR="002D4F7A">
        <w:t>providing</w:t>
      </w:r>
      <w:r w:rsidR="002D4F7A" w:rsidRPr="00CD3EBE">
        <w:t xml:space="preserve"> resources </w:t>
      </w:r>
      <w:r w:rsidR="002D4F7A">
        <w:t>for committees</w:t>
      </w:r>
      <w:r>
        <w:t xml:space="preserve">, welcoming </w:t>
      </w:r>
      <w:r w:rsidR="002D4F7A" w:rsidRPr="00CD3EBE">
        <w:t>suggestions for</w:t>
      </w:r>
      <w:r w:rsidR="002D4F7A">
        <w:t xml:space="preserve"> change</w:t>
      </w:r>
      <w:r>
        <w:t>, and evaluating and following through with changes in priority areas</w:t>
      </w:r>
      <w:r w:rsidR="002D4F7A">
        <w:t>.</w:t>
      </w:r>
      <w:r w:rsidR="00934943">
        <w:t xml:space="preserve"> </w:t>
      </w:r>
      <w:r w:rsidR="001B37D6">
        <w:t>Superintendent turnover influenced the pace and nature of the work locally.</w:t>
      </w:r>
    </w:p>
    <w:p w:rsidR="002D4F7A" w:rsidRDefault="002D4F7A" w:rsidP="00A905FB">
      <w:pPr>
        <w:pStyle w:val="BodyText"/>
      </w:pPr>
      <w:r>
        <w:t>Successful partnerships between the local union</w:t>
      </w:r>
      <w:r w:rsidRPr="00AE30ED">
        <w:t xml:space="preserve"> and district management</w:t>
      </w:r>
      <w:r>
        <w:t xml:space="preserve"> acted as another key factor in the implementation process</w:t>
      </w:r>
      <w:r w:rsidR="00E948A8">
        <w:t xml:space="preserve">. </w:t>
      </w:r>
      <w:r w:rsidR="001B37D6">
        <w:t>Overall, a</w:t>
      </w:r>
      <w:r w:rsidR="00E948A8">
        <w:t xml:space="preserve"> collaborative relationship built a st</w:t>
      </w:r>
      <w:r w:rsidR="00992678">
        <w:t xml:space="preserve">rong foundation for the </w:t>
      </w:r>
      <w:r w:rsidR="001B37D6">
        <w:t xml:space="preserve">local </w:t>
      </w:r>
      <w:r w:rsidR="00992678">
        <w:t xml:space="preserve">HR Pilot </w:t>
      </w:r>
      <w:r w:rsidR="001B37D6">
        <w:t>project and</w:t>
      </w:r>
      <w:r w:rsidR="00E948A8">
        <w:t xml:space="preserve"> smoothed the implementation process</w:t>
      </w:r>
      <w:r w:rsidR="001B37D6">
        <w:t xml:space="preserve"> for any proposed changes. </w:t>
      </w:r>
      <w:r w:rsidR="004B4985">
        <w:t xml:space="preserve">This foundation helped mitigate to some extent the potential risk to the project resulting from </w:t>
      </w:r>
      <w:r w:rsidR="001B37D6">
        <w:t xml:space="preserve">district and union leader </w:t>
      </w:r>
      <w:r w:rsidR="00992678">
        <w:t>turnover</w:t>
      </w:r>
      <w:r w:rsidR="004B4985">
        <w:t>.</w:t>
      </w:r>
    </w:p>
    <w:p w:rsidR="002D4F7A" w:rsidRPr="000D4E34" w:rsidRDefault="001E66E7" w:rsidP="00A905FB">
      <w:pPr>
        <w:pStyle w:val="BodyText"/>
      </w:pPr>
      <w:r>
        <w:t xml:space="preserve">Districtwide communication about and buy-in to the changes developed under the local HR Pilot projects remained a necessary effort. </w:t>
      </w:r>
      <w:r w:rsidR="002D4F7A">
        <w:t>A limited (albeit committed) cadre of educators comprised the committees and became informed HR Pilot champions</w:t>
      </w:r>
      <w:r w:rsidR="00F2642F">
        <w:t xml:space="preserve"> in carrying out and communicating HR Pilot-related work</w:t>
      </w:r>
      <w:r w:rsidR="002D4F7A">
        <w:t xml:space="preserve">. However, despite </w:t>
      </w:r>
      <w:r w:rsidR="002D4F7A" w:rsidRPr="00F93369">
        <w:rPr>
          <w:color w:val="000000"/>
        </w:rPr>
        <w:t xml:space="preserve">districts’ efforts to build broader support, the majority of staff not directly involved </w:t>
      </w:r>
      <w:r w:rsidR="00F2642F" w:rsidRPr="00F93369">
        <w:rPr>
          <w:color w:val="000000"/>
        </w:rPr>
        <w:t xml:space="preserve">knew </w:t>
      </w:r>
      <w:r w:rsidR="002D4F7A" w:rsidRPr="00F93369">
        <w:rPr>
          <w:color w:val="000000"/>
        </w:rPr>
        <w:t xml:space="preserve">little about the goals </w:t>
      </w:r>
      <w:r w:rsidR="00F2642F" w:rsidRPr="00F93369">
        <w:rPr>
          <w:color w:val="000000"/>
        </w:rPr>
        <w:t xml:space="preserve">and details </w:t>
      </w:r>
      <w:r w:rsidR="002D4F7A" w:rsidRPr="00F93369">
        <w:rPr>
          <w:color w:val="000000"/>
        </w:rPr>
        <w:t>of the initiative</w:t>
      </w:r>
      <w:r w:rsidR="00992678" w:rsidRPr="00F93369">
        <w:rPr>
          <w:color w:val="000000"/>
        </w:rPr>
        <w:t>, which hindered wider buy-in</w:t>
      </w:r>
      <w:r w:rsidR="002D4F7A" w:rsidRPr="00F93369">
        <w:rPr>
          <w:color w:val="000000"/>
        </w:rPr>
        <w:t xml:space="preserve">. </w:t>
      </w:r>
    </w:p>
    <w:p w:rsidR="002D4F7A" w:rsidRDefault="001E66E7" w:rsidP="00DA0124">
      <w:pPr>
        <w:pStyle w:val="BodyText"/>
      </w:pPr>
      <w:r>
        <w:t xml:space="preserve">The </w:t>
      </w:r>
      <w:r w:rsidR="00DA0124">
        <w:t xml:space="preserve">technical assistance </w:t>
      </w:r>
      <w:r w:rsidR="007F5460">
        <w:t xml:space="preserve">(TA) </w:t>
      </w:r>
      <w:r>
        <w:t>district</w:t>
      </w:r>
      <w:r w:rsidR="00657BAF">
        <w:t>s</w:t>
      </w:r>
      <w:r>
        <w:t xml:space="preserve"> received, comprising both cross-district opportunities for sharing and learning and district-specific supports, varied in applicability.</w:t>
      </w:r>
      <w:r w:rsidR="00E51157">
        <w:t xml:space="preserve"> </w:t>
      </w:r>
      <w:r w:rsidR="00F2642F">
        <w:t>While d</w:t>
      </w:r>
      <w:r w:rsidR="002D4F7A">
        <w:t>istrict</w:t>
      </w:r>
      <w:r>
        <w:t xml:space="preserve"> participants</w:t>
      </w:r>
      <w:r w:rsidR="002D4F7A">
        <w:t xml:space="preserve"> generally valued the technical assistance,</w:t>
      </w:r>
      <w:r w:rsidR="00F2642F">
        <w:t xml:space="preserve"> </w:t>
      </w:r>
      <w:r>
        <w:t xml:space="preserve">they found the </w:t>
      </w:r>
      <w:r w:rsidR="00F2642F">
        <w:t xml:space="preserve">cross-district colloquia </w:t>
      </w:r>
      <w:r>
        <w:t xml:space="preserve">topics of </w:t>
      </w:r>
      <w:r w:rsidR="00F2642F">
        <w:t>var</w:t>
      </w:r>
      <w:r>
        <w:t>ying relevance, depending on their strategic priorities and the progress they had made in implementing specific aspects of their local HR Pilot project</w:t>
      </w:r>
      <w:r w:rsidR="00F2642F">
        <w:t xml:space="preserve">. </w:t>
      </w:r>
      <w:r w:rsidR="00253B6F">
        <w:t>The d</w:t>
      </w:r>
      <w:r w:rsidR="00F2642F">
        <w:t xml:space="preserve">istricts’ capacity to benefit from tailored </w:t>
      </w:r>
      <w:r w:rsidR="000B4144">
        <w:t>technical assistance</w:t>
      </w:r>
      <w:r>
        <w:t>—including the extent to which the districts had concrete plans for making any changes under specific levers and were able to define a role for TA—</w:t>
      </w:r>
      <w:r w:rsidR="00253B6F">
        <w:t xml:space="preserve">circumscribed </w:t>
      </w:r>
      <w:r w:rsidR="00F2642F">
        <w:t xml:space="preserve">the </w:t>
      </w:r>
      <w:r w:rsidR="00253B6F">
        <w:t xml:space="preserve">degree and nature of </w:t>
      </w:r>
      <w:r w:rsidR="00F2642F">
        <w:t xml:space="preserve">influence </w:t>
      </w:r>
      <w:r w:rsidR="00253B6F">
        <w:t xml:space="preserve">that the </w:t>
      </w:r>
      <w:r w:rsidR="00F2642F">
        <w:t xml:space="preserve">external TA </w:t>
      </w:r>
      <w:r w:rsidR="00F2012F">
        <w:t>had</w:t>
      </w:r>
      <w:r w:rsidR="00F2642F">
        <w:t xml:space="preserve"> in helping launch and </w:t>
      </w:r>
      <w:r w:rsidR="002343B9">
        <w:t xml:space="preserve">propel the local project forward. </w:t>
      </w:r>
    </w:p>
    <w:p w:rsidR="002D4F7A" w:rsidRDefault="002D4F7A" w:rsidP="002D4F7A">
      <w:pPr>
        <w:pStyle w:val="Heading1"/>
      </w:pPr>
      <w:bookmarkStart w:id="18" w:name="_Toc394916533"/>
      <w:bookmarkStart w:id="19" w:name="_Toc399828617"/>
      <w:r>
        <w:t>Sustainability</w:t>
      </w:r>
      <w:bookmarkEnd w:id="18"/>
      <w:bookmarkEnd w:id="19"/>
    </w:p>
    <w:p w:rsidR="002D4F7A" w:rsidRDefault="002D4F7A" w:rsidP="00A905FB">
      <w:pPr>
        <w:pStyle w:val="BodyText"/>
      </w:pPr>
      <w:r>
        <w:t xml:space="preserve">The </w:t>
      </w:r>
      <w:r w:rsidR="002343B9">
        <w:t xml:space="preserve">implementation period for the HR Pilot was roughly 2.5 years, a relatively short time to accomplish any amount of systemic change. Given this foundation, the </w:t>
      </w:r>
      <w:r>
        <w:t>outlook for sustaining the accomplishments of the HR Pilot projects is mixed, but some positive indicators emerged from the evaluation</w:t>
      </w:r>
      <w:r w:rsidR="00144C49">
        <w:t>, suggesting that some changes would indeed b</w:t>
      </w:r>
      <w:r w:rsidR="00253B6F">
        <w:t>e</w:t>
      </w:r>
      <w:r w:rsidR="00144C49">
        <w:t xml:space="preserve"> sustained</w:t>
      </w:r>
      <w:r w:rsidR="00232F64">
        <w:t xml:space="preserve">. </w:t>
      </w:r>
    </w:p>
    <w:p w:rsidR="002D4F7A" w:rsidRDefault="00253B6F" w:rsidP="00A905FB">
      <w:pPr>
        <w:pStyle w:val="BodyText"/>
      </w:pPr>
      <w:r>
        <w:t xml:space="preserve">Stable </w:t>
      </w:r>
      <w:r w:rsidR="00620470">
        <w:t xml:space="preserve">district and union </w:t>
      </w:r>
      <w:r w:rsidR="00EA7464">
        <w:t>leadership significantly increase</w:t>
      </w:r>
      <w:r>
        <w:t>s</w:t>
      </w:r>
      <w:r w:rsidR="00EA7464">
        <w:t xml:space="preserve"> the likelihood of sustaining a project long term. </w:t>
      </w:r>
      <w:r w:rsidR="000D645A">
        <w:t>In two districts, leaders pursued a variety of strategies to try to mitigate the impact of superintendent turnover</w:t>
      </w:r>
      <w:r>
        <w:t xml:space="preserve">, including developing the capacity of the next level of leaders who would remain </w:t>
      </w:r>
      <w:r w:rsidR="000F768A">
        <w:t>in place and have the necessary understanding about the purpose of the project to follow through.</w:t>
      </w:r>
      <w:r w:rsidR="002D4F7A">
        <w:t xml:space="preserve"> </w:t>
      </w:r>
    </w:p>
    <w:p w:rsidR="002D4F7A" w:rsidRPr="00CD3EBE" w:rsidRDefault="00B6682C" w:rsidP="001B68C7">
      <w:pPr>
        <w:pStyle w:val="BodyText"/>
      </w:pPr>
      <w:r>
        <w:t xml:space="preserve">Throughout the HR Pilot project, the committee </w:t>
      </w:r>
      <w:r w:rsidR="001B68C7">
        <w:t xml:space="preserve">structure </w:t>
      </w:r>
      <w:r>
        <w:t xml:space="preserve">has been </w:t>
      </w:r>
      <w:r w:rsidR="001B68C7">
        <w:t>a</w:t>
      </w:r>
      <w:r>
        <w:t xml:space="preserve"> key conduit for conveying the voices of a broad base of educators</w:t>
      </w:r>
      <w:r w:rsidR="001B68C7">
        <w:t xml:space="preserve"> and gave educators the opportunity to become catalysts for change</w:t>
      </w:r>
      <w:r>
        <w:t xml:space="preserve">. </w:t>
      </w:r>
      <w:r w:rsidR="002D4F7A">
        <w:t xml:space="preserve">The districts </w:t>
      </w:r>
      <w:r>
        <w:t>reported that they are committed to</w:t>
      </w:r>
      <w:r w:rsidR="002D4F7A">
        <w:t xml:space="preserve"> sustaining their steering committees; </w:t>
      </w:r>
      <w:r w:rsidR="00534B4D">
        <w:t xml:space="preserve">indeed, </w:t>
      </w:r>
      <w:r w:rsidR="002D4F7A">
        <w:t>two districts are strengthening them</w:t>
      </w:r>
      <w:r w:rsidR="001B68C7">
        <w:t>—</w:t>
      </w:r>
      <w:r w:rsidR="002D4F7A">
        <w:t>a p</w:t>
      </w:r>
      <w:r w:rsidR="002D4F7A" w:rsidRPr="00CD3EBE">
        <w:t>romising</w:t>
      </w:r>
      <w:r w:rsidR="002D4F7A">
        <w:t xml:space="preserve"> </w:t>
      </w:r>
      <w:r w:rsidR="002D4F7A" w:rsidRPr="00CD3EBE">
        <w:t>legacy</w:t>
      </w:r>
      <w:r w:rsidR="002D4F7A">
        <w:t xml:space="preserve"> of the HR Pilot. </w:t>
      </w:r>
    </w:p>
    <w:p w:rsidR="002D4F7A" w:rsidRPr="0024620D" w:rsidRDefault="002D4F7A" w:rsidP="00A905FB">
      <w:pPr>
        <w:pStyle w:val="BodyText"/>
      </w:pPr>
      <w:r>
        <w:t xml:space="preserve">Formalized </w:t>
      </w:r>
      <w:proofErr w:type="gramStart"/>
      <w:r>
        <w:t>policy</w:t>
      </w:r>
      <w:proofErr w:type="gramEnd"/>
      <w:r>
        <w:t xml:space="preserve"> changes help protect changes made under the HR Pilot projects </w:t>
      </w:r>
      <w:r w:rsidR="00F2012F">
        <w:t xml:space="preserve">from </w:t>
      </w:r>
      <w:r>
        <w:t xml:space="preserve">fluctuating district priorities and the departure of individual champions. </w:t>
      </w:r>
      <w:r w:rsidR="002343B9">
        <w:t>In that respect,</w:t>
      </w:r>
      <w:r>
        <w:t xml:space="preserve"> </w:t>
      </w:r>
      <w:r w:rsidR="002343B9">
        <w:t>t</w:t>
      </w:r>
      <w:r>
        <w:t xml:space="preserve">he formal </w:t>
      </w:r>
      <w:r w:rsidRPr="008373F7">
        <w:t>state mandate</w:t>
      </w:r>
      <w:r>
        <w:t xml:space="preserve"> of </w:t>
      </w:r>
      <w:r w:rsidR="00C65438">
        <w:t xml:space="preserve">educator evaluation </w:t>
      </w:r>
      <w:r>
        <w:t>may help sustain other related changes in the HR Pilot districts</w:t>
      </w:r>
      <w:r w:rsidR="000F768A">
        <w:t>, such as professional development systems designed to address needs documented in the evaluation process</w:t>
      </w:r>
      <w:r w:rsidR="00144C49">
        <w:t>.</w:t>
      </w:r>
      <w:r w:rsidR="002B358C">
        <w:t xml:space="preserve"> </w:t>
      </w:r>
    </w:p>
    <w:p w:rsidR="002D4F7A" w:rsidRPr="00F70DFA" w:rsidRDefault="000F768A" w:rsidP="00A905FB">
      <w:pPr>
        <w:pStyle w:val="BodyText"/>
      </w:pPr>
      <w:r>
        <w:t xml:space="preserve">The pilot </w:t>
      </w:r>
      <w:r w:rsidR="002D4F7A" w:rsidRPr="00F70DFA">
        <w:t>district</w:t>
      </w:r>
      <w:r w:rsidR="002343B9" w:rsidRPr="00F70DFA">
        <w:t>s</w:t>
      </w:r>
      <w:r w:rsidR="002D4F7A" w:rsidRPr="00F70DFA">
        <w:t xml:space="preserve"> fear the effort will stall without continued </w:t>
      </w:r>
      <w:r w:rsidR="002343B9" w:rsidRPr="00F70DFA">
        <w:t>financial support.</w:t>
      </w:r>
      <w:r w:rsidR="002D4F7A" w:rsidRPr="00F70DFA">
        <w:t xml:space="preserve"> The </w:t>
      </w:r>
      <w:r w:rsidR="002343B9" w:rsidRPr="00F70DFA">
        <w:t xml:space="preserve">most important expenditures were arguably </w:t>
      </w:r>
      <w:r w:rsidR="002D4F7A" w:rsidRPr="00F70DFA">
        <w:t xml:space="preserve">the stipends for committee members </w:t>
      </w:r>
      <w:r w:rsidR="002343B9" w:rsidRPr="00F70DFA">
        <w:t xml:space="preserve">and time for </w:t>
      </w:r>
      <w:r w:rsidR="00144C49">
        <w:t>professional development</w:t>
      </w:r>
      <w:r w:rsidR="002343B9" w:rsidRPr="00F70DFA">
        <w:t xml:space="preserve">. </w:t>
      </w:r>
      <w:r>
        <w:t xml:space="preserve">With the committee structure emerging as a crucial </w:t>
      </w:r>
      <w:r w:rsidR="00A8100D">
        <w:t xml:space="preserve">strategy for teacher voice and professional development a key priority across the districts, </w:t>
      </w:r>
      <w:r w:rsidR="002D4F7A" w:rsidRPr="00F70DFA">
        <w:t xml:space="preserve">the threat to funding </w:t>
      </w:r>
      <w:r w:rsidR="00086D08">
        <w:t xml:space="preserve">affects the </w:t>
      </w:r>
      <w:r w:rsidR="00180F72">
        <w:t>heart</w:t>
      </w:r>
      <w:r w:rsidR="002D4F7A" w:rsidRPr="00F70DFA">
        <w:t xml:space="preserve"> </w:t>
      </w:r>
      <w:r w:rsidR="00A8100D">
        <w:t xml:space="preserve">the local HR Pilot projects’ </w:t>
      </w:r>
      <w:r w:rsidR="002D4F7A" w:rsidRPr="00F70DFA">
        <w:t>sustainability.</w:t>
      </w:r>
    </w:p>
    <w:p w:rsidR="002D4F7A" w:rsidRDefault="002D4F7A" w:rsidP="002D4F7A">
      <w:pPr>
        <w:pStyle w:val="Heading1"/>
        <w:spacing w:before="0"/>
      </w:pPr>
      <w:bookmarkStart w:id="20" w:name="_Toc394916534"/>
      <w:bookmarkStart w:id="21" w:name="_Toc399828618"/>
      <w:r>
        <w:t xml:space="preserve">Conclusions and </w:t>
      </w:r>
      <w:r w:rsidRPr="00D52CDF">
        <w:t>Lessons Learned</w:t>
      </w:r>
      <w:bookmarkEnd w:id="20"/>
      <w:bookmarkEnd w:id="21"/>
      <w:r w:rsidRPr="00D52CDF">
        <w:t xml:space="preserve"> </w:t>
      </w:r>
    </w:p>
    <w:p w:rsidR="00DD48F9" w:rsidRDefault="002D4F7A" w:rsidP="00A905FB">
      <w:pPr>
        <w:pStyle w:val="BodyText"/>
      </w:pPr>
      <w:r>
        <w:t xml:space="preserve">The HR Pilot provided lessons about shared leadership, implementation of complex initiatives, the inherent limitations of technical assistance, and the importance of teacher voice in district decisionmaking. </w:t>
      </w:r>
      <w:r w:rsidR="00F525DD">
        <w:t xml:space="preserve">The complexity of the HR Pilot resulted in resulted in districts needing to prioritize across the seven levers, and indeed could not make equal process across all seven during the relatively short implementation period. </w:t>
      </w:r>
      <w:r w:rsidR="003A6F84">
        <w:t xml:space="preserve">While districts received technical assistance ranging from colloquia on topics </w:t>
      </w:r>
      <w:r w:rsidR="00F525DD">
        <w:t xml:space="preserve">targeted at </w:t>
      </w:r>
      <w:r w:rsidR="003A6F84">
        <w:t>cross-district interest</w:t>
      </w:r>
      <w:r w:rsidR="00F525DD">
        <w:t>s</w:t>
      </w:r>
      <w:r w:rsidR="003A6F84">
        <w:t xml:space="preserve"> to district-specific offerings, </w:t>
      </w:r>
      <w:r w:rsidR="00F525DD">
        <w:t xml:space="preserve">the effectiveness of </w:t>
      </w:r>
      <w:r w:rsidR="003A6F84">
        <w:t xml:space="preserve">technical assistance was constrained by the districts’ </w:t>
      </w:r>
      <w:r w:rsidR="00F525DD">
        <w:t xml:space="preserve">progress and </w:t>
      </w:r>
      <w:r w:rsidR="003A6F84">
        <w:t xml:space="preserve">readiness to take advantage of </w:t>
      </w:r>
      <w:r w:rsidR="00F525DD">
        <w:t>it</w:t>
      </w:r>
      <w:r w:rsidR="003A6F84">
        <w:t>. Ultimately, p</w:t>
      </w:r>
      <w:r w:rsidR="00DD48F9">
        <w:t xml:space="preserve">roviding opportunities for teacher </w:t>
      </w:r>
      <w:r w:rsidR="00B63D30">
        <w:t xml:space="preserve">voice </w:t>
      </w:r>
      <w:r w:rsidR="00DD48F9">
        <w:t xml:space="preserve">in </w:t>
      </w:r>
      <w:r w:rsidR="00B63D30">
        <w:t xml:space="preserve">district </w:t>
      </w:r>
      <w:r w:rsidR="00DD48F9">
        <w:t xml:space="preserve">decisionmaking via the specific </w:t>
      </w:r>
      <w:r w:rsidR="00B63D30">
        <w:t xml:space="preserve">lever </w:t>
      </w:r>
      <w:r w:rsidR="00DD48F9">
        <w:t>committees</w:t>
      </w:r>
      <w:r w:rsidR="00B63D30">
        <w:t xml:space="preserve"> </w:t>
      </w:r>
      <w:r w:rsidR="00DD48F9">
        <w:t xml:space="preserve">increased </w:t>
      </w:r>
      <w:r w:rsidR="00B63D30">
        <w:t xml:space="preserve">buy-in for particular changes and improved </w:t>
      </w:r>
      <w:r w:rsidR="00DD48F9">
        <w:t xml:space="preserve">the </w:t>
      </w:r>
      <w:r w:rsidR="002A2278">
        <w:t xml:space="preserve">likelihood that </w:t>
      </w:r>
      <w:r w:rsidR="00DD48F9">
        <w:t xml:space="preserve">the program </w:t>
      </w:r>
      <w:r w:rsidR="002A2278">
        <w:t xml:space="preserve">would be sustained </w:t>
      </w:r>
      <w:r w:rsidR="00DD48F9">
        <w:t>at the end of the HR Pilot.</w:t>
      </w:r>
    </w:p>
    <w:p w:rsidR="00726574" w:rsidRDefault="00726574" w:rsidP="002D4F7A">
      <w:pPr>
        <w:pStyle w:val="BodyText"/>
      </w:pPr>
    </w:p>
    <w:p w:rsidR="00427AA7" w:rsidRDefault="00427AA7" w:rsidP="005F5A4B">
      <w:pPr>
        <w:pStyle w:val="ChapterTitle"/>
      </w:pPr>
    </w:p>
    <w:p w:rsidR="00D6182E" w:rsidRPr="00D6182E" w:rsidRDefault="00D6182E" w:rsidP="00D6182E">
      <w:pPr>
        <w:sectPr w:rsidR="00D6182E" w:rsidRPr="00D6182E">
          <w:headerReference w:type="default" r:id="rId18"/>
          <w:footerReference w:type="default" r:id="rId19"/>
          <w:pgSz w:w="12240" w:h="15840"/>
          <w:pgMar w:top="1440" w:right="1440" w:bottom="1440" w:left="1440" w:header="720" w:footer="720" w:gutter="0"/>
          <w:pgNumType w:fmt="lowerRoman"/>
          <w:cols w:space="720"/>
          <w:docGrid w:linePitch="360"/>
        </w:sectPr>
      </w:pPr>
    </w:p>
    <w:p w:rsidR="005F5A4B" w:rsidRPr="00D52CDF" w:rsidRDefault="005F5A4B" w:rsidP="005F5A4B">
      <w:pPr>
        <w:pStyle w:val="ChapterTitle"/>
      </w:pPr>
      <w:bookmarkStart w:id="22" w:name="_Toc399828619"/>
      <w:r w:rsidRPr="00D52CDF">
        <w:t>Chapter 1: Introduction</w:t>
      </w:r>
      <w:bookmarkEnd w:id="22"/>
      <w:r w:rsidRPr="00D52CDF">
        <w:t xml:space="preserve"> </w:t>
      </w:r>
    </w:p>
    <w:p w:rsidR="005F5A4B" w:rsidRPr="00073D5E" w:rsidRDefault="005F5A4B" w:rsidP="0035181C">
      <w:pPr>
        <w:pStyle w:val="BodyText"/>
      </w:pPr>
      <w:r w:rsidRPr="00073D5E">
        <w:t>The Massachusetts Department of Elementary and Secondary Education (ESE)</w:t>
      </w:r>
      <w:r w:rsidR="00B411A3">
        <w:t xml:space="preserve"> </w:t>
      </w:r>
      <w:r w:rsidR="00795D9E" w:rsidRPr="00073D5E">
        <w:t>has</w:t>
      </w:r>
      <w:r w:rsidRPr="00073D5E">
        <w:t xml:space="preserve"> embarked on an ambitious agenda “to ensure that all students, especially high-needs students, are taught by high-quality teachers who receive all the supports they need to facilitate student learning” (</w:t>
      </w:r>
      <w:r w:rsidR="00AD2B76">
        <w:t xml:space="preserve">Massachusetts Department of </w:t>
      </w:r>
      <w:r w:rsidR="00616E6A">
        <w:t>E</w:t>
      </w:r>
      <w:r w:rsidR="00B6373C">
        <w:t>lementary and Secondary Education</w:t>
      </w:r>
      <w:r w:rsidR="00616E6A">
        <w:t xml:space="preserve">, </w:t>
      </w:r>
      <w:r w:rsidRPr="00073D5E">
        <w:t>2011, p. 4). Its Race to the Top grant provided financi</w:t>
      </w:r>
      <w:r w:rsidR="006675EB">
        <w:t>al resources for three related human capital m</w:t>
      </w:r>
      <w:r w:rsidRPr="00073D5E">
        <w:t>anagement initiatives that established a new educator evaluation framework statewide, new incentive structures in targeted districts, and comprehensive reforms in district-level human resources policies in three pilot districts</w:t>
      </w:r>
      <w:r w:rsidR="00EC3A8D">
        <w:t xml:space="preserve">: </w:t>
      </w:r>
      <w:r w:rsidR="009B5781">
        <w:t>Attleboro, Brockton, and Revere</w:t>
      </w:r>
      <w:r w:rsidRPr="00073D5E">
        <w:t xml:space="preserve">. </w:t>
      </w:r>
    </w:p>
    <w:p w:rsidR="005F5A4B" w:rsidRPr="00073D5E" w:rsidRDefault="005F5A4B" w:rsidP="0035181C">
      <w:pPr>
        <w:pStyle w:val="BodyText"/>
      </w:pPr>
      <w:r w:rsidRPr="00073D5E">
        <w:t>The Human Resources (HR) Pilot</w:t>
      </w:r>
      <w:r w:rsidR="00FA720F">
        <w:t xml:space="preserve"> i</w:t>
      </w:r>
      <w:r w:rsidR="009D5896">
        <w:t>nitiative</w:t>
      </w:r>
      <w:r w:rsidRPr="00073D5E">
        <w:t>, the third o</w:t>
      </w:r>
      <w:r w:rsidR="00E60AF2">
        <w:t>f the Human Capital Management I</w:t>
      </w:r>
      <w:r w:rsidRPr="00073D5E">
        <w:t>nitiatives</w:t>
      </w:r>
      <w:r w:rsidR="0014132D">
        <w:t>,</w:t>
      </w:r>
      <w:r w:rsidRPr="00073D5E">
        <w:t xml:space="preserve"> </w:t>
      </w:r>
      <w:r w:rsidR="009E7F5A" w:rsidRPr="00073D5E">
        <w:t>i</w:t>
      </w:r>
      <w:r w:rsidRPr="00073D5E">
        <w:t xml:space="preserve">dentified </w:t>
      </w:r>
      <w:r w:rsidR="00E06446">
        <w:t xml:space="preserve">seven “levers” </w:t>
      </w:r>
      <w:r w:rsidR="008C5F38">
        <w:t xml:space="preserve">that </w:t>
      </w:r>
      <w:r w:rsidR="00E06446">
        <w:t xml:space="preserve">the three pilot districts would </w:t>
      </w:r>
      <w:r w:rsidR="002343B9">
        <w:t>reform</w:t>
      </w:r>
      <w:r w:rsidR="00E06446">
        <w:t xml:space="preserve">: </w:t>
      </w:r>
      <w:r w:rsidRPr="00073D5E">
        <w:t>recruitment</w:t>
      </w:r>
      <w:r w:rsidR="00B03B1E" w:rsidRPr="00073D5E">
        <w:t xml:space="preserve"> and </w:t>
      </w:r>
      <w:r w:rsidR="00427AA7" w:rsidRPr="00073D5E">
        <w:t>hiring;</w:t>
      </w:r>
      <w:r w:rsidRPr="00073D5E">
        <w:t xml:space="preserve"> induction; professional </w:t>
      </w:r>
      <w:r w:rsidR="00B03B1E" w:rsidRPr="00073D5E">
        <w:t>development</w:t>
      </w:r>
      <w:r w:rsidR="00754A9C">
        <w:t>;</w:t>
      </w:r>
      <w:r w:rsidR="00114A88" w:rsidRPr="00073D5E">
        <w:t xml:space="preserve"> supervision</w:t>
      </w:r>
      <w:r w:rsidRPr="00073D5E">
        <w:t xml:space="preserve"> and evaluation; teacher leadership and career</w:t>
      </w:r>
      <w:r w:rsidR="009E7F5A" w:rsidRPr="00073D5E">
        <w:t xml:space="preserve"> </w:t>
      </w:r>
      <w:r w:rsidR="00114A88" w:rsidRPr="00073D5E">
        <w:t>advancement</w:t>
      </w:r>
      <w:r w:rsidR="00D84269">
        <w:t xml:space="preserve">; </w:t>
      </w:r>
      <w:r w:rsidR="00114A88" w:rsidRPr="00073D5E">
        <w:t>organizational structure</w:t>
      </w:r>
      <w:r w:rsidR="00D84269">
        <w:t>;</w:t>
      </w:r>
      <w:r w:rsidR="00114A88" w:rsidRPr="00073D5E">
        <w:t xml:space="preserve"> and </w:t>
      </w:r>
      <w:r w:rsidRPr="00073D5E">
        <w:t xml:space="preserve">adult professional culture. The evaluation of the HR Pilot explored the three districts’ strategies to define the specific </w:t>
      </w:r>
      <w:r w:rsidR="007D2195">
        <w:t>human resources</w:t>
      </w:r>
      <w:r w:rsidRPr="00073D5E">
        <w:t xml:space="preserve"> policies and practices they would prioritize under each lever, documented the changes districts enacted, and tracked prospects for sustainability. Specifically, the evaluation addresse</w:t>
      </w:r>
      <w:r w:rsidR="00557983">
        <w:t>d</w:t>
      </w:r>
      <w:r w:rsidRPr="00073D5E">
        <w:t xml:space="preserve"> to what extent and how the HR Pilot achieved its major goal of reforming district human resources systems to strengthen teach</w:t>
      </w:r>
      <w:r w:rsidR="006817ED">
        <w:t>er</w:t>
      </w:r>
      <w:r w:rsidRPr="00073D5E">
        <w:t xml:space="preserve"> quality</w:t>
      </w:r>
      <w:r w:rsidR="00114A88" w:rsidRPr="00073D5E">
        <w:t>.</w:t>
      </w:r>
      <w:r w:rsidRPr="00073D5E">
        <w:t xml:space="preserve"> </w:t>
      </w:r>
    </w:p>
    <w:p w:rsidR="005F5A4B" w:rsidRPr="00073D5E" w:rsidRDefault="005F5A4B" w:rsidP="0035181C">
      <w:pPr>
        <w:pStyle w:val="BodyText"/>
      </w:pPr>
      <w:r w:rsidRPr="00073D5E">
        <w:t>To address the main research purpose, the evaluation focus</w:t>
      </w:r>
      <w:r w:rsidR="00114A88" w:rsidRPr="00073D5E">
        <w:t>ed</w:t>
      </w:r>
      <w:r w:rsidRPr="00073D5E">
        <w:t xml:space="preserve"> on overall program successes and challenges as evidenced by the three districts’ experiences in defining and </w:t>
      </w:r>
      <w:r w:rsidR="00D92656" w:rsidRPr="00073D5E">
        <w:t xml:space="preserve">implementing </w:t>
      </w:r>
      <w:r w:rsidRPr="00073D5E">
        <w:t>their local reforms. The goal of the evaluation was not to assess the individual districts’ efforts</w:t>
      </w:r>
      <w:r w:rsidR="000D04D0">
        <w:t>,</w:t>
      </w:r>
      <w:r w:rsidRPr="00073D5E">
        <w:t xml:space="preserve"> </w:t>
      </w:r>
      <w:r w:rsidR="00114A88" w:rsidRPr="00073D5E">
        <w:t xml:space="preserve">but rather </w:t>
      </w:r>
      <w:r w:rsidRPr="00073D5E">
        <w:t xml:space="preserve">to </w:t>
      </w:r>
      <w:r w:rsidR="00114A88" w:rsidRPr="00073D5E">
        <w:t>unearth</w:t>
      </w:r>
      <w:r w:rsidRPr="00073D5E">
        <w:t xml:space="preserve"> insights and useful lessons about implementation and district change.</w:t>
      </w:r>
    </w:p>
    <w:p w:rsidR="005F5A4B" w:rsidRPr="00073D5E" w:rsidRDefault="005F5A4B" w:rsidP="0035181C">
      <w:pPr>
        <w:pStyle w:val="BodyText"/>
      </w:pPr>
      <w:r w:rsidRPr="00073D5E">
        <w:t xml:space="preserve">While the evaluation findings </w:t>
      </w:r>
      <w:r w:rsidR="00114A88" w:rsidRPr="00073D5E">
        <w:t xml:space="preserve">center </w:t>
      </w:r>
      <w:r w:rsidRPr="00073D5E">
        <w:t>on the HR Pilot implementation in three specific contexts, the HR Pilot is also an instance of district reform</w:t>
      </w:r>
      <w:r w:rsidR="00114A88" w:rsidRPr="00073D5E">
        <w:t xml:space="preserve"> </w:t>
      </w:r>
      <w:r w:rsidR="00C236A8">
        <w:t>in general</w:t>
      </w:r>
      <w:r w:rsidR="00963EB0">
        <w:t>.</w:t>
      </w:r>
      <w:r w:rsidRPr="00073D5E">
        <w:t xml:space="preserve"> As such, the evaluation findings apply to</w:t>
      </w:r>
      <w:r w:rsidR="00D92656" w:rsidRPr="00073D5E">
        <w:t xml:space="preserve"> </w:t>
      </w:r>
      <w:r w:rsidRPr="00073D5E">
        <w:t>district</w:t>
      </w:r>
      <w:r w:rsidR="00963EB0">
        <w:t>s</w:t>
      </w:r>
      <w:r w:rsidRPr="00073D5E">
        <w:t xml:space="preserve"> </w:t>
      </w:r>
      <w:r w:rsidR="00963EB0">
        <w:t xml:space="preserve">across </w:t>
      </w:r>
      <w:r w:rsidRPr="00073D5E">
        <w:t xml:space="preserve">the Commonwealth </w:t>
      </w:r>
      <w:r w:rsidR="00114A88" w:rsidRPr="00073D5E">
        <w:t xml:space="preserve">as they </w:t>
      </w:r>
      <w:r w:rsidRPr="00073D5E">
        <w:t xml:space="preserve">gain experience with the </w:t>
      </w:r>
      <w:r w:rsidR="00264888">
        <w:t>new e</w:t>
      </w:r>
      <w:r w:rsidRPr="00073D5E">
        <w:t xml:space="preserve">ducator </w:t>
      </w:r>
      <w:r w:rsidR="00264888">
        <w:t>e</w:t>
      </w:r>
      <w:r w:rsidRPr="00073D5E">
        <w:t>valuation process</w:t>
      </w:r>
      <w:r w:rsidR="00114A88" w:rsidRPr="00073D5E">
        <w:t>. D</w:t>
      </w:r>
      <w:r w:rsidR="00D92656" w:rsidRPr="00073D5E">
        <w:t>i</w:t>
      </w:r>
      <w:r w:rsidRPr="00073D5E">
        <w:t>strict</w:t>
      </w:r>
      <w:r w:rsidR="00114A88" w:rsidRPr="00073D5E">
        <w:t xml:space="preserve"> leaders </w:t>
      </w:r>
      <w:r w:rsidRPr="00073D5E">
        <w:t>examin</w:t>
      </w:r>
      <w:r w:rsidR="00783AF9" w:rsidRPr="00073D5E">
        <w:t xml:space="preserve">ing </w:t>
      </w:r>
      <w:r w:rsidR="00264888">
        <w:t>educator evaluation</w:t>
      </w:r>
      <w:r w:rsidR="00783AF9" w:rsidRPr="00073D5E">
        <w:t xml:space="preserve"> </w:t>
      </w:r>
      <w:r w:rsidRPr="00073D5E">
        <w:t xml:space="preserve">results </w:t>
      </w:r>
      <w:r w:rsidR="00783AF9" w:rsidRPr="00073D5E">
        <w:t xml:space="preserve">for their districts </w:t>
      </w:r>
      <w:r w:rsidRPr="00073D5E">
        <w:t>may see implications for changing policies and practices in induction, professional development, organizational structures, and adult professional culture</w:t>
      </w:r>
      <w:r w:rsidR="002343B9">
        <w:t>—levers identified under HR Pilot—</w:t>
      </w:r>
      <w:r w:rsidR="00D0123C" w:rsidRPr="00073D5E">
        <w:t xml:space="preserve">to facilitate and strengthen </w:t>
      </w:r>
      <w:r w:rsidR="00783AF9" w:rsidRPr="00073D5E">
        <w:t>educator evaluation practices</w:t>
      </w:r>
      <w:r w:rsidR="00D0123C" w:rsidRPr="00073D5E">
        <w:t>.</w:t>
      </w:r>
    </w:p>
    <w:p w:rsidR="00F925BF" w:rsidRDefault="00F925BF">
      <w:pPr>
        <w:rPr>
          <w:rFonts w:eastAsia="Times New Roman"/>
        </w:rPr>
      </w:pPr>
      <w:r>
        <w:br w:type="page"/>
      </w:r>
    </w:p>
    <w:p w:rsidR="005F5A4B" w:rsidRPr="00073D5E" w:rsidRDefault="005F5A4B" w:rsidP="0035181C">
      <w:pPr>
        <w:pStyle w:val="BodyText"/>
      </w:pPr>
      <w:r w:rsidRPr="00073D5E">
        <w:t xml:space="preserve">The data for this report come from </w:t>
      </w:r>
      <w:r w:rsidR="002343B9">
        <w:t xml:space="preserve">interviews, focus groups, and documents </w:t>
      </w:r>
      <w:r w:rsidRPr="00073D5E">
        <w:t xml:space="preserve">collected </w:t>
      </w:r>
      <w:r w:rsidR="00042E57">
        <w:t>from phone interviews</w:t>
      </w:r>
      <w:r w:rsidR="00B4183A">
        <w:t xml:space="preserve"> of a smaller sample of respondents involved in the HR Pilot project</w:t>
      </w:r>
      <w:r w:rsidR="00042E57">
        <w:t xml:space="preserve"> in fall 2013 and </w:t>
      </w:r>
      <w:r w:rsidRPr="00073D5E">
        <w:t xml:space="preserve">during site visits to each </w:t>
      </w:r>
      <w:r w:rsidR="00783AF9" w:rsidRPr="00073D5E">
        <w:t xml:space="preserve">HR Pilot </w:t>
      </w:r>
      <w:r w:rsidRPr="00073D5E">
        <w:t xml:space="preserve">district in </w:t>
      </w:r>
      <w:r w:rsidR="00B4183A">
        <w:t>fall 2012</w:t>
      </w:r>
      <w:r w:rsidRPr="00073D5E">
        <w:t xml:space="preserve"> and spring </w:t>
      </w:r>
      <w:r w:rsidR="00B4183A">
        <w:t xml:space="preserve">2013 and </w:t>
      </w:r>
      <w:r w:rsidRPr="00073D5E">
        <w:t>2014</w:t>
      </w:r>
      <w:r w:rsidR="00783AF9" w:rsidRPr="00073D5E">
        <w:t xml:space="preserve">. </w:t>
      </w:r>
      <w:r w:rsidRPr="00073D5E">
        <w:t>While on site, researchers interviewed key stakeholders at all levels of the system who were involved in the local implementation of the HR Pilot, including teachers, principals, union representatives, and district staff. Over time, site visit activities broadened to include district and school staff not involved with the local HR Pilot to understand the extent to which policy and practice changes initiated under the project had taken hold systemwide.</w:t>
      </w:r>
    </w:p>
    <w:p w:rsidR="005F5A4B" w:rsidRPr="00073D5E" w:rsidRDefault="005F5A4B" w:rsidP="0035181C">
      <w:pPr>
        <w:pStyle w:val="BodyText"/>
      </w:pPr>
      <w:r w:rsidRPr="00073D5E">
        <w:t xml:space="preserve">The next section </w:t>
      </w:r>
      <w:r w:rsidR="00D0123C" w:rsidRPr="00073D5E">
        <w:t>of th</w:t>
      </w:r>
      <w:r w:rsidR="00783AF9" w:rsidRPr="00073D5E">
        <w:t>is</w:t>
      </w:r>
      <w:r w:rsidR="00D0123C" w:rsidRPr="00073D5E">
        <w:t xml:space="preserve"> report </w:t>
      </w:r>
      <w:r w:rsidRPr="00073D5E">
        <w:t xml:space="preserve">provides an overview of the HR Pilot, presenting a conceptual framework that </w:t>
      </w:r>
      <w:r w:rsidR="002343B9">
        <w:t xml:space="preserve">details </w:t>
      </w:r>
      <w:r w:rsidRPr="00073D5E">
        <w:t xml:space="preserve">the program strategies and intended outcomes. We then review the districts’ main accomplishments under the HR Pilot, </w:t>
      </w:r>
      <w:r w:rsidR="002343B9">
        <w:t xml:space="preserve">which is </w:t>
      </w:r>
      <w:r w:rsidRPr="00073D5E">
        <w:t xml:space="preserve">followed by a discussion of the key factors </w:t>
      </w:r>
      <w:r w:rsidR="00184CC6">
        <w:t xml:space="preserve">that influenced </w:t>
      </w:r>
      <w:r w:rsidRPr="00073D5E">
        <w:t>districts</w:t>
      </w:r>
      <w:r w:rsidR="00184CC6">
        <w:t>’</w:t>
      </w:r>
      <w:r w:rsidRPr="00073D5E">
        <w:t xml:space="preserve"> </w:t>
      </w:r>
      <w:r w:rsidR="00184CC6">
        <w:t xml:space="preserve">local project </w:t>
      </w:r>
      <w:r w:rsidRPr="00073D5E">
        <w:t>implement</w:t>
      </w:r>
      <w:r w:rsidR="00184CC6">
        <w:t>ation</w:t>
      </w:r>
      <w:r w:rsidRPr="00073D5E">
        <w:t>. We examine indicators that suggest whether the districts will be able to sustain the changes they made under the HR Pilot, and conclude with lessons learned about implementing districtwide reforms in human resources policies and practices.</w:t>
      </w:r>
    </w:p>
    <w:p w:rsidR="005F5A4B" w:rsidRDefault="007E3F07" w:rsidP="0056546D">
      <w:pPr>
        <w:pStyle w:val="ChapterTitle"/>
      </w:pPr>
      <w:r>
        <w:br w:type="page"/>
      </w:r>
      <w:bookmarkStart w:id="23" w:name="_Toc399828620"/>
      <w:r w:rsidR="005F5A4B" w:rsidRPr="00D52CDF">
        <w:t>Chapter 2: H</w:t>
      </w:r>
      <w:r w:rsidR="00E043A5">
        <w:t xml:space="preserve">R </w:t>
      </w:r>
      <w:r w:rsidR="005F5A4B" w:rsidRPr="00D52CDF">
        <w:t xml:space="preserve">Pilot Program </w:t>
      </w:r>
      <w:r w:rsidR="005F5A4B">
        <w:t>Overview</w:t>
      </w:r>
      <w:bookmarkEnd w:id="23"/>
    </w:p>
    <w:p w:rsidR="00901E7E" w:rsidRDefault="00901E7E" w:rsidP="0035181C">
      <w:pPr>
        <w:pStyle w:val="BodyText"/>
      </w:pPr>
      <w:r>
        <w:t>With funding from Race to the Top, ESE and the Working Group for Educator Excellence</w:t>
      </w:r>
      <w:r w:rsidR="004606E5">
        <w:t xml:space="preserve"> (WGEE) collaborated to develop the HR Pilot as one of the initiatives to improve student learning through improved teacher quality.</w:t>
      </w:r>
      <w:r>
        <w:rPr>
          <w:rStyle w:val="FootnoteReference"/>
        </w:rPr>
        <w:footnoteReference w:id="1"/>
      </w:r>
      <w:r>
        <w:t xml:space="preserve"> </w:t>
      </w:r>
      <w:r w:rsidR="002857AE">
        <w:t xml:space="preserve">A </w:t>
      </w:r>
      <w:r w:rsidR="005F1FAD">
        <w:t xml:space="preserve">WGEE </w:t>
      </w:r>
      <w:r w:rsidR="002857AE">
        <w:t>paper describing the HR Pilot stated</w:t>
      </w:r>
      <w:r>
        <w:t>:</w:t>
      </w:r>
    </w:p>
    <w:p w:rsidR="00901E7E" w:rsidRPr="00F93369" w:rsidRDefault="00901E7E" w:rsidP="00B73D94">
      <w:pPr>
        <w:pStyle w:val="BodyText"/>
        <w:ind w:left="720" w:right="720" w:firstLine="0"/>
        <w:rPr>
          <w:rFonts w:eastAsia="MS Mincho"/>
        </w:rPr>
      </w:pPr>
      <w:r w:rsidRPr="00F93369">
        <w:rPr>
          <w:rFonts w:eastAsia="MS Mincho"/>
        </w:rPr>
        <w:t xml:space="preserve">The purpose of the </w:t>
      </w:r>
      <w:r w:rsidR="00357E2B" w:rsidRPr="00F93369">
        <w:rPr>
          <w:rFonts w:eastAsia="MS Mincho"/>
        </w:rPr>
        <w:t>[</w:t>
      </w:r>
      <w:r w:rsidRPr="00F93369">
        <w:rPr>
          <w:rFonts w:eastAsia="MS Mincho"/>
        </w:rPr>
        <w:t>HR</w:t>
      </w:r>
      <w:r w:rsidR="00357E2B" w:rsidRPr="00F93369">
        <w:rPr>
          <w:rFonts w:eastAsia="MS Mincho"/>
        </w:rPr>
        <w:t xml:space="preserve"> Pilot] </w:t>
      </w:r>
      <w:r w:rsidRPr="00F93369">
        <w:rPr>
          <w:rFonts w:eastAsia="MS Mincho"/>
        </w:rPr>
        <w:t>project</w:t>
      </w:r>
      <w:r w:rsidR="00CB377C" w:rsidRPr="00F93369">
        <w:rPr>
          <w:rFonts w:eastAsia="MS Mincho"/>
        </w:rPr>
        <w:t>…</w:t>
      </w:r>
      <w:r w:rsidRPr="00F93369">
        <w:rPr>
          <w:rFonts w:eastAsia="MS Mincho"/>
        </w:rPr>
        <w:t>is not just to put a big map of professional knowledge on the table. It is to give teachers systematic access to that body of knowledge and skill and provide the accountability, the support, and the working environment for all teachers to be constantly learning and using more of it, no matter how competent and experienced they already are. Nothing will do more to raise student achievement than that.</w:t>
      </w:r>
      <w:r w:rsidR="00124D64" w:rsidRPr="00F93369">
        <w:rPr>
          <w:rStyle w:val="FootnoteReference"/>
          <w:rFonts w:eastAsia="MS Mincho"/>
        </w:rPr>
        <w:footnoteReference w:id="2"/>
      </w:r>
    </w:p>
    <w:p w:rsidR="00B5452E" w:rsidRDefault="00103964" w:rsidP="00403F25">
      <w:pPr>
        <w:pStyle w:val="BodyText"/>
        <w:ind w:firstLine="0"/>
      </w:pPr>
      <w:r>
        <w:rPr>
          <w:noProof/>
        </w:rPr>
        <w:pict>
          <v:roundrect id="Text Box 33" o:spid="_x0000_s1057" style="position:absolute;margin-left:207pt;margin-top:47.95pt;width:243pt;height:121.6pt;z-index:251670528;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" filled="f" strokecolor="#558ed5" strokeweight="2.25pt">
            <v:textbox>
              <w:txbxContent>
                <w:p w:rsidR="00231C50" w:rsidRPr="00673A9B" w:rsidRDefault="00231C50" w:rsidP="00557817">
                  <w:pPr>
                    <w:spacing w:after="120"/>
                    <w:jc w:val="center"/>
                    <w:rPr>
                      <w:rFonts w:ascii="Arial Narrow" w:hAnsi="Arial Narrow"/>
                      <w:b/>
                      <w:sz w:val="20"/>
                      <w:szCs w:val="20"/>
                    </w:rPr>
                  </w:pPr>
                  <w:r w:rsidRPr="00673A9B">
                    <w:rPr>
                      <w:rFonts w:ascii="Arial Narrow" w:hAnsi="Arial Narrow"/>
                      <w:b/>
                      <w:sz w:val="20"/>
                      <w:szCs w:val="20"/>
                    </w:rPr>
                    <w:t>HR Pilot Levers</w:t>
                  </w:r>
                </w:p>
                <w:p w:rsidR="00231C50" w:rsidRPr="00673A9B" w:rsidRDefault="00231C50" w:rsidP="00557817">
                  <w:pPr>
                    <w:pStyle w:val="ListParagraph"/>
                    <w:numPr>
                      <w:ilvl w:val="0"/>
                      <w:numId w:val="17"/>
                    </w:numPr>
                    <w:rPr>
                      <w:rFonts w:ascii="Arial Narrow" w:hAnsi="Arial Narrow"/>
                      <w:sz w:val="20"/>
                      <w:szCs w:val="20"/>
                    </w:rPr>
                  </w:pPr>
                  <w:r w:rsidRPr="00673A9B">
                    <w:rPr>
                      <w:rFonts w:ascii="Arial Narrow" w:hAnsi="Arial Narrow"/>
                      <w:sz w:val="20"/>
                      <w:szCs w:val="20"/>
                    </w:rPr>
                    <w:t xml:space="preserve">Recruitment, hiring, and placement </w:t>
                  </w:r>
                </w:p>
                <w:p w:rsidR="00231C50" w:rsidRPr="00673A9B" w:rsidRDefault="00231C50" w:rsidP="00557817">
                  <w:pPr>
                    <w:pStyle w:val="ListParagraph"/>
                    <w:numPr>
                      <w:ilvl w:val="0"/>
                      <w:numId w:val="17"/>
                    </w:numPr>
                    <w:rPr>
                      <w:rFonts w:ascii="Arial Narrow" w:hAnsi="Arial Narrow"/>
                      <w:sz w:val="20"/>
                      <w:szCs w:val="20"/>
                    </w:rPr>
                  </w:pPr>
                  <w:r w:rsidRPr="00673A9B">
                    <w:rPr>
                      <w:rFonts w:ascii="Arial Narrow" w:hAnsi="Arial Narrow"/>
                      <w:sz w:val="20"/>
                      <w:szCs w:val="20"/>
                    </w:rPr>
                    <w:t>Induction</w:t>
                  </w:r>
                </w:p>
                <w:p w:rsidR="00231C50" w:rsidRPr="00673A9B" w:rsidRDefault="00231C50" w:rsidP="00557817">
                  <w:pPr>
                    <w:pStyle w:val="ListParagraph"/>
                    <w:numPr>
                      <w:ilvl w:val="0"/>
                      <w:numId w:val="17"/>
                    </w:numPr>
                    <w:rPr>
                      <w:rFonts w:ascii="Arial Narrow" w:hAnsi="Arial Narrow"/>
                      <w:sz w:val="20"/>
                      <w:szCs w:val="20"/>
                    </w:rPr>
                  </w:pPr>
                  <w:r w:rsidRPr="00673A9B">
                    <w:rPr>
                      <w:rFonts w:ascii="Arial Narrow" w:hAnsi="Arial Narrow"/>
                      <w:sz w:val="20"/>
                      <w:szCs w:val="20"/>
                    </w:rPr>
                    <w:t xml:space="preserve">Professional development </w:t>
                  </w:r>
                </w:p>
                <w:p w:rsidR="00231C50" w:rsidRPr="00673A9B" w:rsidRDefault="00231C50" w:rsidP="00557817">
                  <w:pPr>
                    <w:pStyle w:val="ListParagraph"/>
                    <w:numPr>
                      <w:ilvl w:val="0"/>
                      <w:numId w:val="17"/>
                    </w:numPr>
                    <w:rPr>
                      <w:rFonts w:ascii="Arial Narrow" w:hAnsi="Arial Narrow"/>
                      <w:sz w:val="20"/>
                      <w:szCs w:val="20"/>
                    </w:rPr>
                  </w:pPr>
                  <w:r w:rsidRPr="00673A9B">
                    <w:rPr>
                      <w:rFonts w:ascii="Arial Narrow" w:hAnsi="Arial Narrow"/>
                      <w:sz w:val="20"/>
                      <w:szCs w:val="20"/>
                    </w:rPr>
                    <w:t>Supervision and evaluation</w:t>
                  </w:r>
                </w:p>
                <w:p w:rsidR="00231C50" w:rsidRPr="00673A9B" w:rsidRDefault="00231C50" w:rsidP="00557817">
                  <w:pPr>
                    <w:pStyle w:val="ListParagraph"/>
                    <w:numPr>
                      <w:ilvl w:val="0"/>
                      <w:numId w:val="17"/>
                    </w:numPr>
                    <w:rPr>
                      <w:rFonts w:ascii="Arial Narrow" w:hAnsi="Arial Narrow"/>
                      <w:sz w:val="20"/>
                      <w:szCs w:val="20"/>
                    </w:rPr>
                  </w:pPr>
                  <w:r w:rsidRPr="00673A9B">
                    <w:rPr>
                      <w:rFonts w:ascii="Arial Narrow" w:hAnsi="Arial Narrow"/>
                      <w:sz w:val="20"/>
                      <w:szCs w:val="20"/>
                    </w:rPr>
                    <w:t>Teacher leadership and career advancement</w:t>
                  </w:r>
                </w:p>
                <w:p w:rsidR="00231C50" w:rsidRPr="00673A9B" w:rsidRDefault="00231C50" w:rsidP="00557817">
                  <w:pPr>
                    <w:pStyle w:val="ListParagraph"/>
                    <w:numPr>
                      <w:ilvl w:val="0"/>
                      <w:numId w:val="17"/>
                    </w:numPr>
                    <w:rPr>
                      <w:rFonts w:ascii="Arial Narrow" w:hAnsi="Arial Narrow"/>
                      <w:sz w:val="20"/>
                      <w:szCs w:val="20"/>
                    </w:rPr>
                  </w:pPr>
                  <w:r w:rsidRPr="00673A9B">
                    <w:rPr>
                      <w:rFonts w:ascii="Arial Narrow" w:hAnsi="Arial Narrow"/>
                      <w:sz w:val="20"/>
                      <w:szCs w:val="20"/>
                    </w:rPr>
                    <w:t xml:space="preserve">Organizational structure </w:t>
                  </w:r>
                </w:p>
                <w:p w:rsidR="00231C50" w:rsidRPr="00673A9B" w:rsidRDefault="00231C50" w:rsidP="00557817">
                  <w:pPr>
                    <w:pStyle w:val="ListParagraph"/>
                    <w:numPr>
                      <w:ilvl w:val="0"/>
                      <w:numId w:val="17"/>
                    </w:numPr>
                    <w:rPr>
                      <w:rFonts w:ascii="Arial Narrow" w:hAnsi="Arial Narrow"/>
                      <w:sz w:val="20"/>
                      <w:szCs w:val="20"/>
                    </w:rPr>
                  </w:pPr>
                  <w:r w:rsidRPr="00673A9B">
                    <w:rPr>
                      <w:rFonts w:ascii="Arial Narrow" w:hAnsi="Arial Narrow"/>
                      <w:sz w:val="20"/>
                      <w:szCs w:val="20"/>
                    </w:rPr>
                    <w:t>Adult professional culture</w:t>
                  </w:r>
                </w:p>
              </w:txbxContent>
            </v:textbox>
            <w10:wrap type="square"/>
          </v:roundrect>
        </w:pict>
      </w:r>
      <w:r w:rsidR="00901E7E">
        <w:t xml:space="preserve">The WGEE </w:t>
      </w:r>
      <w:proofErr w:type="spellStart"/>
      <w:r w:rsidR="00AE2FF6">
        <w:t>operationalized</w:t>
      </w:r>
      <w:proofErr w:type="spellEnd"/>
      <w:r w:rsidR="00AE2FF6">
        <w:t xml:space="preserve"> </w:t>
      </w:r>
      <w:r w:rsidR="00CB377C">
        <w:t xml:space="preserve">the initiative </w:t>
      </w:r>
      <w:r w:rsidR="00AE2FF6">
        <w:t>by defining seven human resources “levers” that support teacher quality and launched l</w:t>
      </w:r>
      <w:r w:rsidR="00901E7E">
        <w:t xml:space="preserve">ocal HR Pilot projects in three districts selected through a competitive application process. </w:t>
      </w:r>
      <w:r w:rsidR="00B5452E">
        <w:t xml:space="preserve">The WGEE guided the districts in defining the project, providing a structure for planning and </w:t>
      </w:r>
      <w:r w:rsidR="00AE2FF6">
        <w:t>organizi</w:t>
      </w:r>
      <w:r w:rsidR="00B5452E">
        <w:t>n</w:t>
      </w:r>
      <w:r w:rsidR="00AE2FF6">
        <w:t xml:space="preserve">g committees to </w:t>
      </w:r>
      <w:r w:rsidR="00214F59">
        <w:t xml:space="preserve">examine </w:t>
      </w:r>
      <w:r w:rsidR="00AE2FF6">
        <w:t xml:space="preserve">the </w:t>
      </w:r>
      <w:proofErr w:type="gramStart"/>
      <w:r w:rsidR="00214F59">
        <w:t>levers</w:t>
      </w:r>
      <w:r w:rsidR="00B5452E">
        <w:t>,</w:t>
      </w:r>
      <w:proofErr w:type="gramEnd"/>
      <w:r w:rsidR="00B5452E">
        <w:t xml:space="preserve"> and maintained direct contact with district leaders throughout the project to help </w:t>
      </w:r>
      <w:r w:rsidR="00D14C68">
        <w:t>manage it</w:t>
      </w:r>
      <w:r w:rsidR="00B5452E">
        <w:t xml:space="preserve">. </w:t>
      </w:r>
      <w:r w:rsidR="00287EED">
        <w:t xml:space="preserve">The lever committees included </w:t>
      </w:r>
      <w:r w:rsidR="00287EED" w:rsidRPr="00DE64BE">
        <w:t>teachers, other school staff (e.g.</w:t>
      </w:r>
      <w:r w:rsidR="00287EED">
        <w:t>,</w:t>
      </w:r>
      <w:r w:rsidR="00287EED" w:rsidRPr="00DE64BE">
        <w:t xml:space="preserve"> guidance counselors, social workers, </w:t>
      </w:r>
      <w:proofErr w:type="gramStart"/>
      <w:r w:rsidR="00287EED" w:rsidRPr="00DE64BE">
        <w:t>speech</w:t>
      </w:r>
      <w:proofErr w:type="gramEnd"/>
      <w:r w:rsidR="00287EED" w:rsidRPr="00DE64BE">
        <w:t xml:space="preserve"> therapists), principals</w:t>
      </w:r>
      <w:r w:rsidR="00287EED">
        <w:t>,</w:t>
      </w:r>
      <w:r w:rsidR="00287EED" w:rsidRPr="00DE64BE">
        <w:t xml:space="preserve"> and district administrators</w:t>
      </w:r>
      <w:r w:rsidR="00287EED">
        <w:t xml:space="preserve"> in an effort to develop broad-based participation in the local HR Pilot. </w:t>
      </w:r>
      <w:r w:rsidR="00B5452E">
        <w:t>WGEE served as the technical assistance provider to the three HR Pilot districts, providing a variety of supports</w:t>
      </w:r>
      <w:r w:rsidR="00F00C17">
        <w:t xml:space="preserve"> that included</w:t>
      </w:r>
      <w:r w:rsidR="00B5452E">
        <w:t xml:space="preserve">: </w:t>
      </w:r>
    </w:p>
    <w:p w:rsidR="00B5452E" w:rsidRDefault="00B5452E" w:rsidP="00B5452E">
      <w:pPr>
        <w:pStyle w:val="ListParagraph"/>
        <w:numPr>
          <w:ilvl w:val="0"/>
          <w:numId w:val="18"/>
        </w:numPr>
        <w:spacing w:line="216" w:lineRule="auto"/>
        <w:textAlignment w:val="baseline"/>
      </w:pPr>
      <w:r>
        <w:t>Assisting districts in conducting an initial needs assessment and developing implementation plans for each of the seven levers</w:t>
      </w:r>
      <w:r w:rsidR="006817ED">
        <w:t>;</w:t>
      </w:r>
    </w:p>
    <w:p w:rsidR="00B5452E" w:rsidRDefault="00B5452E" w:rsidP="00B5452E">
      <w:pPr>
        <w:pStyle w:val="ListParagraph"/>
        <w:numPr>
          <w:ilvl w:val="0"/>
          <w:numId w:val="18"/>
        </w:numPr>
        <w:spacing w:line="216" w:lineRule="auto"/>
        <w:textAlignment w:val="baseline"/>
      </w:pPr>
      <w:r>
        <w:t xml:space="preserve">Providing opportunities for cross-district collaboration, including colloquia </w:t>
      </w:r>
      <w:r w:rsidR="000D0FE8">
        <w:t xml:space="preserve">that brought </w:t>
      </w:r>
      <w:r>
        <w:t>in speakers on topics pertinent to HR Pilot implementation and role-alike groups for district leaders, union leaders, and school leaders from across the districts to share problems and solutions</w:t>
      </w:r>
      <w:r w:rsidR="006817ED">
        <w:t>; and</w:t>
      </w:r>
    </w:p>
    <w:p w:rsidR="00651DE9" w:rsidRDefault="00B5452E" w:rsidP="00651DE9">
      <w:pPr>
        <w:pStyle w:val="ListParagraph"/>
        <w:numPr>
          <w:ilvl w:val="0"/>
          <w:numId w:val="18"/>
        </w:numPr>
        <w:spacing w:line="216" w:lineRule="auto"/>
        <w:textAlignment w:val="baseline"/>
      </w:pPr>
      <w:r>
        <w:t xml:space="preserve">Offering district-specific assistance based on annual needs assessments or </w:t>
      </w:r>
      <w:r w:rsidR="000D0FE8">
        <w:t xml:space="preserve">as needed </w:t>
      </w:r>
      <w:r>
        <w:t>based on implementation progress</w:t>
      </w:r>
      <w:r w:rsidR="006817ED">
        <w:t>.</w:t>
      </w:r>
    </w:p>
    <w:p w:rsidR="00AE2FF6" w:rsidRDefault="00AE2FF6" w:rsidP="00CB377C"/>
    <w:p w:rsidR="00214F59" w:rsidRDefault="00651DE9" w:rsidP="0035181C">
      <w:pPr>
        <w:pStyle w:val="BodyText"/>
      </w:pPr>
      <w:r>
        <w:t xml:space="preserve">The HR Pilot project included two stages. The districts first completed a planning stage in </w:t>
      </w:r>
      <w:r w:rsidR="00AE2FF6">
        <w:t>2011</w:t>
      </w:r>
      <w:r>
        <w:t xml:space="preserve">, </w:t>
      </w:r>
      <w:r w:rsidR="00CB377C">
        <w:t>establishing</w:t>
      </w:r>
      <w:r>
        <w:t xml:space="preserve"> committees that produced work</w:t>
      </w:r>
      <w:r w:rsidR="0035094B">
        <w:t xml:space="preserve"> </w:t>
      </w:r>
      <w:r>
        <w:t xml:space="preserve">plans for each of the seven levers. </w:t>
      </w:r>
      <w:r w:rsidR="00AE2FF6">
        <w:t>The districts were required to submit t</w:t>
      </w:r>
      <w:r>
        <w:t xml:space="preserve">hese plans </w:t>
      </w:r>
      <w:r w:rsidR="00AE2FF6">
        <w:t xml:space="preserve">to ESE </w:t>
      </w:r>
      <w:r>
        <w:t xml:space="preserve">to continue with HR Pilot implementation. </w:t>
      </w:r>
      <w:r w:rsidR="00AE2FF6">
        <w:t xml:space="preserve">After this </w:t>
      </w:r>
      <w:r w:rsidR="007537C9">
        <w:t xml:space="preserve">initial </w:t>
      </w:r>
      <w:r w:rsidR="00AE2FF6">
        <w:t xml:space="preserve">planning, districts identified priorities for implementation and differed in whether they worked on all seven levers under their local HR Pilot project. </w:t>
      </w:r>
      <w:r>
        <w:t xml:space="preserve">The implementation phase ran </w:t>
      </w:r>
      <w:r w:rsidR="00AE2FF6">
        <w:t xml:space="preserve">approximately 2.5 years </w:t>
      </w:r>
      <w:r>
        <w:t xml:space="preserve">from </w:t>
      </w:r>
      <w:r w:rsidR="0035094B">
        <w:t xml:space="preserve">spring </w:t>
      </w:r>
      <w:r>
        <w:t xml:space="preserve">2012 to summer 2014. </w:t>
      </w:r>
    </w:p>
    <w:p w:rsidR="00901E7E" w:rsidRDefault="00901E7E" w:rsidP="0035181C">
      <w:pPr>
        <w:pStyle w:val="BodyText"/>
      </w:pPr>
      <w:r>
        <w:t xml:space="preserve">The </w:t>
      </w:r>
      <w:r w:rsidR="001F5748">
        <w:t>c</w:t>
      </w:r>
      <w:r>
        <w:t xml:space="preserve">onceptual </w:t>
      </w:r>
      <w:r w:rsidR="001F5748">
        <w:t>f</w:t>
      </w:r>
      <w:r>
        <w:t xml:space="preserve">ramework (Exhibit 1) </w:t>
      </w:r>
      <w:r w:rsidRPr="0035094B">
        <w:t xml:space="preserve">details </w:t>
      </w:r>
      <w:r w:rsidR="00E113BE" w:rsidRPr="00FC3E3F">
        <w:rPr>
          <w:rFonts w:cs="Arial"/>
        </w:rPr>
        <w:t xml:space="preserve">both a general schematic for implementing the three local projects and serves as a guide for understanding the project within each district’s unique context. </w:t>
      </w:r>
      <w:r>
        <w:t xml:space="preserve">The upper portion of the </w:t>
      </w:r>
      <w:r w:rsidR="005A3E9C">
        <w:t>c</w:t>
      </w:r>
      <w:r>
        <w:t xml:space="preserve">onceptual </w:t>
      </w:r>
      <w:r w:rsidR="005A3E9C">
        <w:t>f</w:t>
      </w:r>
      <w:r>
        <w:t>ramework shows the contextual variables presumed to affect each district’s capacity to undertake the HR Pilot</w:t>
      </w:r>
      <w:r w:rsidR="00F23087">
        <w:t>. It also indicates that</w:t>
      </w:r>
      <w:r>
        <w:t xml:space="preserve"> technical assistance </w:t>
      </w:r>
      <w:r w:rsidR="00F23087">
        <w:t xml:space="preserve">served as input into </w:t>
      </w:r>
      <w:r>
        <w:t xml:space="preserve">the district-level planning process. The HR Pilot projects were situated within each district’s </w:t>
      </w:r>
      <w:r w:rsidR="00F23087">
        <w:t xml:space="preserve">local </w:t>
      </w:r>
      <w:r>
        <w:t>context, including labor market conditions, human capital capacity, student demographics</w:t>
      </w:r>
      <w:r w:rsidR="00F23087">
        <w:t>,</w:t>
      </w:r>
      <w:r>
        <w:t xml:space="preserve"> and school performance history. The conditions for success, </w:t>
      </w:r>
      <w:r w:rsidR="000331B8">
        <w:t>including</w:t>
      </w:r>
      <w:r>
        <w:t xml:space="preserve"> strong and stable leadership, coherence of multiple initiatives, adequate resources, and collaborative management-labor relationships, are </w:t>
      </w:r>
      <w:r w:rsidR="00F23087">
        <w:t xml:space="preserve">factors </w:t>
      </w:r>
      <w:r>
        <w:t xml:space="preserve">that </w:t>
      </w:r>
      <w:r w:rsidR="00F23087">
        <w:t>could reasonably be expected to mediate</w:t>
      </w:r>
      <w:r>
        <w:t xml:space="preserve"> </w:t>
      </w:r>
      <w:r w:rsidR="00F23087">
        <w:t xml:space="preserve">district accomplishments under the HR Pilot. </w:t>
      </w:r>
    </w:p>
    <w:p w:rsidR="00A905FB" w:rsidRPr="005F5A4B" w:rsidRDefault="00A905FB" w:rsidP="00A905FB"/>
    <w:p w:rsidR="00A905FB" w:rsidRDefault="00A905FB" w:rsidP="00A905FB">
      <w:pPr>
        <w:pStyle w:val="ChapterTitle"/>
        <w:sectPr w:rsidR="00A905FB">
          <w:pgSz w:w="12240" w:h="15840"/>
          <w:pgMar w:top="1440" w:right="1440" w:bottom="1440" w:left="1440" w:header="720" w:footer="720" w:gutter="0"/>
          <w:pgNumType w:start="1"/>
          <w:cols w:space="720"/>
          <w:docGrid w:linePitch="360"/>
        </w:sectPr>
      </w:pPr>
    </w:p>
    <w:p w:rsidR="00257E42" w:rsidRPr="00257E42" w:rsidRDefault="00257E42" w:rsidP="00257E42">
      <w:pPr>
        <w:pStyle w:val="ExhibitTitle"/>
      </w:pPr>
      <w:bookmarkStart w:id="24" w:name="_Toc393718960"/>
      <w:bookmarkStart w:id="25" w:name="_Toc273283756"/>
      <w:r>
        <w:rPr>
          <w:lang w:eastAsia="zh-CN" w:bidi="km-KH"/>
        </w:rPr>
        <w:drawing>
          <wp:anchor distT="0" distB="0" distL="114300" distR="114300" simplePos="0" relativeHeight="251671552" behindDoc="0" locked="0" layoutInCell="1" allowOverlap="1">
            <wp:simplePos x="0" y="0"/>
            <wp:positionH relativeFrom="column">
              <wp:posOffset>158899</wp:posOffset>
            </wp:positionH>
            <wp:positionV relativeFrom="paragraph">
              <wp:posOffset>204395</wp:posOffset>
            </wp:positionV>
            <wp:extent cx="7973500" cy="5992010"/>
            <wp:effectExtent l="19050" t="0" r="8450" b="0"/>
            <wp:wrapNone/>
            <wp:docPr id="6" name="Picture 1" descr="This graphic shows a conceptual overview of the Human Resources Pilot Project within the federal and state policy context. It shows how technical assistance is linked to district planning efforts and district system changes. Targeted outcomes are improved educator knowledge and skill, and improved student learning. &#10;&#10;This graphic also highlights key factors in the local context: &#10;Labor market conditions,  Existing human capital policies/practices,  Student demographics, and School performance history&#10;&#10;It also highlights key conditions for success:&#10;Strong and stable leadership, Adequate resources and supports, Coherence of multiple initiatives, Collaborative labor/management relati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7975476" cy="5993495"/>
                    </a:xfrm>
                    <a:prstGeom prst="rect">
                      <a:avLst/>
                    </a:prstGeom>
                    <a:noFill/>
                    <a:ln w="9525">
                      <a:noFill/>
                      <a:miter lim="800000"/>
                      <a:headEnd/>
                      <a:tailEnd/>
                    </a:ln>
                  </pic:spPr>
                </pic:pic>
              </a:graphicData>
            </a:graphic>
          </wp:anchor>
        </w:drawing>
      </w:r>
      <w:r w:rsidR="00A905FB" w:rsidRPr="0083023B">
        <w:t>Exhibit 1. Conceptual Framework</w:t>
      </w:r>
      <w:bookmarkEnd w:id="24"/>
      <w:bookmarkEnd w:id="25"/>
    </w:p>
    <w:p w:rsidR="00A905FB" w:rsidRDefault="00A905FB" w:rsidP="00A905FB">
      <w:pPr>
        <w:sectPr w:rsidR="00A905FB">
          <w:headerReference w:type="default" r:id="rId21"/>
          <w:footerReference w:type="default" r:id="rId22"/>
          <w:pgSz w:w="15840" w:h="12240" w:orient="landscape"/>
          <w:pgMar w:top="1440" w:right="1440" w:bottom="1440" w:left="1440" w:header="720" w:footer="720" w:gutter="0"/>
          <w:cols w:space="720"/>
          <w:docGrid w:linePitch="360"/>
        </w:sectPr>
      </w:pPr>
    </w:p>
    <w:p w:rsidR="00901E7E" w:rsidRDefault="00901E7E" w:rsidP="0035181C">
      <w:pPr>
        <w:pStyle w:val="BodyText"/>
      </w:pPr>
      <w:r>
        <w:t xml:space="preserve">The lower portion of the </w:t>
      </w:r>
      <w:r w:rsidR="00D501B2">
        <w:t>c</w:t>
      </w:r>
      <w:r>
        <w:t xml:space="preserve">onceptual </w:t>
      </w:r>
      <w:r w:rsidR="00D501B2">
        <w:t>f</w:t>
      </w:r>
      <w:r>
        <w:t xml:space="preserve">ramework outlines the implementation process. The </w:t>
      </w:r>
      <w:r w:rsidR="00FC3E3F">
        <w:t>diagram</w:t>
      </w:r>
      <w:r>
        <w:t xml:space="preserve"> in the lower left shows the seven human resource levers defined as the main foc</w:t>
      </w:r>
      <w:r w:rsidR="00E407D8">
        <w:t>i</w:t>
      </w:r>
      <w:r>
        <w:t xml:space="preserve"> for the HR Pilot. At the heart of the cycle </w:t>
      </w:r>
      <w:r w:rsidR="00B01FD4">
        <w:t>are teacher knowledge and skills that form the content for the levers</w:t>
      </w:r>
      <w:r>
        <w:t>. The arrows between the levers indicate presumed connections that will lead to an aligned system of human resources</w:t>
      </w:r>
      <w:r w:rsidR="00A82F82">
        <w:t>,</w:t>
      </w:r>
      <w:r>
        <w:t xml:space="preserve"> such as linking recruitment, hiring, and teacher induction practices</w:t>
      </w:r>
      <w:r w:rsidR="00563DF2">
        <w:t>;</w:t>
      </w:r>
      <w:r>
        <w:t xml:space="preserve"> tying compensation, tenure, and supports to evaluation </w:t>
      </w:r>
      <w:r w:rsidR="001E07FE">
        <w:t>results</w:t>
      </w:r>
      <w:r>
        <w:t xml:space="preserve">; and developing teacher leadership and career pathways. </w:t>
      </w:r>
    </w:p>
    <w:p w:rsidR="00901E7E" w:rsidRDefault="00901E7E" w:rsidP="0035181C">
      <w:pPr>
        <w:pStyle w:val="BodyText"/>
      </w:pPr>
      <w:r>
        <w:t xml:space="preserve">The </w:t>
      </w:r>
      <w:r w:rsidR="001A5B37">
        <w:t>d</w:t>
      </w:r>
      <w:r>
        <w:t xml:space="preserve">istrict </w:t>
      </w:r>
      <w:r w:rsidR="001A5B37">
        <w:t>s</w:t>
      </w:r>
      <w:r>
        <w:t xml:space="preserve">ystem </w:t>
      </w:r>
      <w:r w:rsidR="001A5B37">
        <w:t>c</w:t>
      </w:r>
      <w:r>
        <w:t>hanges are early or proximal outcomes of implementation, which are dis</w:t>
      </w:r>
      <w:r w:rsidR="00B01FD4">
        <w:t xml:space="preserve">cussed in this report. </w:t>
      </w:r>
      <w:r w:rsidR="00B37BED">
        <w:t>In addition to new HR policies</w:t>
      </w:r>
      <w:r w:rsidR="002D0755">
        <w:t xml:space="preserve"> and </w:t>
      </w:r>
      <w:r w:rsidR="00B37BED">
        <w:t>practices</w:t>
      </w:r>
      <w:r w:rsidR="002D0755">
        <w:t xml:space="preserve"> </w:t>
      </w:r>
      <w:r w:rsidR="00B37BED">
        <w:t xml:space="preserve">and the alignment </w:t>
      </w:r>
      <w:r w:rsidR="00E806F7">
        <w:t xml:space="preserve">across </w:t>
      </w:r>
      <w:r w:rsidR="00B37BED">
        <w:t xml:space="preserve">the seven levers, district system changes targeted in the initiative include expanded educator </w:t>
      </w:r>
      <w:r w:rsidR="00E806F7">
        <w:t>participat</w:t>
      </w:r>
      <w:r w:rsidR="00B37BED">
        <w:t xml:space="preserve">ion in district decisionmaking, changing the professional culture in schools </w:t>
      </w:r>
      <w:r w:rsidR="00E806F7">
        <w:t xml:space="preserve">and districtwide, and bolstering district capacity to support schools and school instructional leadership capacity. </w:t>
      </w:r>
      <w:r w:rsidR="00B01FD4">
        <w:t>The long-</w:t>
      </w:r>
      <w:r>
        <w:t xml:space="preserve">range outcomes, which extend beyond the </w:t>
      </w:r>
      <w:r w:rsidR="00B37BED">
        <w:t xml:space="preserve">scope and time span </w:t>
      </w:r>
      <w:r>
        <w:t>of the evaluation, include enhancing educators’ skill and knowledge</w:t>
      </w:r>
      <w:r w:rsidR="00B37BED">
        <w:t xml:space="preserve"> </w:t>
      </w:r>
      <w:r w:rsidR="004B141D">
        <w:t xml:space="preserve">and </w:t>
      </w:r>
      <w:r>
        <w:t>ultimately improv</w:t>
      </w:r>
      <w:r w:rsidR="004B141D">
        <w:t>ing</w:t>
      </w:r>
      <w:r>
        <w:t xml:space="preserve"> instruction and student learning.</w:t>
      </w:r>
    </w:p>
    <w:p w:rsidR="00E806F7" w:rsidRDefault="00E806F7" w:rsidP="0035181C">
      <w:pPr>
        <w:pStyle w:val="BodyText"/>
      </w:pPr>
      <w:r>
        <w:t xml:space="preserve">This conceptual framework explicitly acknowledges the role of </w:t>
      </w:r>
      <w:r w:rsidR="00AD2B76">
        <w:t xml:space="preserve">the </w:t>
      </w:r>
      <w:r>
        <w:t>local district context</w:t>
      </w:r>
      <w:r w:rsidR="00DB6EAB">
        <w:t>, including the student and teacher characteristics we summarize next.</w:t>
      </w:r>
    </w:p>
    <w:p w:rsidR="00967608" w:rsidRPr="0083023B" w:rsidRDefault="00967608" w:rsidP="0083023B">
      <w:pPr>
        <w:pStyle w:val="Heading1"/>
      </w:pPr>
      <w:bookmarkStart w:id="26" w:name="_Toc393717723"/>
      <w:bookmarkStart w:id="27" w:name="_Toc394916535"/>
      <w:bookmarkStart w:id="28" w:name="_Toc399828621"/>
      <w:r w:rsidRPr="0083023B">
        <w:t>HR Pilot District Contexts</w:t>
      </w:r>
      <w:bookmarkEnd w:id="26"/>
      <w:bookmarkEnd w:id="27"/>
      <w:bookmarkEnd w:id="28"/>
      <w:r w:rsidRPr="0083023B">
        <w:t xml:space="preserve"> </w:t>
      </w:r>
    </w:p>
    <w:p w:rsidR="00967608" w:rsidRPr="0083023B" w:rsidRDefault="00967608" w:rsidP="0035181C">
      <w:pPr>
        <w:pStyle w:val="BodyText"/>
      </w:pPr>
      <w:r>
        <w:t xml:space="preserve">When the districts applied to participate in the HR Pilot, they submitted evidence of positive district-union relations, proactive strategies in at least one HR function targeted by the seven levers, and overall leadership commitment to and understanding of the project. In addition to </w:t>
      </w:r>
      <w:r w:rsidR="0013624F">
        <w:t>these indicators of</w:t>
      </w:r>
      <w:r w:rsidR="005167C3">
        <w:t xml:space="preserve"> </w:t>
      </w:r>
      <w:r>
        <w:t>the districts’ readiness for the HR Pilot,</w:t>
      </w:r>
      <w:r w:rsidR="00A83895">
        <w:t xml:space="preserve"> the districts’ unique contexts—including</w:t>
      </w:r>
      <w:r>
        <w:t xml:space="preserve"> teacher and student demographics and school performance</w:t>
      </w:r>
      <w:r w:rsidR="00A83895">
        <w:t>—f</w:t>
      </w:r>
      <w:r>
        <w:t xml:space="preserve">urther defined their human capital needs and </w:t>
      </w:r>
      <w:r w:rsidR="00A83895">
        <w:t xml:space="preserve">influenced their </w:t>
      </w:r>
      <w:r>
        <w:t>implement</w:t>
      </w:r>
      <w:r w:rsidR="00A83895">
        <w:t xml:space="preserve">ation of </w:t>
      </w:r>
      <w:r>
        <w:t>HR Pilot strategie</w:t>
      </w:r>
      <w:r w:rsidR="005167C3">
        <w:t>s</w:t>
      </w:r>
      <w:r>
        <w:t xml:space="preserve">. The </w:t>
      </w:r>
      <w:r w:rsidR="00C21A65">
        <w:t xml:space="preserve">contextual </w:t>
      </w:r>
      <w:r>
        <w:t>data presented below begins in 2008</w:t>
      </w:r>
      <w:r w:rsidR="00240772">
        <w:t>–</w:t>
      </w:r>
      <w:r>
        <w:t xml:space="preserve">09, </w:t>
      </w:r>
      <w:r w:rsidR="00DC02BC">
        <w:t xml:space="preserve">3 </w:t>
      </w:r>
      <w:r>
        <w:t xml:space="preserve">years before the districts </w:t>
      </w:r>
      <w:r w:rsidR="00971D3D">
        <w:t xml:space="preserve">launched their local </w:t>
      </w:r>
      <w:r>
        <w:t xml:space="preserve">HR Pilot </w:t>
      </w:r>
      <w:r w:rsidR="00971D3D">
        <w:t>project</w:t>
      </w:r>
      <w:r>
        <w:t>, and ends with the latest data available to illustrate the districts’ trajectory prior to and through HR Pilot implementation.</w:t>
      </w:r>
    </w:p>
    <w:p w:rsidR="00B73D94" w:rsidRPr="00F93369" w:rsidRDefault="00B73D94">
      <w:pPr>
        <w:rPr>
          <w:rFonts w:ascii="Calibri" w:eastAsia="MS Gothic" w:hAnsi="Calibri"/>
          <w:b/>
          <w:bCs/>
          <w:color w:val="4F81BD"/>
          <w:sz w:val="28"/>
          <w:szCs w:val="28"/>
        </w:rPr>
      </w:pPr>
      <w:bookmarkStart w:id="29" w:name="_Toc394916536"/>
      <w:r>
        <w:br w:type="page"/>
      </w:r>
    </w:p>
    <w:p w:rsidR="00967608" w:rsidRPr="0083023B" w:rsidRDefault="00967608" w:rsidP="0083023B">
      <w:pPr>
        <w:pStyle w:val="Heading2"/>
      </w:pPr>
      <w:bookmarkStart w:id="30" w:name="_Toc399828622"/>
      <w:r w:rsidRPr="0083023B">
        <w:t>Student Characteristics</w:t>
      </w:r>
      <w:bookmarkEnd w:id="29"/>
      <w:bookmarkEnd w:id="30"/>
    </w:p>
    <w:p w:rsidR="00B73D94" w:rsidRDefault="00971D3D" w:rsidP="00967608">
      <w:r>
        <w:t xml:space="preserve">Student enrollment in </w:t>
      </w:r>
      <w:r w:rsidR="00967608" w:rsidRPr="00967608">
        <w:t xml:space="preserve">Attleboro and Revere </w:t>
      </w:r>
      <w:r>
        <w:t xml:space="preserve">are </w:t>
      </w:r>
      <w:r w:rsidR="00967608" w:rsidRPr="00967608">
        <w:t>similar, while Brockton enrollment is almo</w:t>
      </w:r>
      <w:r w:rsidR="005167C3">
        <w:t>st three times larger (Exhibit 2</w:t>
      </w:r>
      <w:r w:rsidR="00967608" w:rsidRPr="00967608">
        <w:t>). From 2008</w:t>
      </w:r>
      <w:r w:rsidR="007878EC">
        <w:t>–</w:t>
      </w:r>
      <w:r w:rsidR="00967608" w:rsidRPr="00967608">
        <w:t>09 through 2013</w:t>
      </w:r>
      <w:r w:rsidR="007878EC">
        <w:t>–</w:t>
      </w:r>
      <w:r w:rsidR="00967608" w:rsidRPr="00967608">
        <w:t>14, Attleboro enrollment was largely stable. In contrast, Revere and Brockton experienced steady student enrollment growth during that same period, generating demand for additional teachers in those districts.</w:t>
      </w:r>
    </w:p>
    <w:p w:rsidR="00967608" w:rsidRPr="0083023B" w:rsidRDefault="00967608" w:rsidP="0083023B">
      <w:pPr>
        <w:pStyle w:val="ExhibitTitle"/>
      </w:pPr>
      <w:bookmarkStart w:id="31" w:name="_Toc273283757"/>
      <w:r w:rsidRPr="0083023B">
        <w:t xml:space="preserve">Exhibit </w:t>
      </w:r>
      <w:r w:rsidR="005167C3" w:rsidRPr="0083023B">
        <w:t>2</w:t>
      </w:r>
      <w:r w:rsidRPr="0083023B">
        <w:t>. Student Enrollment, 2008</w:t>
      </w:r>
      <w:r w:rsidR="00CF0742" w:rsidRPr="00F42BDA">
        <w:t>–</w:t>
      </w:r>
      <w:r w:rsidRPr="0083023B">
        <w:t>09 Through 2013</w:t>
      </w:r>
      <w:r w:rsidR="00AA3D9E" w:rsidRPr="00A13183">
        <w:t>–</w:t>
      </w:r>
      <w:r w:rsidRPr="0083023B">
        <w:t>14, by District</w:t>
      </w:r>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8"/>
        <w:gridCol w:w="1170"/>
        <w:gridCol w:w="1260"/>
        <w:gridCol w:w="1170"/>
        <w:gridCol w:w="1170"/>
        <w:gridCol w:w="1170"/>
        <w:gridCol w:w="1277"/>
        <w:gridCol w:w="1081"/>
      </w:tblGrid>
      <w:tr w:rsidR="00967608" w:rsidRPr="00F93369" w:rsidTr="00F93369">
        <w:tc>
          <w:tcPr>
            <w:tcW w:w="1278" w:type="dxa"/>
            <w:shd w:val="clear" w:color="auto" w:fill="auto"/>
            <w:vAlign w:val="bottom"/>
          </w:tcPr>
          <w:p w:rsidR="00967608" w:rsidRPr="00F93369" w:rsidRDefault="00967608" w:rsidP="00F93369">
            <w:pPr>
              <w:jc w:val="center"/>
              <w:rPr>
                <w:rFonts w:ascii="Arial" w:hAnsi="Arial" w:cs="Arial"/>
                <w:sz w:val="20"/>
                <w:szCs w:val="20"/>
              </w:rPr>
            </w:pPr>
          </w:p>
        </w:tc>
        <w:tc>
          <w:tcPr>
            <w:tcW w:w="1170" w:type="dxa"/>
            <w:shd w:val="clear" w:color="auto" w:fill="auto"/>
            <w:vAlign w:val="bottom"/>
          </w:tcPr>
          <w:p w:rsidR="00967608" w:rsidRPr="00F93369" w:rsidRDefault="00967608" w:rsidP="00F93369">
            <w:pPr>
              <w:jc w:val="center"/>
              <w:rPr>
                <w:rFonts w:ascii="Arial" w:hAnsi="Arial" w:cs="Arial"/>
                <w:b/>
                <w:sz w:val="20"/>
                <w:szCs w:val="20"/>
              </w:rPr>
            </w:pPr>
            <w:r w:rsidRPr="00F93369">
              <w:rPr>
                <w:rFonts w:ascii="Arial" w:hAnsi="Arial" w:cs="Arial"/>
                <w:b/>
                <w:sz w:val="20"/>
                <w:szCs w:val="20"/>
              </w:rPr>
              <w:t>2008</w:t>
            </w:r>
            <w:r w:rsidR="00AA3D9E" w:rsidRPr="00F93369">
              <w:rPr>
                <w:rFonts w:ascii="Arial" w:hAnsi="Arial" w:cs="Arial"/>
                <w:b/>
                <w:sz w:val="20"/>
                <w:szCs w:val="20"/>
              </w:rPr>
              <w:t>–</w:t>
            </w:r>
            <w:r w:rsidRPr="00F93369">
              <w:rPr>
                <w:rFonts w:ascii="Arial" w:hAnsi="Arial" w:cs="Arial"/>
                <w:b/>
                <w:sz w:val="20"/>
                <w:szCs w:val="20"/>
              </w:rPr>
              <w:t>09</w:t>
            </w:r>
          </w:p>
        </w:tc>
        <w:tc>
          <w:tcPr>
            <w:tcW w:w="1260" w:type="dxa"/>
            <w:shd w:val="clear" w:color="auto" w:fill="auto"/>
            <w:vAlign w:val="bottom"/>
          </w:tcPr>
          <w:p w:rsidR="00967608" w:rsidRPr="00F93369" w:rsidRDefault="00967608" w:rsidP="00F93369">
            <w:pPr>
              <w:jc w:val="center"/>
              <w:rPr>
                <w:rFonts w:ascii="Arial" w:hAnsi="Arial" w:cs="Arial"/>
                <w:b/>
                <w:sz w:val="20"/>
                <w:szCs w:val="20"/>
              </w:rPr>
            </w:pPr>
            <w:r w:rsidRPr="00F93369">
              <w:rPr>
                <w:rFonts w:ascii="Arial" w:hAnsi="Arial" w:cs="Arial"/>
                <w:b/>
                <w:sz w:val="20"/>
                <w:szCs w:val="20"/>
              </w:rPr>
              <w:t>2009</w:t>
            </w:r>
            <w:r w:rsidR="00AA3D9E" w:rsidRPr="00F93369">
              <w:rPr>
                <w:rFonts w:ascii="Arial" w:hAnsi="Arial" w:cs="Arial"/>
                <w:b/>
                <w:sz w:val="20"/>
                <w:szCs w:val="20"/>
              </w:rPr>
              <w:t>–</w:t>
            </w:r>
            <w:r w:rsidRPr="00F93369">
              <w:rPr>
                <w:rFonts w:ascii="Arial" w:hAnsi="Arial" w:cs="Arial"/>
                <w:b/>
                <w:sz w:val="20"/>
                <w:szCs w:val="20"/>
              </w:rPr>
              <w:t>10</w:t>
            </w:r>
          </w:p>
        </w:tc>
        <w:tc>
          <w:tcPr>
            <w:tcW w:w="1170" w:type="dxa"/>
            <w:shd w:val="clear" w:color="auto" w:fill="auto"/>
            <w:vAlign w:val="bottom"/>
          </w:tcPr>
          <w:p w:rsidR="00967608" w:rsidRPr="00F93369" w:rsidRDefault="00967608" w:rsidP="00F93369">
            <w:pPr>
              <w:jc w:val="center"/>
              <w:rPr>
                <w:rFonts w:ascii="Arial" w:hAnsi="Arial" w:cs="Arial"/>
                <w:b/>
                <w:sz w:val="20"/>
                <w:szCs w:val="20"/>
              </w:rPr>
            </w:pPr>
            <w:r w:rsidRPr="00F93369">
              <w:rPr>
                <w:rFonts w:ascii="Arial" w:hAnsi="Arial" w:cs="Arial"/>
                <w:b/>
                <w:sz w:val="20"/>
                <w:szCs w:val="20"/>
              </w:rPr>
              <w:t>2010</w:t>
            </w:r>
            <w:r w:rsidR="00AA3D9E" w:rsidRPr="00F93369">
              <w:rPr>
                <w:rFonts w:ascii="Arial" w:hAnsi="Arial" w:cs="Arial"/>
                <w:b/>
                <w:sz w:val="20"/>
                <w:szCs w:val="20"/>
              </w:rPr>
              <w:t>–</w:t>
            </w:r>
            <w:r w:rsidRPr="00F93369">
              <w:rPr>
                <w:rFonts w:ascii="Arial" w:hAnsi="Arial" w:cs="Arial"/>
                <w:b/>
                <w:sz w:val="20"/>
                <w:szCs w:val="20"/>
              </w:rPr>
              <w:t>11</w:t>
            </w:r>
          </w:p>
        </w:tc>
        <w:tc>
          <w:tcPr>
            <w:tcW w:w="1170" w:type="dxa"/>
            <w:shd w:val="clear" w:color="auto" w:fill="auto"/>
            <w:vAlign w:val="bottom"/>
          </w:tcPr>
          <w:p w:rsidR="00967608" w:rsidRPr="00F93369" w:rsidRDefault="00967608" w:rsidP="00F93369">
            <w:pPr>
              <w:jc w:val="center"/>
              <w:rPr>
                <w:rFonts w:ascii="Arial" w:hAnsi="Arial" w:cs="Arial"/>
                <w:b/>
                <w:sz w:val="20"/>
                <w:szCs w:val="20"/>
              </w:rPr>
            </w:pPr>
            <w:r w:rsidRPr="00F93369">
              <w:rPr>
                <w:rFonts w:ascii="Arial" w:hAnsi="Arial" w:cs="Arial"/>
                <w:b/>
                <w:sz w:val="20"/>
                <w:szCs w:val="20"/>
              </w:rPr>
              <w:t>2011</w:t>
            </w:r>
            <w:r w:rsidR="00AA3D9E" w:rsidRPr="00F93369">
              <w:rPr>
                <w:rFonts w:ascii="Arial" w:hAnsi="Arial" w:cs="Arial"/>
                <w:b/>
                <w:sz w:val="20"/>
                <w:szCs w:val="20"/>
              </w:rPr>
              <w:t>–</w:t>
            </w:r>
            <w:r w:rsidRPr="00F93369">
              <w:rPr>
                <w:rFonts w:ascii="Arial" w:hAnsi="Arial" w:cs="Arial"/>
                <w:b/>
                <w:sz w:val="20"/>
                <w:szCs w:val="20"/>
              </w:rPr>
              <w:t>12</w:t>
            </w:r>
          </w:p>
        </w:tc>
        <w:tc>
          <w:tcPr>
            <w:tcW w:w="1170" w:type="dxa"/>
            <w:shd w:val="clear" w:color="auto" w:fill="auto"/>
            <w:vAlign w:val="bottom"/>
          </w:tcPr>
          <w:p w:rsidR="00967608" w:rsidRPr="00F93369" w:rsidRDefault="00967608" w:rsidP="00F93369">
            <w:pPr>
              <w:jc w:val="center"/>
              <w:rPr>
                <w:rFonts w:ascii="Arial" w:hAnsi="Arial" w:cs="Arial"/>
                <w:b/>
                <w:sz w:val="20"/>
                <w:szCs w:val="20"/>
              </w:rPr>
            </w:pPr>
            <w:r w:rsidRPr="00F93369">
              <w:rPr>
                <w:rFonts w:ascii="Arial" w:hAnsi="Arial" w:cs="Arial"/>
                <w:b/>
                <w:sz w:val="20"/>
                <w:szCs w:val="20"/>
              </w:rPr>
              <w:t>2012</w:t>
            </w:r>
            <w:r w:rsidR="00AA3D9E" w:rsidRPr="00F93369">
              <w:rPr>
                <w:rFonts w:ascii="Arial" w:hAnsi="Arial" w:cs="Arial"/>
                <w:b/>
                <w:sz w:val="20"/>
                <w:szCs w:val="20"/>
              </w:rPr>
              <w:t>–</w:t>
            </w:r>
            <w:r w:rsidRPr="00F93369">
              <w:rPr>
                <w:rFonts w:ascii="Arial" w:hAnsi="Arial" w:cs="Arial"/>
                <w:b/>
                <w:sz w:val="20"/>
                <w:szCs w:val="20"/>
              </w:rPr>
              <w:t>13</w:t>
            </w:r>
          </w:p>
        </w:tc>
        <w:tc>
          <w:tcPr>
            <w:tcW w:w="1277" w:type="dxa"/>
            <w:shd w:val="clear" w:color="auto" w:fill="auto"/>
            <w:vAlign w:val="bottom"/>
          </w:tcPr>
          <w:p w:rsidR="00967608" w:rsidRPr="00F93369" w:rsidRDefault="00967608" w:rsidP="00F93369">
            <w:pPr>
              <w:jc w:val="center"/>
              <w:rPr>
                <w:rFonts w:ascii="Arial" w:hAnsi="Arial" w:cs="Arial"/>
                <w:b/>
                <w:sz w:val="20"/>
                <w:szCs w:val="20"/>
              </w:rPr>
            </w:pPr>
            <w:r w:rsidRPr="00F93369">
              <w:rPr>
                <w:rFonts w:ascii="Arial" w:hAnsi="Arial" w:cs="Arial"/>
                <w:b/>
                <w:sz w:val="20"/>
                <w:szCs w:val="20"/>
              </w:rPr>
              <w:t>2013</w:t>
            </w:r>
            <w:r w:rsidR="00AA3D9E" w:rsidRPr="00F93369">
              <w:rPr>
                <w:rFonts w:ascii="Arial" w:hAnsi="Arial" w:cs="Arial"/>
                <w:b/>
                <w:sz w:val="20"/>
                <w:szCs w:val="20"/>
              </w:rPr>
              <w:t>–</w:t>
            </w:r>
            <w:r w:rsidRPr="00F93369">
              <w:rPr>
                <w:rFonts w:ascii="Arial" w:hAnsi="Arial" w:cs="Arial"/>
                <w:b/>
                <w:sz w:val="20"/>
                <w:szCs w:val="20"/>
              </w:rPr>
              <w:t>14</w:t>
            </w:r>
          </w:p>
        </w:tc>
        <w:tc>
          <w:tcPr>
            <w:tcW w:w="1081" w:type="dxa"/>
            <w:shd w:val="clear" w:color="auto" w:fill="auto"/>
            <w:vAlign w:val="bottom"/>
          </w:tcPr>
          <w:p w:rsidR="00967608" w:rsidRPr="00F93369" w:rsidRDefault="00967608" w:rsidP="00F93369">
            <w:pPr>
              <w:jc w:val="center"/>
              <w:rPr>
                <w:rFonts w:ascii="Arial" w:hAnsi="Arial" w:cs="Arial"/>
                <w:b/>
                <w:sz w:val="20"/>
                <w:szCs w:val="20"/>
              </w:rPr>
            </w:pPr>
            <w:r w:rsidRPr="00F93369">
              <w:rPr>
                <w:rFonts w:ascii="Arial" w:hAnsi="Arial" w:cs="Arial"/>
                <w:b/>
                <w:sz w:val="20"/>
                <w:szCs w:val="20"/>
              </w:rPr>
              <w:t>Percent change</w:t>
            </w:r>
          </w:p>
        </w:tc>
      </w:tr>
      <w:tr w:rsidR="00967608" w:rsidRPr="00F93369" w:rsidTr="00F93369">
        <w:tc>
          <w:tcPr>
            <w:tcW w:w="1278" w:type="dxa"/>
            <w:shd w:val="clear" w:color="auto" w:fill="auto"/>
          </w:tcPr>
          <w:p w:rsidR="00967608" w:rsidRPr="00F93369" w:rsidRDefault="00967608" w:rsidP="00967608">
            <w:pPr>
              <w:rPr>
                <w:rFonts w:ascii="Arial" w:hAnsi="Arial" w:cs="Arial"/>
                <w:b/>
                <w:sz w:val="20"/>
                <w:szCs w:val="20"/>
              </w:rPr>
            </w:pPr>
            <w:r w:rsidRPr="00F93369">
              <w:rPr>
                <w:rFonts w:ascii="Arial" w:hAnsi="Arial" w:cs="Arial"/>
                <w:b/>
                <w:sz w:val="20"/>
                <w:szCs w:val="20"/>
              </w:rPr>
              <w:t>Attleboro</w:t>
            </w:r>
          </w:p>
        </w:tc>
        <w:tc>
          <w:tcPr>
            <w:tcW w:w="1170" w:type="dxa"/>
            <w:shd w:val="clear" w:color="auto" w:fill="auto"/>
            <w:vAlign w:val="bottom"/>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5,937</w:t>
            </w:r>
          </w:p>
        </w:tc>
        <w:tc>
          <w:tcPr>
            <w:tcW w:w="1260" w:type="dxa"/>
            <w:shd w:val="clear" w:color="auto" w:fill="auto"/>
            <w:vAlign w:val="bottom"/>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5,933</w:t>
            </w:r>
          </w:p>
        </w:tc>
        <w:tc>
          <w:tcPr>
            <w:tcW w:w="1170" w:type="dxa"/>
            <w:shd w:val="clear" w:color="auto" w:fill="auto"/>
            <w:vAlign w:val="bottom"/>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5,855</w:t>
            </w:r>
          </w:p>
        </w:tc>
        <w:tc>
          <w:tcPr>
            <w:tcW w:w="1170" w:type="dxa"/>
            <w:shd w:val="clear" w:color="auto" w:fill="auto"/>
            <w:vAlign w:val="bottom"/>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5,933</w:t>
            </w:r>
          </w:p>
        </w:tc>
        <w:tc>
          <w:tcPr>
            <w:tcW w:w="1170" w:type="dxa"/>
            <w:shd w:val="clear" w:color="auto" w:fill="auto"/>
            <w:vAlign w:val="bottom"/>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5,902</w:t>
            </w:r>
          </w:p>
        </w:tc>
        <w:tc>
          <w:tcPr>
            <w:tcW w:w="1277" w:type="dxa"/>
            <w:shd w:val="clear" w:color="auto" w:fill="auto"/>
            <w:vAlign w:val="bottom"/>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5,862</w:t>
            </w:r>
          </w:p>
        </w:tc>
        <w:tc>
          <w:tcPr>
            <w:tcW w:w="1081" w:type="dxa"/>
            <w:shd w:val="clear" w:color="auto" w:fill="auto"/>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-1.2%</w:t>
            </w:r>
          </w:p>
        </w:tc>
      </w:tr>
      <w:tr w:rsidR="00967608" w:rsidRPr="00F93369" w:rsidTr="00F93369">
        <w:tc>
          <w:tcPr>
            <w:tcW w:w="1278" w:type="dxa"/>
            <w:shd w:val="clear" w:color="auto" w:fill="auto"/>
          </w:tcPr>
          <w:p w:rsidR="00967608" w:rsidRPr="00F93369" w:rsidRDefault="00967608" w:rsidP="00967608">
            <w:pPr>
              <w:rPr>
                <w:rFonts w:ascii="Arial" w:hAnsi="Arial" w:cs="Arial"/>
                <w:b/>
                <w:sz w:val="20"/>
                <w:szCs w:val="20"/>
              </w:rPr>
            </w:pPr>
            <w:r w:rsidRPr="00F93369">
              <w:rPr>
                <w:rFonts w:ascii="Arial" w:hAnsi="Arial" w:cs="Arial"/>
                <w:b/>
                <w:sz w:val="20"/>
                <w:szCs w:val="20"/>
              </w:rPr>
              <w:t>Brockton</w:t>
            </w:r>
          </w:p>
        </w:tc>
        <w:tc>
          <w:tcPr>
            <w:tcW w:w="1170" w:type="dxa"/>
            <w:shd w:val="clear" w:color="auto" w:fill="auto"/>
            <w:vAlign w:val="bottom"/>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15,312</w:t>
            </w:r>
          </w:p>
        </w:tc>
        <w:tc>
          <w:tcPr>
            <w:tcW w:w="1260" w:type="dxa"/>
            <w:shd w:val="clear" w:color="auto" w:fill="auto"/>
            <w:vAlign w:val="bottom"/>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15,502</w:t>
            </w:r>
          </w:p>
        </w:tc>
        <w:tc>
          <w:tcPr>
            <w:tcW w:w="1170" w:type="dxa"/>
            <w:shd w:val="clear" w:color="auto" w:fill="auto"/>
            <w:vAlign w:val="bottom"/>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15,828</w:t>
            </w:r>
          </w:p>
        </w:tc>
        <w:tc>
          <w:tcPr>
            <w:tcW w:w="1170" w:type="dxa"/>
            <w:shd w:val="clear" w:color="auto" w:fill="auto"/>
            <w:vAlign w:val="bottom"/>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16,162</w:t>
            </w:r>
          </w:p>
        </w:tc>
        <w:tc>
          <w:tcPr>
            <w:tcW w:w="1170" w:type="dxa"/>
            <w:shd w:val="clear" w:color="auto" w:fill="auto"/>
            <w:vAlign w:val="bottom"/>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16,595</w:t>
            </w:r>
          </w:p>
        </w:tc>
        <w:tc>
          <w:tcPr>
            <w:tcW w:w="1277" w:type="dxa"/>
            <w:shd w:val="clear" w:color="auto" w:fill="auto"/>
            <w:vAlign w:val="bottom"/>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17,011</w:t>
            </w:r>
          </w:p>
        </w:tc>
        <w:tc>
          <w:tcPr>
            <w:tcW w:w="1081" w:type="dxa"/>
            <w:shd w:val="clear" w:color="auto" w:fill="auto"/>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11%</w:t>
            </w:r>
          </w:p>
        </w:tc>
      </w:tr>
      <w:tr w:rsidR="00967608" w:rsidRPr="00F93369" w:rsidTr="00F93369">
        <w:tc>
          <w:tcPr>
            <w:tcW w:w="1278" w:type="dxa"/>
            <w:shd w:val="clear" w:color="auto" w:fill="auto"/>
          </w:tcPr>
          <w:p w:rsidR="00967608" w:rsidRPr="00F93369" w:rsidRDefault="00967608" w:rsidP="00967608">
            <w:pPr>
              <w:rPr>
                <w:rFonts w:ascii="Arial" w:hAnsi="Arial" w:cs="Arial"/>
                <w:b/>
                <w:sz w:val="20"/>
                <w:szCs w:val="20"/>
              </w:rPr>
            </w:pPr>
            <w:r w:rsidRPr="00F93369">
              <w:rPr>
                <w:rFonts w:ascii="Arial" w:hAnsi="Arial" w:cs="Arial"/>
                <w:b/>
                <w:sz w:val="20"/>
                <w:szCs w:val="20"/>
              </w:rPr>
              <w:t>Revere</w:t>
            </w:r>
          </w:p>
        </w:tc>
        <w:tc>
          <w:tcPr>
            <w:tcW w:w="1170" w:type="dxa"/>
            <w:shd w:val="clear" w:color="auto" w:fill="auto"/>
            <w:vAlign w:val="bottom"/>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6,033</w:t>
            </w:r>
          </w:p>
        </w:tc>
        <w:tc>
          <w:tcPr>
            <w:tcW w:w="1260" w:type="dxa"/>
            <w:shd w:val="clear" w:color="auto" w:fill="auto"/>
            <w:vAlign w:val="bottom"/>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6,145</w:t>
            </w:r>
          </w:p>
        </w:tc>
        <w:tc>
          <w:tcPr>
            <w:tcW w:w="1170" w:type="dxa"/>
            <w:shd w:val="clear" w:color="auto" w:fill="auto"/>
            <w:vAlign w:val="bottom"/>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6,229</w:t>
            </w:r>
          </w:p>
        </w:tc>
        <w:tc>
          <w:tcPr>
            <w:tcW w:w="1170" w:type="dxa"/>
            <w:shd w:val="clear" w:color="auto" w:fill="auto"/>
            <w:vAlign w:val="bottom"/>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6,519</w:t>
            </w:r>
          </w:p>
        </w:tc>
        <w:tc>
          <w:tcPr>
            <w:tcW w:w="1170" w:type="dxa"/>
            <w:shd w:val="clear" w:color="auto" w:fill="auto"/>
            <w:vAlign w:val="bottom"/>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6,648</w:t>
            </w:r>
          </w:p>
        </w:tc>
        <w:tc>
          <w:tcPr>
            <w:tcW w:w="1277" w:type="dxa"/>
            <w:shd w:val="clear" w:color="auto" w:fill="auto"/>
            <w:vAlign w:val="bottom"/>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6,831</w:t>
            </w:r>
          </w:p>
        </w:tc>
        <w:tc>
          <w:tcPr>
            <w:tcW w:w="1081" w:type="dxa"/>
            <w:shd w:val="clear" w:color="auto" w:fill="auto"/>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13%</w:t>
            </w:r>
          </w:p>
        </w:tc>
      </w:tr>
    </w:tbl>
    <w:p w:rsidR="00967608" w:rsidRPr="009E5E37" w:rsidRDefault="00967608" w:rsidP="00891FDD">
      <w:pPr>
        <w:pStyle w:val="MA-HR-TableSource"/>
      </w:pPr>
      <w:r w:rsidRPr="009E5E37">
        <w:t xml:space="preserve">Source: Massachusetts Department of ESE, Enrollment </w:t>
      </w:r>
      <w:r>
        <w:t>Data</w:t>
      </w:r>
      <w:r w:rsidRPr="009E5E37">
        <w:t xml:space="preserve">, </w:t>
      </w:r>
      <w:hyperlink r:id="rId23" w:history="1">
        <w:r w:rsidRPr="009E5E37">
          <w:rPr>
            <w:rStyle w:val="Hyperlink"/>
          </w:rPr>
          <w:t>http://profiles.doe.mass.edu/profiles/student.aspx?orgcode=00160000&amp;orgtypecode=5&amp;</w:t>
        </w:r>
      </w:hyperlink>
      <w:r w:rsidRPr="009E5E37">
        <w:t xml:space="preserve"> </w:t>
      </w:r>
    </w:p>
    <w:p w:rsidR="00967608" w:rsidRPr="00967608" w:rsidRDefault="00967608" w:rsidP="0035181C">
      <w:pPr>
        <w:pStyle w:val="BodyText"/>
      </w:pPr>
      <w:r>
        <w:t>The proportion of racial/ethnic minority students also increased in all three districts from 2008</w:t>
      </w:r>
      <w:r w:rsidR="00BC7D47">
        <w:t>–</w:t>
      </w:r>
      <w:r>
        <w:t>09 through 2013</w:t>
      </w:r>
      <w:r w:rsidR="00BC7D47">
        <w:t>–</w:t>
      </w:r>
      <w:r>
        <w:t xml:space="preserve">14. Revere and Brockton enrollments </w:t>
      </w:r>
      <w:r w:rsidR="004C673A">
        <w:t xml:space="preserve">have </w:t>
      </w:r>
      <w:r w:rsidR="0062278A">
        <w:t xml:space="preserve">a </w:t>
      </w:r>
      <w:r>
        <w:t xml:space="preserve">majority </w:t>
      </w:r>
      <w:r w:rsidR="0062278A">
        <w:t xml:space="preserve">of </w:t>
      </w:r>
      <w:r>
        <w:t>minority</w:t>
      </w:r>
      <w:r w:rsidR="0062278A">
        <w:t xml:space="preserve"> students</w:t>
      </w:r>
      <w:r>
        <w:t xml:space="preserve">, with Brockton at 75% and Revere </w:t>
      </w:r>
      <w:r w:rsidR="005167C3">
        <w:t xml:space="preserve">at almost 60% </w:t>
      </w:r>
      <w:r w:rsidR="00090F06">
        <w:t>(Exhibit 3</w:t>
      </w:r>
      <w:r w:rsidRPr="00967608">
        <w:t xml:space="preserve">). Reflecting this demographic change, the English </w:t>
      </w:r>
      <w:r w:rsidR="00026C29">
        <w:t xml:space="preserve">language </w:t>
      </w:r>
      <w:r w:rsidRPr="00967608">
        <w:t>learner (EL) population also increased in all three districts over that same time period,</w:t>
      </w:r>
      <w:r w:rsidRPr="00967608">
        <w:rPr>
          <w:rStyle w:val="FootnoteReference"/>
        </w:rPr>
        <w:footnoteReference w:id="3"/>
      </w:r>
      <w:r w:rsidRPr="00967608">
        <w:t xml:space="preserve"> generating the need for teachers trained in EL strategies and cultural competencies.</w:t>
      </w:r>
    </w:p>
    <w:p w:rsidR="00967608" w:rsidRPr="00967608" w:rsidRDefault="00090F06" w:rsidP="0083023B">
      <w:pPr>
        <w:pStyle w:val="ExhibitTitle"/>
      </w:pPr>
      <w:bookmarkStart w:id="32" w:name="_Toc273283758"/>
      <w:r>
        <w:t>Exhibit 3</w:t>
      </w:r>
      <w:r w:rsidR="00967608" w:rsidRPr="00967608">
        <w:t>. Student Ethnicity, 2013</w:t>
      </w:r>
      <w:r w:rsidR="00CD503B">
        <w:t>–</w:t>
      </w:r>
      <w:r w:rsidR="00967608" w:rsidRPr="00967608">
        <w:t>14, by District</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6"/>
        <w:gridCol w:w="1329"/>
        <w:gridCol w:w="1161"/>
        <w:gridCol w:w="895"/>
        <w:gridCol w:w="994"/>
        <w:gridCol w:w="1240"/>
        <w:gridCol w:w="2273"/>
      </w:tblGrid>
      <w:tr w:rsidR="00967608" w:rsidRPr="00F93369" w:rsidTr="00F93369">
        <w:trPr>
          <w:trHeight w:val="564"/>
        </w:trPr>
        <w:tc>
          <w:tcPr>
            <w:tcW w:w="1216" w:type="dxa"/>
            <w:shd w:val="clear" w:color="auto" w:fill="auto"/>
            <w:vAlign w:val="bottom"/>
          </w:tcPr>
          <w:p w:rsidR="00967608" w:rsidRPr="00F93369" w:rsidRDefault="00967608" w:rsidP="00F93369">
            <w:pPr>
              <w:jc w:val="center"/>
              <w:rPr>
                <w:rFonts w:ascii="Arial" w:hAnsi="Arial" w:cs="Arial"/>
                <w:sz w:val="20"/>
                <w:szCs w:val="20"/>
              </w:rPr>
            </w:pPr>
          </w:p>
        </w:tc>
        <w:tc>
          <w:tcPr>
            <w:tcW w:w="1329" w:type="dxa"/>
            <w:shd w:val="clear" w:color="auto" w:fill="auto"/>
            <w:vAlign w:val="bottom"/>
          </w:tcPr>
          <w:p w:rsidR="00967608" w:rsidRPr="00F93369" w:rsidRDefault="00967608" w:rsidP="00F93369">
            <w:pPr>
              <w:jc w:val="center"/>
              <w:rPr>
                <w:rFonts w:ascii="Arial" w:hAnsi="Arial" w:cs="Arial"/>
                <w:b/>
                <w:bCs/>
                <w:color w:val="000000"/>
                <w:sz w:val="20"/>
                <w:szCs w:val="20"/>
              </w:rPr>
            </w:pPr>
            <w:r w:rsidRPr="00F93369">
              <w:rPr>
                <w:rFonts w:ascii="Arial" w:hAnsi="Arial" w:cs="Arial"/>
                <w:b/>
                <w:bCs/>
                <w:color w:val="000000"/>
                <w:sz w:val="20"/>
                <w:szCs w:val="20"/>
              </w:rPr>
              <w:t>African American</w:t>
            </w:r>
          </w:p>
        </w:tc>
        <w:tc>
          <w:tcPr>
            <w:tcW w:w="1161" w:type="dxa"/>
            <w:shd w:val="clear" w:color="auto" w:fill="auto"/>
            <w:vAlign w:val="bottom"/>
          </w:tcPr>
          <w:p w:rsidR="00967608" w:rsidRPr="00F93369" w:rsidRDefault="00967608" w:rsidP="00F93369">
            <w:pPr>
              <w:jc w:val="center"/>
              <w:rPr>
                <w:rFonts w:ascii="Arial" w:hAnsi="Arial" w:cs="Arial"/>
                <w:b/>
                <w:bCs/>
                <w:color w:val="000000"/>
                <w:sz w:val="20"/>
                <w:szCs w:val="20"/>
              </w:rPr>
            </w:pPr>
            <w:r w:rsidRPr="00F93369">
              <w:rPr>
                <w:rFonts w:ascii="Arial" w:hAnsi="Arial" w:cs="Arial"/>
                <w:b/>
                <w:bCs/>
                <w:color w:val="000000"/>
                <w:sz w:val="20"/>
                <w:szCs w:val="20"/>
              </w:rPr>
              <w:t>Hispanic</w:t>
            </w:r>
          </w:p>
        </w:tc>
        <w:tc>
          <w:tcPr>
            <w:tcW w:w="895" w:type="dxa"/>
            <w:shd w:val="clear" w:color="auto" w:fill="auto"/>
            <w:vAlign w:val="bottom"/>
          </w:tcPr>
          <w:p w:rsidR="00967608" w:rsidRPr="00F93369" w:rsidRDefault="00967608" w:rsidP="00F93369">
            <w:pPr>
              <w:jc w:val="center"/>
              <w:rPr>
                <w:rFonts w:ascii="Arial" w:hAnsi="Arial" w:cs="Arial"/>
                <w:b/>
                <w:bCs/>
                <w:color w:val="000000"/>
                <w:sz w:val="20"/>
                <w:szCs w:val="20"/>
              </w:rPr>
            </w:pPr>
            <w:r w:rsidRPr="00F93369">
              <w:rPr>
                <w:rFonts w:ascii="Arial" w:hAnsi="Arial" w:cs="Arial"/>
                <w:b/>
                <w:bCs/>
                <w:color w:val="000000"/>
                <w:sz w:val="20"/>
                <w:szCs w:val="20"/>
              </w:rPr>
              <w:t>White</w:t>
            </w:r>
          </w:p>
        </w:tc>
        <w:tc>
          <w:tcPr>
            <w:tcW w:w="994" w:type="dxa"/>
            <w:shd w:val="clear" w:color="auto" w:fill="auto"/>
            <w:vAlign w:val="bottom"/>
          </w:tcPr>
          <w:p w:rsidR="00967608" w:rsidRPr="00F93369" w:rsidRDefault="00967608" w:rsidP="00F93369">
            <w:pPr>
              <w:keepNext/>
              <w:keepLines/>
              <w:jc w:val="center"/>
              <w:outlineLvl w:val="6"/>
              <w:rPr>
                <w:rFonts w:ascii="Arial" w:hAnsi="Arial" w:cs="Arial"/>
                <w:b/>
                <w:bCs/>
                <w:color w:val="000000"/>
                <w:sz w:val="20"/>
                <w:szCs w:val="20"/>
              </w:rPr>
            </w:pPr>
            <w:proofErr w:type="spellStart"/>
            <w:r w:rsidRPr="00F93369">
              <w:rPr>
                <w:rFonts w:ascii="Arial" w:hAnsi="Arial" w:cs="Arial"/>
                <w:b/>
                <w:bCs/>
                <w:color w:val="000000"/>
                <w:sz w:val="20"/>
                <w:szCs w:val="20"/>
              </w:rPr>
              <w:t>Other</w:t>
            </w:r>
            <w:r w:rsidR="00E113BE" w:rsidRPr="00F93369">
              <w:rPr>
                <w:rFonts w:ascii="Arial" w:hAnsi="Arial" w:cs="Arial"/>
                <w:b/>
                <w:bCs/>
                <w:color w:val="000000"/>
                <w:sz w:val="20"/>
                <w:szCs w:val="20"/>
                <w:vertAlign w:val="superscript"/>
              </w:rPr>
              <w:t>a</w:t>
            </w:r>
            <w:proofErr w:type="spellEnd"/>
          </w:p>
        </w:tc>
        <w:tc>
          <w:tcPr>
            <w:tcW w:w="1240" w:type="dxa"/>
            <w:shd w:val="clear" w:color="auto" w:fill="auto"/>
            <w:vAlign w:val="bottom"/>
          </w:tcPr>
          <w:p w:rsidR="00967608" w:rsidRPr="00F93369" w:rsidRDefault="00967608" w:rsidP="00F93369">
            <w:pPr>
              <w:keepNext/>
              <w:keepLines/>
              <w:jc w:val="center"/>
              <w:outlineLvl w:val="6"/>
              <w:rPr>
                <w:rFonts w:ascii="Arial" w:hAnsi="Arial" w:cs="Arial"/>
                <w:b/>
                <w:bCs/>
                <w:color w:val="000000"/>
                <w:sz w:val="20"/>
                <w:szCs w:val="20"/>
              </w:rPr>
            </w:pPr>
            <w:r w:rsidRPr="00F93369">
              <w:rPr>
                <w:rFonts w:ascii="Arial" w:hAnsi="Arial" w:cs="Arial"/>
                <w:b/>
                <w:bCs/>
                <w:color w:val="000000"/>
                <w:sz w:val="20"/>
                <w:szCs w:val="20"/>
              </w:rPr>
              <w:t>Total</w:t>
            </w:r>
            <w:r w:rsidR="0083023B" w:rsidRPr="00F93369">
              <w:rPr>
                <w:rFonts w:ascii="Arial" w:hAnsi="Arial" w:cs="Arial"/>
                <w:b/>
                <w:bCs/>
                <w:color w:val="000000"/>
                <w:sz w:val="20"/>
                <w:szCs w:val="20"/>
              </w:rPr>
              <w:br/>
            </w:r>
            <w:r w:rsidR="0062278A" w:rsidRPr="00F93369">
              <w:rPr>
                <w:rFonts w:ascii="Arial" w:hAnsi="Arial" w:cs="Arial"/>
                <w:b/>
                <w:bCs/>
                <w:color w:val="000000"/>
                <w:sz w:val="20"/>
                <w:szCs w:val="20"/>
              </w:rPr>
              <w:t>N</w:t>
            </w:r>
            <w:r w:rsidRPr="00F93369">
              <w:rPr>
                <w:rFonts w:ascii="Arial" w:hAnsi="Arial" w:cs="Arial"/>
                <w:b/>
                <w:bCs/>
                <w:color w:val="000000"/>
                <w:sz w:val="20"/>
                <w:szCs w:val="20"/>
              </w:rPr>
              <w:t>on-</w:t>
            </w:r>
            <w:r w:rsidR="0062278A" w:rsidRPr="00F93369">
              <w:rPr>
                <w:rFonts w:ascii="Arial" w:hAnsi="Arial" w:cs="Arial"/>
                <w:b/>
                <w:bCs/>
                <w:color w:val="000000"/>
                <w:sz w:val="20"/>
                <w:szCs w:val="20"/>
              </w:rPr>
              <w:t>W</w:t>
            </w:r>
            <w:r w:rsidRPr="00F93369">
              <w:rPr>
                <w:rFonts w:ascii="Arial" w:hAnsi="Arial" w:cs="Arial"/>
                <w:b/>
                <w:bCs/>
                <w:color w:val="000000"/>
                <w:sz w:val="20"/>
                <w:szCs w:val="20"/>
              </w:rPr>
              <w:t>hite</w:t>
            </w:r>
          </w:p>
        </w:tc>
        <w:tc>
          <w:tcPr>
            <w:tcW w:w="2273" w:type="dxa"/>
            <w:shd w:val="clear" w:color="auto" w:fill="auto"/>
            <w:vAlign w:val="bottom"/>
          </w:tcPr>
          <w:p w:rsidR="0083023B" w:rsidRPr="00F93369" w:rsidRDefault="00967608" w:rsidP="00F93369">
            <w:pPr>
              <w:jc w:val="center"/>
              <w:rPr>
                <w:rFonts w:ascii="Arial" w:hAnsi="Arial" w:cs="Arial"/>
                <w:b/>
                <w:bCs/>
                <w:color w:val="000000"/>
                <w:sz w:val="20"/>
                <w:szCs w:val="20"/>
              </w:rPr>
            </w:pPr>
            <w:r w:rsidRPr="00F93369">
              <w:rPr>
                <w:rFonts w:ascii="Arial" w:hAnsi="Arial" w:cs="Arial"/>
                <w:b/>
                <w:bCs/>
                <w:color w:val="000000"/>
                <w:sz w:val="20"/>
                <w:szCs w:val="20"/>
              </w:rPr>
              <w:t xml:space="preserve">Change in </w:t>
            </w:r>
            <w:r w:rsidR="0062278A" w:rsidRPr="00F93369">
              <w:rPr>
                <w:rFonts w:ascii="Arial" w:hAnsi="Arial" w:cs="Arial"/>
                <w:b/>
                <w:bCs/>
                <w:color w:val="000000"/>
                <w:sz w:val="20"/>
                <w:szCs w:val="20"/>
              </w:rPr>
              <w:t>N</w:t>
            </w:r>
            <w:r w:rsidRPr="00F93369">
              <w:rPr>
                <w:rFonts w:ascii="Arial" w:hAnsi="Arial" w:cs="Arial"/>
                <w:b/>
                <w:bCs/>
                <w:color w:val="000000"/>
                <w:sz w:val="20"/>
                <w:szCs w:val="20"/>
              </w:rPr>
              <w:t>on-</w:t>
            </w:r>
            <w:r w:rsidR="0062278A" w:rsidRPr="00F93369">
              <w:rPr>
                <w:rFonts w:ascii="Arial" w:hAnsi="Arial" w:cs="Arial"/>
                <w:b/>
                <w:bCs/>
                <w:color w:val="000000"/>
                <w:sz w:val="20"/>
                <w:szCs w:val="20"/>
              </w:rPr>
              <w:t>W</w:t>
            </w:r>
            <w:r w:rsidRPr="00F93369">
              <w:rPr>
                <w:rFonts w:ascii="Arial" w:hAnsi="Arial" w:cs="Arial"/>
                <w:b/>
                <w:bCs/>
                <w:color w:val="000000"/>
                <w:sz w:val="20"/>
                <w:szCs w:val="20"/>
              </w:rPr>
              <w:t xml:space="preserve">hite population </w:t>
            </w:r>
          </w:p>
          <w:p w:rsidR="00967608" w:rsidRPr="00F93369" w:rsidRDefault="00967608" w:rsidP="00F93369">
            <w:pPr>
              <w:jc w:val="center"/>
              <w:rPr>
                <w:rFonts w:ascii="Arial" w:hAnsi="Arial" w:cs="Arial"/>
                <w:b/>
                <w:bCs/>
                <w:color w:val="000000"/>
                <w:sz w:val="20"/>
                <w:szCs w:val="20"/>
              </w:rPr>
            </w:pPr>
            <w:r w:rsidRPr="00F93369">
              <w:rPr>
                <w:rFonts w:ascii="Arial" w:hAnsi="Arial" w:cs="Arial"/>
                <w:b/>
                <w:bCs/>
                <w:color w:val="000000"/>
                <w:sz w:val="20"/>
                <w:szCs w:val="20"/>
              </w:rPr>
              <w:t>(2008</w:t>
            </w:r>
            <w:r w:rsidR="00343BAF" w:rsidRPr="00F93369">
              <w:rPr>
                <w:rFonts w:ascii="Arial" w:hAnsi="Arial" w:cs="Arial"/>
                <w:b/>
                <w:bCs/>
                <w:color w:val="000000"/>
                <w:sz w:val="20"/>
                <w:szCs w:val="20"/>
              </w:rPr>
              <w:t>–</w:t>
            </w:r>
            <w:r w:rsidRPr="00F93369">
              <w:rPr>
                <w:rFonts w:ascii="Arial" w:hAnsi="Arial" w:cs="Arial"/>
                <w:b/>
                <w:bCs/>
                <w:color w:val="000000"/>
                <w:sz w:val="20"/>
                <w:szCs w:val="20"/>
              </w:rPr>
              <w:t>09 to 2013</w:t>
            </w:r>
            <w:r w:rsidR="00343BAF" w:rsidRPr="00F93369">
              <w:rPr>
                <w:rFonts w:ascii="Arial" w:hAnsi="Arial" w:cs="Arial"/>
                <w:b/>
                <w:bCs/>
                <w:color w:val="000000"/>
                <w:sz w:val="20"/>
                <w:szCs w:val="20"/>
              </w:rPr>
              <w:t>–</w:t>
            </w:r>
            <w:r w:rsidRPr="00F93369">
              <w:rPr>
                <w:rFonts w:ascii="Arial" w:hAnsi="Arial" w:cs="Arial"/>
                <w:b/>
                <w:bCs/>
                <w:color w:val="000000"/>
                <w:sz w:val="20"/>
                <w:szCs w:val="20"/>
              </w:rPr>
              <w:t>14)</w:t>
            </w:r>
          </w:p>
        </w:tc>
      </w:tr>
      <w:tr w:rsidR="00967608" w:rsidRPr="00F93369" w:rsidTr="00F93369">
        <w:trPr>
          <w:trHeight w:val="392"/>
        </w:trPr>
        <w:tc>
          <w:tcPr>
            <w:tcW w:w="1216" w:type="dxa"/>
            <w:shd w:val="clear" w:color="auto" w:fill="auto"/>
            <w:vAlign w:val="bottom"/>
          </w:tcPr>
          <w:p w:rsidR="00967608" w:rsidRPr="00F93369" w:rsidRDefault="00967608" w:rsidP="0083023B">
            <w:pPr>
              <w:rPr>
                <w:rFonts w:ascii="Arial" w:hAnsi="Arial" w:cs="Arial"/>
                <w:b/>
                <w:sz w:val="20"/>
                <w:szCs w:val="20"/>
              </w:rPr>
            </w:pPr>
            <w:r w:rsidRPr="00F93369">
              <w:rPr>
                <w:rFonts w:ascii="Arial" w:hAnsi="Arial" w:cs="Arial"/>
                <w:b/>
                <w:sz w:val="20"/>
                <w:szCs w:val="20"/>
              </w:rPr>
              <w:t>Attleboro</w:t>
            </w:r>
          </w:p>
        </w:tc>
        <w:tc>
          <w:tcPr>
            <w:tcW w:w="1329" w:type="dxa"/>
            <w:shd w:val="clear" w:color="auto" w:fill="auto"/>
            <w:vAlign w:val="bottom"/>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4.6%</w:t>
            </w:r>
          </w:p>
        </w:tc>
        <w:tc>
          <w:tcPr>
            <w:tcW w:w="1161" w:type="dxa"/>
            <w:shd w:val="clear" w:color="auto" w:fill="auto"/>
            <w:vAlign w:val="bottom"/>
          </w:tcPr>
          <w:p w:rsidR="00967608" w:rsidRPr="00F93369" w:rsidRDefault="00967608" w:rsidP="00F93369">
            <w:pPr>
              <w:keepNext/>
              <w:keepLines/>
              <w:jc w:val="right"/>
              <w:outlineLvl w:val="6"/>
              <w:rPr>
                <w:rFonts w:ascii="Arial" w:hAnsi="Arial" w:cs="Arial"/>
                <w:color w:val="000000"/>
                <w:sz w:val="20"/>
                <w:szCs w:val="20"/>
              </w:rPr>
            </w:pPr>
            <w:r w:rsidRPr="00F93369">
              <w:rPr>
                <w:rFonts w:ascii="Arial" w:hAnsi="Arial" w:cs="Arial"/>
                <w:color w:val="000000"/>
                <w:sz w:val="20"/>
                <w:szCs w:val="20"/>
              </w:rPr>
              <w:t>12.8%</w:t>
            </w:r>
          </w:p>
        </w:tc>
        <w:tc>
          <w:tcPr>
            <w:tcW w:w="895" w:type="dxa"/>
            <w:shd w:val="clear" w:color="auto" w:fill="auto"/>
            <w:vAlign w:val="bottom"/>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72.9%</w:t>
            </w:r>
          </w:p>
        </w:tc>
        <w:tc>
          <w:tcPr>
            <w:tcW w:w="994" w:type="dxa"/>
            <w:shd w:val="clear" w:color="auto" w:fill="auto"/>
            <w:vAlign w:val="bottom"/>
          </w:tcPr>
          <w:p w:rsidR="00967608" w:rsidRPr="00F93369" w:rsidRDefault="00967608" w:rsidP="00F93369">
            <w:pPr>
              <w:keepNext/>
              <w:keepLines/>
              <w:jc w:val="right"/>
              <w:outlineLvl w:val="6"/>
              <w:rPr>
                <w:rFonts w:ascii="Arial" w:hAnsi="Arial" w:cs="Arial"/>
                <w:color w:val="000000"/>
                <w:sz w:val="20"/>
                <w:szCs w:val="20"/>
              </w:rPr>
            </w:pPr>
            <w:r w:rsidRPr="00F93369">
              <w:rPr>
                <w:rFonts w:ascii="Arial" w:hAnsi="Arial" w:cs="Arial"/>
                <w:color w:val="000000"/>
                <w:sz w:val="20"/>
                <w:szCs w:val="20"/>
              </w:rPr>
              <w:t>9.8%</w:t>
            </w:r>
          </w:p>
        </w:tc>
        <w:tc>
          <w:tcPr>
            <w:tcW w:w="1240" w:type="dxa"/>
            <w:shd w:val="clear" w:color="auto" w:fill="auto"/>
            <w:vAlign w:val="bottom"/>
          </w:tcPr>
          <w:p w:rsidR="00967608" w:rsidRPr="00F93369" w:rsidRDefault="00967608" w:rsidP="00F93369">
            <w:pPr>
              <w:keepNext/>
              <w:keepLines/>
              <w:jc w:val="right"/>
              <w:outlineLvl w:val="6"/>
              <w:rPr>
                <w:rFonts w:ascii="Arial" w:hAnsi="Arial" w:cs="Arial"/>
                <w:color w:val="000000"/>
                <w:sz w:val="20"/>
                <w:szCs w:val="20"/>
              </w:rPr>
            </w:pPr>
            <w:r w:rsidRPr="00F93369">
              <w:rPr>
                <w:rFonts w:ascii="Arial" w:hAnsi="Arial" w:cs="Arial"/>
                <w:color w:val="000000"/>
                <w:sz w:val="20"/>
                <w:szCs w:val="20"/>
              </w:rPr>
              <w:t>27.2%</w:t>
            </w:r>
          </w:p>
        </w:tc>
        <w:tc>
          <w:tcPr>
            <w:tcW w:w="2273" w:type="dxa"/>
            <w:shd w:val="clear" w:color="auto" w:fill="auto"/>
            <w:vAlign w:val="bottom"/>
          </w:tcPr>
          <w:p w:rsidR="00967608" w:rsidRPr="00F93369" w:rsidRDefault="00967608" w:rsidP="00F93369">
            <w:pPr>
              <w:keepNext/>
              <w:keepLines/>
              <w:jc w:val="right"/>
              <w:outlineLvl w:val="6"/>
              <w:rPr>
                <w:rFonts w:ascii="Arial" w:hAnsi="Arial" w:cs="Arial"/>
                <w:color w:val="000000"/>
                <w:sz w:val="20"/>
                <w:szCs w:val="20"/>
              </w:rPr>
            </w:pPr>
            <w:r w:rsidRPr="00F93369">
              <w:rPr>
                <w:rFonts w:ascii="Arial" w:hAnsi="Arial" w:cs="Arial"/>
                <w:color w:val="000000"/>
                <w:sz w:val="20"/>
                <w:szCs w:val="20"/>
              </w:rPr>
              <w:t>+4.4%</w:t>
            </w:r>
          </w:p>
        </w:tc>
      </w:tr>
      <w:tr w:rsidR="00967608" w:rsidRPr="00F93369" w:rsidTr="00F93369">
        <w:trPr>
          <w:trHeight w:val="392"/>
        </w:trPr>
        <w:tc>
          <w:tcPr>
            <w:tcW w:w="1216" w:type="dxa"/>
            <w:shd w:val="clear" w:color="auto" w:fill="auto"/>
            <w:vAlign w:val="bottom"/>
          </w:tcPr>
          <w:p w:rsidR="00967608" w:rsidRPr="00F93369" w:rsidRDefault="00967608" w:rsidP="0083023B">
            <w:pPr>
              <w:rPr>
                <w:rFonts w:ascii="Arial" w:hAnsi="Arial" w:cs="Arial"/>
                <w:b/>
                <w:sz w:val="20"/>
                <w:szCs w:val="20"/>
              </w:rPr>
            </w:pPr>
            <w:r w:rsidRPr="00F93369">
              <w:rPr>
                <w:rFonts w:ascii="Arial" w:hAnsi="Arial" w:cs="Arial"/>
                <w:b/>
                <w:sz w:val="20"/>
                <w:szCs w:val="20"/>
              </w:rPr>
              <w:t>Brockton</w:t>
            </w:r>
          </w:p>
        </w:tc>
        <w:tc>
          <w:tcPr>
            <w:tcW w:w="1329" w:type="dxa"/>
            <w:shd w:val="clear" w:color="auto" w:fill="auto"/>
            <w:vAlign w:val="bottom"/>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54.9%</w:t>
            </w:r>
          </w:p>
        </w:tc>
        <w:tc>
          <w:tcPr>
            <w:tcW w:w="1161" w:type="dxa"/>
            <w:shd w:val="clear" w:color="auto" w:fill="auto"/>
            <w:vAlign w:val="bottom"/>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14.4%</w:t>
            </w:r>
          </w:p>
        </w:tc>
        <w:tc>
          <w:tcPr>
            <w:tcW w:w="895" w:type="dxa"/>
            <w:shd w:val="clear" w:color="auto" w:fill="auto"/>
            <w:vAlign w:val="bottom"/>
          </w:tcPr>
          <w:p w:rsidR="00967608" w:rsidRPr="00F93369" w:rsidRDefault="00967608" w:rsidP="00F93369">
            <w:pPr>
              <w:keepNext/>
              <w:keepLines/>
              <w:jc w:val="right"/>
              <w:outlineLvl w:val="6"/>
              <w:rPr>
                <w:rFonts w:ascii="Arial" w:hAnsi="Arial" w:cs="Arial"/>
                <w:color w:val="000000"/>
                <w:sz w:val="20"/>
                <w:szCs w:val="20"/>
              </w:rPr>
            </w:pPr>
            <w:r w:rsidRPr="00F93369">
              <w:rPr>
                <w:rFonts w:ascii="Arial" w:hAnsi="Arial" w:cs="Arial"/>
                <w:color w:val="000000"/>
                <w:sz w:val="20"/>
                <w:szCs w:val="20"/>
              </w:rPr>
              <w:t>23.5%</w:t>
            </w:r>
          </w:p>
        </w:tc>
        <w:tc>
          <w:tcPr>
            <w:tcW w:w="994" w:type="dxa"/>
            <w:shd w:val="clear" w:color="auto" w:fill="auto"/>
            <w:vAlign w:val="bottom"/>
          </w:tcPr>
          <w:p w:rsidR="00967608" w:rsidRPr="00F93369" w:rsidRDefault="00967608" w:rsidP="00F93369">
            <w:pPr>
              <w:keepNext/>
              <w:keepLines/>
              <w:jc w:val="right"/>
              <w:outlineLvl w:val="6"/>
              <w:rPr>
                <w:rFonts w:ascii="Arial" w:hAnsi="Arial" w:cs="Arial"/>
                <w:color w:val="000000"/>
                <w:sz w:val="20"/>
                <w:szCs w:val="20"/>
              </w:rPr>
            </w:pPr>
            <w:r w:rsidRPr="00F93369">
              <w:rPr>
                <w:rFonts w:ascii="Arial" w:hAnsi="Arial" w:cs="Arial"/>
                <w:color w:val="000000"/>
                <w:sz w:val="20"/>
                <w:szCs w:val="20"/>
              </w:rPr>
              <w:t>7.2%</w:t>
            </w:r>
          </w:p>
        </w:tc>
        <w:tc>
          <w:tcPr>
            <w:tcW w:w="1240" w:type="dxa"/>
            <w:shd w:val="clear" w:color="auto" w:fill="auto"/>
            <w:vAlign w:val="bottom"/>
          </w:tcPr>
          <w:p w:rsidR="00967608" w:rsidRPr="00F93369" w:rsidRDefault="00967608" w:rsidP="00F93369">
            <w:pPr>
              <w:keepNext/>
              <w:keepLines/>
              <w:jc w:val="right"/>
              <w:outlineLvl w:val="6"/>
              <w:rPr>
                <w:rFonts w:ascii="Arial" w:hAnsi="Arial" w:cs="Arial"/>
                <w:color w:val="000000"/>
                <w:sz w:val="20"/>
                <w:szCs w:val="20"/>
              </w:rPr>
            </w:pPr>
            <w:r w:rsidRPr="00F93369">
              <w:rPr>
                <w:rFonts w:ascii="Arial" w:hAnsi="Arial" w:cs="Arial"/>
                <w:color w:val="000000"/>
                <w:sz w:val="20"/>
                <w:szCs w:val="20"/>
              </w:rPr>
              <w:t>76.4%</w:t>
            </w:r>
          </w:p>
        </w:tc>
        <w:tc>
          <w:tcPr>
            <w:tcW w:w="2273" w:type="dxa"/>
            <w:shd w:val="clear" w:color="auto" w:fill="auto"/>
            <w:vAlign w:val="bottom"/>
          </w:tcPr>
          <w:p w:rsidR="00967608" w:rsidRPr="00F93369" w:rsidRDefault="00967608" w:rsidP="00F93369">
            <w:pPr>
              <w:keepNext/>
              <w:keepLines/>
              <w:jc w:val="right"/>
              <w:outlineLvl w:val="6"/>
              <w:rPr>
                <w:rFonts w:ascii="Arial" w:hAnsi="Arial" w:cs="Arial"/>
                <w:color w:val="000000"/>
                <w:sz w:val="20"/>
                <w:szCs w:val="20"/>
              </w:rPr>
            </w:pPr>
            <w:r w:rsidRPr="00F93369">
              <w:rPr>
                <w:rFonts w:ascii="Arial" w:hAnsi="Arial" w:cs="Arial"/>
                <w:color w:val="000000"/>
                <w:sz w:val="20"/>
                <w:szCs w:val="20"/>
              </w:rPr>
              <w:t>+7.0%</w:t>
            </w:r>
          </w:p>
        </w:tc>
      </w:tr>
      <w:tr w:rsidR="00967608" w:rsidRPr="00F93369" w:rsidTr="00F93369">
        <w:trPr>
          <w:trHeight w:val="392"/>
        </w:trPr>
        <w:tc>
          <w:tcPr>
            <w:tcW w:w="1216" w:type="dxa"/>
            <w:shd w:val="clear" w:color="auto" w:fill="auto"/>
            <w:vAlign w:val="bottom"/>
          </w:tcPr>
          <w:p w:rsidR="00967608" w:rsidRPr="00F93369" w:rsidRDefault="00967608" w:rsidP="0083023B">
            <w:pPr>
              <w:rPr>
                <w:rFonts w:ascii="Arial" w:hAnsi="Arial" w:cs="Arial"/>
                <w:b/>
                <w:sz w:val="20"/>
                <w:szCs w:val="20"/>
              </w:rPr>
            </w:pPr>
            <w:r w:rsidRPr="00F93369">
              <w:rPr>
                <w:rFonts w:ascii="Arial" w:hAnsi="Arial" w:cs="Arial"/>
                <w:b/>
                <w:sz w:val="20"/>
                <w:szCs w:val="20"/>
              </w:rPr>
              <w:t>Revere</w:t>
            </w:r>
          </w:p>
        </w:tc>
        <w:tc>
          <w:tcPr>
            <w:tcW w:w="1329" w:type="dxa"/>
            <w:shd w:val="clear" w:color="auto" w:fill="auto"/>
            <w:vAlign w:val="bottom"/>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4.4%</w:t>
            </w:r>
          </w:p>
        </w:tc>
        <w:tc>
          <w:tcPr>
            <w:tcW w:w="1161" w:type="dxa"/>
            <w:shd w:val="clear" w:color="auto" w:fill="auto"/>
            <w:vAlign w:val="bottom"/>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46.1%</w:t>
            </w:r>
          </w:p>
        </w:tc>
        <w:tc>
          <w:tcPr>
            <w:tcW w:w="895" w:type="dxa"/>
            <w:shd w:val="clear" w:color="auto" w:fill="auto"/>
            <w:vAlign w:val="bottom"/>
          </w:tcPr>
          <w:p w:rsidR="00967608" w:rsidRPr="00F93369" w:rsidRDefault="00967608" w:rsidP="00F93369">
            <w:pPr>
              <w:keepNext/>
              <w:keepLines/>
              <w:jc w:val="right"/>
              <w:outlineLvl w:val="6"/>
              <w:rPr>
                <w:rFonts w:ascii="Arial" w:hAnsi="Arial" w:cs="Arial"/>
                <w:color w:val="000000"/>
                <w:sz w:val="20"/>
                <w:szCs w:val="20"/>
              </w:rPr>
            </w:pPr>
            <w:r w:rsidRPr="00F93369">
              <w:rPr>
                <w:rFonts w:ascii="Arial" w:hAnsi="Arial" w:cs="Arial"/>
                <w:color w:val="000000"/>
                <w:sz w:val="20"/>
                <w:szCs w:val="20"/>
              </w:rPr>
              <w:t>40.9%</w:t>
            </w:r>
          </w:p>
        </w:tc>
        <w:tc>
          <w:tcPr>
            <w:tcW w:w="994" w:type="dxa"/>
            <w:shd w:val="clear" w:color="auto" w:fill="auto"/>
            <w:vAlign w:val="bottom"/>
          </w:tcPr>
          <w:p w:rsidR="00967608" w:rsidRPr="00F93369" w:rsidRDefault="00967608" w:rsidP="00F93369">
            <w:pPr>
              <w:keepNext/>
              <w:keepLines/>
              <w:jc w:val="right"/>
              <w:outlineLvl w:val="6"/>
              <w:rPr>
                <w:rFonts w:ascii="Arial" w:hAnsi="Arial" w:cs="Arial"/>
                <w:color w:val="000000"/>
                <w:sz w:val="20"/>
                <w:szCs w:val="20"/>
              </w:rPr>
            </w:pPr>
            <w:r w:rsidRPr="00F93369">
              <w:rPr>
                <w:rFonts w:ascii="Arial" w:hAnsi="Arial" w:cs="Arial"/>
                <w:color w:val="000000"/>
                <w:sz w:val="20"/>
                <w:szCs w:val="20"/>
              </w:rPr>
              <w:t>8.6%</w:t>
            </w:r>
          </w:p>
        </w:tc>
        <w:tc>
          <w:tcPr>
            <w:tcW w:w="1240" w:type="dxa"/>
            <w:shd w:val="clear" w:color="auto" w:fill="auto"/>
            <w:vAlign w:val="bottom"/>
          </w:tcPr>
          <w:p w:rsidR="00967608" w:rsidRPr="00F93369" w:rsidRDefault="00967608" w:rsidP="00F93369">
            <w:pPr>
              <w:keepNext/>
              <w:keepLines/>
              <w:jc w:val="right"/>
              <w:outlineLvl w:val="6"/>
              <w:rPr>
                <w:rFonts w:ascii="Arial" w:hAnsi="Arial" w:cs="Arial"/>
                <w:color w:val="000000"/>
                <w:sz w:val="20"/>
                <w:szCs w:val="20"/>
              </w:rPr>
            </w:pPr>
            <w:r w:rsidRPr="00F93369">
              <w:rPr>
                <w:rFonts w:ascii="Arial" w:hAnsi="Arial" w:cs="Arial"/>
                <w:color w:val="000000"/>
                <w:sz w:val="20"/>
                <w:szCs w:val="20"/>
              </w:rPr>
              <w:t>59.1%</w:t>
            </w:r>
          </w:p>
        </w:tc>
        <w:tc>
          <w:tcPr>
            <w:tcW w:w="2273" w:type="dxa"/>
            <w:shd w:val="clear" w:color="auto" w:fill="auto"/>
            <w:vAlign w:val="bottom"/>
          </w:tcPr>
          <w:p w:rsidR="00967608" w:rsidRPr="00F93369" w:rsidRDefault="00967608" w:rsidP="00F93369">
            <w:pPr>
              <w:keepNext/>
              <w:keepLines/>
              <w:jc w:val="right"/>
              <w:outlineLvl w:val="6"/>
              <w:rPr>
                <w:rFonts w:ascii="Arial" w:hAnsi="Arial" w:cs="Arial"/>
                <w:color w:val="000000"/>
                <w:sz w:val="20"/>
                <w:szCs w:val="20"/>
              </w:rPr>
            </w:pPr>
            <w:r w:rsidRPr="00F93369">
              <w:rPr>
                <w:rFonts w:ascii="Arial" w:hAnsi="Arial" w:cs="Arial"/>
                <w:color w:val="000000"/>
                <w:sz w:val="20"/>
                <w:szCs w:val="20"/>
              </w:rPr>
              <w:t>+5.2%</w:t>
            </w:r>
          </w:p>
        </w:tc>
      </w:tr>
    </w:tbl>
    <w:p w:rsidR="00B84DD8" w:rsidRDefault="00E113BE" w:rsidP="007C068A">
      <w:pPr>
        <w:pStyle w:val="MA-HR-TableSource"/>
        <w:spacing w:after="0"/>
      </w:pPr>
      <w:proofErr w:type="gramStart"/>
      <w:r w:rsidRPr="007C068A">
        <w:rPr>
          <w:vertAlign w:val="superscript"/>
        </w:rPr>
        <w:t>a</w:t>
      </w:r>
      <w:proofErr w:type="gramEnd"/>
      <w:r w:rsidR="0062278A">
        <w:rPr>
          <w:vertAlign w:val="superscript"/>
        </w:rPr>
        <w:t xml:space="preserve"> </w:t>
      </w:r>
      <w:r w:rsidR="0062278A">
        <w:t>The “Other” category includes Asian, Native American, Hawaii</w:t>
      </w:r>
      <w:r w:rsidR="004C673A">
        <w:t>an/Pacific Islander, and Multir</w:t>
      </w:r>
      <w:r w:rsidR="0062278A">
        <w:t>acial Students.</w:t>
      </w:r>
    </w:p>
    <w:p w:rsidR="00967608" w:rsidRDefault="00967608" w:rsidP="00891FDD">
      <w:pPr>
        <w:pStyle w:val="MA-HR-TableSource"/>
      </w:pPr>
      <w:r w:rsidRPr="00891FDD">
        <w:t>Source: Massachusetts Department of ESE, Enrollment Data,</w:t>
      </w:r>
      <w:r w:rsidRPr="00211AAF">
        <w:t xml:space="preserve"> </w:t>
      </w:r>
      <w:hyperlink r:id="rId24" w:history="1">
        <w:r w:rsidRPr="00211AAF">
          <w:rPr>
            <w:rStyle w:val="Hyperlink"/>
          </w:rPr>
          <w:t>http://profiles.doe.mass.edu/profiles/student.aspx?orgcode=00160000&amp;orgtypecode=5&amp;</w:t>
        </w:r>
      </w:hyperlink>
      <w:r>
        <w:t xml:space="preserve"> </w:t>
      </w:r>
    </w:p>
    <w:p w:rsidR="00B73D94" w:rsidRDefault="00B73D94">
      <w:pPr>
        <w:rPr>
          <w:rFonts w:eastAsia="Times New Roman"/>
        </w:rPr>
      </w:pPr>
      <w:r>
        <w:br w:type="page"/>
      </w:r>
    </w:p>
    <w:p w:rsidR="00967608" w:rsidRPr="00967608" w:rsidRDefault="005167C3" w:rsidP="0035181C">
      <w:pPr>
        <w:pStyle w:val="BodyText"/>
      </w:pPr>
      <w:r>
        <w:t>In addition</w:t>
      </w:r>
      <w:r w:rsidR="00967608">
        <w:t>,</w:t>
      </w:r>
      <w:r w:rsidR="00967608" w:rsidRPr="00630129">
        <w:t xml:space="preserve"> all three districts saw a consistent increase </w:t>
      </w:r>
      <w:r>
        <w:t>from 2008</w:t>
      </w:r>
      <w:r w:rsidR="00294CC5" w:rsidRPr="00294CC5">
        <w:t>–</w:t>
      </w:r>
      <w:r>
        <w:t>09 to 2013</w:t>
      </w:r>
      <w:r w:rsidR="00294CC5" w:rsidRPr="00294CC5">
        <w:t>–</w:t>
      </w:r>
      <w:r>
        <w:t>14</w:t>
      </w:r>
      <w:r w:rsidRPr="00630129">
        <w:t xml:space="preserve"> </w:t>
      </w:r>
      <w:r w:rsidR="00967608" w:rsidRPr="00630129">
        <w:t xml:space="preserve">in the number </w:t>
      </w:r>
      <w:r w:rsidR="00967608">
        <w:t>of low-income students served, to approximately 80</w:t>
      </w:r>
      <w:r>
        <w:t>%</w:t>
      </w:r>
      <w:r w:rsidR="00967608">
        <w:t xml:space="preserve"> of students </w:t>
      </w:r>
      <w:r w:rsidR="006C1706">
        <w:t xml:space="preserve">each </w:t>
      </w:r>
      <w:r w:rsidR="00967608">
        <w:t>in Brockton and Revere and 40</w:t>
      </w:r>
      <w:r>
        <w:t>%</w:t>
      </w:r>
      <w:r w:rsidR="00967608">
        <w:t xml:space="preserve"> </w:t>
      </w:r>
      <w:r w:rsidR="00090F06">
        <w:t>in Attleboro (Exhibit 4</w:t>
      </w:r>
      <w:r w:rsidR="00967608" w:rsidRPr="00967608">
        <w:t>).</w:t>
      </w:r>
    </w:p>
    <w:p w:rsidR="00967608" w:rsidRPr="00967608" w:rsidRDefault="00090F06" w:rsidP="0083023B">
      <w:pPr>
        <w:pStyle w:val="ExhibitTitle"/>
      </w:pPr>
      <w:bookmarkStart w:id="33" w:name="_Toc273283759"/>
      <w:r>
        <w:t>Exhibit 4</w:t>
      </w:r>
      <w:r w:rsidR="00967608" w:rsidRPr="00967608">
        <w:t xml:space="preserve">. Percentage of Low-Income Students, </w:t>
      </w:r>
      <w:r w:rsidR="00967608" w:rsidRPr="00967608">
        <w:br/>
        <w:t>2008</w:t>
      </w:r>
      <w:r w:rsidR="000A1A11" w:rsidRPr="00F42BDA">
        <w:t>–</w:t>
      </w:r>
      <w:r w:rsidR="00967608" w:rsidRPr="00967608">
        <w:t>09 Through 2013</w:t>
      </w:r>
      <w:r w:rsidR="009A1A3E" w:rsidRPr="00A13183">
        <w:t>–</w:t>
      </w:r>
      <w:r w:rsidR="00967608" w:rsidRPr="00967608">
        <w:t>14, by District</w:t>
      </w:r>
      <w:bookmarkEnd w:id="33"/>
    </w:p>
    <w:p w:rsidR="00967608" w:rsidRDefault="00967608" w:rsidP="00967608">
      <w:r w:rsidRPr="007F637D">
        <w:rPr>
          <w:noProof/>
        </w:rPr>
        <w:t xml:space="preserve"> </w:t>
      </w:r>
      <w:r w:rsidR="00C003E9">
        <w:rPr>
          <w:noProof/>
          <w:lang w:eastAsia="zh-CN" w:bidi="km-KH"/>
        </w:rPr>
        <w:drawing>
          <wp:inline distT="0" distB="0" distL="0" distR="0">
            <wp:extent cx="5744845" cy="3001645"/>
            <wp:effectExtent l="19050" t="0" r="8255" b="0"/>
            <wp:docPr id="1" name="Picture 30" descr="This graph shows an increase from  2008–09 to 2013–14 in the number of low-income students served, to approximately 80% of students each in Brockton and Revere and 40% in Attlebo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his graph shows an increase from  2008–09 to 2013–14 in the number of low-income students served, to approximately 80% of students each in Brockton and Revere and 40% in Attleboro "/>
                    <pic:cNvPicPr>
                      <a:picLocks noChangeAspect="1" noChangeArrowheads="1"/>
                    </pic:cNvPicPr>
                  </pic:nvPicPr>
                  <pic:blipFill>
                    <a:blip r:embed="rId25"/>
                    <a:srcRect/>
                    <a:stretch>
                      <a:fillRect/>
                    </a:stretch>
                  </pic:blipFill>
                  <pic:spPr bwMode="auto">
                    <a:xfrm>
                      <a:off x="0" y="0"/>
                      <a:ext cx="5744845" cy="3001645"/>
                    </a:xfrm>
                    <a:prstGeom prst="rect">
                      <a:avLst/>
                    </a:prstGeom>
                    <a:noFill/>
                    <a:ln w="9525">
                      <a:noFill/>
                      <a:miter lim="800000"/>
                      <a:headEnd/>
                      <a:tailEnd/>
                    </a:ln>
                  </pic:spPr>
                </pic:pic>
              </a:graphicData>
            </a:graphic>
          </wp:inline>
        </w:drawing>
      </w:r>
    </w:p>
    <w:p w:rsidR="00C7696D" w:rsidRDefault="00967608" w:rsidP="00891FDD">
      <w:pPr>
        <w:pStyle w:val="MA-HR-TableSource"/>
        <w:rPr>
          <w:rStyle w:val="Hyperlink"/>
          <w:sz w:val="24"/>
          <w:szCs w:val="24"/>
        </w:rPr>
      </w:pPr>
      <w:r w:rsidRPr="00891FDD">
        <w:t xml:space="preserve">Source: Massachusetts Department of ESE, Selected Population Data, </w:t>
      </w:r>
      <w:hyperlink r:id="rId26" w:history="1">
        <w:r w:rsidRPr="00C7696D">
          <w:rPr>
            <w:rStyle w:val="Hyperlink"/>
          </w:rPr>
          <w:t>http://profiles.doe.mass.edu/profiles/student.aspx?orgcode=00160000&amp;orgtypecode=5&amp;leftNavId=305&amp;</w:t>
        </w:r>
      </w:hyperlink>
    </w:p>
    <w:p w:rsidR="00967608" w:rsidRDefault="00967608" w:rsidP="0035181C">
      <w:pPr>
        <w:pStyle w:val="BodyText"/>
      </w:pPr>
      <w:r>
        <w:t>Although not new in any of</w:t>
      </w:r>
      <w:r w:rsidR="005167C3">
        <w:t xml:space="preserve"> the districts, supporting high</w:t>
      </w:r>
      <w:r w:rsidR="009F4DB0">
        <w:t>-</w:t>
      </w:r>
      <w:r>
        <w:t xml:space="preserve">needs students </w:t>
      </w:r>
      <w:r w:rsidR="005167C3">
        <w:t xml:space="preserve">under </w:t>
      </w:r>
      <w:proofErr w:type="gramStart"/>
      <w:r>
        <w:t>a high</w:t>
      </w:r>
      <w:proofErr w:type="gramEnd"/>
      <w:r w:rsidR="006A7EAA">
        <w:t>-</w:t>
      </w:r>
      <w:r>
        <w:t>stakes accountability system place</w:t>
      </w:r>
      <w:r w:rsidR="005167C3">
        <w:t>s</w:t>
      </w:r>
      <w:r>
        <w:t xml:space="preserve"> urgency on teachers to overcome challenges their colleagues in more affluent districts do not face to the same degree. Meeting these challenges ha</w:t>
      </w:r>
      <w:r w:rsidR="005167C3">
        <w:t>s implications for recruitment</w:t>
      </w:r>
      <w:r>
        <w:t>, induction</w:t>
      </w:r>
      <w:r w:rsidR="005167C3">
        <w:t xml:space="preserve">, </w:t>
      </w:r>
      <w:r>
        <w:t>professional development strategies</w:t>
      </w:r>
      <w:r w:rsidR="006A7EAA">
        <w:t>,</w:t>
      </w:r>
      <w:r>
        <w:t xml:space="preserve"> and </w:t>
      </w:r>
      <w:r w:rsidR="005167C3">
        <w:t xml:space="preserve">for </w:t>
      </w:r>
      <w:r>
        <w:t>approaches to teacher evaluation, which are all levers targeted by the HR Pilot.</w:t>
      </w:r>
    </w:p>
    <w:p w:rsidR="00B73D94" w:rsidRPr="00F93369" w:rsidRDefault="00B73D94">
      <w:pPr>
        <w:rPr>
          <w:rFonts w:ascii="Calibri" w:eastAsia="MS Gothic" w:hAnsi="Calibri"/>
          <w:b/>
          <w:bCs/>
          <w:color w:val="4F81BD"/>
          <w:sz w:val="28"/>
          <w:szCs w:val="28"/>
        </w:rPr>
      </w:pPr>
      <w:bookmarkStart w:id="34" w:name="_Toc394916537"/>
      <w:r>
        <w:br w:type="page"/>
      </w:r>
    </w:p>
    <w:p w:rsidR="00967608" w:rsidRPr="005C1DB5" w:rsidRDefault="00967608" w:rsidP="0083023B">
      <w:pPr>
        <w:pStyle w:val="Heading2"/>
      </w:pPr>
      <w:bookmarkStart w:id="35" w:name="_Toc399828623"/>
      <w:r w:rsidRPr="005C1DB5">
        <w:t>Teacher Characteristics</w:t>
      </w:r>
      <w:bookmarkEnd w:id="34"/>
      <w:bookmarkEnd w:id="35"/>
    </w:p>
    <w:p w:rsidR="00967608" w:rsidRDefault="00967608" w:rsidP="0035181C">
      <w:pPr>
        <w:pStyle w:val="BodyText"/>
      </w:pPr>
      <w:r>
        <w:t>The relative size of the teaching force in the three HR Pilot districts reflects the differences in student enrollment. Brockton’s teacher corps is more than double those of</w:t>
      </w:r>
      <w:r w:rsidR="00090F06">
        <w:t xml:space="preserve"> Attleboro and Revere (Exhibit 5</w:t>
      </w:r>
      <w:r>
        <w:t>). Over time, the increase in Revere’s teaching force kept pace with its student enrollment growth</w:t>
      </w:r>
      <w:r w:rsidR="00985ACB">
        <w:t>,</w:t>
      </w:r>
      <w:r>
        <w:t xml:space="preserve"> and the number of teachers in Attleboro remained relatively flat, as </w:t>
      </w:r>
      <w:r w:rsidR="00FE7DBF">
        <w:t xml:space="preserve">did </w:t>
      </w:r>
      <w:r>
        <w:t>its student enrollment. In Brockton, however, the number of teachers remained flat from 2008</w:t>
      </w:r>
      <w:r w:rsidR="00FB1D7C" w:rsidRPr="00A13183">
        <w:t>–</w:t>
      </w:r>
      <w:r>
        <w:t>09 through 2013</w:t>
      </w:r>
      <w:r w:rsidR="00FB1D7C" w:rsidRPr="00F42BDA">
        <w:t>–</w:t>
      </w:r>
      <w:r>
        <w:t>14</w:t>
      </w:r>
      <w:r w:rsidR="000673DF">
        <w:t>,</w:t>
      </w:r>
      <w:r>
        <w:t xml:space="preserve"> despite the increased numbe</w:t>
      </w:r>
      <w:r w:rsidR="000673DF">
        <w:t>r of students in the district. These trends in the size of the teaching force indicate that recruiting and hiring took on an increasing importance in Revere</w:t>
      </w:r>
      <w:r w:rsidR="00D43D89">
        <w:t>,</w:t>
      </w:r>
      <w:r w:rsidR="000673DF">
        <w:t xml:space="preserve"> and although Brockton may have anticipated the need to hire more teachers (beyond replacement for attrition)</w:t>
      </w:r>
      <w:proofErr w:type="gramStart"/>
      <w:r w:rsidR="000673DF">
        <w:t>,</w:t>
      </w:r>
      <w:proofErr w:type="gramEnd"/>
      <w:r w:rsidR="000673DF">
        <w:t xml:space="preserve"> their </w:t>
      </w:r>
      <w:r w:rsidR="00735C0F">
        <w:t xml:space="preserve">fiscal </w:t>
      </w:r>
      <w:r w:rsidR="000673DF">
        <w:t>situation limited their hiring.</w:t>
      </w:r>
    </w:p>
    <w:p w:rsidR="00967608" w:rsidRPr="00967608" w:rsidRDefault="00967608" w:rsidP="0083023B">
      <w:pPr>
        <w:pStyle w:val="ExhibitTitle"/>
      </w:pPr>
      <w:bookmarkStart w:id="36" w:name="_Toc273283760"/>
      <w:r w:rsidRPr="00967608">
        <w:t xml:space="preserve">Exhibit </w:t>
      </w:r>
      <w:r w:rsidR="00090F06">
        <w:t>5.</w:t>
      </w:r>
      <w:r w:rsidRPr="00967608">
        <w:t xml:space="preserve"> Number of Full-Time Equivalent Teachers, </w:t>
      </w:r>
      <w:r w:rsidRPr="00967608">
        <w:br/>
        <w:t>2008</w:t>
      </w:r>
      <w:r w:rsidR="00166734" w:rsidRPr="00A13183">
        <w:t>–</w:t>
      </w:r>
      <w:r w:rsidRPr="00967608">
        <w:t>09 Through 2013</w:t>
      </w:r>
      <w:r w:rsidR="00166734" w:rsidRPr="00F42BDA">
        <w:t>–</w:t>
      </w:r>
      <w:r w:rsidRPr="00967608">
        <w:t>14, by District</w:t>
      </w:r>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8"/>
        <w:gridCol w:w="1073"/>
        <w:gridCol w:w="1134"/>
        <w:gridCol w:w="1073"/>
        <w:gridCol w:w="1073"/>
        <w:gridCol w:w="1073"/>
        <w:gridCol w:w="1106"/>
        <w:gridCol w:w="1212"/>
      </w:tblGrid>
      <w:tr w:rsidR="00967608" w:rsidRPr="00F93369" w:rsidTr="00F93369">
        <w:tc>
          <w:tcPr>
            <w:tcW w:w="1278" w:type="dxa"/>
            <w:shd w:val="clear" w:color="auto" w:fill="auto"/>
            <w:vAlign w:val="bottom"/>
          </w:tcPr>
          <w:p w:rsidR="00967608" w:rsidRPr="00F93369" w:rsidRDefault="00967608" w:rsidP="00F93369">
            <w:pPr>
              <w:jc w:val="center"/>
              <w:rPr>
                <w:rFonts w:ascii="Arial" w:hAnsi="Arial" w:cs="Arial"/>
                <w:sz w:val="20"/>
                <w:szCs w:val="20"/>
              </w:rPr>
            </w:pPr>
          </w:p>
        </w:tc>
        <w:tc>
          <w:tcPr>
            <w:tcW w:w="1073" w:type="dxa"/>
            <w:shd w:val="clear" w:color="auto" w:fill="auto"/>
            <w:vAlign w:val="bottom"/>
          </w:tcPr>
          <w:p w:rsidR="00967608" w:rsidRPr="00F93369" w:rsidRDefault="00967608" w:rsidP="00F93369">
            <w:pPr>
              <w:jc w:val="center"/>
              <w:rPr>
                <w:rFonts w:ascii="Arial" w:hAnsi="Arial" w:cs="Arial"/>
                <w:b/>
                <w:sz w:val="20"/>
                <w:szCs w:val="20"/>
              </w:rPr>
            </w:pPr>
            <w:r w:rsidRPr="00F93369">
              <w:rPr>
                <w:rFonts w:ascii="Arial" w:hAnsi="Arial" w:cs="Arial"/>
                <w:b/>
                <w:sz w:val="20"/>
                <w:szCs w:val="20"/>
              </w:rPr>
              <w:t>2008</w:t>
            </w:r>
            <w:r w:rsidR="00166734" w:rsidRPr="00F93369">
              <w:rPr>
                <w:rFonts w:ascii="Arial" w:hAnsi="Arial" w:cs="Arial"/>
                <w:b/>
                <w:sz w:val="20"/>
                <w:szCs w:val="20"/>
              </w:rPr>
              <w:t>–</w:t>
            </w:r>
            <w:r w:rsidRPr="00F93369">
              <w:rPr>
                <w:rFonts w:ascii="Arial" w:hAnsi="Arial" w:cs="Arial"/>
                <w:b/>
                <w:sz w:val="20"/>
                <w:szCs w:val="20"/>
              </w:rPr>
              <w:t>09</w:t>
            </w:r>
          </w:p>
        </w:tc>
        <w:tc>
          <w:tcPr>
            <w:tcW w:w="1134" w:type="dxa"/>
            <w:shd w:val="clear" w:color="auto" w:fill="auto"/>
            <w:vAlign w:val="bottom"/>
          </w:tcPr>
          <w:p w:rsidR="00967608" w:rsidRPr="00F93369" w:rsidRDefault="00967608" w:rsidP="00F93369">
            <w:pPr>
              <w:jc w:val="center"/>
              <w:rPr>
                <w:rFonts w:ascii="Arial" w:hAnsi="Arial" w:cs="Arial"/>
                <w:b/>
                <w:sz w:val="20"/>
                <w:szCs w:val="20"/>
              </w:rPr>
            </w:pPr>
            <w:r w:rsidRPr="00F93369">
              <w:rPr>
                <w:rFonts w:ascii="Arial" w:hAnsi="Arial" w:cs="Arial"/>
                <w:b/>
                <w:sz w:val="20"/>
                <w:szCs w:val="20"/>
              </w:rPr>
              <w:t>2009</w:t>
            </w:r>
            <w:r w:rsidR="00166734" w:rsidRPr="00F93369">
              <w:rPr>
                <w:rFonts w:ascii="Arial" w:hAnsi="Arial" w:cs="Arial"/>
                <w:b/>
                <w:sz w:val="20"/>
                <w:szCs w:val="20"/>
              </w:rPr>
              <w:t>–</w:t>
            </w:r>
            <w:r w:rsidRPr="00F93369">
              <w:rPr>
                <w:rFonts w:ascii="Arial" w:hAnsi="Arial" w:cs="Arial"/>
                <w:b/>
                <w:sz w:val="20"/>
                <w:szCs w:val="20"/>
              </w:rPr>
              <w:t>10</w:t>
            </w:r>
          </w:p>
        </w:tc>
        <w:tc>
          <w:tcPr>
            <w:tcW w:w="1073" w:type="dxa"/>
            <w:shd w:val="clear" w:color="auto" w:fill="auto"/>
            <w:vAlign w:val="bottom"/>
          </w:tcPr>
          <w:p w:rsidR="00967608" w:rsidRPr="00F93369" w:rsidRDefault="00967608" w:rsidP="00F93369">
            <w:pPr>
              <w:jc w:val="center"/>
              <w:rPr>
                <w:rFonts w:ascii="Arial" w:hAnsi="Arial" w:cs="Arial"/>
                <w:b/>
                <w:sz w:val="20"/>
                <w:szCs w:val="20"/>
              </w:rPr>
            </w:pPr>
            <w:r w:rsidRPr="00F93369">
              <w:rPr>
                <w:rFonts w:ascii="Arial" w:hAnsi="Arial" w:cs="Arial"/>
                <w:b/>
                <w:sz w:val="20"/>
                <w:szCs w:val="20"/>
              </w:rPr>
              <w:t>2010</w:t>
            </w:r>
            <w:r w:rsidR="00166734" w:rsidRPr="00F93369">
              <w:rPr>
                <w:rFonts w:ascii="Arial" w:hAnsi="Arial" w:cs="Arial"/>
                <w:b/>
                <w:sz w:val="20"/>
                <w:szCs w:val="20"/>
              </w:rPr>
              <w:t>–</w:t>
            </w:r>
            <w:r w:rsidRPr="00F93369">
              <w:rPr>
                <w:rFonts w:ascii="Arial" w:hAnsi="Arial" w:cs="Arial"/>
                <w:b/>
                <w:sz w:val="20"/>
                <w:szCs w:val="20"/>
              </w:rPr>
              <w:t>11</w:t>
            </w:r>
          </w:p>
        </w:tc>
        <w:tc>
          <w:tcPr>
            <w:tcW w:w="1073" w:type="dxa"/>
            <w:shd w:val="clear" w:color="auto" w:fill="auto"/>
            <w:vAlign w:val="bottom"/>
          </w:tcPr>
          <w:p w:rsidR="00967608" w:rsidRPr="00F93369" w:rsidRDefault="00967608" w:rsidP="00F93369">
            <w:pPr>
              <w:jc w:val="center"/>
              <w:rPr>
                <w:rFonts w:ascii="Arial" w:hAnsi="Arial" w:cs="Arial"/>
                <w:b/>
                <w:sz w:val="20"/>
                <w:szCs w:val="20"/>
              </w:rPr>
            </w:pPr>
            <w:r w:rsidRPr="00F93369">
              <w:rPr>
                <w:rFonts w:ascii="Arial" w:hAnsi="Arial" w:cs="Arial"/>
                <w:b/>
                <w:sz w:val="20"/>
                <w:szCs w:val="20"/>
              </w:rPr>
              <w:t>2011</w:t>
            </w:r>
            <w:r w:rsidR="00166734" w:rsidRPr="00F93369">
              <w:rPr>
                <w:rFonts w:ascii="Arial" w:hAnsi="Arial" w:cs="Arial"/>
                <w:b/>
                <w:sz w:val="20"/>
                <w:szCs w:val="20"/>
              </w:rPr>
              <w:t>–</w:t>
            </w:r>
            <w:r w:rsidRPr="00F93369">
              <w:rPr>
                <w:rFonts w:ascii="Arial" w:hAnsi="Arial" w:cs="Arial"/>
                <w:b/>
                <w:sz w:val="20"/>
                <w:szCs w:val="20"/>
              </w:rPr>
              <w:t>12</w:t>
            </w:r>
          </w:p>
        </w:tc>
        <w:tc>
          <w:tcPr>
            <w:tcW w:w="1073" w:type="dxa"/>
            <w:shd w:val="clear" w:color="auto" w:fill="auto"/>
            <w:vAlign w:val="bottom"/>
          </w:tcPr>
          <w:p w:rsidR="00967608" w:rsidRPr="00F93369" w:rsidRDefault="00967608" w:rsidP="00F93369">
            <w:pPr>
              <w:jc w:val="center"/>
              <w:rPr>
                <w:rFonts w:ascii="Arial" w:hAnsi="Arial" w:cs="Arial"/>
                <w:b/>
                <w:sz w:val="20"/>
                <w:szCs w:val="20"/>
              </w:rPr>
            </w:pPr>
            <w:r w:rsidRPr="00F93369">
              <w:rPr>
                <w:rFonts w:ascii="Arial" w:hAnsi="Arial" w:cs="Arial"/>
                <w:b/>
                <w:sz w:val="20"/>
                <w:szCs w:val="20"/>
              </w:rPr>
              <w:t>2012</w:t>
            </w:r>
            <w:r w:rsidR="00166734" w:rsidRPr="00F93369">
              <w:rPr>
                <w:rFonts w:ascii="Arial" w:hAnsi="Arial" w:cs="Arial"/>
                <w:b/>
                <w:sz w:val="20"/>
                <w:szCs w:val="20"/>
              </w:rPr>
              <w:t>–</w:t>
            </w:r>
            <w:r w:rsidRPr="00F93369">
              <w:rPr>
                <w:rFonts w:ascii="Arial" w:hAnsi="Arial" w:cs="Arial"/>
                <w:b/>
                <w:sz w:val="20"/>
                <w:szCs w:val="20"/>
              </w:rPr>
              <w:t>13</w:t>
            </w:r>
          </w:p>
        </w:tc>
        <w:tc>
          <w:tcPr>
            <w:tcW w:w="1106" w:type="dxa"/>
            <w:shd w:val="clear" w:color="auto" w:fill="auto"/>
            <w:vAlign w:val="bottom"/>
          </w:tcPr>
          <w:p w:rsidR="00967608" w:rsidRPr="00F93369" w:rsidRDefault="00967608" w:rsidP="00F93369">
            <w:pPr>
              <w:jc w:val="center"/>
              <w:rPr>
                <w:rFonts w:ascii="Arial" w:hAnsi="Arial" w:cs="Arial"/>
                <w:b/>
                <w:sz w:val="20"/>
                <w:szCs w:val="20"/>
              </w:rPr>
            </w:pPr>
            <w:r w:rsidRPr="00F93369">
              <w:rPr>
                <w:rFonts w:ascii="Arial" w:hAnsi="Arial" w:cs="Arial"/>
                <w:b/>
                <w:sz w:val="20"/>
                <w:szCs w:val="20"/>
              </w:rPr>
              <w:t>2013</w:t>
            </w:r>
            <w:r w:rsidR="00166734" w:rsidRPr="00F93369">
              <w:rPr>
                <w:rFonts w:ascii="Arial" w:hAnsi="Arial" w:cs="Arial"/>
                <w:b/>
                <w:sz w:val="20"/>
                <w:szCs w:val="20"/>
              </w:rPr>
              <w:t>–</w:t>
            </w:r>
            <w:r w:rsidRPr="00F93369">
              <w:rPr>
                <w:rFonts w:ascii="Arial" w:hAnsi="Arial" w:cs="Arial"/>
                <w:b/>
                <w:sz w:val="20"/>
                <w:szCs w:val="20"/>
              </w:rPr>
              <w:t>14</w:t>
            </w:r>
          </w:p>
        </w:tc>
        <w:tc>
          <w:tcPr>
            <w:tcW w:w="1212" w:type="dxa"/>
            <w:shd w:val="clear" w:color="auto" w:fill="auto"/>
            <w:vAlign w:val="bottom"/>
          </w:tcPr>
          <w:p w:rsidR="00967608" w:rsidRPr="00F93369" w:rsidRDefault="00967608" w:rsidP="00F93369">
            <w:pPr>
              <w:jc w:val="center"/>
              <w:rPr>
                <w:rFonts w:ascii="Arial" w:hAnsi="Arial" w:cs="Arial"/>
                <w:b/>
                <w:sz w:val="20"/>
                <w:szCs w:val="20"/>
              </w:rPr>
            </w:pPr>
            <w:r w:rsidRPr="00F93369">
              <w:rPr>
                <w:rFonts w:ascii="Arial" w:hAnsi="Arial" w:cs="Arial"/>
                <w:b/>
                <w:sz w:val="20"/>
                <w:szCs w:val="20"/>
              </w:rPr>
              <w:t xml:space="preserve">Percent </w:t>
            </w:r>
            <w:r w:rsidR="00F267DC" w:rsidRPr="00F93369">
              <w:rPr>
                <w:rFonts w:ascii="Arial" w:hAnsi="Arial" w:cs="Arial"/>
                <w:b/>
                <w:sz w:val="20"/>
                <w:szCs w:val="20"/>
              </w:rPr>
              <w:t>c</w:t>
            </w:r>
            <w:r w:rsidRPr="00F93369">
              <w:rPr>
                <w:rFonts w:ascii="Arial" w:hAnsi="Arial" w:cs="Arial"/>
                <w:b/>
                <w:sz w:val="20"/>
                <w:szCs w:val="20"/>
              </w:rPr>
              <w:t>hange</w:t>
            </w:r>
          </w:p>
        </w:tc>
      </w:tr>
      <w:tr w:rsidR="00967608" w:rsidRPr="00F93369" w:rsidTr="00F93369">
        <w:tc>
          <w:tcPr>
            <w:tcW w:w="1278" w:type="dxa"/>
            <w:shd w:val="clear" w:color="auto" w:fill="auto"/>
          </w:tcPr>
          <w:p w:rsidR="00967608" w:rsidRPr="00F93369" w:rsidRDefault="00967608" w:rsidP="00967608">
            <w:pPr>
              <w:rPr>
                <w:rFonts w:ascii="Arial" w:hAnsi="Arial" w:cs="Arial"/>
                <w:b/>
                <w:sz w:val="20"/>
                <w:szCs w:val="20"/>
              </w:rPr>
            </w:pPr>
            <w:r w:rsidRPr="00F93369">
              <w:rPr>
                <w:rFonts w:ascii="Arial" w:hAnsi="Arial" w:cs="Arial"/>
                <w:b/>
                <w:sz w:val="20"/>
                <w:szCs w:val="20"/>
              </w:rPr>
              <w:t>Attleboro</w:t>
            </w:r>
          </w:p>
        </w:tc>
        <w:tc>
          <w:tcPr>
            <w:tcW w:w="1073" w:type="dxa"/>
            <w:shd w:val="clear" w:color="auto" w:fill="auto"/>
            <w:vAlign w:val="bottom"/>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395</w:t>
            </w:r>
          </w:p>
        </w:tc>
        <w:tc>
          <w:tcPr>
            <w:tcW w:w="1134" w:type="dxa"/>
            <w:shd w:val="clear" w:color="auto" w:fill="auto"/>
            <w:vAlign w:val="bottom"/>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383</w:t>
            </w:r>
          </w:p>
        </w:tc>
        <w:tc>
          <w:tcPr>
            <w:tcW w:w="1073" w:type="dxa"/>
            <w:shd w:val="clear" w:color="auto" w:fill="auto"/>
            <w:vAlign w:val="bottom"/>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365</w:t>
            </w:r>
          </w:p>
        </w:tc>
        <w:tc>
          <w:tcPr>
            <w:tcW w:w="1073" w:type="dxa"/>
            <w:shd w:val="clear" w:color="auto" w:fill="auto"/>
            <w:vAlign w:val="bottom"/>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371</w:t>
            </w:r>
          </w:p>
        </w:tc>
        <w:tc>
          <w:tcPr>
            <w:tcW w:w="1073" w:type="dxa"/>
            <w:shd w:val="clear" w:color="auto" w:fill="auto"/>
            <w:vAlign w:val="bottom"/>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389</w:t>
            </w:r>
          </w:p>
        </w:tc>
        <w:tc>
          <w:tcPr>
            <w:tcW w:w="1106" w:type="dxa"/>
            <w:shd w:val="clear" w:color="auto" w:fill="auto"/>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391</w:t>
            </w:r>
          </w:p>
        </w:tc>
        <w:tc>
          <w:tcPr>
            <w:tcW w:w="1212" w:type="dxa"/>
            <w:shd w:val="clear" w:color="auto" w:fill="auto"/>
            <w:vAlign w:val="bottom"/>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-1.0%</w:t>
            </w:r>
          </w:p>
        </w:tc>
      </w:tr>
      <w:tr w:rsidR="00967608" w:rsidRPr="00F93369" w:rsidTr="00F93369">
        <w:tc>
          <w:tcPr>
            <w:tcW w:w="1278" w:type="dxa"/>
            <w:shd w:val="clear" w:color="auto" w:fill="auto"/>
          </w:tcPr>
          <w:p w:rsidR="00967608" w:rsidRPr="00F93369" w:rsidRDefault="00967608" w:rsidP="00967608">
            <w:pPr>
              <w:rPr>
                <w:rFonts w:ascii="Arial" w:hAnsi="Arial" w:cs="Arial"/>
                <w:b/>
                <w:sz w:val="20"/>
                <w:szCs w:val="20"/>
              </w:rPr>
            </w:pPr>
            <w:r w:rsidRPr="00F93369">
              <w:rPr>
                <w:rFonts w:ascii="Arial" w:hAnsi="Arial" w:cs="Arial"/>
                <w:b/>
                <w:sz w:val="20"/>
                <w:szCs w:val="20"/>
              </w:rPr>
              <w:t>Brockton</w:t>
            </w:r>
          </w:p>
        </w:tc>
        <w:tc>
          <w:tcPr>
            <w:tcW w:w="1073" w:type="dxa"/>
            <w:shd w:val="clear" w:color="auto" w:fill="auto"/>
            <w:vAlign w:val="bottom"/>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1,107</w:t>
            </w:r>
          </w:p>
        </w:tc>
        <w:tc>
          <w:tcPr>
            <w:tcW w:w="1134" w:type="dxa"/>
            <w:shd w:val="clear" w:color="auto" w:fill="auto"/>
            <w:vAlign w:val="bottom"/>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1,099</w:t>
            </w:r>
          </w:p>
        </w:tc>
        <w:tc>
          <w:tcPr>
            <w:tcW w:w="1073" w:type="dxa"/>
            <w:shd w:val="clear" w:color="auto" w:fill="auto"/>
            <w:vAlign w:val="bottom"/>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1,066</w:t>
            </w:r>
          </w:p>
        </w:tc>
        <w:tc>
          <w:tcPr>
            <w:tcW w:w="1073" w:type="dxa"/>
            <w:shd w:val="clear" w:color="auto" w:fill="auto"/>
            <w:vAlign w:val="bottom"/>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1,088</w:t>
            </w:r>
          </w:p>
        </w:tc>
        <w:tc>
          <w:tcPr>
            <w:tcW w:w="1073" w:type="dxa"/>
            <w:shd w:val="clear" w:color="auto" w:fill="auto"/>
            <w:vAlign w:val="bottom"/>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1,064</w:t>
            </w:r>
          </w:p>
        </w:tc>
        <w:tc>
          <w:tcPr>
            <w:tcW w:w="1106" w:type="dxa"/>
            <w:shd w:val="clear" w:color="auto" w:fill="auto"/>
            <w:vAlign w:val="bottom"/>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1,113</w:t>
            </w:r>
          </w:p>
        </w:tc>
        <w:tc>
          <w:tcPr>
            <w:tcW w:w="1212" w:type="dxa"/>
            <w:shd w:val="clear" w:color="auto" w:fill="auto"/>
            <w:vAlign w:val="bottom"/>
          </w:tcPr>
          <w:p w:rsidR="00967608" w:rsidRPr="00F93369" w:rsidRDefault="00967608" w:rsidP="00F93369">
            <w:pPr>
              <w:jc w:val="right"/>
              <w:rPr>
                <w:rFonts w:ascii="Arial" w:eastAsia="MS Gothic" w:hAnsi="Arial" w:cs="Arial"/>
                <w:i/>
                <w:iCs/>
                <w:color w:val="000000"/>
                <w:sz w:val="20"/>
                <w:szCs w:val="20"/>
              </w:rPr>
            </w:pPr>
            <w:r w:rsidRPr="00F93369">
              <w:rPr>
                <w:rFonts w:ascii="Arial" w:hAnsi="Arial" w:cs="Arial"/>
                <w:color w:val="000000"/>
                <w:sz w:val="20"/>
                <w:szCs w:val="20"/>
              </w:rPr>
              <w:t>0.5%</w:t>
            </w:r>
          </w:p>
        </w:tc>
      </w:tr>
      <w:tr w:rsidR="00967608" w:rsidRPr="00F93369" w:rsidTr="00F93369">
        <w:tc>
          <w:tcPr>
            <w:tcW w:w="1278" w:type="dxa"/>
            <w:shd w:val="clear" w:color="auto" w:fill="auto"/>
          </w:tcPr>
          <w:p w:rsidR="00967608" w:rsidRPr="00F93369" w:rsidRDefault="00967608" w:rsidP="00967608">
            <w:pPr>
              <w:rPr>
                <w:rFonts w:ascii="Arial" w:hAnsi="Arial" w:cs="Arial"/>
                <w:b/>
                <w:sz w:val="20"/>
                <w:szCs w:val="20"/>
              </w:rPr>
            </w:pPr>
            <w:r w:rsidRPr="00F93369">
              <w:rPr>
                <w:rFonts w:ascii="Arial" w:hAnsi="Arial" w:cs="Arial"/>
                <w:b/>
                <w:sz w:val="20"/>
                <w:szCs w:val="20"/>
              </w:rPr>
              <w:t>Revere</w:t>
            </w:r>
          </w:p>
        </w:tc>
        <w:tc>
          <w:tcPr>
            <w:tcW w:w="1073" w:type="dxa"/>
            <w:shd w:val="clear" w:color="auto" w:fill="auto"/>
            <w:vAlign w:val="bottom"/>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435</w:t>
            </w:r>
          </w:p>
        </w:tc>
        <w:tc>
          <w:tcPr>
            <w:tcW w:w="1134" w:type="dxa"/>
            <w:shd w:val="clear" w:color="auto" w:fill="auto"/>
            <w:vAlign w:val="bottom"/>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425</w:t>
            </w:r>
          </w:p>
        </w:tc>
        <w:tc>
          <w:tcPr>
            <w:tcW w:w="1073" w:type="dxa"/>
            <w:shd w:val="clear" w:color="auto" w:fill="auto"/>
            <w:vAlign w:val="bottom"/>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444</w:t>
            </w:r>
          </w:p>
        </w:tc>
        <w:tc>
          <w:tcPr>
            <w:tcW w:w="1073" w:type="dxa"/>
            <w:shd w:val="clear" w:color="auto" w:fill="auto"/>
            <w:vAlign w:val="bottom"/>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458</w:t>
            </w:r>
          </w:p>
        </w:tc>
        <w:tc>
          <w:tcPr>
            <w:tcW w:w="1073" w:type="dxa"/>
            <w:shd w:val="clear" w:color="auto" w:fill="auto"/>
            <w:vAlign w:val="bottom"/>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488</w:t>
            </w:r>
          </w:p>
        </w:tc>
        <w:tc>
          <w:tcPr>
            <w:tcW w:w="1106" w:type="dxa"/>
            <w:shd w:val="clear" w:color="auto" w:fill="auto"/>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507</w:t>
            </w:r>
          </w:p>
        </w:tc>
        <w:tc>
          <w:tcPr>
            <w:tcW w:w="1212" w:type="dxa"/>
            <w:shd w:val="clear" w:color="auto" w:fill="auto"/>
            <w:vAlign w:val="bottom"/>
          </w:tcPr>
          <w:p w:rsidR="00967608" w:rsidRPr="00F93369" w:rsidRDefault="00967608" w:rsidP="00F93369">
            <w:pPr>
              <w:jc w:val="right"/>
              <w:rPr>
                <w:rFonts w:ascii="Arial" w:hAnsi="Arial" w:cs="Arial"/>
                <w:color w:val="000000"/>
                <w:sz w:val="20"/>
                <w:szCs w:val="20"/>
              </w:rPr>
            </w:pPr>
            <w:r w:rsidRPr="00F93369">
              <w:rPr>
                <w:rFonts w:ascii="Arial" w:hAnsi="Arial" w:cs="Arial"/>
                <w:color w:val="000000"/>
                <w:sz w:val="20"/>
                <w:szCs w:val="20"/>
              </w:rPr>
              <w:t>14.2%</w:t>
            </w:r>
          </w:p>
        </w:tc>
      </w:tr>
    </w:tbl>
    <w:p w:rsidR="00967608" w:rsidRDefault="00967608" w:rsidP="00891FDD">
      <w:pPr>
        <w:pStyle w:val="MA-HR-TableSource"/>
        <w:rPr>
          <w:sz w:val="28"/>
          <w:szCs w:val="28"/>
        </w:rPr>
      </w:pPr>
      <w:r w:rsidRPr="00211AAF">
        <w:t xml:space="preserve">Source: Massachusetts Department of ESE, </w:t>
      </w:r>
      <w:r>
        <w:t>Teacher</w:t>
      </w:r>
      <w:r w:rsidRPr="00211AAF">
        <w:t xml:space="preserve"> </w:t>
      </w:r>
      <w:r>
        <w:t>Data</w:t>
      </w:r>
      <w:r w:rsidRPr="00211AAF">
        <w:t xml:space="preserve">, </w:t>
      </w:r>
      <w:hyperlink r:id="rId27" w:history="1">
        <w:r w:rsidR="0056546D" w:rsidRPr="00895012">
          <w:rPr>
            <w:rStyle w:val="Hyperlink"/>
          </w:rPr>
          <w:t>http://profiles.doe.mass.edu/profiles/teacher.aspx?orgcode=00160000&amp;orgtypecode=5&amp;</w:t>
        </w:r>
      </w:hyperlink>
    </w:p>
    <w:p w:rsidR="00967608" w:rsidRPr="00967608" w:rsidRDefault="00967608" w:rsidP="0035181C">
      <w:pPr>
        <w:pStyle w:val="BodyText"/>
      </w:pPr>
      <w:r>
        <w:t>Two additional metrics</w:t>
      </w:r>
      <w:r>
        <w:sym w:font="Symbol" w:char="F0BE"/>
      </w:r>
      <w:r>
        <w:t>t</w:t>
      </w:r>
      <w:r w:rsidRPr="0031223E">
        <w:t>he percent</w:t>
      </w:r>
      <w:r>
        <w:t>age</w:t>
      </w:r>
      <w:r w:rsidRPr="0031223E">
        <w:t xml:space="preserve"> of teachers licensed in their respective teaching assignments and </w:t>
      </w:r>
      <w:r>
        <w:t xml:space="preserve">the percentage of </w:t>
      </w:r>
      <w:r w:rsidRPr="0031223E">
        <w:t>core academic classes taught by teachers who are highly qualified</w:t>
      </w:r>
      <w:r w:rsidR="006D6767">
        <w:sym w:font="Symbol" w:char="F0BE"/>
      </w:r>
      <w:r w:rsidR="006D6767">
        <w:t>have been relatively high across the three HR Pilot districts</w:t>
      </w:r>
      <w:r w:rsidR="006D6767">
        <w:rPr>
          <w:rStyle w:val="FootnoteReference"/>
        </w:rPr>
        <w:t xml:space="preserve"> </w:t>
      </w:r>
      <w:r w:rsidR="006D6767">
        <w:t>.</w:t>
      </w:r>
      <w:r>
        <w:rPr>
          <w:rStyle w:val="FootnoteReference"/>
        </w:rPr>
        <w:footnoteReference w:id="4"/>
      </w:r>
      <w:r>
        <w:t xml:space="preserve"> Brockton in particular increased the percentage of teachers licensed in-field and the percentage of core classes taught by highly </w:t>
      </w:r>
      <w:r w:rsidRPr="00967608">
        <w:t>qualified teachers from 20</w:t>
      </w:r>
      <w:r w:rsidR="00090F06">
        <w:t>08</w:t>
      </w:r>
      <w:r w:rsidR="00124A1D">
        <w:t>–</w:t>
      </w:r>
      <w:r w:rsidR="00090F06">
        <w:t xml:space="preserve">09 through </w:t>
      </w:r>
      <w:r w:rsidR="00124A1D">
        <w:br/>
      </w:r>
      <w:r w:rsidR="00090F06">
        <w:t>2012</w:t>
      </w:r>
      <w:r w:rsidR="00124A1D">
        <w:t>–</w:t>
      </w:r>
      <w:r w:rsidR="00090F06">
        <w:t>13 (Exhibit 6</w:t>
      </w:r>
      <w:r w:rsidRPr="00967608">
        <w:t>).</w:t>
      </w:r>
    </w:p>
    <w:p w:rsidR="00967608" w:rsidRPr="00967608" w:rsidRDefault="00967608" w:rsidP="00967608"/>
    <w:p w:rsidR="0083023B" w:rsidRDefault="0083023B">
      <w:pPr>
        <w:rPr>
          <w:rFonts w:ascii="Arial" w:hAnsi="Arial" w:cs="Arial"/>
          <w:b/>
        </w:rPr>
      </w:pPr>
      <w:r>
        <w:br w:type="page"/>
      </w:r>
    </w:p>
    <w:p w:rsidR="00967608" w:rsidRPr="00967608" w:rsidRDefault="00967608" w:rsidP="0083023B">
      <w:pPr>
        <w:pStyle w:val="ExhibitTitle"/>
      </w:pPr>
      <w:bookmarkStart w:id="37" w:name="_Toc273283761"/>
      <w:r w:rsidRPr="00967608">
        <w:t xml:space="preserve">Exhibit </w:t>
      </w:r>
      <w:r w:rsidR="00090F06">
        <w:t>6</w:t>
      </w:r>
      <w:r w:rsidRPr="00967608">
        <w:t xml:space="preserve">. Percentage of Teachers Licensed in Assignment and Percentage of Core Academic Classes Taught by Highly Qualified Teachers, </w:t>
      </w:r>
      <w:r w:rsidRPr="00967608">
        <w:br/>
        <w:t>2008</w:t>
      </w:r>
      <w:r w:rsidR="00200DE4">
        <w:t>–</w:t>
      </w:r>
      <w:r w:rsidRPr="00967608">
        <w:t>09 to 2012</w:t>
      </w:r>
      <w:r w:rsidR="00200DE4">
        <w:t>–</w:t>
      </w:r>
      <w:r w:rsidRPr="00967608">
        <w:t>13</w:t>
      </w:r>
      <w:r w:rsidR="00090F06">
        <w:t>, by District</w:t>
      </w:r>
      <w:bookmarkEnd w:id="37"/>
      <w:r w:rsidRPr="00967608">
        <w:t xml:space="preserve"> </w:t>
      </w:r>
    </w:p>
    <w:p w:rsidR="00967608" w:rsidRDefault="00C003E9" w:rsidP="00967608">
      <w:r>
        <w:rPr>
          <w:noProof/>
          <w:lang w:eastAsia="zh-CN" w:bidi="km-KH"/>
        </w:rPr>
        <w:drawing>
          <wp:inline distT="0" distB="0" distL="0" distR="0">
            <wp:extent cx="5959475" cy="4227830"/>
            <wp:effectExtent l="19050" t="0" r="3175" b="0"/>
            <wp:docPr id="2" name="Chart 31" descr="This graph shows the Percentage of Teachers Licensed in Assignment and Percentage of Core Academic Classes Taught by Highly Qualified Teachers, &#10;2008–09 to 2012–13, by District. &#10;&#10;Brockton in particular increased the percentage of teachers licensed in-field and the percentage of core classes taught by highly qualified teachers from 2008–09 through &#10;2012–13 &#10;&#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1" descr="This graph shows the Percentage of Teachers Licensed in Assignment and Percentage of Core Academic Classes Taught by Highly Qualified Teachers, &#10;2008–09 to 2012–13, by District. &#10;&#10;Brockton in particular increased the percentage of teachers licensed in-field and the percentage of core classes taught by highly qualified teachers from 2008–09 through &#10;2012–13 &#10;&#10;"/>
                    <pic:cNvPicPr>
                      <a:picLocks noChangeArrowheads="1"/>
                    </pic:cNvPicPr>
                  </pic:nvPicPr>
                  <pic:blipFill>
                    <a:blip r:embed="rId28"/>
                    <a:srcRect/>
                    <a:stretch>
                      <a:fillRect/>
                    </a:stretch>
                  </pic:blipFill>
                  <pic:spPr bwMode="auto">
                    <a:xfrm>
                      <a:off x="0" y="0"/>
                      <a:ext cx="5959475" cy="4227830"/>
                    </a:xfrm>
                    <a:prstGeom prst="rect">
                      <a:avLst/>
                    </a:prstGeom>
                    <a:noFill/>
                    <a:ln w="9525">
                      <a:noFill/>
                      <a:miter lim="800000"/>
                      <a:headEnd/>
                      <a:tailEnd/>
                    </a:ln>
                  </pic:spPr>
                </pic:pic>
              </a:graphicData>
            </a:graphic>
          </wp:inline>
        </w:drawing>
      </w:r>
    </w:p>
    <w:p w:rsidR="00967608" w:rsidRPr="00211AAF" w:rsidRDefault="00967608" w:rsidP="00891FDD">
      <w:pPr>
        <w:pStyle w:val="MA-HR-TableSource"/>
      </w:pPr>
      <w:r w:rsidRPr="00404859">
        <w:t xml:space="preserve">Source: </w:t>
      </w:r>
      <w:r w:rsidRPr="00211AAF">
        <w:t xml:space="preserve">Massachusetts Department of ESE, Teacher Data, </w:t>
      </w:r>
      <w:hyperlink r:id="rId29" w:history="1">
        <w:r w:rsidR="0056546D" w:rsidRPr="00895012">
          <w:rPr>
            <w:rStyle w:val="Hyperlink"/>
          </w:rPr>
          <w:t>http://profiles.doe.mass.edu/profiles/teacher.aspx?orgcode=00160000&amp;orgtypecode=5&amp;&amp;fycode=2013</w:t>
        </w:r>
      </w:hyperlink>
    </w:p>
    <w:p w:rsidR="00967608" w:rsidRDefault="002D0755" w:rsidP="0083023B">
      <w:pPr>
        <w:pStyle w:val="Heading2"/>
      </w:pPr>
      <w:bookmarkStart w:id="38" w:name="_Toc399828624"/>
      <w:r>
        <w:t>Student Performance</w:t>
      </w:r>
      <w:r w:rsidR="002570EA">
        <w:t xml:space="preserve"> and District Capacity</w:t>
      </w:r>
      <w:bookmarkEnd w:id="38"/>
    </w:p>
    <w:p w:rsidR="00A54C69" w:rsidRDefault="00967608" w:rsidP="00AB652B">
      <w:pPr>
        <w:pStyle w:val="BodyText"/>
      </w:pPr>
      <w:r>
        <w:t xml:space="preserve">The HR Pilot districts’ performance on student outcomes provides another indicator of how urgently district leaders might have viewed the need to improve student achievement. </w:t>
      </w:r>
      <w:r w:rsidR="00C80C3F">
        <w:t xml:space="preserve">Under the Massachusetts accountability system, </w:t>
      </w:r>
      <w:r>
        <w:t>student performance is measured by a Progress and Performance Index (PPI).</w:t>
      </w:r>
      <w:r>
        <w:rPr>
          <w:rStyle w:val="FootnoteReference"/>
        </w:rPr>
        <w:footnoteReference w:id="5"/>
      </w:r>
      <w:r>
        <w:t xml:space="preserve"> </w:t>
      </w:r>
      <w:r w:rsidR="00A17F1F">
        <w:t xml:space="preserve">During </w:t>
      </w:r>
      <w:r>
        <w:t xml:space="preserve">the </w:t>
      </w:r>
      <w:r w:rsidR="0062352E">
        <w:t>5</w:t>
      </w:r>
      <w:r>
        <w:t>-year period</w:t>
      </w:r>
      <w:r w:rsidR="00D8233A">
        <w:t xml:space="preserve"> ending 2012–</w:t>
      </w:r>
      <w:r w:rsidR="00A17F1F">
        <w:t>13</w:t>
      </w:r>
      <w:r>
        <w:t xml:space="preserve">, Brockton experienced a notable growth in their </w:t>
      </w:r>
      <w:r w:rsidR="00B62BA4">
        <w:t xml:space="preserve">PPI (Exhibit </w:t>
      </w:r>
      <w:r w:rsidR="00C80C3F">
        <w:t>7</w:t>
      </w:r>
      <w:r w:rsidRPr="00967608">
        <w:t xml:space="preserve">). Attleboro and Revere fluctuated and </w:t>
      </w:r>
      <w:r w:rsidR="00A96C6C">
        <w:t>did</w:t>
      </w:r>
      <w:r w:rsidR="00A96C6C" w:rsidRPr="00967608">
        <w:t xml:space="preserve"> </w:t>
      </w:r>
      <w:r w:rsidRPr="00967608">
        <w:t xml:space="preserve">not change much in PPI over the long term. Attleboro consistently had the highest PPIs, suggesting that it began the HR Pilot with a different set of accountability imperatives from those in Brockton and Revere. </w:t>
      </w:r>
      <w:r w:rsidR="00A54C69">
        <w:br w:type="page"/>
      </w:r>
    </w:p>
    <w:p w:rsidR="00967608" w:rsidRPr="00967608" w:rsidRDefault="00090F06" w:rsidP="0083023B">
      <w:pPr>
        <w:pStyle w:val="ExhibitTitle"/>
      </w:pPr>
      <w:bookmarkStart w:id="39" w:name="_Toc273283762"/>
      <w:r>
        <w:t xml:space="preserve">Exhibit </w:t>
      </w:r>
      <w:r w:rsidR="00C80C3F">
        <w:t>7</w:t>
      </w:r>
      <w:r>
        <w:t xml:space="preserve">. </w:t>
      </w:r>
      <w:r w:rsidR="00967608" w:rsidRPr="00967608">
        <w:t xml:space="preserve">Annual and Cumulative </w:t>
      </w:r>
      <w:r w:rsidR="005E3AEC">
        <w:t>Progress and Performance Indices (</w:t>
      </w:r>
      <w:r w:rsidR="00967608" w:rsidRPr="00967608">
        <w:t>PPIs</w:t>
      </w:r>
      <w:r w:rsidR="005E3AEC">
        <w:t>)</w:t>
      </w:r>
      <w:r w:rsidR="00967608" w:rsidRPr="00967608">
        <w:t xml:space="preserve"> </w:t>
      </w:r>
      <w:r w:rsidR="005E3AEC">
        <w:br/>
      </w:r>
      <w:r w:rsidR="00967608" w:rsidRPr="00967608">
        <w:t>for All Students, by District</w:t>
      </w:r>
      <w:bookmarkEnd w:id="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5"/>
        <w:gridCol w:w="995"/>
        <w:gridCol w:w="995"/>
        <w:gridCol w:w="995"/>
        <w:gridCol w:w="995"/>
        <w:gridCol w:w="2095"/>
      </w:tblGrid>
      <w:tr w:rsidR="00967608" w:rsidRPr="00F93369" w:rsidTr="00F93369">
        <w:trPr>
          <w:jc w:val="center"/>
        </w:trPr>
        <w:tc>
          <w:tcPr>
            <w:tcW w:w="0" w:type="auto"/>
            <w:shd w:val="clear" w:color="auto" w:fill="auto"/>
            <w:vAlign w:val="bottom"/>
          </w:tcPr>
          <w:p w:rsidR="00967608" w:rsidRPr="00F93369" w:rsidRDefault="00967608" w:rsidP="00F93369">
            <w:pPr>
              <w:tabs>
                <w:tab w:val="center" w:pos="4680"/>
                <w:tab w:val="right" w:pos="9360"/>
              </w:tabs>
              <w:ind w:left="720"/>
              <w:jc w:val="center"/>
              <w:rPr>
                <w:rFonts w:ascii="Arial" w:hAnsi="Arial" w:cs="Arial"/>
                <w:b/>
                <w:i/>
                <w:sz w:val="20"/>
                <w:szCs w:val="20"/>
              </w:rPr>
            </w:pPr>
          </w:p>
        </w:tc>
        <w:tc>
          <w:tcPr>
            <w:tcW w:w="0" w:type="auto"/>
            <w:shd w:val="clear" w:color="auto" w:fill="auto"/>
            <w:vAlign w:val="bottom"/>
          </w:tcPr>
          <w:p w:rsidR="00967608" w:rsidRPr="00F93369" w:rsidRDefault="00967608" w:rsidP="00F93369">
            <w:pPr>
              <w:jc w:val="center"/>
              <w:rPr>
                <w:rFonts w:ascii="Arial" w:hAnsi="Arial" w:cs="Arial"/>
                <w:b/>
                <w:sz w:val="20"/>
                <w:szCs w:val="20"/>
              </w:rPr>
            </w:pPr>
            <w:r w:rsidRPr="00F93369">
              <w:rPr>
                <w:rFonts w:ascii="Arial" w:hAnsi="Arial" w:cs="Arial"/>
                <w:b/>
                <w:sz w:val="20"/>
                <w:szCs w:val="20"/>
              </w:rPr>
              <w:t>2009</w:t>
            </w:r>
            <w:r w:rsidR="00B429C2" w:rsidRPr="00F93369">
              <w:rPr>
                <w:rFonts w:ascii="Arial" w:hAnsi="Arial" w:cs="Arial"/>
                <w:b/>
                <w:sz w:val="20"/>
                <w:szCs w:val="20"/>
              </w:rPr>
              <w:t>–</w:t>
            </w:r>
            <w:r w:rsidRPr="00F93369">
              <w:rPr>
                <w:rFonts w:ascii="Arial" w:hAnsi="Arial" w:cs="Arial"/>
                <w:b/>
                <w:sz w:val="20"/>
                <w:szCs w:val="20"/>
              </w:rPr>
              <w:t>10</w:t>
            </w:r>
          </w:p>
        </w:tc>
        <w:tc>
          <w:tcPr>
            <w:tcW w:w="0" w:type="auto"/>
            <w:shd w:val="clear" w:color="auto" w:fill="auto"/>
            <w:vAlign w:val="bottom"/>
          </w:tcPr>
          <w:p w:rsidR="00967608" w:rsidRPr="00F93369" w:rsidRDefault="00967608" w:rsidP="00F93369">
            <w:pPr>
              <w:jc w:val="center"/>
              <w:rPr>
                <w:rFonts w:ascii="Arial" w:hAnsi="Arial" w:cs="Arial"/>
                <w:b/>
                <w:sz w:val="20"/>
                <w:szCs w:val="20"/>
              </w:rPr>
            </w:pPr>
            <w:r w:rsidRPr="00F93369">
              <w:rPr>
                <w:rFonts w:ascii="Arial" w:hAnsi="Arial" w:cs="Arial"/>
                <w:b/>
                <w:sz w:val="20"/>
                <w:szCs w:val="20"/>
              </w:rPr>
              <w:t>2010</w:t>
            </w:r>
            <w:r w:rsidR="00B429C2" w:rsidRPr="00F93369">
              <w:rPr>
                <w:rFonts w:ascii="Arial" w:hAnsi="Arial" w:cs="Arial"/>
                <w:b/>
                <w:sz w:val="20"/>
                <w:szCs w:val="20"/>
              </w:rPr>
              <w:t>–</w:t>
            </w:r>
            <w:r w:rsidRPr="00F93369">
              <w:rPr>
                <w:rFonts w:ascii="Arial" w:hAnsi="Arial" w:cs="Arial"/>
                <w:b/>
                <w:sz w:val="20"/>
                <w:szCs w:val="20"/>
              </w:rPr>
              <w:t>11</w:t>
            </w:r>
          </w:p>
        </w:tc>
        <w:tc>
          <w:tcPr>
            <w:tcW w:w="0" w:type="auto"/>
            <w:shd w:val="clear" w:color="auto" w:fill="auto"/>
            <w:vAlign w:val="bottom"/>
          </w:tcPr>
          <w:p w:rsidR="00967608" w:rsidRPr="00F93369" w:rsidRDefault="00967608" w:rsidP="00F93369">
            <w:pPr>
              <w:jc w:val="center"/>
              <w:rPr>
                <w:rFonts w:ascii="Arial" w:hAnsi="Arial" w:cs="Arial"/>
                <w:b/>
                <w:sz w:val="20"/>
                <w:szCs w:val="20"/>
              </w:rPr>
            </w:pPr>
            <w:r w:rsidRPr="00F93369">
              <w:rPr>
                <w:rFonts w:ascii="Arial" w:hAnsi="Arial" w:cs="Arial"/>
                <w:b/>
                <w:sz w:val="20"/>
                <w:szCs w:val="20"/>
              </w:rPr>
              <w:t>2011</w:t>
            </w:r>
            <w:r w:rsidR="00B429C2" w:rsidRPr="00F93369">
              <w:rPr>
                <w:rFonts w:ascii="Arial" w:hAnsi="Arial" w:cs="Arial"/>
                <w:b/>
                <w:sz w:val="20"/>
                <w:szCs w:val="20"/>
              </w:rPr>
              <w:t>–</w:t>
            </w:r>
            <w:r w:rsidRPr="00F93369">
              <w:rPr>
                <w:rFonts w:ascii="Arial" w:hAnsi="Arial" w:cs="Arial"/>
                <w:b/>
                <w:sz w:val="20"/>
                <w:szCs w:val="20"/>
              </w:rPr>
              <w:t>12</w:t>
            </w:r>
          </w:p>
        </w:tc>
        <w:tc>
          <w:tcPr>
            <w:tcW w:w="0" w:type="auto"/>
            <w:shd w:val="clear" w:color="auto" w:fill="auto"/>
            <w:vAlign w:val="bottom"/>
          </w:tcPr>
          <w:p w:rsidR="00967608" w:rsidRPr="00F93369" w:rsidRDefault="00967608" w:rsidP="00F93369">
            <w:pPr>
              <w:jc w:val="center"/>
              <w:rPr>
                <w:rFonts w:ascii="Arial" w:hAnsi="Arial" w:cs="Arial"/>
                <w:b/>
                <w:sz w:val="20"/>
                <w:szCs w:val="20"/>
              </w:rPr>
            </w:pPr>
            <w:r w:rsidRPr="00F93369">
              <w:rPr>
                <w:rFonts w:ascii="Arial" w:hAnsi="Arial" w:cs="Arial"/>
                <w:b/>
                <w:sz w:val="20"/>
                <w:szCs w:val="20"/>
              </w:rPr>
              <w:t>2012</w:t>
            </w:r>
            <w:r w:rsidR="00B429C2" w:rsidRPr="00F93369">
              <w:rPr>
                <w:rFonts w:ascii="Arial" w:hAnsi="Arial" w:cs="Arial"/>
                <w:b/>
                <w:sz w:val="20"/>
                <w:szCs w:val="20"/>
              </w:rPr>
              <w:t>–</w:t>
            </w:r>
            <w:r w:rsidRPr="00F93369">
              <w:rPr>
                <w:rFonts w:ascii="Arial" w:hAnsi="Arial" w:cs="Arial"/>
                <w:b/>
                <w:sz w:val="20"/>
                <w:szCs w:val="20"/>
              </w:rPr>
              <w:t>13</w:t>
            </w:r>
          </w:p>
        </w:tc>
        <w:tc>
          <w:tcPr>
            <w:tcW w:w="0" w:type="auto"/>
            <w:shd w:val="clear" w:color="auto" w:fill="auto"/>
            <w:vAlign w:val="bottom"/>
          </w:tcPr>
          <w:p w:rsidR="00967608" w:rsidRPr="00F93369" w:rsidRDefault="00967608" w:rsidP="00F93369">
            <w:pPr>
              <w:jc w:val="center"/>
              <w:rPr>
                <w:rFonts w:ascii="Arial" w:hAnsi="Arial" w:cs="Arial"/>
                <w:b/>
                <w:sz w:val="20"/>
                <w:szCs w:val="20"/>
              </w:rPr>
            </w:pPr>
            <w:r w:rsidRPr="00F93369">
              <w:rPr>
                <w:rFonts w:ascii="Arial" w:hAnsi="Arial" w:cs="Arial"/>
                <w:b/>
                <w:sz w:val="20"/>
                <w:szCs w:val="20"/>
              </w:rPr>
              <w:t>Cumulative</w:t>
            </w:r>
            <w:r w:rsidR="00D8233A" w:rsidRPr="00F93369">
              <w:rPr>
                <w:rFonts w:ascii="Arial" w:hAnsi="Arial" w:cs="Arial"/>
                <w:b/>
                <w:sz w:val="20"/>
                <w:szCs w:val="20"/>
              </w:rPr>
              <w:t xml:space="preserve"> </w:t>
            </w:r>
            <w:r w:rsidRPr="00F93369">
              <w:rPr>
                <w:rFonts w:ascii="Arial" w:hAnsi="Arial" w:cs="Arial"/>
                <w:b/>
                <w:sz w:val="20"/>
                <w:szCs w:val="20"/>
              </w:rPr>
              <w:t>(4-Year)</w:t>
            </w:r>
          </w:p>
        </w:tc>
      </w:tr>
      <w:tr w:rsidR="00967608" w:rsidRPr="00F93369" w:rsidTr="00F93369">
        <w:trPr>
          <w:jc w:val="center"/>
        </w:trPr>
        <w:tc>
          <w:tcPr>
            <w:tcW w:w="0" w:type="auto"/>
            <w:shd w:val="clear" w:color="auto" w:fill="auto"/>
            <w:vAlign w:val="bottom"/>
          </w:tcPr>
          <w:p w:rsidR="00967608" w:rsidRPr="00F93369" w:rsidRDefault="00967608" w:rsidP="00D8233A">
            <w:pPr>
              <w:rPr>
                <w:rFonts w:ascii="Arial" w:hAnsi="Arial" w:cs="Arial"/>
                <w:b/>
                <w:sz w:val="20"/>
                <w:szCs w:val="20"/>
              </w:rPr>
            </w:pPr>
            <w:r w:rsidRPr="00F93369">
              <w:rPr>
                <w:rFonts w:ascii="Arial" w:hAnsi="Arial" w:cs="Arial"/>
                <w:b/>
                <w:sz w:val="20"/>
                <w:szCs w:val="20"/>
              </w:rPr>
              <w:t>Attleboro</w:t>
            </w:r>
          </w:p>
        </w:tc>
        <w:tc>
          <w:tcPr>
            <w:tcW w:w="0" w:type="auto"/>
            <w:shd w:val="clear" w:color="auto" w:fill="auto"/>
            <w:vAlign w:val="center"/>
          </w:tcPr>
          <w:p w:rsidR="00967608" w:rsidRPr="00F93369" w:rsidRDefault="00967608" w:rsidP="00F93369">
            <w:pPr>
              <w:keepNext/>
              <w:keepLines/>
              <w:jc w:val="center"/>
              <w:outlineLvl w:val="7"/>
              <w:rPr>
                <w:rFonts w:ascii="Arial" w:hAnsi="Arial" w:cs="Arial"/>
                <w:sz w:val="20"/>
                <w:szCs w:val="20"/>
              </w:rPr>
            </w:pPr>
            <w:r w:rsidRPr="00F93369">
              <w:rPr>
                <w:rFonts w:ascii="Arial" w:hAnsi="Arial" w:cs="Arial"/>
                <w:sz w:val="20"/>
                <w:szCs w:val="20"/>
              </w:rPr>
              <w:t>96</w:t>
            </w:r>
          </w:p>
        </w:tc>
        <w:tc>
          <w:tcPr>
            <w:tcW w:w="0" w:type="auto"/>
            <w:shd w:val="clear" w:color="auto" w:fill="auto"/>
            <w:vAlign w:val="center"/>
          </w:tcPr>
          <w:p w:rsidR="00967608" w:rsidRPr="00F93369" w:rsidRDefault="00967608" w:rsidP="00F93369">
            <w:pPr>
              <w:keepNext/>
              <w:keepLines/>
              <w:jc w:val="center"/>
              <w:outlineLvl w:val="7"/>
              <w:rPr>
                <w:rFonts w:ascii="Arial" w:hAnsi="Arial" w:cs="Arial"/>
                <w:sz w:val="20"/>
                <w:szCs w:val="20"/>
              </w:rPr>
            </w:pPr>
            <w:r w:rsidRPr="00F93369">
              <w:rPr>
                <w:rFonts w:ascii="Arial" w:hAnsi="Arial" w:cs="Arial"/>
                <w:sz w:val="20"/>
                <w:szCs w:val="20"/>
              </w:rPr>
              <w:t>75</w:t>
            </w:r>
          </w:p>
        </w:tc>
        <w:tc>
          <w:tcPr>
            <w:tcW w:w="0" w:type="auto"/>
            <w:shd w:val="clear" w:color="auto" w:fill="auto"/>
            <w:vAlign w:val="center"/>
          </w:tcPr>
          <w:p w:rsidR="00967608" w:rsidRPr="00F93369" w:rsidRDefault="00967608" w:rsidP="00F93369">
            <w:pPr>
              <w:keepNext/>
              <w:keepLines/>
              <w:jc w:val="center"/>
              <w:outlineLvl w:val="7"/>
              <w:rPr>
                <w:rFonts w:ascii="Arial" w:hAnsi="Arial" w:cs="Arial"/>
                <w:sz w:val="20"/>
                <w:szCs w:val="20"/>
              </w:rPr>
            </w:pPr>
            <w:r w:rsidRPr="00F93369">
              <w:rPr>
                <w:rFonts w:ascii="Arial" w:hAnsi="Arial" w:cs="Arial"/>
                <w:sz w:val="20"/>
                <w:szCs w:val="20"/>
              </w:rPr>
              <w:t>89</w:t>
            </w:r>
          </w:p>
        </w:tc>
        <w:tc>
          <w:tcPr>
            <w:tcW w:w="0" w:type="auto"/>
            <w:shd w:val="clear" w:color="auto" w:fill="auto"/>
            <w:vAlign w:val="center"/>
          </w:tcPr>
          <w:p w:rsidR="00967608" w:rsidRPr="00F93369" w:rsidRDefault="00967608" w:rsidP="00F93369">
            <w:pPr>
              <w:keepNext/>
              <w:keepLines/>
              <w:jc w:val="center"/>
              <w:outlineLvl w:val="7"/>
              <w:rPr>
                <w:rFonts w:ascii="Arial" w:hAnsi="Arial" w:cs="Arial"/>
                <w:sz w:val="20"/>
                <w:szCs w:val="20"/>
              </w:rPr>
            </w:pPr>
            <w:r w:rsidRPr="00F93369">
              <w:rPr>
                <w:rFonts w:ascii="Arial" w:hAnsi="Arial" w:cs="Arial"/>
                <w:sz w:val="20"/>
                <w:szCs w:val="20"/>
              </w:rPr>
              <w:t>68</w:t>
            </w:r>
          </w:p>
        </w:tc>
        <w:tc>
          <w:tcPr>
            <w:tcW w:w="0" w:type="auto"/>
            <w:shd w:val="clear" w:color="auto" w:fill="auto"/>
            <w:vAlign w:val="center"/>
          </w:tcPr>
          <w:p w:rsidR="00967608" w:rsidRPr="00F93369" w:rsidRDefault="00967608" w:rsidP="00F93369">
            <w:pPr>
              <w:keepNext/>
              <w:keepLines/>
              <w:jc w:val="center"/>
              <w:outlineLvl w:val="7"/>
              <w:rPr>
                <w:rFonts w:ascii="Arial" w:hAnsi="Arial" w:cs="Arial"/>
                <w:sz w:val="20"/>
                <w:szCs w:val="20"/>
              </w:rPr>
            </w:pPr>
            <w:r w:rsidRPr="00F93369">
              <w:rPr>
                <w:rFonts w:ascii="Arial" w:hAnsi="Arial" w:cs="Arial"/>
                <w:sz w:val="20"/>
                <w:szCs w:val="20"/>
              </w:rPr>
              <w:t>79</w:t>
            </w:r>
          </w:p>
        </w:tc>
      </w:tr>
      <w:tr w:rsidR="00967608" w:rsidRPr="00F93369" w:rsidTr="00F93369">
        <w:trPr>
          <w:jc w:val="center"/>
        </w:trPr>
        <w:tc>
          <w:tcPr>
            <w:tcW w:w="0" w:type="auto"/>
            <w:shd w:val="clear" w:color="auto" w:fill="auto"/>
            <w:vAlign w:val="bottom"/>
          </w:tcPr>
          <w:p w:rsidR="00967608" w:rsidRPr="00F93369" w:rsidRDefault="00967608" w:rsidP="00D8233A">
            <w:pPr>
              <w:rPr>
                <w:rFonts w:ascii="Arial" w:hAnsi="Arial" w:cs="Arial"/>
                <w:b/>
                <w:sz w:val="20"/>
                <w:szCs w:val="20"/>
              </w:rPr>
            </w:pPr>
            <w:r w:rsidRPr="00F93369">
              <w:rPr>
                <w:rFonts w:ascii="Arial" w:hAnsi="Arial" w:cs="Arial"/>
                <w:b/>
                <w:sz w:val="20"/>
                <w:szCs w:val="20"/>
              </w:rPr>
              <w:t>Brockton</w:t>
            </w:r>
          </w:p>
        </w:tc>
        <w:tc>
          <w:tcPr>
            <w:tcW w:w="0" w:type="auto"/>
            <w:shd w:val="clear" w:color="auto" w:fill="auto"/>
            <w:vAlign w:val="center"/>
          </w:tcPr>
          <w:p w:rsidR="00967608" w:rsidRPr="00F93369" w:rsidRDefault="00967608" w:rsidP="00F93369">
            <w:pPr>
              <w:keepNext/>
              <w:keepLines/>
              <w:jc w:val="center"/>
              <w:outlineLvl w:val="7"/>
              <w:rPr>
                <w:rFonts w:ascii="Arial" w:hAnsi="Arial" w:cs="Arial"/>
                <w:sz w:val="20"/>
                <w:szCs w:val="20"/>
              </w:rPr>
            </w:pPr>
            <w:r w:rsidRPr="00F93369">
              <w:rPr>
                <w:rFonts w:ascii="Arial" w:hAnsi="Arial" w:cs="Arial"/>
                <w:sz w:val="20"/>
                <w:szCs w:val="20"/>
              </w:rPr>
              <w:t>39</w:t>
            </w:r>
          </w:p>
        </w:tc>
        <w:tc>
          <w:tcPr>
            <w:tcW w:w="0" w:type="auto"/>
            <w:shd w:val="clear" w:color="auto" w:fill="auto"/>
            <w:vAlign w:val="center"/>
          </w:tcPr>
          <w:p w:rsidR="00967608" w:rsidRPr="00F93369" w:rsidRDefault="00967608" w:rsidP="00F93369">
            <w:pPr>
              <w:keepNext/>
              <w:keepLines/>
              <w:jc w:val="center"/>
              <w:outlineLvl w:val="7"/>
              <w:rPr>
                <w:rFonts w:ascii="Arial" w:hAnsi="Arial" w:cs="Arial"/>
                <w:sz w:val="20"/>
                <w:szCs w:val="20"/>
              </w:rPr>
            </w:pPr>
            <w:r w:rsidRPr="00F93369">
              <w:rPr>
                <w:rFonts w:ascii="Arial" w:hAnsi="Arial" w:cs="Arial"/>
                <w:sz w:val="20"/>
                <w:szCs w:val="20"/>
              </w:rPr>
              <w:t>36</w:t>
            </w:r>
          </w:p>
        </w:tc>
        <w:tc>
          <w:tcPr>
            <w:tcW w:w="0" w:type="auto"/>
            <w:shd w:val="clear" w:color="auto" w:fill="auto"/>
            <w:vAlign w:val="center"/>
          </w:tcPr>
          <w:p w:rsidR="00967608" w:rsidRPr="00F93369" w:rsidRDefault="00967608" w:rsidP="00F93369">
            <w:pPr>
              <w:keepNext/>
              <w:keepLines/>
              <w:jc w:val="center"/>
              <w:outlineLvl w:val="7"/>
              <w:rPr>
                <w:rFonts w:ascii="Arial" w:hAnsi="Arial" w:cs="Arial"/>
                <w:sz w:val="20"/>
                <w:szCs w:val="20"/>
              </w:rPr>
            </w:pPr>
            <w:r w:rsidRPr="00F93369">
              <w:rPr>
                <w:rFonts w:ascii="Arial" w:hAnsi="Arial" w:cs="Arial"/>
                <w:sz w:val="20"/>
                <w:szCs w:val="20"/>
              </w:rPr>
              <w:t>54</w:t>
            </w:r>
          </w:p>
        </w:tc>
        <w:tc>
          <w:tcPr>
            <w:tcW w:w="0" w:type="auto"/>
            <w:shd w:val="clear" w:color="auto" w:fill="auto"/>
            <w:vAlign w:val="center"/>
          </w:tcPr>
          <w:p w:rsidR="00967608" w:rsidRPr="00F93369" w:rsidRDefault="00967608" w:rsidP="00F93369">
            <w:pPr>
              <w:keepNext/>
              <w:keepLines/>
              <w:jc w:val="center"/>
              <w:outlineLvl w:val="7"/>
              <w:rPr>
                <w:rFonts w:ascii="Arial" w:hAnsi="Arial" w:cs="Arial"/>
                <w:sz w:val="20"/>
                <w:szCs w:val="20"/>
              </w:rPr>
            </w:pPr>
            <w:r w:rsidRPr="00F93369">
              <w:rPr>
                <w:rFonts w:ascii="Arial" w:hAnsi="Arial" w:cs="Arial"/>
                <w:sz w:val="20"/>
                <w:szCs w:val="20"/>
              </w:rPr>
              <w:t>64</w:t>
            </w:r>
          </w:p>
        </w:tc>
        <w:tc>
          <w:tcPr>
            <w:tcW w:w="0" w:type="auto"/>
            <w:shd w:val="clear" w:color="auto" w:fill="auto"/>
            <w:vAlign w:val="center"/>
          </w:tcPr>
          <w:p w:rsidR="00967608" w:rsidRPr="00F93369" w:rsidRDefault="00967608" w:rsidP="00F93369">
            <w:pPr>
              <w:keepNext/>
              <w:keepLines/>
              <w:jc w:val="center"/>
              <w:outlineLvl w:val="7"/>
              <w:rPr>
                <w:rFonts w:ascii="Arial" w:hAnsi="Arial" w:cs="Arial"/>
                <w:sz w:val="20"/>
                <w:szCs w:val="20"/>
              </w:rPr>
            </w:pPr>
            <w:r w:rsidRPr="00F93369">
              <w:rPr>
                <w:rFonts w:ascii="Arial" w:hAnsi="Arial" w:cs="Arial"/>
                <w:sz w:val="20"/>
                <w:szCs w:val="20"/>
              </w:rPr>
              <w:t>53</w:t>
            </w:r>
          </w:p>
        </w:tc>
      </w:tr>
      <w:tr w:rsidR="00967608" w:rsidRPr="00F93369" w:rsidTr="00F93369">
        <w:trPr>
          <w:jc w:val="center"/>
        </w:trPr>
        <w:tc>
          <w:tcPr>
            <w:tcW w:w="0" w:type="auto"/>
            <w:shd w:val="clear" w:color="auto" w:fill="auto"/>
            <w:vAlign w:val="bottom"/>
          </w:tcPr>
          <w:p w:rsidR="00967608" w:rsidRPr="00F93369" w:rsidRDefault="00967608" w:rsidP="00D8233A">
            <w:pPr>
              <w:rPr>
                <w:rFonts w:ascii="Arial" w:hAnsi="Arial" w:cs="Arial"/>
                <w:b/>
                <w:sz w:val="20"/>
                <w:szCs w:val="20"/>
              </w:rPr>
            </w:pPr>
            <w:r w:rsidRPr="00F93369">
              <w:rPr>
                <w:rFonts w:ascii="Arial" w:hAnsi="Arial" w:cs="Arial"/>
                <w:b/>
                <w:sz w:val="20"/>
                <w:szCs w:val="20"/>
              </w:rPr>
              <w:t>Revere</w:t>
            </w:r>
          </w:p>
        </w:tc>
        <w:tc>
          <w:tcPr>
            <w:tcW w:w="0" w:type="auto"/>
            <w:shd w:val="clear" w:color="auto" w:fill="auto"/>
            <w:vAlign w:val="center"/>
          </w:tcPr>
          <w:p w:rsidR="00967608" w:rsidRPr="00F93369" w:rsidRDefault="00967608" w:rsidP="00F93369">
            <w:pPr>
              <w:keepNext/>
              <w:keepLines/>
              <w:jc w:val="center"/>
              <w:outlineLvl w:val="7"/>
              <w:rPr>
                <w:rFonts w:ascii="Arial" w:hAnsi="Arial" w:cs="Arial"/>
                <w:sz w:val="20"/>
                <w:szCs w:val="20"/>
              </w:rPr>
            </w:pPr>
            <w:r w:rsidRPr="00F93369">
              <w:rPr>
                <w:rFonts w:ascii="Arial" w:hAnsi="Arial" w:cs="Arial"/>
                <w:sz w:val="20"/>
                <w:szCs w:val="20"/>
              </w:rPr>
              <w:t>61</w:t>
            </w:r>
          </w:p>
        </w:tc>
        <w:tc>
          <w:tcPr>
            <w:tcW w:w="0" w:type="auto"/>
            <w:shd w:val="clear" w:color="auto" w:fill="auto"/>
            <w:vAlign w:val="center"/>
          </w:tcPr>
          <w:p w:rsidR="00967608" w:rsidRPr="00F93369" w:rsidRDefault="00967608" w:rsidP="00F93369">
            <w:pPr>
              <w:keepNext/>
              <w:keepLines/>
              <w:jc w:val="center"/>
              <w:outlineLvl w:val="7"/>
              <w:rPr>
                <w:rFonts w:ascii="Arial" w:hAnsi="Arial" w:cs="Arial"/>
                <w:sz w:val="20"/>
                <w:szCs w:val="20"/>
              </w:rPr>
            </w:pPr>
            <w:r w:rsidRPr="00F93369">
              <w:rPr>
                <w:rFonts w:ascii="Arial" w:hAnsi="Arial" w:cs="Arial"/>
                <w:sz w:val="20"/>
                <w:szCs w:val="20"/>
              </w:rPr>
              <w:t>54</w:t>
            </w:r>
          </w:p>
        </w:tc>
        <w:tc>
          <w:tcPr>
            <w:tcW w:w="0" w:type="auto"/>
            <w:shd w:val="clear" w:color="auto" w:fill="auto"/>
            <w:vAlign w:val="center"/>
          </w:tcPr>
          <w:p w:rsidR="00967608" w:rsidRPr="00F93369" w:rsidRDefault="00967608" w:rsidP="00F93369">
            <w:pPr>
              <w:keepNext/>
              <w:keepLines/>
              <w:jc w:val="center"/>
              <w:outlineLvl w:val="7"/>
              <w:rPr>
                <w:rFonts w:ascii="Arial" w:hAnsi="Arial" w:cs="Arial"/>
                <w:sz w:val="20"/>
                <w:szCs w:val="20"/>
              </w:rPr>
            </w:pPr>
            <w:r w:rsidRPr="00F93369">
              <w:rPr>
                <w:rFonts w:ascii="Arial" w:hAnsi="Arial" w:cs="Arial"/>
                <w:sz w:val="20"/>
                <w:szCs w:val="20"/>
              </w:rPr>
              <w:t>54</w:t>
            </w:r>
          </w:p>
        </w:tc>
        <w:tc>
          <w:tcPr>
            <w:tcW w:w="0" w:type="auto"/>
            <w:shd w:val="clear" w:color="auto" w:fill="auto"/>
            <w:vAlign w:val="center"/>
          </w:tcPr>
          <w:p w:rsidR="00967608" w:rsidRPr="00F93369" w:rsidRDefault="00967608" w:rsidP="00F93369">
            <w:pPr>
              <w:keepNext/>
              <w:keepLines/>
              <w:jc w:val="center"/>
              <w:outlineLvl w:val="7"/>
              <w:rPr>
                <w:rFonts w:ascii="Arial" w:hAnsi="Arial" w:cs="Arial"/>
                <w:sz w:val="20"/>
                <w:szCs w:val="20"/>
              </w:rPr>
            </w:pPr>
            <w:r w:rsidRPr="00F93369">
              <w:rPr>
                <w:rFonts w:ascii="Arial" w:hAnsi="Arial" w:cs="Arial"/>
                <w:sz w:val="20"/>
                <w:szCs w:val="20"/>
              </w:rPr>
              <w:t>57</w:t>
            </w:r>
          </w:p>
        </w:tc>
        <w:tc>
          <w:tcPr>
            <w:tcW w:w="0" w:type="auto"/>
            <w:shd w:val="clear" w:color="auto" w:fill="auto"/>
            <w:vAlign w:val="center"/>
          </w:tcPr>
          <w:p w:rsidR="00967608" w:rsidRPr="00F93369" w:rsidRDefault="00967608" w:rsidP="00F93369">
            <w:pPr>
              <w:keepNext/>
              <w:keepLines/>
              <w:jc w:val="center"/>
              <w:outlineLvl w:val="7"/>
              <w:rPr>
                <w:rFonts w:ascii="Arial" w:hAnsi="Arial" w:cs="Arial"/>
                <w:sz w:val="20"/>
                <w:szCs w:val="20"/>
              </w:rPr>
            </w:pPr>
            <w:r w:rsidRPr="00F93369">
              <w:rPr>
                <w:rFonts w:ascii="Arial" w:hAnsi="Arial" w:cs="Arial"/>
                <w:sz w:val="20"/>
                <w:szCs w:val="20"/>
              </w:rPr>
              <w:t>56</w:t>
            </w:r>
          </w:p>
        </w:tc>
      </w:tr>
    </w:tbl>
    <w:p w:rsidR="00967608" w:rsidRDefault="00967608" w:rsidP="00891FDD">
      <w:pPr>
        <w:pStyle w:val="MA-HR-TableSource"/>
      </w:pPr>
      <w:r w:rsidRPr="00404859">
        <w:t xml:space="preserve">Source: </w:t>
      </w:r>
      <w:r w:rsidRPr="00211AAF">
        <w:t>Massachusetts Department of ESE,</w:t>
      </w:r>
      <w:r>
        <w:t xml:space="preserve"> Accountability Information, </w:t>
      </w:r>
      <w:hyperlink r:id="rId30" w:history="1">
        <w:r w:rsidRPr="002020C7">
          <w:rPr>
            <w:rStyle w:val="Hyperlink"/>
          </w:rPr>
          <w:t>http://profiles.doe.mass.edu/accountability/report/district.aspx?linkid=30&amp;orgcode=02480000&amp;orgtypecode=5&amp;</w:t>
        </w:r>
      </w:hyperlink>
      <w:r>
        <w:t xml:space="preserve"> </w:t>
      </w:r>
    </w:p>
    <w:p w:rsidR="00967608" w:rsidRPr="00967608" w:rsidRDefault="00C80C3F" w:rsidP="0035181C">
      <w:pPr>
        <w:pStyle w:val="BodyText"/>
      </w:pPr>
      <w:r>
        <w:t xml:space="preserve">Underlying this portrait of average student performance </w:t>
      </w:r>
      <w:r w:rsidR="00D04109">
        <w:t xml:space="preserve">are </w:t>
      </w:r>
      <w:r w:rsidR="00967608">
        <w:t>wide</w:t>
      </w:r>
      <w:r w:rsidR="007F5E34">
        <w:t>ly varying</w:t>
      </w:r>
      <w:r w:rsidR="00967608">
        <w:t xml:space="preserve"> individual school performance ratings and progress </w:t>
      </w:r>
      <w:r>
        <w:t xml:space="preserve">in the HR Pilot districts </w:t>
      </w:r>
      <w:r w:rsidR="00B62BA4">
        <w:t xml:space="preserve">(Exhibit </w:t>
      </w:r>
      <w:r>
        <w:t>8</w:t>
      </w:r>
      <w:r w:rsidR="00967608" w:rsidRPr="00967608">
        <w:t>)</w:t>
      </w:r>
      <w:r w:rsidR="009A374A">
        <w:t xml:space="preserve">. </w:t>
      </w:r>
      <w:r w:rsidR="00D04109">
        <w:t xml:space="preserve">Such </w:t>
      </w:r>
      <w:r w:rsidR="00967608" w:rsidRPr="00967608">
        <w:t>variation is nuanced</w:t>
      </w:r>
      <w:r w:rsidR="00D04109">
        <w:t>.</w:t>
      </w:r>
      <w:r w:rsidR="00967608" w:rsidRPr="00967608">
        <w:t xml:space="preserve"> </w:t>
      </w:r>
      <w:r w:rsidR="00D04109">
        <w:t>F</w:t>
      </w:r>
      <w:r w:rsidR="00967608" w:rsidRPr="00967608">
        <w:t>or example, elementary and middle schools in Attleboro had much higher performance percentiles (overall performance relative to other schools that serve the same or similar grades) in the district compared to the high school, creating a large range of performance in that district</w:t>
      </w:r>
      <w:r w:rsidR="00A17F1F">
        <w:t xml:space="preserve"> but pointing to a concentrated need at the secondary level</w:t>
      </w:r>
      <w:r w:rsidR="00967608" w:rsidRPr="00967608">
        <w:t>. In contrast, the performance of schools in Brockton and Revere were spread more evenly across the spectrum.</w:t>
      </w:r>
    </w:p>
    <w:p w:rsidR="00A54C69" w:rsidRDefault="00967608" w:rsidP="0035181C">
      <w:pPr>
        <w:pStyle w:val="BodyText"/>
      </w:pPr>
      <w:r w:rsidRPr="00967608">
        <w:t xml:space="preserve">The range in progress towards narrowing the proficiency gaps, </w:t>
      </w:r>
      <w:r w:rsidR="007F5E34">
        <w:t>improving student achievement</w:t>
      </w:r>
      <w:r w:rsidRPr="00967608">
        <w:t xml:space="preserve">, </w:t>
      </w:r>
      <w:r w:rsidR="007F5E34">
        <w:t xml:space="preserve">reducing </w:t>
      </w:r>
      <w:r w:rsidRPr="00967608">
        <w:t xml:space="preserve">dropouts, and </w:t>
      </w:r>
      <w:r w:rsidR="007F5E34">
        <w:t xml:space="preserve">raising </w:t>
      </w:r>
      <w:r w:rsidRPr="00967608">
        <w:t>the graduation rate (</w:t>
      </w:r>
      <w:r w:rsidR="007F5E34">
        <w:t xml:space="preserve">among other areas </w:t>
      </w:r>
      <w:r w:rsidRPr="00967608">
        <w:t xml:space="preserve">as measured by PPI) is similarly large </w:t>
      </w:r>
      <w:r w:rsidR="007F5E34">
        <w:t>within each district and differs across the districts</w:t>
      </w:r>
      <w:r w:rsidRPr="00967608">
        <w:t>. For example, Attleboro schools cluster above the “</w:t>
      </w:r>
      <w:r w:rsidR="00A13183">
        <w:t>on target”</w:t>
      </w:r>
      <w:r w:rsidRPr="00967608">
        <w:t xml:space="preserve"> (as defined by the state) mark of 75 on the 0 to 100 PPI scale, while schools in the other districts clustered at the lower end of the scale.</w:t>
      </w:r>
      <w:r w:rsidR="00934943">
        <w:t xml:space="preserve"> </w:t>
      </w:r>
    </w:p>
    <w:p w:rsidR="00A54C69" w:rsidRDefault="00A54C69">
      <w:pPr>
        <w:rPr>
          <w:rFonts w:eastAsia="Times New Roman"/>
        </w:rPr>
      </w:pPr>
      <w:r>
        <w:br w:type="page"/>
      </w:r>
    </w:p>
    <w:p w:rsidR="00967608" w:rsidRPr="00967608" w:rsidRDefault="007F5E34" w:rsidP="006D45D1">
      <w:pPr>
        <w:pStyle w:val="ExhibitTitle"/>
      </w:pPr>
      <w:bookmarkStart w:id="40" w:name="_Toc273283763"/>
      <w:r>
        <w:t xml:space="preserve">Exhibit </w:t>
      </w:r>
      <w:r w:rsidR="00CC0471">
        <w:t>8</w:t>
      </w:r>
      <w:r>
        <w:t>.</w:t>
      </w:r>
      <w:r w:rsidR="00967608" w:rsidRPr="00967608">
        <w:t xml:space="preserve"> Range of Performance and Progress of Individual Schools</w:t>
      </w:r>
      <w:r w:rsidR="00753705">
        <w:t>,</w:t>
      </w:r>
      <w:r w:rsidR="00967608" w:rsidRPr="00967608">
        <w:t xml:space="preserve"> 2012</w:t>
      </w:r>
      <w:r w:rsidR="00A73295" w:rsidRPr="00A13183">
        <w:t>–</w:t>
      </w:r>
      <w:r w:rsidR="00967608" w:rsidRPr="00967608">
        <w:t>13</w:t>
      </w:r>
      <w:r w:rsidR="005E3AEC">
        <w:t xml:space="preserve">, </w:t>
      </w:r>
      <w:r w:rsidR="00A773D5">
        <w:br/>
      </w:r>
      <w:r w:rsidR="005E3AEC" w:rsidRPr="00967608">
        <w:t>by District</w:t>
      </w:r>
      <w:bookmarkEnd w:id="40"/>
    </w:p>
    <w:p w:rsidR="00967608" w:rsidRDefault="00C003E9" w:rsidP="00AC62EC">
      <w:pPr>
        <w:pStyle w:val="BodyText"/>
        <w:spacing w:before="0"/>
        <w:ind w:firstLine="0"/>
        <w:jc w:val="center"/>
        <w:rPr>
          <w:rFonts w:cs="Calibri"/>
        </w:rPr>
      </w:pPr>
      <w:r>
        <w:rPr>
          <w:noProof/>
          <w:lang w:eastAsia="zh-CN" w:bidi="km-KH"/>
        </w:rPr>
        <w:drawing>
          <wp:inline distT="0" distB="0" distL="0" distR="0">
            <wp:extent cx="5959475" cy="4324350"/>
            <wp:effectExtent l="19050" t="0" r="3175" b="0"/>
            <wp:docPr id="3" name="Chart 21" descr="This graph shows the Range of Performance and Progress of Individual Schools, 2012–13, &#10;by District.&#10;&#10;There is varying individual school performance ratings and progress in the HR Pilot districts. Such variation is nuanced. For example, elementary and middle schools in Attleboro had much higher performance percentiles (overall performance relative to other schools that serve the same or similar grades) in the district compared to the high school, creating a large range of performance in that district but pointing to a concentrated need at the secondary level. In contrast, the performance of schools in Brockton and Revere were spread more evenly across the spectrum.&#10;&#10;&#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1" descr="This graph shows the Range of Performance and Progress of Individual Schools, 2012–13, &#10;by District.&#10;&#10;There is varying individual school performance ratings and progress in the HR Pilot districts. Such variation is nuanced. For example, elementary and middle schools in Attleboro had much higher performance percentiles (overall performance relative to other schools that serve the same or similar grades) in the district compared to the high school, creating a large range of performance in that district but pointing to a concentrated need at the secondary level. In contrast, the performance of schools in Brockton and Revere were spread more evenly across the spectrum.&#10;&#10;&#10;"/>
                    <pic:cNvPicPr>
                      <a:picLocks noChangeArrowheads="1"/>
                    </pic:cNvPicPr>
                  </pic:nvPicPr>
                  <pic:blipFill>
                    <a:blip r:embed="rId31"/>
                    <a:srcRect/>
                    <a:stretch>
                      <a:fillRect/>
                    </a:stretch>
                  </pic:blipFill>
                  <pic:spPr bwMode="auto">
                    <a:xfrm>
                      <a:off x="0" y="0"/>
                      <a:ext cx="5959475" cy="4324350"/>
                    </a:xfrm>
                    <a:prstGeom prst="rect">
                      <a:avLst/>
                    </a:prstGeom>
                    <a:noFill/>
                    <a:ln w="9525">
                      <a:noFill/>
                      <a:miter lim="800000"/>
                      <a:headEnd/>
                      <a:tailEnd/>
                    </a:ln>
                  </pic:spPr>
                </pic:pic>
              </a:graphicData>
            </a:graphic>
          </wp:inline>
        </w:drawing>
      </w:r>
    </w:p>
    <w:p w:rsidR="00967608" w:rsidRPr="00011697" w:rsidRDefault="00967608" w:rsidP="00891FDD">
      <w:pPr>
        <w:pStyle w:val="MA-HR-TableSource"/>
        <w:rPr>
          <w:rFonts w:cs="Calibri"/>
        </w:rPr>
      </w:pPr>
      <w:r w:rsidRPr="0083023B">
        <w:t>Source: Massachusetts Department of ESE, 2013 Accountability Report,</w:t>
      </w:r>
      <w:r w:rsidRPr="00011697">
        <w:t xml:space="preserve"> </w:t>
      </w:r>
      <w:hyperlink r:id="rId32" w:history="1">
        <w:r w:rsidRPr="00011697">
          <w:rPr>
            <w:rStyle w:val="Hyperlink"/>
            <w:rFonts w:cs="Calibri"/>
          </w:rPr>
          <w:t>http://profiles.doe.mass.edu/state_report/accountability.aspx?year=2013&amp;mode=school&amp;orderBy</w:t>
        </w:r>
      </w:hyperlink>
      <w:r w:rsidRPr="00011697">
        <w:rPr>
          <w:rFonts w:cs="Calibri"/>
        </w:rPr>
        <w:t xml:space="preserve">= </w:t>
      </w:r>
    </w:p>
    <w:p w:rsidR="00C80C3F" w:rsidRDefault="00C80C3F" w:rsidP="00C80C3F">
      <w:pPr>
        <w:pStyle w:val="BodyText"/>
      </w:pPr>
      <w:r>
        <w:t xml:space="preserve">All Massachusetts schools with sufficient data are classified by ESE into </w:t>
      </w:r>
      <w:r w:rsidR="00726854">
        <w:t xml:space="preserve">five </w:t>
      </w:r>
      <w:r>
        <w:t xml:space="preserve">performance </w:t>
      </w:r>
      <w:r w:rsidR="00726854">
        <w:t>levels</w:t>
      </w:r>
      <w:r>
        <w:t xml:space="preserve">. Eighty percent of </w:t>
      </w:r>
      <w:r w:rsidR="00A54C69">
        <w:t xml:space="preserve">all </w:t>
      </w:r>
      <w:r>
        <w:t xml:space="preserve">schools fall into </w:t>
      </w:r>
      <w:r w:rsidR="00753705">
        <w:t>L</w:t>
      </w:r>
      <w:r>
        <w:t>evels 1 and 2, the highest classifications. Schools are classified Level 3 if they are among the lowest 20</w:t>
      </w:r>
      <w:r w:rsidR="00656875">
        <w:t xml:space="preserve">% </w:t>
      </w:r>
      <w:r>
        <w:t xml:space="preserve">relative to other schools in their grade span, if they serve the lowest performing subgroups statewide, or if they have persistently low graduation rates. </w:t>
      </w:r>
    </w:p>
    <w:p w:rsidR="00F925BF" w:rsidRDefault="00F925BF">
      <w:pPr>
        <w:rPr>
          <w:rFonts w:eastAsia="Times New Roman"/>
        </w:rPr>
      </w:pPr>
      <w:r>
        <w:br w:type="page"/>
      </w:r>
    </w:p>
    <w:p w:rsidR="008E3B7C" w:rsidRDefault="00C80C3F" w:rsidP="008E3B7C">
      <w:pPr>
        <w:pStyle w:val="BodyText"/>
      </w:pPr>
      <w:r>
        <w:t xml:space="preserve">Districts are </w:t>
      </w:r>
      <w:r w:rsidR="00AA260F">
        <w:t xml:space="preserve">then </w:t>
      </w:r>
      <w:r>
        <w:t xml:space="preserve">classified based on their lowest performing school or schools. For Level 3, districts with one Level 3 school are put into the same classification as a district with multiple Level 3 schools (but no Level 4 schools). While the state intended this classification rule to ensure that districts pay attention to the needs of their lowest performing schools, this creates a continuum containing a broad spectrum of school performance that makes the distinctions between the levels less clear-cut than one would expect. For example, a Level 3 district with a large number of Level 3 schools likely faces very similar capacity challenges as a Level 4 district with a single Level 4 school and a large number of Level 3 </w:t>
      </w:r>
      <w:r w:rsidRPr="00967608">
        <w:t xml:space="preserve">schools. </w:t>
      </w:r>
      <w:r>
        <w:t xml:space="preserve">Exhibit </w:t>
      </w:r>
      <w:r w:rsidR="00CC0471">
        <w:t>9</w:t>
      </w:r>
      <w:r w:rsidRPr="00967608">
        <w:t xml:space="preserve"> shows the district classification and the number of schools at each level</w:t>
      </w:r>
      <w:r>
        <w:t xml:space="preserve"> for the three HR Pilot districts</w:t>
      </w:r>
      <w:r w:rsidRPr="00967608">
        <w:t xml:space="preserve">. </w:t>
      </w:r>
      <w:r w:rsidR="008E3B7C">
        <w:t xml:space="preserve">The </w:t>
      </w:r>
      <w:r w:rsidR="008B1E29">
        <w:t xml:space="preserve">imperatives to improve </w:t>
      </w:r>
      <w:r w:rsidR="008E3B7C">
        <w:t xml:space="preserve">student performance </w:t>
      </w:r>
      <w:r w:rsidR="008B1E29">
        <w:t xml:space="preserve">in the </w:t>
      </w:r>
      <w:r w:rsidR="008E3B7C">
        <w:t>HR Pilot districts raised</w:t>
      </w:r>
      <w:r w:rsidR="008E3B7C" w:rsidDel="00C80C3F">
        <w:t xml:space="preserve"> the question of whether and to what extent the HR Pilot’s focus on the seven specific levers might ultimately address student </w:t>
      </w:r>
      <w:r w:rsidR="008B1E29">
        <w:t>learning</w:t>
      </w:r>
      <w:r w:rsidR="008E3B7C" w:rsidDel="00C80C3F">
        <w:t>.</w:t>
      </w:r>
      <w:r w:rsidR="008E3B7C">
        <w:t xml:space="preserve"> </w:t>
      </w:r>
    </w:p>
    <w:p w:rsidR="00C80C3F" w:rsidRDefault="00C80C3F" w:rsidP="00C80C3F">
      <w:pPr>
        <w:pStyle w:val="ExhibitTitle"/>
        <w:rPr>
          <w:rFonts w:cs="Calibri"/>
        </w:rPr>
      </w:pPr>
      <w:bookmarkStart w:id="41" w:name="_Toc273283764"/>
      <w:r w:rsidRPr="00967608">
        <w:t xml:space="preserve">Exhibit </w:t>
      </w:r>
      <w:r w:rsidR="00CC0471">
        <w:t>9</w:t>
      </w:r>
      <w:r>
        <w:t>.</w:t>
      </w:r>
      <w:r w:rsidRPr="00967608">
        <w:t xml:space="preserve"> </w:t>
      </w:r>
      <w:r>
        <w:t xml:space="preserve">District </w:t>
      </w:r>
      <w:r w:rsidRPr="00967608">
        <w:t>Performance Levels, 2013</w:t>
      </w:r>
      <w:bookmarkEnd w:id="41"/>
    </w:p>
    <w:tbl>
      <w:tblPr>
        <w:tblW w:w="5457"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9"/>
        <w:gridCol w:w="1006"/>
        <w:gridCol w:w="1006"/>
        <w:gridCol w:w="1006"/>
      </w:tblGrid>
      <w:tr w:rsidR="00C80C3F" w:rsidRPr="00F93369" w:rsidTr="00F93369">
        <w:trPr>
          <w:jc w:val="center"/>
        </w:trPr>
        <w:tc>
          <w:tcPr>
            <w:tcW w:w="2439" w:type="dxa"/>
            <w:tcBorders>
              <w:top w:val="single" w:sz="4" w:space="0" w:color="auto"/>
              <w:left w:val="single" w:sz="4" w:space="0" w:color="auto"/>
              <w:bottom w:val="single" w:sz="4" w:space="0" w:color="auto"/>
              <w:right w:val="single" w:sz="4" w:space="0" w:color="auto"/>
            </w:tcBorders>
            <w:shd w:val="clear" w:color="auto" w:fill="auto"/>
          </w:tcPr>
          <w:p w:rsidR="00C80C3F" w:rsidRPr="00F93369" w:rsidRDefault="00C80C3F" w:rsidP="00F93369">
            <w:pPr>
              <w:tabs>
                <w:tab w:val="center" w:pos="4680"/>
                <w:tab w:val="right" w:pos="9360"/>
              </w:tabs>
              <w:spacing w:line="264" w:lineRule="exact"/>
              <w:ind w:left="720"/>
              <w:contextualSpacing/>
              <w:jc w:val="center"/>
              <w:rPr>
                <w:rFonts w:ascii="Arial" w:eastAsia="Calibri" w:hAnsi="Arial" w:cs="Arial"/>
                <w:b/>
                <w:sz w:val="20"/>
                <w:szCs w:val="20"/>
              </w:rPr>
            </w:pPr>
          </w:p>
        </w:tc>
        <w:tc>
          <w:tcPr>
            <w:tcW w:w="3018" w:type="dxa"/>
            <w:gridSpan w:val="3"/>
            <w:tcBorders>
              <w:top w:val="single" w:sz="4" w:space="0" w:color="auto"/>
              <w:left w:val="single" w:sz="4" w:space="0" w:color="auto"/>
              <w:bottom w:val="single" w:sz="4" w:space="0" w:color="auto"/>
              <w:right w:val="single" w:sz="4" w:space="0" w:color="auto"/>
            </w:tcBorders>
            <w:shd w:val="clear" w:color="auto" w:fill="auto"/>
          </w:tcPr>
          <w:p w:rsidR="00C80C3F" w:rsidRPr="00F93369" w:rsidRDefault="00C80C3F" w:rsidP="00F93369">
            <w:pPr>
              <w:spacing w:line="264" w:lineRule="exact"/>
              <w:jc w:val="center"/>
              <w:rPr>
                <w:rFonts w:ascii="Arial" w:eastAsia="Calibri" w:hAnsi="Arial" w:cs="Arial"/>
                <w:b/>
                <w:sz w:val="20"/>
                <w:szCs w:val="20"/>
              </w:rPr>
            </w:pPr>
            <w:r w:rsidRPr="00F93369">
              <w:rPr>
                <w:rFonts w:ascii="Arial" w:eastAsia="Calibri" w:hAnsi="Arial" w:cs="Arial"/>
                <w:b/>
                <w:sz w:val="20"/>
                <w:szCs w:val="20"/>
              </w:rPr>
              <w:t xml:space="preserve">Number of Schools </w:t>
            </w:r>
          </w:p>
        </w:tc>
      </w:tr>
      <w:tr w:rsidR="00C80C3F" w:rsidRPr="00F93369" w:rsidTr="00F93369">
        <w:trPr>
          <w:jc w:val="center"/>
        </w:trPr>
        <w:tc>
          <w:tcPr>
            <w:tcW w:w="2439" w:type="dxa"/>
            <w:tcBorders>
              <w:top w:val="single" w:sz="4" w:space="0" w:color="auto"/>
              <w:left w:val="single" w:sz="4" w:space="0" w:color="auto"/>
              <w:bottom w:val="single" w:sz="4" w:space="0" w:color="auto"/>
              <w:right w:val="single" w:sz="4" w:space="0" w:color="auto"/>
            </w:tcBorders>
            <w:shd w:val="clear" w:color="auto" w:fill="auto"/>
            <w:vAlign w:val="bottom"/>
          </w:tcPr>
          <w:p w:rsidR="00C80C3F" w:rsidRPr="00F93369" w:rsidRDefault="00C80C3F" w:rsidP="00F93369">
            <w:pPr>
              <w:spacing w:line="264" w:lineRule="exact"/>
              <w:jc w:val="center"/>
              <w:rPr>
                <w:rFonts w:ascii="Arial" w:eastAsia="Calibri" w:hAnsi="Arial" w:cs="Arial"/>
                <w:b/>
                <w:sz w:val="20"/>
                <w:szCs w:val="20"/>
              </w:rPr>
            </w:pPr>
            <w:r w:rsidRPr="00F93369">
              <w:rPr>
                <w:rFonts w:ascii="Arial" w:eastAsia="Calibri" w:hAnsi="Arial" w:cs="Arial"/>
                <w:b/>
                <w:sz w:val="20"/>
                <w:szCs w:val="20"/>
              </w:rPr>
              <w:t>School District (Level)</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rsidR="00C80C3F" w:rsidRPr="00F93369" w:rsidRDefault="00C80C3F" w:rsidP="00F93369">
            <w:pPr>
              <w:spacing w:line="264" w:lineRule="exact"/>
              <w:jc w:val="center"/>
              <w:rPr>
                <w:rFonts w:ascii="Arial" w:eastAsia="Calibri" w:hAnsi="Arial" w:cs="Arial"/>
                <w:b/>
                <w:sz w:val="20"/>
                <w:szCs w:val="20"/>
              </w:rPr>
            </w:pPr>
            <w:r w:rsidRPr="00F93369">
              <w:rPr>
                <w:rFonts w:ascii="Arial" w:eastAsia="Calibri" w:hAnsi="Arial" w:cs="Arial"/>
                <w:b/>
                <w:sz w:val="20"/>
                <w:szCs w:val="20"/>
              </w:rPr>
              <w:t>Level 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rsidR="00C80C3F" w:rsidRPr="00F93369" w:rsidRDefault="00C80C3F" w:rsidP="00F93369">
            <w:pPr>
              <w:spacing w:line="264" w:lineRule="exact"/>
              <w:jc w:val="center"/>
              <w:rPr>
                <w:rFonts w:ascii="Arial" w:eastAsia="Calibri" w:hAnsi="Arial" w:cs="Arial"/>
                <w:b/>
                <w:sz w:val="20"/>
                <w:szCs w:val="20"/>
              </w:rPr>
            </w:pPr>
            <w:r w:rsidRPr="00F93369">
              <w:rPr>
                <w:rFonts w:ascii="Arial" w:eastAsia="Calibri" w:hAnsi="Arial" w:cs="Arial"/>
                <w:b/>
                <w:sz w:val="20"/>
                <w:szCs w:val="20"/>
              </w:rPr>
              <w:t>Level 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rsidR="00C80C3F" w:rsidRPr="00F93369" w:rsidRDefault="00C80C3F" w:rsidP="00F93369">
            <w:pPr>
              <w:spacing w:line="264" w:lineRule="exact"/>
              <w:jc w:val="center"/>
              <w:rPr>
                <w:rFonts w:ascii="Arial" w:eastAsia="Calibri" w:hAnsi="Arial" w:cs="Arial"/>
                <w:b/>
                <w:sz w:val="20"/>
                <w:szCs w:val="20"/>
              </w:rPr>
            </w:pPr>
            <w:r w:rsidRPr="00F93369">
              <w:rPr>
                <w:rFonts w:ascii="Arial" w:eastAsia="Calibri" w:hAnsi="Arial" w:cs="Arial"/>
                <w:b/>
                <w:sz w:val="20"/>
                <w:szCs w:val="20"/>
              </w:rPr>
              <w:t>Level 3</w:t>
            </w:r>
          </w:p>
        </w:tc>
      </w:tr>
      <w:tr w:rsidR="00C80C3F" w:rsidRPr="00F93369" w:rsidTr="00F93369">
        <w:trPr>
          <w:jc w:val="center"/>
        </w:trPr>
        <w:tc>
          <w:tcPr>
            <w:tcW w:w="2439" w:type="dxa"/>
            <w:tcBorders>
              <w:top w:val="single" w:sz="4" w:space="0" w:color="auto"/>
              <w:left w:val="single" w:sz="4" w:space="0" w:color="auto"/>
              <w:bottom w:val="single" w:sz="4" w:space="0" w:color="auto"/>
              <w:right w:val="single" w:sz="4" w:space="0" w:color="auto"/>
            </w:tcBorders>
            <w:shd w:val="clear" w:color="auto" w:fill="auto"/>
            <w:vAlign w:val="bottom"/>
          </w:tcPr>
          <w:p w:rsidR="00C80C3F" w:rsidRPr="00F93369" w:rsidRDefault="00C80C3F" w:rsidP="00F93369">
            <w:pPr>
              <w:spacing w:line="264" w:lineRule="exact"/>
              <w:rPr>
                <w:rFonts w:ascii="Arial" w:eastAsia="Calibri" w:hAnsi="Arial" w:cs="Arial"/>
                <w:b/>
                <w:sz w:val="20"/>
                <w:szCs w:val="20"/>
              </w:rPr>
            </w:pPr>
            <w:r w:rsidRPr="00F93369">
              <w:rPr>
                <w:rFonts w:ascii="Arial" w:eastAsia="Calibri" w:hAnsi="Arial" w:cs="Arial"/>
                <w:b/>
                <w:sz w:val="20"/>
                <w:szCs w:val="20"/>
              </w:rPr>
              <w:t>Attleboro (Level 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C80C3F" w:rsidRPr="00F93369" w:rsidRDefault="00C80C3F" w:rsidP="00F93369">
            <w:pPr>
              <w:spacing w:line="264" w:lineRule="exact"/>
              <w:jc w:val="center"/>
              <w:rPr>
                <w:rFonts w:ascii="Arial" w:eastAsia="Calibri" w:hAnsi="Arial" w:cs="Arial"/>
                <w:sz w:val="20"/>
                <w:szCs w:val="20"/>
              </w:rPr>
            </w:pPr>
            <w:r w:rsidRPr="00F93369">
              <w:rPr>
                <w:rFonts w:ascii="Arial" w:eastAsia="Calibri" w:hAnsi="Arial" w:cs="Arial"/>
                <w:sz w:val="20"/>
                <w:szCs w:val="20"/>
              </w:rPr>
              <w:t>6</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C80C3F" w:rsidRPr="00F93369" w:rsidRDefault="00C80C3F" w:rsidP="00F93369">
            <w:pPr>
              <w:spacing w:line="264" w:lineRule="exact"/>
              <w:jc w:val="center"/>
              <w:rPr>
                <w:rFonts w:ascii="Arial" w:eastAsia="Calibri" w:hAnsi="Arial" w:cs="Arial"/>
                <w:sz w:val="20"/>
                <w:szCs w:val="20"/>
              </w:rPr>
            </w:pPr>
            <w:r w:rsidRPr="00F93369">
              <w:rPr>
                <w:rFonts w:ascii="Arial" w:eastAsia="Calibri" w:hAnsi="Arial" w:cs="Arial"/>
                <w:sz w:val="20"/>
                <w:szCs w:val="20"/>
              </w:rPr>
              <w:t>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C80C3F" w:rsidRPr="00F93369" w:rsidRDefault="00C80C3F" w:rsidP="00F93369">
            <w:pPr>
              <w:spacing w:line="264" w:lineRule="exact"/>
              <w:jc w:val="center"/>
              <w:rPr>
                <w:rFonts w:ascii="Arial" w:eastAsia="Calibri" w:hAnsi="Arial" w:cs="Arial"/>
                <w:sz w:val="20"/>
                <w:szCs w:val="20"/>
              </w:rPr>
            </w:pPr>
            <w:r w:rsidRPr="00F93369">
              <w:rPr>
                <w:rFonts w:ascii="Arial" w:eastAsia="Calibri" w:hAnsi="Arial" w:cs="Arial"/>
                <w:sz w:val="20"/>
                <w:szCs w:val="20"/>
              </w:rPr>
              <w:t>0</w:t>
            </w:r>
          </w:p>
        </w:tc>
      </w:tr>
      <w:tr w:rsidR="00C80C3F" w:rsidRPr="00F93369" w:rsidTr="00F93369">
        <w:trPr>
          <w:jc w:val="center"/>
        </w:trPr>
        <w:tc>
          <w:tcPr>
            <w:tcW w:w="2439" w:type="dxa"/>
            <w:tcBorders>
              <w:top w:val="single" w:sz="4" w:space="0" w:color="auto"/>
              <w:left w:val="single" w:sz="4" w:space="0" w:color="auto"/>
              <w:bottom w:val="single" w:sz="4" w:space="0" w:color="auto"/>
              <w:right w:val="single" w:sz="4" w:space="0" w:color="auto"/>
            </w:tcBorders>
            <w:shd w:val="clear" w:color="auto" w:fill="auto"/>
            <w:vAlign w:val="bottom"/>
          </w:tcPr>
          <w:p w:rsidR="00C80C3F" w:rsidRPr="00F93369" w:rsidRDefault="00C80C3F" w:rsidP="00F93369">
            <w:pPr>
              <w:spacing w:line="264" w:lineRule="exact"/>
              <w:rPr>
                <w:rFonts w:ascii="Arial" w:eastAsia="Calibri" w:hAnsi="Arial" w:cs="Arial"/>
                <w:b/>
                <w:sz w:val="20"/>
                <w:szCs w:val="20"/>
              </w:rPr>
            </w:pPr>
            <w:r w:rsidRPr="00F93369">
              <w:rPr>
                <w:rFonts w:ascii="Arial" w:eastAsia="Calibri" w:hAnsi="Arial" w:cs="Arial"/>
                <w:b/>
                <w:sz w:val="20"/>
                <w:szCs w:val="20"/>
              </w:rPr>
              <w:t>Brockton (Level 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C80C3F" w:rsidRPr="00F93369" w:rsidRDefault="00C80C3F" w:rsidP="00F93369">
            <w:pPr>
              <w:spacing w:line="264" w:lineRule="exact"/>
              <w:jc w:val="center"/>
              <w:rPr>
                <w:rFonts w:ascii="Arial" w:eastAsia="Calibri" w:hAnsi="Arial" w:cs="Arial"/>
                <w:sz w:val="20"/>
                <w:szCs w:val="20"/>
              </w:rPr>
            </w:pPr>
            <w:r w:rsidRPr="00F93369">
              <w:rPr>
                <w:rFonts w:ascii="Arial" w:eastAsia="Calibri" w:hAnsi="Arial" w:cs="Arial"/>
                <w:sz w:val="20"/>
                <w:szCs w:val="20"/>
              </w:rPr>
              <w:t>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C80C3F" w:rsidRPr="00F93369" w:rsidRDefault="00C80C3F" w:rsidP="00F93369">
            <w:pPr>
              <w:spacing w:line="264" w:lineRule="exact"/>
              <w:jc w:val="center"/>
              <w:rPr>
                <w:rFonts w:ascii="Arial" w:eastAsia="Calibri" w:hAnsi="Arial" w:cs="Arial"/>
                <w:sz w:val="20"/>
                <w:szCs w:val="20"/>
              </w:rPr>
            </w:pPr>
            <w:r w:rsidRPr="00F93369">
              <w:rPr>
                <w:rFonts w:ascii="Arial" w:eastAsia="Calibri" w:hAnsi="Arial" w:cs="Arial"/>
                <w:sz w:val="20"/>
                <w:szCs w:val="20"/>
              </w:rPr>
              <w:t>6</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C80C3F" w:rsidRPr="00F93369" w:rsidRDefault="00C80C3F" w:rsidP="00F93369">
            <w:pPr>
              <w:spacing w:line="264" w:lineRule="exact"/>
              <w:jc w:val="center"/>
              <w:rPr>
                <w:rFonts w:ascii="Arial" w:eastAsia="Calibri" w:hAnsi="Arial" w:cs="Arial"/>
                <w:sz w:val="20"/>
                <w:szCs w:val="20"/>
              </w:rPr>
            </w:pPr>
            <w:r w:rsidRPr="00F93369">
              <w:rPr>
                <w:rFonts w:ascii="Arial" w:eastAsia="Calibri" w:hAnsi="Arial" w:cs="Arial"/>
                <w:sz w:val="20"/>
                <w:szCs w:val="20"/>
              </w:rPr>
              <w:t>12</w:t>
            </w:r>
          </w:p>
        </w:tc>
      </w:tr>
      <w:tr w:rsidR="00C80C3F" w:rsidRPr="00F93369" w:rsidTr="00F93369">
        <w:trPr>
          <w:jc w:val="center"/>
        </w:trPr>
        <w:tc>
          <w:tcPr>
            <w:tcW w:w="2439" w:type="dxa"/>
            <w:tcBorders>
              <w:top w:val="single" w:sz="4" w:space="0" w:color="auto"/>
              <w:left w:val="single" w:sz="4" w:space="0" w:color="auto"/>
              <w:bottom w:val="single" w:sz="4" w:space="0" w:color="auto"/>
              <w:right w:val="single" w:sz="4" w:space="0" w:color="auto"/>
            </w:tcBorders>
            <w:shd w:val="clear" w:color="auto" w:fill="auto"/>
            <w:vAlign w:val="bottom"/>
          </w:tcPr>
          <w:p w:rsidR="00C80C3F" w:rsidRPr="00F93369" w:rsidRDefault="00C80C3F" w:rsidP="00F93369">
            <w:pPr>
              <w:spacing w:line="264" w:lineRule="exact"/>
              <w:rPr>
                <w:rFonts w:ascii="Arial" w:eastAsia="Calibri" w:hAnsi="Arial" w:cs="Arial"/>
                <w:b/>
                <w:sz w:val="20"/>
                <w:szCs w:val="20"/>
              </w:rPr>
            </w:pPr>
            <w:r w:rsidRPr="00F93369">
              <w:rPr>
                <w:rFonts w:ascii="Arial" w:eastAsia="Calibri" w:hAnsi="Arial" w:cs="Arial"/>
                <w:b/>
                <w:sz w:val="20"/>
                <w:szCs w:val="20"/>
              </w:rPr>
              <w:t>Revere (Level 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C80C3F" w:rsidRPr="00F93369" w:rsidRDefault="00C80C3F" w:rsidP="00F93369">
            <w:pPr>
              <w:spacing w:line="264" w:lineRule="exact"/>
              <w:jc w:val="center"/>
              <w:rPr>
                <w:rFonts w:ascii="Arial" w:eastAsia="Calibri" w:hAnsi="Arial" w:cs="Arial"/>
                <w:sz w:val="20"/>
                <w:szCs w:val="20"/>
              </w:rPr>
            </w:pPr>
            <w:r w:rsidRPr="00F93369">
              <w:rPr>
                <w:rFonts w:ascii="Arial" w:eastAsia="Calibri" w:hAnsi="Arial" w:cs="Arial"/>
                <w:sz w:val="20"/>
                <w:szCs w:val="20"/>
              </w:rPr>
              <w:t>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C80C3F" w:rsidRPr="00F93369" w:rsidRDefault="00C80C3F" w:rsidP="00F93369">
            <w:pPr>
              <w:spacing w:line="264" w:lineRule="exact"/>
              <w:jc w:val="center"/>
              <w:rPr>
                <w:rFonts w:ascii="Arial" w:eastAsia="Calibri" w:hAnsi="Arial" w:cs="Arial"/>
                <w:sz w:val="20"/>
                <w:szCs w:val="20"/>
              </w:rPr>
            </w:pPr>
            <w:r w:rsidRPr="00F93369">
              <w:rPr>
                <w:rFonts w:ascii="Arial" w:eastAsia="Calibri" w:hAnsi="Arial" w:cs="Arial"/>
                <w:sz w:val="20"/>
                <w:szCs w:val="20"/>
              </w:rPr>
              <w:t>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C80C3F" w:rsidRPr="00F93369" w:rsidRDefault="00C80C3F" w:rsidP="00F93369">
            <w:pPr>
              <w:spacing w:line="264" w:lineRule="exact"/>
              <w:jc w:val="center"/>
              <w:rPr>
                <w:rFonts w:ascii="Arial" w:eastAsia="Calibri" w:hAnsi="Arial" w:cs="Arial"/>
                <w:sz w:val="20"/>
                <w:szCs w:val="20"/>
              </w:rPr>
            </w:pPr>
            <w:r w:rsidRPr="00F93369">
              <w:rPr>
                <w:rFonts w:ascii="Arial" w:eastAsia="Calibri" w:hAnsi="Arial" w:cs="Arial"/>
                <w:sz w:val="20"/>
                <w:szCs w:val="20"/>
              </w:rPr>
              <w:t>1</w:t>
            </w:r>
          </w:p>
        </w:tc>
      </w:tr>
    </w:tbl>
    <w:p w:rsidR="00C80C3F" w:rsidRDefault="00C80C3F" w:rsidP="00C80C3F">
      <w:pPr>
        <w:pStyle w:val="MA-HR-TableSource"/>
      </w:pPr>
      <w:r w:rsidRPr="0079608A">
        <w:t>Source: Massachusetts Department of ESE, Accountability Information,</w:t>
      </w:r>
      <w:r>
        <w:t xml:space="preserve"> </w:t>
      </w:r>
      <w:hyperlink r:id="rId33" w:history="1">
        <w:r w:rsidRPr="002020C7">
          <w:rPr>
            <w:rStyle w:val="Hyperlink"/>
          </w:rPr>
          <w:t>http://profiles.doe.mass.edu/accountability/report/district.aspx?linkid=30&amp;orgcode=02480000&amp;orgtypecode=5&amp;</w:t>
        </w:r>
      </w:hyperlink>
      <w:r>
        <w:t xml:space="preserve"> </w:t>
      </w:r>
    </w:p>
    <w:p w:rsidR="00967608" w:rsidRPr="005F5A4B" w:rsidRDefault="00A17F1F" w:rsidP="00D8233A">
      <w:pPr>
        <w:pStyle w:val="BodyText"/>
      </w:pPr>
      <w:r>
        <w:t>These background student and teacher data provide a picture of the three HR Pilot districts, each facing a changing student body; two experiencing rapid student enrollment growth but only one able to keep up with a large</w:t>
      </w:r>
      <w:r w:rsidR="00F72509">
        <w:t>r</w:t>
      </w:r>
      <w:r>
        <w:t xml:space="preserve"> teacher </w:t>
      </w:r>
      <w:r w:rsidR="00840C14">
        <w:t>force; and diverse school performance within each district.</w:t>
      </w:r>
      <w:r>
        <w:t xml:space="preserve"> </w:t>
      </w:r>
    </w:p>
    <w:p w:rsidR="00F925BF" w:rsidRDefault="00F925BF">
      <w:r>
        <w:br w:type="page"/>
      </w:r>
    </w:p>
    <w:p w:rsidR="00F925BF" w:rsidRDefault="00F925BF"/>
    <w:p w:rsidR="00F925BF" w:rsidRDefault="00F925BF"/>
    <w:p w:rsidR="00EE4495" w:rsidRPr="00D52CDF" w:rsidRDefault="007E3F07" w:rsidP="0056546D">
      <w:pPr>
        <w:pStyle w:val="ChapterTitle"/>
      </w:pPr>
      <w:r>
        <w:br w:type="page"/>
      </w:r>
      <w:bookmarkStart w:id="42" w:name="_Toc399828625"/>
      <w:r w:rsidR="00EE4495" w:rsidRPr="00D52CDF">
        <w:t xml:space="preserve">Chapter 3: </w:t>
      </w:r>
      <w:r w:rsidR="00EE4495">
        <w:t>District System Changes</w:t>
      </w:r>
      <w:bookmarkEnd w:id="42"/>
      <w:r w:rsidR="00EE4495">
        <w:t xml:space="preserve"> </w:t>
      </w:r>
    </w:p>
    <w:p w:rsidR="00EE4495" w:rsidRDefault="008A64BD" w:rsidP="0035181C">
      <w:pPr>
        <w:pStyle w:val="BodyText"/>
      </w:pPr>
      <w:r>
        <w:t xml:space="preserve">By </w:t>
      </w:r>
      <w:r w:rsidR="00EE4495">
        <w:t xml:space="preserve">the end of the </w:t>
      </w:r>
      <w:r w:rsidR="00654CE8">
        <w:t>2.5-</w:t>
      </w:r>
      <w:r w:rsidR="00EE4495">
        <w:t>year implementation period, the HR Pilot stimulated positive results, albeit uneven</w:t>
      </w:r>
      <w:r w:rsidR="00840C14">
        <w:t>ly</w:t>
      </w:r>
      <w:r w:rsidR="00EE4495">
        <w:t xml:space="preserve"> across the seven levers and across the three districts. In particular, districts changed processes</w:t>
      </w:r>
      <w:r w:rsidR="0049135F">
        <w:t xml:space="preserve"> and </w:t>
      </w:r>
      <w:r w:rsidR="00EE4495">
        <w:t>practices</w:t>
      </w:r>
      <w:r w:rsidR="0049135F">
        <w:t xml:space="preserve"> </w:t>
      </w:r>
      <w:r w:rsidR="00EE4495">
        <w:t>around human resources, increased district and school leadership capacity to better support teachers</w:t>
      </w:r>
      <w:r w:rsidR="007E74AC">
        <w:t>,</w:t>
      </w:r>
      <w:r w:rsidR="00EE4495">
        <w:t xml:space="preserve"> and expanded the role of principals and teachers in district decisionmaking. </w:t>
      </w:r>
    </w:p>
    <w:p w:rsidR="00EE4495" w:rsidRDefault="00EE4495" w:rsidP="00891FDD">
      <w:pPr>
        <w:pStyle w:val="Heading1"/>
      </w:pPr>
      <w:bookmarkStart w:id="43" w:name="_Toc394916539"/>
      <w:bookmarkStart w:id="44" w:name="_Toc399828626"/>
      <w:r w:rsidRPr="00A41C35">
        <w:t>Changes in District Capacity</w:t>
      </w:r>
      <w:bookmarkEnd w:id="43"/>
      <w:bookmarkEnd w:id="44"/>
    </w:p>
    <w:p w:rsidR="0074213B" w:rsidRDefault="0074213B" w:rsidP="0074213B">
      <w:pPr>
        <w:pStyle w:val="BodyText"/>
      </w:pPr>
      <w:r>
        <w:t>The HR Pilot districts implemented a variety of changes in both policy and practice aimed at increasing their capacity to support teachers.</w:t>
      </w:r>
    </w:p>
    <w:p w:rsidR="00EE4495" w:rsidRPr="00891FDD" w:rsidRDefault="00EE4495" w:rsidP="00891FDD">
      <w:pPr>
        <w:pStyle w:val="Heading-Call-Out"/>
      </w:pPr>
      <w:r w:rsidRPr="00891FDD">
        <w:t xml:space="preserve">Districts made greatest progress on concrete levers </w:t>
      </w:r>
      <w:r w:rsidR="00BB5EA5">
        <w:t>that reflected local priorities</w:t>
      </w:r>
      <w:r w:rsidR="00280B56">
        <w:t>.</w:t>
      </w:r>
    </w:p>
    <w:p w:rsidR="0068282E" w:rsidRDefault="00840C14" w:rsidP="0035181C">
      <w:pPr>
        <w:pStyle w:val="BodyText"/>
      </w:pPr>
      <w:r>
        <w:t>District priorities and clear purpose directing the efforts under a given lever helped explain the d</w:t>
      </w:r>
      <w:r w:rsidR="00EE4495">
        <w:t xml:space="preserve">ifferential implementation </w:t>
      </w:r>
      <w:r>
        <w:t>across levers and across districts</w:t>
      </w:r>
      <w:r w:rsidR="00EE4495">
        <w:t xml:space="preserve">. </w:t>
      </w:r>
      <w:r w:rsidR="00EE4495" w:rsidRPr="009940FD">
        <w:t xml:space="preserve">Most commonly, </w:t>
      </w:r>
      <w:r>
        <w:t xml:space="preserve">HR Pilot </w:t>
      </w:r>
      <w:r w:rsidR="00EE4495">
        <w:t xml:space="preserve">work led to </w:t>
      </w:r>
      <w:r w:rsidR="00EE4495" w:rsidRPr="009940FD">
        <w:t xml:space="preserve">changes </w:t>
      </w:r>
      <w:r w:rsidR="00EE4495">
        <w:t xml:space="preserve">in </w:t>
      </w:r>
      <w:r w:rsidR="00EE4495" w:rsidRPr="009940FD">
        <w:t xml:space="preserve">policies and practices related to recruitment and hiring, </w:t>
      </w:r>
      <w:r w:rsidR="00EE4495">
        <w:t xml:space="preserve">induction, and professional development—all levers with clearly defined goals that leaders saw as immediately relevant to improving district instructional capacity. </w:t>
      </w:r>
    </w:p>
    <w:p w:rsidR="00EE4495" w:rsidRDefault="00EE4495" w:rsidP="0035181C">
      <w:pPr>
        <w:pStyle w:val="BodyText"/>
      </w:pPr>
      <w:r>
        <w:t xml:space="preserve">All three districts instituted new procedures to promote more efficient and consistent hiring practices and modified their preexisting induction programs to provide stronger support to new teachers. One district, for example, created a new hiring protocol to standardize hiring procedures, </w:t>
      </w:r>
      <w:r w:rsidR="00280B56">
        <w:t>such as</w:t>
      </w:r>
      <w:r>
        <w:t xml:space="preserve"> form</w:t>
      </w:r>
      <w:r w:rsidR="00840C14">
        <w:t>ing</w:t>
      </w:r>
      <w:r>
        <w:t xml:space="preserve"> a hiring committee, </w:t>
      </w:r>
      <w:r w:rsidR="00840C14">
        <w:t xml:space="preserve">appointing </w:t>
      </w:r>
      <w:r>
        <w:t>committee</w:t>
      </w:r>
      <w:r w:rsidR="00840C14">
        <w:t xml:space="preserve"> members</w:t>
      </w:r>
      <w:r>
        <w:t xml:space="preserve">, and </w:t>
      </w:r>
      <w:r w:rsidR="00840C14">
        <w:t xml:space="preserve">determining interview </w:t>
      </w:r>
      <w:r>
        <w:t>questions to ask candidates. Another district experimented with attending a wide variety of job fairs at local colleges and universities and eventually narrowed down the list to those that yielded the largest number of hires. The induction committee in the third district developed policies to match newly hired teachers to mentors more effectively and to differentiate between support</w:t>
      </w:r>
      <w:r w:rsidR="0049135F">
        <w:t>s</w:t>
      </w:r>
      <w:r>
        <w:t xml:space="preserve"> for teachers </w:t>
      </w:r>
      <w:r w:rsidR="0049135F">
        <w:t xml:space="preserve">who are </w:t>
      </w:r>
      <w:r>
        <w:t xml:space="preserve">new to the profession and </w:t>
      </w:r>
      <w:r w:rsidR="0049135F">
        <w:t xml:space="preserve">supports for </w:t>
      </w:r>
      <w:r>
        <w:t xml:space="preserve">experienced teachers new to the district. </w:t>
      </w:r>
    </w:p>
    <w:p w:rsidR="00F925BF" w:rsidRDefault="00EE4495" w:rsidP="0035181C">
      <w:pPr>
        <w:pStyle w:val="BodyText"/>
      </w:pPr>
      <w:r>
        <w:t xml:space="preserve">All three districts also made changes to their professional development efforts. One district, which had eliminated citywide </w:t>
      </w:r>
      <w:r w:rsidR="0042216C">
        <w:t>professional development</w:t>
      </w:r>
      <w:r>
        <w:t xml:space="preserve"> in the years prior to the HR Pilot project, reinstated that </w:t>
      </w:r>
      <w:r w:rsidR="0042216C">
        <w:t>professional development</w:t>
      </w:r>
      <w:r>
        <w:t xml:space="preserve"> to target specific needs such as Common Core </w:t>
      </w:r>
      <w:r w:rsidR="00B317BA">
        <w:t xml:space="preserve">State Standards </w:t>
      </w:r>
      <w:r>
        <w:t xml:space="preserve">implementation and other areas of weakness as identified </w:t>
      </w:r>
      <w:r w:rsidR="00840C14">
        <w:t xml:space="preserve">in </w:t>
      </w:r>
      <w:r>
        <w:t>achievement data. In another district, the</w:t>
      </w:r>
      <w:r w:rsidR="003040B3">
        <w:t xml:space="preserve"> professional development</w:t>
      </w:r>
      <w:r>
        <w:t xml:space="preserve"> lever committee surveyed all educators to identify their needs and took </w:t>
      </w:r>
      <w:r w:rsidR="00840C14">
        <w:t xml:space="preserve">responsibility for </w:t>
      </w:r>
      <w:r>
        <w:t xml:space="preserve">logistics, which had previously been handled by another committee. </w:t>
      </w:r>
      <w:r w:rsidRPr="00374575">
        <w:t xml:space="preserve">Teachers </w:t>
      </w:r>
      <w:r w:rsidR="0049135F">
        <w:t xml:space="preserve">in the district </w:t>
      </w:r>
      <w:r w:rsidRPr="00374575">
        <w:t xml:space="preserve">reported that </w:t>
      </w:r>
      <w:r w:rsidR="003040B3">
        <w:t xml:space="preserve">professional development </w:t>
      </w:r>
      <w:r>
        <w:t xml:space="preserve">improved with more </w:t>
      </w:r>
      <w:r w:rsidRPr="00374575">
        <w:t xml:space="preserve">options that </w:t>
      </w:r>
      <w:r w:rsidR="003040B3">
        <w:t>were</w:t>
      </w:r>
      <w:r w:rsidRPr="00374575">
        <w:t xml:space="preserve"> </w:t>
      </w:r>
      <w:r>
        <w:t>relevant,</w:t>
      </w:r>
      <w:r w:rsidRPr="00374575">
        <w:t xml:space="preserve"> coherent</w:t>
      </w:r>
      <w:r w:rsidR="00840C14">
        <w:t>,</w:t>
      </w:r>
      <w:r w:rsidRPr="00374575">
        <w:t xml:space="preserve"> and ongoing.</w:t>
      </w:r>
    </w:p>
    <w:p w:rsidR="00F925BF" w:rsidRDefault="00F925BF">
      <w:pPr>
        <w:rPr>
          <w:rFonts w:eastAsia="Times New Roman"/>
        </w:rPr>
      </w:pPr>
      <w:r>
        <w:br w:type="page"/>
      </w:r>
    </w:p>
    <w:p w:rsidR="00EE4495" w:rsidRDefault="00103964" w:rsidP="00D11099">
      <w:pPr>
        <w:pStyle w:val="BodyText"/>
      </w:pPr>
      <w:r>
        <w:rPr>
          <w:noProof/>
        </w:rPr>
        <w:pict>
          <v:roundrect id="Text Box 24" o:spid="_x0000_s1033" style="position:absolute;left:0;text-align:left;margin-left:243pt;margin-top:0;width:198.75pt;height:131.1pt;z-index:251650048;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" filled="f" strokecolor="#558ed5" strokeweight="2.25pt">
            <v:textbox>
              <w:txbxContent>
                <w:p w:rsidR="00231C50" w:rsidRPr="00703FA9" w:rsidRDefault="00231C50" w:rsidP="00FC7AB5">
                  <w:pPr>
                    <w:pStyle w:val="Pulloutquoteitalic"/>
                  </w:pPr>
                  <w:r>
                    <w:t xml:space="preserve">“I think it [goal setting] </w:t>
                  </w:r>
                  <w:r w:rsidRPr="004D13F5">
                    <w:t>is making us better teachers because we have to [have a plan for] how are you going to measure the goals. How are you going to know your goal is effective at the end of the year? So having that piece in place, although it is a lot of work, it is beneficial.</w:t>
                  </w:r>
                  <w:r>
                    <w:t>”</w:t>
                  </w:r>
                </w:p>
                <w:p w:rsidR="00231C50" w:rsidRPr="00270ABB" w:rsidRDefault="00231C50" w:rsidP="00FC7AB5">
                  <w:pPr>
                    <w:pStyle w:val="Pulloutquoteitalic"/>
                    <w:tabs>
                      <w:tab w:val="left" w:pos="360"/>
                    </w:tabs>
                  </w:pPr>
                  <w:r w:rsidRPr="00270ABB">
                    <w:t>- Teacher</w:t>
                  </w:r>
                </w:p>
              </w:txbxContent>
            </v:textbox>
            <w10:wrap type="square"/>
          </v:roundrect>
        </w:pict>
      </w:r>
      <w:r w:rsidR="00EE4495">
        <w:t xml:space="preserve">Propelled by the state’s new mandated </w:t>
      </w:r>
      <w:r w:rsidR="00C65438">
        <w:t>educator evaluation</w:t>
      </w:r>
      <w:r w:rsidR="00EE4495">
        <w:t xml:space="preserve"> system being implemented during the same time period as the HR Pilot, districts also made significant changes to their evaluation policies and practices. Across all three districts, respondents reported that the new system motivated educators to be more reflective about their practice via goal setting, evidence gathering, and participating in the assessment of their own teaching practice. </w:t>
      </w:r>
    </w:p>
    <w:p w:rsidR="00EE4495" w:rsidRDefault="00EE4495" w:rsidP="0035181C">
      <w:pPr>
        <w:pStyle w:val="BodyText"/>
      </w:pPr>
      <w:r>
        <w:t xml:space="preserve">In contrast, districts made less progress on the levers </w:t>
      </w:r>
      <w:r w:rsidR="00BC0317">
        <w:t xml:space="preserve">for which </w:t>
      </w:r>
      <w:r>
        <w:t xml:space="preserve">concrete policies did not exist at the start of the project, </w:t>
      </w:r>
      <w:r w:rsidR="00BC0317">
        <w:t xml:space="preserve">for which </w:t>
      </w:r>
      <w:r>
        <w:t xml:space="preserve">objectives were difficult to define, or </w:t>
      </w:r>
      <w:r w:rsidR="00BC0317">
        <w:t xml:space="preserve">when </w:t>
      </w:r>
      <w:r w:rsidR="007C7583">
        <w:t>other district priorities superseded the work of the levers</w:t>
      </w:r>
      <w:r>
        <w:t>. As one district leader said, “</w:t>
      </w:r>
      <w:r w:rsidRPr="00A677DC">
        <w:t>This is hard work because you have to make decisions that are priorities</w:t>
      </w:r>
      <w:r>
        <w:t>,</w:t>
      </w:r>
      <w:r w:rsidRPr="00A677DC">
        <w:t xml:space="preserve"> and because you don’t have infinite time or money, you have to [decide to] do something instead of something else and [make] hard tradeoffs</w:t>
      </w:r>
      <w:r>
        <w:t>.”</w:t>
      </w:r>
    </w:p>
    <w:p w:rsidR="00EE4495" w:rsidRDefault="00EE4495" w:rsidP="0035181C">
      <w:pPr>
        <w:pStyle w:val="BodyText"/>
      </w:pPr>
      <w:r w:rsidRPr="00270ABB">
        <w:t>Adult professional culture</w:t>
      </w:r>
      <w:r>
        <w:t xml:space="preserve"> was arguably the most difficult lever to address even though it was intended to be the foundation for all other levers as outlined in th</w:t>
      </w:r>
      <w:r w:rsidR="00BB5EA5">
        <w:t>e conceptual framework. In the</w:t>
      </w:r>
      <w:r>
        <w:t xml:space="preserve"> districts that formed </w:t>
      </w:r>
      <w:r w:rsidR="009F0EF1">
        <w:t>a</w:t>
      </w:r>
      <w:r>
        <w:t xml:space="preserve">dult </w:t>
      </w:r>
      <w:r w:rsidR="009F0EF1">
        <w:t>p</w:t>
      </w:r>
      <w:r>
        <w:t xml:space="preserve">rofessional </w:t>
      </w:r>
      <w:r w:rsidR="009F0EF1">
        <w:t>c</w:t>
      </w:r>
      <w:r>
        <w:t xml:space="preserve">ulture committees, the members struggled throughout most of the project to define district culture and craft strategies to improve that culture. It was not until late in the grant period that the committees finally found a way forward. In one district, after a year of struggling to articulate their task, the </w:t>
      </w:r>
      <w:r w:rsidR="009F0EF1">
        <w:t>a</w:t>
      </w:r>
      <w:r>
        <w:t xml:space="preserve">dult </w:t>
      </w:r>
      <w:r w:rsidR="009F0EF1">
        <w:t>p</w:t>
      </w:r>
      <w:r>
        <w:t xml:space="preserve">rofessional </w:t>
      </w:r>
      <w:r w:rsidR="009F0EF1">
        <w:t>c</w:t>
      </w:r>
      <w:r>
        <w:t xml:space="preserve">ulture committee concluded that culture actually played a key role in the work of all the levers. Consequently, in the second year of the project, the committee disbanded and </w:t>
      </w:r>
      <w:r w:rsidR="005F5BE9">
        <w:t xml:space="preserve">distributed </w:t>
      </w:r>
      <w:r>
        <w:t>its members across the other lever committees to raise awareness of professional culture issues in planning and strategy discussions about the other levers. Moving forward, the committee intends to recon</w:t>
      </w:r>
      <w:r w:rsidR="007C7583">
        <w:t>figure</w:t>
      </w:r>
      <w:r>
        <w:t xml:space="preserve"> itself as an independent group to plan how their work will progress. In another district, after a long dormant period, the </w:t>
      </w:r>
      <w:r w:rsidR="00DC7DC6">
        <w:t>a</w:t>
      </w:r>
      <w:r>
        <w:t xml:space="preserve">dult </w:t>
      </w:r>
      <w:r w:rsidR="00DC7DC6">
        <w:t>p</w:t>
      </w:r>
      <w:r>
        <w:t xml:space="preserve">rofessional </w:t>
      </w:r>
      <w:r w:rsidR="00DC7DC6">
        <w:t>c</w:t>
      </w:r>
      <w:r>
        <w:t xml:space="preserve">ulture committee was </w:t>
      </w:r>
      <w:r w:rsidR="007C7583">
        <w:t xml:space="preserve">reformed </w:t>
      </w:r>
      <w:r>
        <w:t xml:space="preserve">with new members to analyze and use the TELL MASS </w:t>
      </w:r>
      <w:r w:rsidR="003234F4">
        <w:t>S</w:t>
      </w:r>
      <w:r>
        <w:t>urvey</w:t>
      </w:r>
      <w:r w:rsidR="00EB7E5C">
        <w:t xml:space="preserve"> to devise a new plan for improving district culture</w:t>
      </w:r>
      <w:r w:rsidR="00EB7E5C">
        <w:rPr>
          <w:rStyle w:val="FootnoteReference"/>
        </w:rPr>
        <w:t xml:space="preserve"> </w:t>
      </w:r>
      <w:r w:rsidR="00EB7E5C">
        <w:t>.</w:t>
      </w:r>
      <w:r>
        <w:rPr>
          <w:rStyle w:val="FootnoteReference"/>
        </w:rPr>
        <w:footnoteReference w:id="6"/>
      </w:r>
      <w:r>
        <w:t xml:space="preserve"> </w:t>
      </w:r>
      <w:r w:rsidR="009F3F37">
        <w:t>Eventually</w:t>
      </w:r>
      <w:r>
        <w:t xml:space="preserve">, the </w:t>
      </w:r>
      <w:r w:rsidR="007C7583">
        <w:t xml:space="preserve">superintendent took over leadership of the </w:t>
      </w:r>
      <w:r>
        <w:t xml:space="preserve">subcommittee, at the request of the </w:t>
      </w:r>
      <w:r w:rsidR="0076303D">
        <w:t>s</w:t>
      </w:r>
      <w:r>
        <w:t xml:space="preserve">teering </w:t>
      </w:r>
      <w:r w:rsidR="0076303D">
        <w:t>c</w:t>
      </w:r>
      <w:r>
        <w:t xml:space="preserve">ommittee, to refocus its mission. </w:t>
      </w:r>
    </w:p>
    <w:p w:rsidR="00FC7AB5" w:rsidRDefault="00FC7AB5">
      <w:pPr>
        <w:rPr>
          <w:b/>
        </w:rPr>
      </w:pPr>
      <w:r>
        <w:br w:type="page"/>
      </w:r>
    </w:p>
    <w:p w:rsidR="00EE4495" w:rsidRDefault="00EE4495" w:rsidP="00891FDD">
      <w:pPr>
        <w:pStyle w:val="Heading-Call-Out"/>
      </w:pPr>
      <w:r>
        <w:t>District</w:t>
      </w:r>
      <w:r w:rsidR="00BB5EA5">
        <w:t>s</w:t>
      </w:r>
      <w:r>
        <w:t xml:space="preserve"> made changes in key systems that produced greater efficiencies and enhan</w:t>
      </w:r>
      <w:r w:rsidR="00BB5EA5">
        <w:t>ced teacher leadership capacity</w:t>
      </w:r>
      <w:r w:rsidR="003234F4">
        <w:t>.</w:t>
      </w:r>
      <w:r>
        <w:t xml:space="preserve"> </w:t>
      </w:r>
    </w:p>
    <w:p w:rsidR="00EE4495" w:rsidRDefault="00EE4495" w:rsidP="0035181C">
      <w:pPr>
        <w:pStyle w:val="BodyText"/>
      </w:pPr>
      <w:r>
        <w:t xml:space="preserve">Under work related to the HR Pilot, districts streamlined systems, enhanced teacher leadership opportunities, and sought to bolster district capacity. For example, respondents reported that hiring processes became more efficient as the districts brought their hiring and recruitment processes online. The new hiring processes helped districts tap into a broader pool of qualified candidates and streamlined the application review process. </w:t>
      </w:r>
      <w:r w:rsidR="00873BD4">
        <w:t>A</w:t>
      </w:r>
      <w:r>
        <w:t>nother district</w:t>
      </w:r>
      <w:r w:rsidR="00873BD4">
        <w:t xml:space="preserve"> provided</w:t>
      </w:r>
      <w:r>
        <w:t xml:space="preserve"> teachers </w:t>
      </w:r>
      <w:r w:rsidR="00873BD4">
        <w:t>with</w:t>
      </w:r>
      <w:r>
        <w:t xml:space="preserve"> access to a “one-stop” professional development platform </w:t>
      </w:r>
      <w:r w:rsidR="00873BD4">
        <w:t>to locate</w:t>
      </w:r>
      <w:r>
        <w:t xml:space="preserve"> </w:t>
      </w:r>
      <w:r w:rsidR="00513BD1">
        <w:t xml:space="preserve">professional development </w:t>
      </w:r>
      <w:r>
        <w:t xml:space="preserve">opportunities within and outside the district. To streamline the educator evaluation process, two of the districts put in an online system where teachers can enter their SMART </w:t>
      </w:r>
      <w:r w:rsidR="00853268">
        <w:t xml:space="preserve">(Specific, Measurable, Action-oriented, Results-focused, and Timely) </w:t>
      </w:r>
      <w:r>
        <w:t xml:space="preserve">goals, upload evidence, and receive feedback from their evaluators. </w:t>
      </w:r>
    </w:p>
    <w:p w:rsidR="00EE4495" w:rsidRDefault="00EE4495" w:rsidP="0035181C">
      <w:pPr>
        <w:pStyle w:val="BodyText"/>
      </w:pPr>
      <w:proofErr w:type="gramStart"/>
      <w:r>
        <w:t xml:space="preserve">The new educator evaluation system rollout in another district expanded teacher leader capacity through </w:t>
      </w:r>
      <w:r w:rsidR="009F3F37">
        <w:t xml:space="preserve">a </w:t>
      </w:r>
      <w:r>
        <w:t>train-the</w:t>
      </w:r>
      <w:r w:rsidR="005037EF">
        <w:t>-</w:t>
      </w:r>
      <w:r>
        <w:t>trainer process.</w:t>
      </w:r>
      <w:proofErr w:type="gramEnd"/>
      <w:r>
        <w:t xml:space="preserve"> These new teacher leaders </w:t>
      </w:r>
      <w:r w:rsidR="002B7205">
        <w:t>began</w:t>
      </w:r>
      <w:r>
        <w:t xml:space="preserve"> serving as a resource for addressing other teachers’ questions, diffusing negative perceptions of the new </w:t>
      </w:r>
      <w:r w:rsidR="009F3F37">
        <w:t xml:space="preserve">evaluation </w:t>
      </w:r>
      <w:r>
        <w:t xml:space="preserve">system, and supporting </w:t>
      </w:r>
      <w:r w:rsidR="009F3F37">
        <w:t xml:space="preserve">its </w:t>
      </w:r>
      <w:r>
        <w:t>implementation. This model was so well</w:t>
      </w:r>
      <w:r w:rsidR="00425F23">
        <w:t xml:space="preserve"> </w:t>
      </w:r>
      <w:r>
        <w:t xml:space="preserve">received in this district that the same process was used to create districtwide </w:t>
      </w:r>
      <w:r w:rsidR="009F3F37">
        <w:t>p</w:t>
      </w:r>
      <w:r>
        <w:t xml:space="preserve">rofessional </w:t>
      </w:r>
      <w:r w:rsidR="009F3F37">
        <w:t>l</w:t>
      </w:r>
      <w:r>
        <w:t xml:space="preserve">earning </w:t>
      </w:r>
      <w:r w:rsidR="009F3F37">
        <w:t>g</w:t>
      </w:r>
      <w:r>
        <w:t xml:space="preserve">roups led by </w:t>
      </w:r>
      <w:r w:rsidR="002F6DFD">
        <w:t xml:space="preserve">trained </w:t>
      </w:r>
      <w:r>
        <w:t>teacher</w:t>
      </w:r>
      <w:r w:rsidR="002F6DFD">
        <w:t xml:space="preserve"> leaders</w:t>
      </w:r>
      <w:r>
        <w:t xml:space="preserve">. </w:t>
      </w:r>
      <w:r w:rsidR="008D1059">
        <w:t>O</w:t>
      </w:r>
      <w:r>
        <w:t xml:space="preserve">ne principal remarked that these </w:t>
      </w:r>
      <w:r w:rsidR="008D1059">
        <w:t xml:space="preserve">new </w:t>
      </w:r>
      <w:r>
        <w:t>teacher</w:t>
      </w:r>
      <w:r w:rsidR="008D1059">
        <w:t xml:space="preserve"> leaders</w:t>
      </w:r>
      <w:r>
        <w:t xml:space="preserve"> </w:t>
      </w:r>
      <w:r w:rsidR="008D1059">
        <w:t>we</w:t>
      </w:r>
      <w:r>
        <w:t>re twice as effective as those who had not gone through the training. More broadly, this district experienced a paradigm shift about their expectations for when a teacher can become a leader</w:t>
      </w:r>
      <w:r w:rsidR="00A20BEE">
        <w:t xml:space="preserve">: </w:t>
      </w:r>
      <w:r w:rsidRPr="00FB59EA">
        <w:t xml:space="preserve">“If someone new wants to present at a faculty meeting or provide a </w:t>
      </w:r>
      <w:r w:rsidR="005D5EBB">
        <w:t>professional development</w:t>
      </w:r>
      <w:r w:rsidRPr="00FB59EA">
        <w:t xml:space="preserve"> session</w:t>
      </w:r>
      <w:r w:rsidR="009F3F37">
        <w:t>,</w:t>
      </w:r>
      <w:r w:rsidRPr="00FB59EA">
        <w:t xml:space="preserve"> we encourage that. It’s a shift in thinking. We feel that new teachers bring in fresh ideas. We are open to their knowledge and skills. You don’t have to be tenured to offer good ideas.”</w:t>
      </w:r>
      <w:r w:rsidR="00934943">
        <w:t xml:space="preserve"> </w:t>
      </w:r>
    </w:p>
    <w:p w:rsidR="00EE4495" w:rsidRDefault="00EE4495" w:rsidP="0035181C">
      <w:pPr>
        <w:pStyle w:val="BodyText"/>
      </w:pPr>
      <w:r>
        <w:t xml:space="preserve">In addition, as districts engaged in a deeper analysis of their </w:t>
      </w:r>
      <w:r w:rsidR="005D5EBB">
        <w:t>human resources</w:t>
      </w:r>
      <w:r>
        <w:t xml:space="preserve"> functions, they created or sought to create new positions at the central office to respond to district needs. Two districts added mentor coordinator positions at each level—elementary, middle, and high school—to ensure greater support for new teachers. In one district, these mentor coordinators </w:t>
      </w:r>
      <w:r w:rsidR="009F3F37">
        <w:t>we</w:t>
      </w:r>
      <w:r w:rsidRPr="004A2833">
        <w:t>re responsible for training mentors each year, setting the curriculum for districtwide mentor-</w:t>
      </w:r>
      <w:r w:rsidR="00905CF5">
        <w:t xml:space="preserve">mentee </w:t>
      </w:r>
      <w:r w:rsidRPr="004A2833">
        <w:t xml:space="preserve">monthly meetings, and monitoring weekly </w:t>
      </w:r>
      <w:r w:rsidR="007E3E90">
        <w:t xml:space="preserve">individual </w:t>
      </w:r>
      <w:r w:rsidRPr="004A2833">
        <w:t>mentor-</w:t>
      </w:r>
      <w:r w:rsidR="00905CF5">
        <w:t xml:space="preserve">mentee </w:t>
      </w:r>
      <w:r w:rsidRPr="004A2833">
        <w:t xml:space="preserve">meetings. </w:t>
      </w:r>
      <w:r w:rsidR="002F6DFD">
        <w:t>A district administrator</w:t>
      </w:r>
      <w:r w:rsidRPr="00121846">
        <w:t xml:space="preserve"> reported that the extra mentor coordinators meant that the mentors were better trained and prepared than in the past and that the district could monitor </w:t>
      </w:r>
      <w:r w:rsidR="002F6DFD">
        <w:t>what was happening during the mentoring process</w:t>
      </w:r>
      <w:r w:rsidRPr="00121846">
        <w:t xml:space="preserve"> and </w:t>
      </w:r>
      <w:r w:rsidR="007E3E90">
        <w:t xml:space="preserve">could </w:t>
      </w:r>
      <w:r w:rsidRPr="00121846">
        <w:t>provide some assurance on its quality.</w:t>
      </w:r>
      <w:r>
        <w:t xml:space="preserve"> The new superintendent in another district </w:t>
      </w:r>
      <w:r w:rsidR="00791C1C">
        <w:t xml:space="preserve">recognized the </w:t>
      </w:r>
      <w:r>
        <w:t>large gaps in capacity within the organization that were detrimental to the district’s ability to support teachers and create a well-rounded student. As a first step to closing those gaps, he created the position of director of student services and plan</w:t>
      </w:r>
      <w:r w:rsidR="00791C1C">
        <w:t>ned</w:t>
      </w:r>
      <w:r>
        <w:t xml:space="preserve"> to make additional hires, </w:t>
      </w:r>
      <w:r w:rsidR="001B32CF">
        <w:t>such as</w:t>
      </w:r>
      <w:r>
        <w:t xml:space="preserve"> directors of information technology and transportation, to better support teaching and learning. </w:t>
      </w:r>
    </w:p>
    <w:p w:rsidR="00FC7AB5" w:rsidRDefault="00FC7AB5">
      <w:pPr>
        <w:rPr>
          <w:b/>
        </w:rPr>
      </w:pPr>
      <w:r>
        <w:br w:type="page"/>
      </w:r>
    </w:p>
    <w:p w:rsidR="00EE4495" w:rsidRDefault="00EE4495" w:rsidP="00891FDD">
      <w:pPr>
        <w:pStyle w:val="Heading-Call-Out"/>
      </w:pPr>
      <w:r>
        <w:t>Districts integrated</w:t>
      </w:r>
      <w:r w:rsidRPr="00D4773C">
        <w:t xml:space="preserve"> certain levers</w:t>
      </w:r>
      <w:r>
        <w:t>,</w:t>
      </w:r>
      <w:r w:rsidRPr="00D4773C">
        <w:t xml:space="preserve"> but align</w:t>
      </w:r>
      <w:r>
        <w:t xml:space="preserve">ing </w:t>
      </w:r>
      <w:r w:rsidRPr="00D4773C">
        <w:t xml:space="preserve">all </w:t>
      </w:r>
      <w:r>
        <w:t xml:space="preserve">seven </w:t>
      </w:r>
      <w:r w:rsidRPr="00D4773C">
        <w:t>levers</w:t>
      </w:r>
      <w:r>
        <w:t xml:space="preserve"> </w:t>
      </w:r>
      <w:r w:rsidRPr="00D4773C">
        <w:t>remain</w:t>
      </w:r>
      <w:r>
        <w:t>ed a challenge</w:t>
      </w:r>
      <w:r w:rsidR="0028759D">
        <w:t>.</w:t>
      </w:r>
    </w:p>
    <w:p w:rsidR="00EE4495" w:rsidRDefault="00EE4495" w:rsidP="0035181C">
      <w:pPr>
        <w:pStyle w:val="BodyText"/>
      </w:pPr>
      <w:r>
        <w:t>The original the</w:t>
      </w:r>
      <w:r w:rsidR="00270ABB">
        <w:t>ory of action, as shown in the conceptual f</w:t>
      </w:r>
      <w:r>
        <w:t xml:space="preserve">ramework, encouraged districts to develop a comprehensive human capital </w:t>
      </w:r>
      <w:r w:rsidR="00AB333A">
        <w:t xml:space="preserve">management </w:t>
      </w:r>
      <w:r>
        <w:t xml:space="preserve">development system </w:t>
      </w:r>
      <w:r w:rsidR="00B149EF">
        <w:t>that spans</w:t>
      </w:r>
      <w:r>
        <w:t xml:space="preserve"> an educator’s entire career </w:t>
      </w:r>
      <w:r w:rsidR="00B149EF">
        <w:t xml:space="preserve">and </w:t>
      </w:r>
      <w:r>
        <w:t xml:space="preserve">that integrates a knowledge base of professional teaching and learning. However, the initial technical assistance provided to districts focused on supporting individual lever committees to determine district needs and develop their initial action plans. As a result, alignment to a knowledge base of teaching did not develop and was not an explicit part of districts’ efforts to align </w:t>
      </w:r>
      <w:r w:rsidR="00591A68">
        <w:t>human resources</w:t>
      </w:r>
      <w:r>
        <w:t xml:space="preserve"> policies and practices until much later in the life of the project. Without</w:t>
      </w:r>
      <w:r w:rsidR="002F6DFD">
        <w:t xml:space="preserve"> </w:t>
      </w:r>
      <w:r>
        <w:t xml:space="preserve">clear </w:t>
      </w:r>
      <w:r w:rsidR="002F6DFD">
        <w:t xml:space="preserve">and focused </w:t>
      </w:r>
      <w:r>
        <w:t>objective</w:t>
      </w:r>
      <w:r w:rsidR="002F6DFD">
        <w:t>s</w:t>
      </w:r>
      <w:r>
        <w:t xml:space="preserve"> to align to</w:t>
      </w:r>
      <w:r w:rsidR="00AB1F0D">
        <w:t>,</w:t>
      </w:r>
      <w:r>
        <w:t xml:space="preserve"> and given the historically isolated nature of district functions, lever committees unsurprisingly </w:t>
      </w:r>
      <w:r w:rsidR="002F6DFD">
        <w:t>concentrated</w:t>
      </w:r>
      <w:r>
        <w:t xml:space="preserve"> on </w:t>
      </w:r>
      <w:r w:rsidR="002F6DFD">
        <w:t xml:space="preserve">completing </w:t>
      </w:r>
      <w:r>
        <w:t xml:space="preserve">their own </w:t>
      </w:r>
      <w:r w:rsidR="00791C1C">
        <w:t xml:space="preserve">respective </w:t>
      </w:r>
      <w:r>
        <w:t>mission</w:t>
      </w:r>
      <w:r w:rsidR="00791C1C">
        <w:t>s</w:t>
      </w:r>
      <w:r>
        <w:t xml:space="preserve"> during the early stages of implementation with little attention to the work of the other levers or how strategies </w:t>
      </w:r>
      <w:r w:rsidR="00791C1C">
        <w:t xml:space="preserve">across </w:t>
      </w:r>
      <w:r>
        <w:t>different levers might interact.</w:t>
      </w:r>
      <w:r w:rsidR="00934943">
        <w:t xml:space="preserve"> </w:t>
      </w:r>
    </w:p>
    <w:p w:rsidR="00EE4495" w:rsidRDefault="00EE4495" w:rsidP="0035181C">
      <w:pPr>
        <w:pStyle w:val="BodyText"/>
      </w:pPr>
      <w:r>
        <w:t xml:space="preserve">As the initiative matured, however, </w:t>
      </w:r>
      <w:r w:rsidR="00B149EF">
        <w:t xml:space="preserve">the </w:t>
      </w:r>
      <w:r>
        <w:t>districts made a concerted effort to develop and nurture linkages among levers. For example, in two districts, lever committees regularly report</w:t>
      </w:r>
      <w:r w:rsidR="00B149EF">
        <w:t>ed</w:t>
      </w:r>
      <w:r>
        <w:t xml:space="preserve"> to the </w:t>
      </w:r>
      <w:r w:rsidR="00243DC7">
        <w:t>s</w:t>
      </w:r>
      <w:r>
        <w:t xml:space="preserve">teering </w:t>
      </w:r>
      <w:r w:rsidR="00243DC7">
        <w:t>c</w:t>
      </w:r>
      <w:r>
        <w:t>ommittee, which then act</w:t>
      </w:r>
      <w:r w:rsidR="00243DC7">
        <w:t>ed</w:t>
      </w:r>
      <w:r>
        <w:t xml:space="preserve"> as a “hub” to identify linkages and eliminate redundancies among the work of the different committees. In addition, in one of these districts, at least one representative of each lever committee s</w:t>
      </w:r>
      <w:r w:rsidR="00243DC7">
        <w:t>at</w:t>
      </w:r>
      <w:r>
        <w:t xml:space="preserve"> on the </w:t>
      </w:r>
      <w:r w:rsidR="00243DC7">
        <w:t>s</w:t>
      </w:r>
      <w:r>
        <w:t xml:space="preserve">teering </w:t>
      </w:r>
      <w:r w:rsidR="00243DC7">
        <w:t>c</w:t>
      </w:r>
      <w:r>
        <w:t xml:space="preserve">ommittee to provide input on what each committee </w:t>
      </w:r>
      <w:r w:rsidR="00243DC7">
        <w:t>wa</w:t>
      </w:r>
      <w:r>
        <w:t xml:space="preserve">s working on and </w:t>
      </w:r>
      <w:r w:rsidR="00B149EF">
        <w:t xml:space="preserve">to </w:t>
      </w:r>
      <w:r>
        <w:t>explore ways the committees c</w:t>
      </w:r>
      <w:r w:rsidR="00243DC7">
        <w:t>ould</w:t>
      </w:r>
      <w:r>
        <w:t xml:space="preserve"> work together. </w:t>
      </w:r>
    </w:p>
    <w:p w:rsidR="00EE4495" w:rsidRDefault="00103964" w:rsidP="0035181C">
      <w:pPr>
        <w:pStyle w:val="BodyText"/>
      </w:pPr>
      <w:r>
        <w:rPr>
          <w:noProof/>
        </w:rPr>
        <w:pict>
          <v:roundrect id="Text Box 8" o:spid="_x0000_s1032" style="position:absolute;left:0;text-align:left;margin-left:297pt;margin-top:1.55pt;width:171.75pt;height:167.25pt;z-index:251648000;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" filled="f" strokecolor="#558ed5" strokeweight="2.25pt">
            <v:textbox>
              <w:txbxContent>
                <w:p w:rsidR="00231C50" w:rsidRDefault="00231C50" w:rsidP="00FC7AB5">
                  <w:pPr>
                    <w:pStyle w:val="Pulloutquoteitalic"/>
                  </w:pPr>
                  <w:r>
                    <w:t>“We put so much emphasis on [educator] evaluation...I used to think that evaluation was ‘the thing,” but evaluation in and of itself isn’t really the thing at all. It should be the vehicle by which we drive the other things. What do we need for PD [professional development]? I don’t know, what do the evaluations say we need?”</w:t>
                  </w:r>
                </w:p>
                <w:p w:rsidR="00231C50" w:rsidRPr="00270ABB" w:rsidRDefault="00231C50" w:rsidP="00FC7AB5">
                  <w:pPr>
                    <w:pStyle w:val="Pulloutquoteitalic"/>
                  </w:pPr>
                  <w:r w:rsidRPr="00270ABB">
                    <w:t>- District Administrator</w:t>
                  </w:r>
                </w:p>
              </w:txbxContent>
            </v:textbox>
            <w10:wrap type="square"/>
          </v:roundrect>
        </w:pict>
      </w:r>
      <w:r w:rsidR="00EE4495">
        <w:t xml:space="preserve">Consequently, connections among a subset of the levers emerged over the life of the project. In particular, some of the districts early on recognized the natural link between the evaluation system and professional development. </w:t>
      </w:r>
      <w:r w:rsidR="00EE4495" w:rsidRPr="002763E0">
        <w:t xml:space="preserve">One district, for example, </w:t>
      </w:r>
      <w:r w:rsidR="00EE4495">
        <w:t xml:space="preserve">used evaluation results to identify common areas of weakness among all teachers in the district and what the district </w:t>
      </w:r>
      <w:r w:rsidR="00B149EF">
        <w:t xml:space="preserve">could </w:t>
      </w:r>
      <w:r w:rsidR="00EE4495">
        <w:t>do to support teachers. It also utilized</w:t>
      </w:r>
      <w:r w:rsidR="00EE4495" w:rsidRPr="002763E0">
        <w:t xml:space="preserve"> its online </w:t>
      </w:r>
      <w:r w:rsidR="0007353C">
        <w:t>professional development</w:t>
      </w:r>
      <w:r w:rsidR="00EE4495" w:rsidRPr="002763E0">
        <w:t xml:space="preserve"> system to link </w:t>
      </w:r>
      <w:r w:rsidR="0007353C">
        <w:t>professional development</w:t>
      </w:r>
      <w:r w:rsidR="0007353C" w:rsidRPr="002763E0">
        <w:t xml:space="preserve"> </w:t>
      </w:r>
      <w:r w:rsidR="00EE4495" w:rsidRPr="002763E0">
        <w:t xml:space="preserve">options to SMART goals under </w:t>
      </w:r>
      <w:r w:rsidR="008E17B0">
        <w:t>the educator evaluation</w:t>
      </w:r>
      <w:r w:rsidR="00EE4495" w:rsidRPr="002763E0">
        <w:t>.</w:t>
      </w:r>
      <w:r w:rsidR="00EE4495">
        <w:t xml:space="preserve"> In another district, some school leaders and evaluators used the results of the evaluation to propose</w:t>
      </w:r>
      <w:r w:rsidR="00EE4495" w:rsidDel="00877395">
        <w:t xml:space="preserve"> </w:t>
      </w:r>
      <w:r w:rsidR="00EE4495">
        <w:t xml:space="preserve">professional development opportunities. Moving forward, it </w:t>
      </w:r>
      <w:r w:rsidR="00B149EF">
        <w:t xml:space="preserve">would </w:t>
      </w:r>
      <w:r w:rsidR="00EE4495">
        <w:t xml:space="preserve">be </w:t>
      </w:r>
      <w:r w:rsidR="00B149EF">
        <w:t xml:space="preserve">instructive </w:t>
      </w:r>
      <w:r w:rsidR="00EE4495">
        <w:t xml:space="preserve">to document which connections, perhaps with evaluation indeed at the hub, </w:t>
      </w:r>
      <w:r w:rsidR="003671FE">
        <w:t xml:space="preserve">might </w:t>
      </w:r>
      <w:r w:rsidR="00EE4495">
        <w:t xml:space="preserve">lead to more effective alignment among district human resource functions. </w:t>
      </w:r>
    </w:p>
    <w:p w:rsidR="00FC7AB5" w:rsidRPr="00F93369" w:rsidRDefault="00FC7AB5">
      <w:pPr>
        <w:rPr>
          <w:rFonts w:ascii="Tahoma" w:eastAsia="Times New Roman" w:hAnsi="Tahoma" w:cs="Arial"/>
          <w:bCs/>
          <w:color w:val="548DD4"/>
          <w:kern w:val="32"/>
          <w:sz w:val="40"/>
          <w:szCs w:val="26"/>
        </w:rPr>
      </w:pPr>
      <w:r>
        <w:br w:type="page"/>
      </w:r>
    </w:p>
    <w:p w:rsidR="00EE4495" w:rsidRPr="00A41C35" w:rsidRDefault="00EE4495" w:rsidP="00891FDD">
      <w:pPr>
        <w:pStyle w:val="Heading1"/>
      </w:pPr>
      <w:bookmarkStart w:id="45" w:name="_Toc394916540"/>
      <w:bookmarkStart w:id="46" w:name="_Toc399828627"/>
      <w:r w:rsidRPr="00A41C35">
        <w:t>Cultural Changes</w:t>
      </w:r>
      <w:bookmarkEnd w:id="45"/>
      <w:bookmarkEnd w:id="46"/>
    </w:p>
    <w:p w:rsidR="0074213B" w:rsidRPr="00C545D6" w:rsidRDefault="00C545D6" w:rsidP="00C545D6">
      <w:pPr>
        <w:pStyle w:val="headline"/>
        <w:rPr>
          <w:b w:val="0"/>
        </w:rPr>
      </w:pPr>
      <w:r w:rsidRPr="00C545D6">
        <w:rPr>
          <w:b w:val="0"/>
        </w:rPr>
        <w:t xml:space="preserve">Although the </w:t>
      </w:r>
      <w:r w:rsidR="00E113BE" w:rsidRPr="00B92062">
        <w:rPr>
          <w:b w:val="0"/>
        </w:rPr>
        <w:t>adult professional culture</w:t>
      </w:r>
      <w:r w:rsidRPr="00C545D6">
        <w:rPr>
          <w:b w:val="0"/>
        </w:rPr>
        <w:t xml:space="preserve"> subcommittees had little direct influence on district practices during the life of the project, the overall work of the local Human Resources Pilot projects nevertheless helps to reshape district culture. In particular, t</w:t>
      </w:r>
      <w:r w:rsidR="0074213B" w:rsidRPr="00C545D6">
        <w:rPr>
          <w:b w:val="0"/>
        </w:rPr>
        <w:t>he process by which the districts undertook the local HR Pilot project</w:t>
      </w:r>
      <w:r>
        <w:rPr>
          <w:b w:val="0"/>
        </w:rPr>
        <w:t xml:space="preserve">, namely </w:t>
      </w:r>
      <w:r w:rsidR="00FC5A25">
        <w:rPr>
          <w:b w:val="0"/>
        </w:rPr>
        <w:t>increasing</w:t>
      </w:r>
      <w:r>
        <w:rPr>
          <w:b w:val="0"/>
        </w:rPr>
        <w:t xml:space="preserve"> opportunities for educators to engage in decisionmaking, </w:t>
      </w:r>
      <w:r w:rsidRPr="00C545D6">
        <w:rPr>
          <w:b w:val="0"/>
        </w:rPr>
        <w:t xml:space="preserve">indirectly </w:t>
      </w:r>
      <w:r w:rsidR="0074213B" w:rsidRPr="00C545D6">
        <w:rPr>
          <w:b w:val="0"/>
        </w:rPr>
        <w:t>affected the district culture.</w:t>
      </w:r>
    </w:p>
    <w:p w:rsidR="00EE4495" w:rsidRDefault="00EE4495" w:rsidP="00891FDD">
      <w:pPr>
        <w:pStyle w:val="Heading-Call-Out"/>
      </w:pPr>
      <w:r>
        <w:t>Inclusive participation opportunities enhanced teach</w:t>
      </w:r>
      <w:r w:rsidR="003671FE">
        <w:t>er voice and empowered teachers</w:t>
      </w:r>
      <w:r w:rsidR="00EB731E">
        <w:t>.</w:t>
      </w:r>
    </w:p>
    <w:p w:rsidR="00EE4495" w:rsidRDefault="00103964" w:rsidP="0035181C">
      <w:pPr>
        <w:pStyle w:val="BodyText"/>
      </w:pPr>
      <w:r>
        <w:rPr>
          <w:noProof/>
        </w:rPr>
        <w:pict>
          <v:roundrect id="Text Box 26" o:spid="_x0000_s1031" style="position:absolute;left:0;text-align:left;margin-left:270pt;margin-top:6.8pt;width:198.75pt;height:162pt;z-index:251649024;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" filled="f" strokecolor="#558ed5" strokeweight="2.25pt">
            <v:textbox>
              <w:txbxContent>
                <w:p w:rsidR="00231C50" w:rsidRDefault="00231C50" w:rsidP="00FC7AB5">
                  <w:pPr>
                    <w:pStyle w:val="Pulloutquoteitalic"/>
                  </w:pPr>
                  <w:proofErr w:type="gramStart"/>
                  <w:r>
                    <w:t>“[As a result of the Human Resources Pilot], more people [are] involved in districtwide issues that affect everybody.</w:t>
                  </w:r>
                  <w:proofErr w:type="gramEnd"/>
                  <w:r>
                    <w:t xml:space="preserve"> We’ve got people questioning how we can do this [making and implementing district human resources policies] better and where we can go with it [the work of the HR Pilot project]. [Educators are] seeing a forum for change. I think that’s huge. That’s a culture shift.” </w:t>
                  </w:r>
                </w:p>
                <w:p w:rsidR="00231C50" w:rsidRPr="00270ABB" w:rsidRDefault="00231C50" w:rsidP="00FC7AB5">
                  <w:pPr>
                    <w:pStyle w:val="Pulloutquoteitalic"/>
                  </w:pPr>
                  <w:r w:rsidRPr="00270ABB">
                    <w:t>-Union leader</w:t>
                  </w:r>
                </w:p>
              </w:txbxContent>
            </v:textbox>
            <w10:wrap type="square"/>
          </v:roundrect>
        </w:pict>
      </w:r>
      <w:r w:rsidR="00EE4495">
        <w:t xml:space="preserve">The </w:t>
      </w:r>
      <w:r w:rsidR="00092B7E">
        <w:t xml:space="preserve">HR Pilot </w:t>
      </w:r>
      <w:r w:rsidR="00B92062">
        <w:t xml:space="preserve">project </w:t>
      </w:r>
      <w:r w:rsidR="00EE4495">
        <w:t xml:space="preserve">created opportunities for educators at all levels to add their voices to </w:t>
      </w:r>
      <w:r w:rsidR="003671FE">
        <w:t xml:space="preserve">district </w:t>
      </w:r>
      <w:r w:rsidR="00EE4495">
        <w:t xml:space="preserve">decisionmaking as members of the </w:t>
      </w:r>
      <w:r w:rsidR="003437FA">
        <w:t>s</w:t>
      </w:r>
      <w:r w:rsidR="00EE4495">
        <w:t xml:space="preserve">teering </w:t>
      </w:r>
      <w:r w:rsidR="003437FA">
        <w:t>c</w:t>
      </w:r>
      <w:r w:rsidR="00EE4495">
        <w:t xml:space="preserve">ommittee or the lever committees. In two districts, more than 70 teacher and school leaders served on a committee at some point during the life of the project, and both </w:t>
      </w:r>
      <w:r w:rsidR="00341251">
        <w:t xml:space="preserve">districts </w:t>
      </w:r>
      <w:r w:rsidR="00EE4495">
        <w:t>planned to expand the number of educators involved by rotating in new members on a regular basis. While serving on these committees, educators helped develop plans for modifying district processes, practices, and policies, such as dev</w:t>
      </w:r>
      <w:r w:rsidR="00943AB4">
        <w:t>ising</w:t>
      </w:r>
      <w:r w:rsidR="00EE4495">
        <w:t xml:space="preserve"> new strategies to improve hiring and induction practices, assisting the district in selecting professional development opportunities and setting up more efficient </w:t>
      </w:r>
      <w:r w:rsidR="00AB1890">
        <w:t>professional development</w:t>
      </w:r>
      <w:r w:rsidR="00EE4495">
        <w:t xml:space="preserve"> logistics, and rolling out the new educator evaluation system. </w:t>
      </w:r>
    </w:p>
    <w:p w:rsidR="00EE4495" w:rsidRDefault="00EE4495" w:rsidP="0035181C">
      <w:pPr>
        <w:pStyle w:val="BodyText"/>
      </w:pPr>
      <w:r>
        <w:t xml:space="preserve">With more voice in decisionmaking, teachers in two districts felt more engaged and empowered. One school leader shared that because the district adopted a participatory approach in its HR Pilot </w:t>
      </w:r>
      <w:proofErr w:type="gramStart"/>
      <w:r>
        <w:t>work,</w:t>
      </w:r>
      <w:proofErr w:type="gramEnd"/>
      <w:r>
        <w:t xml:space="preserve"> teachers were more likely to debate and even disagree with him, which influenced his decisionmaking</w:t>
      </w:r>
      <w:r w:rsidR="003671FE">
        <w:t>. The teachers</w:t>
      </w:r>
      <w:r>
        <w:t xml:space="preserve"> experienced a greater openness to sharing ideas within their districts and schools and felt that they had a</w:t>
      </w:r>
      <w:r w:rsidR="00C50BAB">
        <w:t xml:space="preserve"> real</w:t>
      </w:r>
      <w:r>
        <w:t xml:space="preserve"> impact on district policy and practices. For example, the </w:t>
      </w:r>
      <w:r w:rsidR="00942D1C">
        <w:t>s</w:t>
      </w:r>
      <w:r>
        <w:t xml:space="preserve">teering </w:t>
      </w:r>
      <w:r w:rsidR="00942D1C">
        <w:t>c</w:t>
      </w:r>
      <w:r>
        <w:t xml:space="preserve">ommittee, not district leaders, </w:t>
      </w:r>
      <w:r w:rsidR="009D3F83">
        <w:t>decided</w:t>
      </w:r>
      <w:r>
        <w:t xml:space="preserve"> that a plan from the teacher leadership committee to create a principal apprenticeship program was not feasible due to a lack of funding. </w:t>
      </w:r>
      <w:r w:rsidR="002F6DFD">
        <w:t>As d</w:t>
      </w:r>
      <w:r>
        <w:t xml:space="preserve">iscussed in further detail in Chapter 5, greater teacher voice </w:t>
      </w:r>
      <w:r w:rsidR="003671FE">
        <w:t xml:space="preserve">is </w:t>
      </w:r>
      <w:r w:rsidR="002F6DFD">
        <w:t xml:space="preserve">a </w:t>
      </w:r>
      <w:r w:rsidR="003671FE">
        <w:t xml:space="preserve">promising </w:t>
      </w:r>
      <w:r w:rsidR="002F6DFD">
        <w:t xml:space="preserve">best practice </w:t>
      </w:r>
      <w:r w:rsidR="003671FE">
        <w:t xml:space="preserve">in building </w:t>
      </w:r>
      <w:r>
        <w:t xml:space="preserve">buy-in </w:t>
      </w:r>
      <w:r w:rsidR="003671FE">
        <w:t xml:space="preserve">among </w:t>
      </w:r>
      <w:r>
        <w:t xml:space="preserve">teachers and sustaining the </w:t>
      </w:r>
      <w:r w:rsidR="003671FE">
        <w:t xml:space="preserve">local HR Pilot </w:t>
      </w:r>
      <w:r>
        <w:t>projec</w:t>
      </w:r>
      <w:r w:rsidR="009F4DB4">
        <w:t>t</w:t>
      </w:r>
      <w:r w:rsidR="003671FE">
        <w:t>s</w:t>
      </w:r>
      <w:r w:rsidR="009F4DB4">
        <w:t xml:space="preserve"> beyond the grant. </w:t>
      </w:r>
    </w:p>
    <w:p w:rsidR="0035332A" w:rsidRDefault="0035332A">
      <w:pPr>
        <w:rPr>
          <w:b/>
        </w:rPr>
      </w:pPr>
      <w:r>
        <w:br w:type="page"/>
      </w:r>
    </w:p>
    <w:p w:rsidR="00EE4495" w:rsidRPr="00445FD7" w:rsidRDefault="00EE4495" w:rsidP="00891FDD">
      <w:pPr>
        <w:pStyle w:val="Heading-Call-Out"/>
      </w:pPr>
      <w:r>
        <w:t>E</w:t>
      </w:r>
      <w:r w:rsidRPr="00143287">
        <w:t>ngag</w:t>
      </w:r>
      <w:r>
        <w:t>ement</w:t>
      </w:r>
      <w:r w:rsidRPr="00143287">
        <w:t xml:space="preserve"> in the HR Pilot </w:t>
      </w:r>
      <w:r w:rsidR="000D172A">
        <w:t>i</w:t>
      </w:r>
      <w:r w:rsidRPr="00143287">
        <w:t xml:space="preserve">nitiative </w:t>
      </w:r>
      <w:r>
        <w:t>shifted district cult</w:t>
      </w:r>
      <w:r w:rsidR="003671FE">
        <w:t>ure and increased collaboration</w:t>
      </w:r>
      <w:r w:rsidR="005253A9">
        <w:t>.</w:t>
      </w:r>
    </w:p>
    <w:p w:rsidR="00EE4495" w:rsidRDefault="00AC5F6E" w:rsidP="0035181C">
      <w:pPr>
        <w:pStyle w:val="BodyText"/>
      </w:pPr>
      <w:r>
        <w:t xml:space="preserve">Although </w:t>
      </w:r>
      <w:r w:rsidR="00EE4495" w:rsidRPr="00270ABB">
        <w:t>adult professional culture</w:t>
      </w:r>
      <w:r w:rsidR="00EE4495">
        <w:t xml:space="preserve"> was the most difficult </w:t>
      </w:r>
      <w:r>
        <w:t xml:space="preserve">lever for committees </w:t>
      </w:r>
      <w:r w:rsidR="00EE4495">
        <w:t>to</w:t>
      </w:r>
      <w:r>
        <w:t xml:space="preserve"> </w:t>
      </w:r>
      <w:r w:rsidR="00065519">
        <w:t>make progress on</w:t>
      </w:r>
      <w:r w:rsidR="00171709">
        <w:t xml:space="preserve">, districts </w:t>
      </w:r>
      <w:r>
        <w:t>experience</w:t>
      </w:r>
      <w:r w:rsidR="00171709">
        <w:t>d</w:t>
      </w:r>
      <w:r>
        <w:t xml:space="preserve"> </w:t>
      </w:r>
      <w:r w:rsidR="00065519">
        <w:t xml:space="preserve">changes in </w:t>
      </w:r>
      <w:r w:rsidR="00EE4495">
        <w:t xml:space="preserve">district culture and increased collaboration as a result of </w:t>
      </w:r>
      <w:r w:rsidR="00D3269C">
        <w:t xml:space="preserve">widespread </w:t>
      </w:r>
      <w:r w:rsidR="00EE4495">
        <w:t>participati</w:t>
      </w:r>
      <w:r w:rsidR="00A8726A">
        <w:t>on</w:t>
      </w:r>
      <w:r w:rsidR="00EE4495">
        <w:t xml:space="preserve"> in the HR Pilot</w:t>
      </w:r>
      <w:r w:rsidR="00171709">
        <w:t xml:space="preserve"> work</w:t>
      </w:r>
      <w:r w:rsidR="00EE4495">
        <w:t xml:space="preserve">. District leaders believed greater educator participation improved the transparency of how and why decisions were made and engendered more ownership </w:t>
      </w:r>
      <w:r w:rsidR="003671FE">
        <w:t xml:space="preserve">among </w:t>
      </w:r>
      <w:r w:rsidR="00EE4495">
        <w:t>teachers in decisionmaking. Respondents also reported that district leaders sharing leadership responsibilities with teachers contribute</w:t>
      </w:r>
      <w:r w:rsidR="00D923E5">
        <w:t>d</w:t>
      </w:r>
      <w:r w:rsidR="00EE4495">
        <w:t xml:space="preserve"> to a positive cultural shift. One district leader said that the </w:t>
      </w:r>
      <w:r w:rsidR="005660C8">
        <w:t>HR</w:t>
      </w:r>
      <w:r w:rsidR="00EE4495">
        <w:t xml:space="preserve"> Pilot initiative “changed the culture between the district and the rank-and-file…. The ultimate measure of success is how many teachers we’ve gotten inv</w:t>
      </w:r>
      <w:r w:rsidR="00891FDD">
        <w:t xml:space="preserve">olved in the decisionmaking.” </w:t>
      </w:r>
    </w:p>
    <w:p w:rsidR="00EE4495" w:rsidRDefault="00EE4495" w:rsidP="0035181C">
      <w:pPr>
        <w:pStyle w:val="BodyText"/>
      </w:pPr>
      <w:r>
        <w:t>Districts also created new structures that promote</w:t>
      </w:r>
      <w:r w:rsidR="004D78BC">
        <w:t>d</w:t>
      </w:r>
      <w:r>
        <w:t xml:space="preserve"> greater collaboration. For example, one district successfully piloted and expanded professional learning groups</w:t>
      </w:r>
      <w:r w:rsidR="005253A9">
        <w:t>,</w:t>
      </w:r>
      <w:r>
        <w:t xml:space="preserve"> and another district tried </w:t>
      </w:r>
      <w:r w:rsidR="003671FE">
        <w:t xml:space="preserve">(with isolated pockets of success) </w:t>
      </w:r>
      <w:r>
        <w:t>to expand common planning time policies beyond the middle school to its elementary schools and high school</w:t>
      </w:r>
      <w:r w:rsidR="004D78BC">
        <w:t xml:space="preserve">. </w:t>
      </w:r>
    </w:p>
    <w:p w:rsidR="00EE4495" w:rsidRDefault="00EE4495" w:rsidP="0035181C">
      <w:pPr>
        <w:pStyle w:val="BodyText"/>
      </w:pPr>
      <w:r>
        <w:t>In addition to these intentional plans, increased collaboration was a</w:t>
      </w:r>
      <w:r w:rsidR="00703BE8">
        <w:t xml:space="preserve"> positive,</w:t>
      </w:r>
      <w:r>
        <w:t xml:space="preserve"> unintended consequence of the initiative. Respondents in two districts reported that improved </w:t>
      </w:r>
      <w:r w:rsidR="002B28DE">
        <w:t xml:space="preserve">professional development </w:t>
      </w:r>
      <w:r>
        <w:t xml:space="preserve">resulted in more sharing and interdisciplinary activity. </w:t>
      </w:r>
      <w:r w:rsidR="003671FE">
        <w:t xml:space="preserve">The </w:t>
      </w:r>
      <w:r>
        <w:t>district</w:t>
      </w:r>
      <w:r w:rsidR="003671FE">
        <w:t xml:space="preserve"> that had</w:t>
      </w:r>
      <w:r>
        <w:t xml:space="preserve"> reinstated citywide </w:t>
      </w:r>
      <w:r w:rsidR="00E22229">
        <w:t>professional development</w:t>
      </w:r>
      <w:r>
        <w:t xml:space="preserve"> </w:t>
      </w:r>
      <w:r w:rsidRPr="00EE716B">
        <w:t>released all teachers in the same grade level simultaneously so</w:t>
      </w:r>
      <w:r>
        <w:t xml:space="preserve"> that the</w:t>
      </w:r>
      <w:r w:rsidR="00C2011E">
        <w:t xml:space="preserve">y </w:t>
      </w:r>
      <w:r>
        <w:t xml:space="preserve">could gather in a single locale, experience the </w:t>
      </w:r>
      <w:r w:rsidR="00DD5071">
        <w:t xml:space="preserve">professional development </w:t>
      </w:r>
      <w:r>
        <w:t>together</w:t>
      </w:r>
      <w:r w:rsidRPr="00EE716B">
        <w:t xml:space="preserve">, </w:t>
      </w:r>
      <w:r>
        <w:t xml:space="preserve">and </w:t>
      </w:r>
      <w:r w:rsidRPr="00EE716B">
        <w:t xml:space="preserve">discuss with each other how they might use the instructional strategies </w:t>
      </w:r>
      <w:r>
        <w:t>they learned in the classroom</w:t>
      </w:r>
      <w:r w:rsidRPr="00EE716B">
        <w:t>.</w:t>
      </w:r>
      <w:r>
        <w:t xml:space="preserve"> Implementation of the new educator evaluation system also sparked changes in collaboration between educators in one district. </w:t>
      </w:r>
      <w:r w:rsidR="003671FE">
        <w:t xml:space="preserve">Teachers </w:t>
      </w:r>
      <w:r>
        <w:t>use</w:t>
      </w:r>
      <w:r w:rsidR="003671FE">
        <w:t>d</w:t>
      </w:r>
      <w:r>
        <w:t xml:space="preserve"> common planning time </w:t>
      </w:r>
      <w:r w:rsidR="003671FE">
        <w:t>more productively</w:t>
      </w:r>
      <w:r>
        <w:t xml:space="preserve"> and regular conversations </w:t>
      </w:r>
      <w:r w:rsidR="003671FE">
        <w:t>among teachers became routine</w:t>
      </w:r>
      <w:r>
        <w:t xml:space="preserve">. Finally, educator involvement in the </w:t>
      </w:r>
      <w:r w:rsidR="003671FE">
        <w:t xml:space="preserve">local HR Pilot projects </w:t>
      </w:r>
      <w:r>
        <w:t xml:space="preserve">itself created new opportunities for collaboration across and within schools as educators worked together to tackle important district issues. </w:t>
      </w:r>
    </w:p>
    <w:p w:rsidR="003671FE" w:rsidRDefault="003671FE" w:rsidP="0035181C">
      <w:pPr>
        <w:pStyle w:val="BodyText"/>
      </w:pPr>
      <w:r>
        <w:t>The original purpose of the HR Pilot initiative was to create more efficient and effective district functions to better support and hold teachers accountable for improving their own practice and ultimately to improve student performance. At this point in implementation, however, most respondents said that it was too early to see any changes in teaching practice as a result of the HR Pilot project.</w:t>
      </w:r>
    </w:p>
    <w:p w:rsidR="00A16E9B" w:rsidRPr="00D52CDF" w:rsidRDefault="00FC7AB5" w:rsidP="0056546D">
      <w:pPr>
        <w:pStyle w:val="ChapterTitle"/>
      </w:pPr>
      <w:r>
        <w:br w:type="page"/>
      </w:r>
      <w:bookmarkStart w:id="47" w:name="_Toc399828628"/>
      <w:r w:rsidR="00A16E9B" w:rsidRPr="00D52CDF">
        <w:t>Chapter 4: Factors Affecting District Accomplishments</w:t>
      </w:r>
      <w:bookmarkEnd w:id="47"/>
      <w:r w:rsidR="00A16E9B" w:rsidRPr="00D52CDF">
        <w:t xml:space="preserve"> </w:t>
      </w:r>
    </w:p>
    <w:p w:rsidR="007D388E" w:rsidRPr="003D256C" w:rsidRDefault="007D388E" w:rsidP="00716956">
      <w:pPr>
        <w:pStyle w:val="BodyText"/>
      </w:pPr>
      <w:proofErr w:type="gramStart"/>
      <w:r w:rsidRPr="003D256C">
        <w:t>While the three HR Pilot districts applied and demonstrated a readiness to implement the project locally, their experiences and successes in doing so varied widely.</w:t>
      </w:r>
      <w:proofErr w:type="gramEnd"/>
      <w:r w:rsidRPr="003D256C">
        <w:t xml:space="preserve"> In this chapter, we explore factors that help explain that variation. The first three factors relate to internal aspects of the district: district leadership, labor-management relations, and communication about the initiative</w:t>
      </w:r>
      <w:r w:rsidR="000C0CCE">
        <w:t>. The</w:t>
      </w:r>
      <w:r w:rsidRPr="003D256C">
        <w:t xml:space="preserve"> fourth factor pertains to the districts’ experiences with technical assistance provided by WGEE. </w:t>
      </w:r>
      <w:bookmarkStart w:id="48" w:name="_Toc393717736"/>
    </w:p>
    <w:p w:rsidR="007D388E" w:rsidRPr="00B01909" w:rsidRDefault="007D388E" w:rsidP="0083023B">
      <w:pPr>
        <w:pStyle w:val="Heading1"/>
      </w:pPr>
      <w:bookmarkStart w:id="49" w:name="_Toc394916541"/>
      <w:bookmarkStart w:id="50" w:name="_Toc399828629"/>
      <w:r w:rsidRPr="00B01909">
        <w:t>District Leadership</w:t>
      </w:r>
      <w:bookmarkEnd w:id="48"/>
      <w:bookmarkEnd w:id="49"/>
      <w:bookmarkEnd w:id="50"/>
    </w:p>
    <w:p w:rsidR="007D388E" w:rsidRDefault="007D388E" w:rsidP="0035181C">
      <w:pPr>
        <w:pStyle w:val="BodyText"/>
      </w:pPr>
      <w:r>
        <w:t xml:space="preserve">Leadership matters in any endeavor and not least of all in district reform. </w:t>
      </w:r>
      <w:r w:rsidR="004B54A8">
        <w:t xml:space="preserve">The broad literature on leadership </w:t>
      </w:r>
      <w:r>
        <w:t xml:space="preserve">documents the benefits associated with effective district leaders (e.g., improving student outcomes, developing a culture that demands high quality instruction, offering meaningful professional development </w:t>
      </w:r>
      <w:r w:rsidR="00C50BAB">
        <w:t>[</w:t>
      </w:r>
      <w:r w:rsidR="002C1FFC">
        <w:t>Louis, Leithwood, Wahlstrom</w:t>
      </w:r>
      <w:r w:rsidR="00C9201E">
        <w:t xml:space="preserve">, &amp; Anderson, 2010; McFarlane, 2010; </w:t>
      </w:r>
      <w:r w:rsidR="00B6373C">
        <w:t xml:space="preserve">Marzano &amp; Waters, </w:t>
      </w:r>
      <w:r w:rsidR="00C9201E">
        <w:t>2009</w:t>
      </w:r>
      <w:r w:rsidR="00B6373C">
        <w:t>; Waters &amp; Marzano, 2006</w:t>
      </w:r>
      <w:r w:rsidR="006E3746">
        <w:t>]</w:t>
      </w:r>
      <w:r w:rsidR="00C9201E">
        <w:t>)</w:t>
      </w:r>
      <w:r>
        <w:t>. In the case of the HR Pilot initiative, t</w:t>
      </w:r>
      <w:r w:rsidRPr="007170FE">
        <w:t>h</w:t>
      </w:r>
      <w:r>
        <w:t xml:space="preserve">e district </w:t>
      </w:r>
      <w:r w:rsidRPr="007170FE">
        <w:t xml:space="preserve">leaders who </w:t>
      </w:r>
      <w:r>
        <w:t xml:space="preserve">early on </w:t>
      </w:r>
      <w:r w:rsidRPr="007170FE">
        <w:t>were able to make meaning of the HR</w:t>
      </w:r>
      <w:r>
        <w:t xml:space="preserve"> </w:t>
      </w:r>
      <w:r w:rsidRPr="007170FE">
        <w:t>P</w:t>
      </w:r>
      <w:r>
        <w:t>ilot</w:t>
      </w:r>
      <w:r w:rsidRPr="007170FE">
        <w:t xml:space="preserve"> </w:t>
      </w:r>
      <w:r>
        <w:t xml:space="preserve">project for their local </w:t>
      </w:r>
      <w:proofErr w:type="gramStart"/>
      <w:r>
        <w:t>needs</w:t>
      </w:r>
      <w:r w:rsidRPr="007170FE">
        <w:t>,</w:t>
      </w:r>
      <w:proofErr w:type="gramEnd"/>
      <w:r w:rsidRPr="007170FE">
        <w:t xml:space="preserve"> creat</w:t>
      </w:r>
      <w:r>
        <w:t>e</w:t>
      </w:r>
      <w:r w:rsidRPr="007170FE">
        <w:t xml:space="preserve"> </w:t>
      </w:r>
      <w:r>
        <w:t xml:space="preserve">visible </w:t>
      </w:r>
      <w:r w:rsidRPr="007170FE">
        <w:t>successes</w:t>
      </w:r>
      <w:r>
        <w:t xml:space="preserve"> that maintained reform momentum,</w:t>
      </w:r>
      <w:r w:rsidRPr="007170FE">
        <w:t xml:space="preserve"> and </w:t>
      </w:r>
      <w:r>
        <w:t>embrace an inclusive approach to district decisionmaking made the most progress towards the intended goals of the HR Pilot initiative</w:t>
      </w:r>
      <w:r w:rsidRPr="007170FE">
        <w:t>.</w:t>
      </w:r>
      <w:r>
        <w:t xml:space="preserve"> </w:t>
      </w:r>
    </w:p>
    <w:p w:rsidR="007D388E" w:rsidRDefault="007D388E" w:rsidP="00891FDD">
      <w:pPr>
        <w:pStyle w:val="Heading-Call-Out"/>
      </w:pPr>
      <w:r>
        <w:t>District leaders demonstrated early commitment to the HR Pilot concepts</w:t>
      </w:r>
      <w:r w:rsidR="007931D5">
        <w:t>.</w:t>
      </w:r>
      <w:r>
        <w:t xml:space="preserve"> </w:t>
      </w:r>
    </w:p>
    <w:p w:rsidR="007D388E" w:rsidRDefault="007D388E" w:rsidP="0035181C">
      <w:pPr>
        <w:pStyle w:val="BodyText"/>
      </w:pPr>
      <w:r w:rsidRPr="00CD3EBE">
        <w:t xml:space="preserve">The superintendent was the primary driver in determining HR Pilot participation </w:t>
      </w:r>
      <w:r>
        <w:t xml:space="preserve">in </w:t>
      </w:r>
      <w:r w:rsidRPr="00CD3EBE">
        <w:t>the three districts.</w:t>
      </w:r>
      <w:r>
        <w:t xml:space="preserve"> The d</w:t>
      </w:r>
      <w:r w:rsidRPr="00CD3EBE">
        <w:t xml:space="preserve">istrict leaders </w:t>
      </w:r>
      <w:r>
        <w:t xml:space="preserve">at the time the HR Pilot launched </w:t>
      </w:r>
      <w:r w:rsidRPr="00CD3EBE">
        <w:t xml:space="preserve">chose to participate as part of an overall effort to improve </w:t>
      </w:r>
      <w:r>
        <w:t xml:space="preserve">teacher quality, as well as </w:t>
      </w:r>
      <w:r w:rsidR="003602D3">
        <w:t xml:space="preserve">to </w:t>
      </w:r>
      <w:r>
        <w:t xml:space="preserve">facilitate </w:t>
      </w:r>
      <w:r w:rsidR="00900E93">
        <w:t>educator evaluation</w:t>
      </w:r>
      <w:r>
        <w:t xml:space="preserve"> implementation</w:t>
      </w:r>
      <w:r w:rsidRPr="00CD3EBE">
        <w:t>.</w:t>
      </w:r>
      <w:r>
        <w:t xml:space="preserve"> Their early commitment to shape the HR Pilot project as a strategic initiative to achieve district priorities set the stage for whether and how district and school staff engaged in the HR Pilot. </w:t>
      </w:r>
      <w:r w:rsidRPr="00CD3EBE">
        <w:t>In two districts, the superintendent</w:t>
      </w:r>
      <w:r>
        <w:t>s</w:t>
      </w:r>
      <w:r w:rsidRPr="00CD3EBE">
        <w:t xml:space="preserve"> concluded that all levers within the HR Pilot fit the districts’ goals or strategic plan.</w:t>
      </w:r>
      <w:r>
        <w:t xml:space="preserve"> </w:t>
      </w:r>
      <w:r w:rsidRPr="00CD3EBE">
        <w:t xml:space="preserve">For example, </w:t>
      </w:r>
      <w:r>
        <w:t xml:space="preserve">the leader of </w:t>
      </w:r>
      <w:r w:rsidRPr="00CD3EBE">
        <w:t xml:space="preserve">one </w:t>
      </w:r>
      <w:r>
        <w:t xml:space="preserve">of those </w:t>
      </w:r>
      <w:r w:rsidRPr="00CD3EBE">
        <w:t>district</w:t>
      </w:r>
      <w:r>
        <w:t>s</w:t>
      </w:r>
      <w:r w:rsidRPr="00CD3EBE">
        <w:t xml:space="preserve"> recognized a need to</w:t>
      </w:r>
      <w:r>
        <w:t xml:space="preserve"> make district policy decisions more transparent and to increase </w:t>
      </w:r>
      <w:r w:rsidRPr="00CD3EBE">
        <w:t>consisten</w:t>
      </w:r>
      <w:r>
        <w:t xml:space="preserve">cy in implementing HR policies </w:t>
      </w:r>
      <w:r w:rsidRPr="00CD3EBE">
        <w:t>across schools.</w:t>
      </w:r>
      <w:r>
        <w:t xml:space="preserve"> </w:t>
      </w:r>
      <w:r w:rsidRPr="00CD3EBE">
        <w:t xml:space="preserve">In </w:t>
      </w:r>
      <w:r>
        <w:t xml:space="preserve">the third </w:t>
      </w:r>
      <w:r w:rsidRPr="00CD3EBE">
        <w:t xml:space="preserve">district, the superintendent </w:t>
      </w:r>
      <w:r>
        <w:t xml:space="preserve">identified </w:t>
      </w:r>
      <w:r w:rsidRPr="00CD3EBE">
        <w:t xml:space="preserve">a subset of the levers </w:t>
      </w:r>
      <w:r w:rsidR="006E3746">
        <w:t xml:space="preserve">that </w:t>
      </w:r>
      <w:r w:rsidRPr="00CD3EBE">
        <w:t xml:space="preserve">fit within his existing strategic plan and </w:t>
      </w:r>
      <w:r>
        <w:t xml:space="preserve">thus </w:t>
      </w:r>
      <w:r w:rsidRPr="00CD3EBE">
        <w:t xml:space="preserve">adopted a narrower scope </w:t>
      </w:r>
      <w:r>
        <w:t xml:space="preserve">for </w:t>
      </w:r>
      <w:r w:rsidRPr="00CD3EBE">
        <w:t xml:space="preserve">the </w:t>
      </w:r>
      <w:r>
        <w:t xml:space="preserve">local </w:t>
      </w:r>
      <w:r w:rsidRPr="00CD3EBE">
        <w:t>HR Pilot.</w:t>
      </w:r>
      <w:r w:rsidRPr="001C2633">
        <w:t xml:space="preserve"> </w:t>
      </w:r>
      <w:r>
        <w:t>In retrospect, a district representative shared that the decision to adopt a subset of levers impacted the implementation process</w:t>
      </w:r>
      <w:r w:rsidR="00734EA8">
        <w:t>:</w:t>
      </w:r>
      <w:r>
        <w:t xml:space="preserve"> “[District leaders] have to understand [the project]</w:t>
      </w:r>
      <w:r w:rsidR="00975410">
        <w:t>,</w:t>
      </w:r>
      <w:r>
        <w:t xml:space="preserve"> but it was amorphous. You had to go through [determining the role of the project] and have </w:t>
      </w:r>
      <w:proofErr w:type="gramStart"/>
      <w:r>
        <w:t>your</w:t>
      </w:r>
      <w:proofErr w:type="gramEnd"/>
      <w:r>
        <w:t xml:space="preserve"> aha moment</w:t>
      </w:r>
      <w:r w:rsidR="007C2760">
        <w:t>.</w:t>
      </w:r>
      <w:r>
        <w:t>…</w:t>
      </w:r>
      <w:r w:rsidR="007C2760">
        <w:t xml:space="preserve"> </w:t>
      </w:r>
      <w:r>
        <w:t>It’s not going to work when you take it piecemeal.”</w:t>
      </w:r>
    </w:p>
    <w:p w:rsidR="00C7696D" w:rsidRDefault="00C7696D">
      <w:pPr>
        <w:rPr>
          <w:rFonts w:eastAsia="Times New Roman"/>
        </w:rPr>
      </w:pPr>
      <w:r>
        <w:br w:type="page"/>
      </w:r>
    </w:p>
    <w:p w:rsidR="007D388E" w:rsidRDefault="007D388E" w:rsidP="0035181C">
      <w:pPr>
        <w:pStyle w:val="BodyText"/>
      </w:pPr>
      <w:r>
        <w:t>D</w:t>
      </w:r>
      <w:r w:rsidRPr="00CD3EBE">
        <w:t>istrict leadership</w:t>
      </w:r>
      <w:r>
        <w:t xml:space="preserve"> further </w:t>
      </w:r>
      <w:r w:rsidRPr="00CD3EBE">
        <w:t>signal</w:t>
      </w:r>
      <w:r>
        <w:t>ed support for the</w:t>
      </w:r>
      <w:r w:rsidRPr="00CD3EBE">
        <w:t xml:space="preserve"> HR Pilot</w:t>
      </w:r>
      <w:r>
        <w:t xml:space="preserve"> by</w:t>
      </w:r>
      <w:r w:rsidRPr="00CD3EBE">
        <w:t xml:space="preserve"> sanctioning time and resources </w:t>
      </w:r>
      <w:r>
        <w:t>for the steering committee and lever committees</w:t>
      </w:r>
      <w:r w:rsidRPr="00CD3EBE">
        <w:t xml:space="preserve"> to pursue </w:t>
      </w:r>
      <w:r>
        <w:t xml:space="preserve">changes under </w:t>
      </w:r>
      <w:r w:rsidRPr="00CD3EBE">
        <w:t xml:space="preserve">each lever. </w:t>
      </w:r>
      <w:r w:rsidR="00A5565A">
        <w:t>First, t</w:t>
      </w:r>
      <w:r w:rsidRPr="00CD3EBE">
        <w:t xml:space="preserve">hese district leaders provided </w:t>
      </w:r>
      <w:r>
        <w:t xml:space="preserve">the committees with </w:t>
      </w:r>
      <w:r w:rsidRPr="00CD3EBE">
        <w:t>autonomy to analy</w:t>
      </w:r>
      <w:r>
        <w:t>ze</w:t>
      </w:r>
      <w:r w:rsidRPr="00CD3EBE">
        <w:t xml:space="preserve"> </w:t>
      </w:r>
      <w:r>
        <w:t>c</w:t>
      </w:r>
      <w:r w:rsidRPr="00CD3EBE">
        <w:t>urrent policies</w:t>
      </w:r>
      <w:r w:rsidR="00B0416C">
        <w:t>,</w:t>
      </w:r>
      <w:r>
        <w:t xml:space="preserve"> and practices</w:t>
      </w:r>
      <w:r w:rsidRPr="00CD3EBE">
        <w:t xml:space="preserve"> and were open to suggestions for </w:t>
      </w:r>
      <w:r>
        <w:t xml:space="preserve">change. For example, </w:t>
      </w:r>
      <w:r w:rsidRPr="00CD3EBE">
        <w:t xml:space="preserve">the supervision and evaluation committee </w:t>
      </w:r>
      <w:r>
        <w:t>in two districts played a pivotal role in the initial introduction of</w:t>
      </w:r>
      <w:r w:rsidRPr="00CD3EBE">
        <w:t xml:space="preserve"> </w:t>
      </w:r>
      <w:r w:rsidR="005C35E0">
        <w:t>the new educator evaluation</w:t>
      </w:r>
      <w:r>
        <w:t xml:space="preserve"> and helped to generate a relatively positive response districtwide.</w:t>
      </w:r>
      <w:r w:rsidRPr="00CD3EBE">
        <w:t xml:space="preserve"> </w:t>
      </w:r>
      <w:r w:rsidR="00B70DA0">
        <w:t>Second, t</w:t>
      </w:r>
      <w:r>
        <w:t xml:space="preserve">he superintendents in two districts vested the steering committees and lever </w:t>
      </w:r>
      <w:r w:rsidRPr="00CD3EBE">
        <w:t xml:space="preserve">committees </w:t>
      </w:r>
      <w:r>
        <w:t xml:space="preserve">with authority </w:t>
      </w:r>
      <w:r w:rsidRPr="00CD3EBE">
        <w:t>to spend resources both externally (e.g., subscribing to external organizations) and internally (e.g., attend</w:t>
      </w:r>
      <w:r w:rsidR="00B0416C">
        <w:t>ing</w:t>
      </w:r>
      <w:r w:rsidRPr="00CD3EBE">
        <w:t xml:space="preserve"> trainings). </w:t>
      </w:r>
    </w:p>
    <w:p w:rsidR="007D388E" w:rsidRDefault="007D388E" w:rsidP="0035181C">
      <w:pPr>
        <w:pStyle w:val="BodyText"/>
      </w:pPr>
      <w:r>
        <w:t xml:space="preserve">Throughout implementation, the superintendents that adopted the HR Pilot as a cornerstone of their district improvement strategy were active in addressing the barriers typical of the change process. For example, lever </w:t>
      </w:r>
      <w:r w:rsidRPr="00CD3EBE">
        <w:t xml:space="preserve">committees struggled </w:t>
      </w:r>
      <w:r w:rsidR="004F1D6F">
        <w:t xml:space="preserve">to </w:t>
      </w:r>
      <w:r w:rsidRPr="00CD3EBE">
        <w:t>mak</w:t>
      </w:r>
      <w:r w:rsidR="004F1D6F">
        <w:t xml:space="preserve">e </w:t>
      </w:r>
      <w:r w:rsidRPr="00CD3EBE">
        <w:t>progress on the initiative while continuing regular district operations</w:t>
      </w:r>
      <w:r>
        <w:t xml:space="preserve"> and negotiating competing district priorities</w:t>
      </w:r>
      <w:r w:rsidRPr="00CD3EBE">
        <w:t>. The superintendent and other district</w:t>
      </w:r>
      <w:r>
        <w:t xml:space="preserve"> administrators </w:t>
      </w:r>
      <w:r w:rsidRPr="00CD3EBE">
        <w:t>motivat</w:t>
      </w:r>
      <w:r>
        <w:t xml:space="preserve">ed the </w:t>
      </w:r>
      <w:r w:rsidRPr="00CD3EBE">
        <w:t xml:space="preserve">committee members </w:t>
      </w:r>
      <w:r>
        <w:t xml:space="preserve">by </w:t>
      </w:r>
      <w:r w:rsidRPr="00CD3EBE">
        <w:t>finding needed resources and expertise</w:t>
      </w:r>
      <w:r>
        <w:t xml:space="preserve"> and reassuring them about the process</w:t>
      </w:r>
      <w:r w:rsidRPr="00CD3EBE">
        <w:t xml:space="preserve">. </w:t>
      </w:r>
      <w:r>
        <w:t xml:space="preserve">Stating that </w:t>
      </w:r>
      <w:r w:rsidRPr="00CD3EBE">
        <w:t>roadblocks are</w:t>
      </w:r>
      <w:r>
        <w:t xml:space="preserve"> </w:t>
      </w:r>
      <w:r w:rsidRPr="00CD3EBE">
        <w:t>common</w:t>
      </w:r>
      <w:r>
        <w:t xml:space="preserve"> when</w:t>
      </w:r>
      <w:r w:rsidRPr="00CD3EBE">
        <w:t xml:space="preserve"> making significant decisions</w:t>
      </w:r>
      <w:r>
        <w:t xml:space="preserve">, </w:t>
      </w:r>
      <w:r w:rsidRPr="00CD3EBE">
        <w:t>one district</w:t>
      </w:r>
      <w:r>
        <w:t xml:space="preserve"> </w:t>
      </w:r>
      <w:r w:rsidRPr="00CD3EBE">
        <w:t xml:space="preserve">administrator suggested </w:t>
      </w:r>
      <w:r>
        <w:t xml:space="preserve">that </w:t>
      </w:r>
      <w:r w:rsidRPr="00CD3EBE">
        <w:t xml:space="preserve">the committee keep debating various perspectives as it provides “insight on what caused roadblocks. [It is] okay to have a tough time on this part. It is good to give [each other] feedback…to not have pure agreement.” Where such proactive leadership was absent, </w:t>
      </w:r>
      <w:r>
        <w:t xml:space="preserve">some </w:t>
      </w:r>
      <w:r w:rsidR="006E3746">
        <w:t xml:space="preserve">lever </w:t>
      </w:r>
      <w:r w:rsidR="006E3746" w:rsidRPr="00CD3EBE">
        <w:t xml:space="preserve">committees </w:t>
      </w:r>
      <w:r w:rsidRPr="00CD3EBE">
        <w:t>were stymied in making decisions and made less progress.</w:t>
      </w:r>
    </w:p>
    <w:p w:rsidR="007D388E" w:rsidRDefault="007D388E" w:rsidP="00891FDD">
      <w:pPr>
        <w:pStyle w:val="Heading-Call-Out"/>
      </w:pPr>
      <w:r>
        <w:t>District leaders included a greater number of staff in making district decisi</w:t>
      </w:r>
      <w:r w:rsidR="00836B7E">
        <w:t>ons</w:t>
      </w:r>
      <w:r w:rsidR="00975410">
        <w:t>.</w:t>
      </w:r>
      <w:r>
        <w:t xml:space="preserve"> </w:t>
      </w:r>
    </w:p>
    <w:p w:rsidR="007D388E" w:rsidRDefault="007D388E" w:rsidP="0035181C">
      <w:pPr>
        <w:pStyle w:val="BodyText"/>
      </w:pPr>
      <w:r>
        <w:t xml:space="preserve">The WGEE wove participatory decisionmaking into its view of district leadership. This principle, however, was entirely contingent on the district superintendents’ comfort and growth towards sharing authority. In experimenting with more distributed leadership, one district leader noted that the input of multiple perspectives via the lever committees </w:t>
      </w:r>
      <w:r w:rsidRPr="003A5068">
        <w:t xml:space="preserve">created a “transformational structure for </w:t>
      </w:r>
      <w:r>
        <w:t xml:space="preserve">the </w:t>
      </w:r>
      <w:r w:rsidRPr="003A5068">
        <w:t xml:space="preserve">way work is done in </w:t>
      </w:r>
      <w:r>
        <w:t xml:space="preserve">the district and </w:t>
      </w:r>
      <w:r w:rsidRPr="003A5068">
        <w:t>schools</w:t>
      </w:r>
      <w:r>
        <w:t xml:space="preserve"> </w:t>
      </w:r>
      <w:r w:rsidR="003530F1">
        <w:t>[</w:t>
      </w:r>
      <w:r>
        <w:t xml:space="preserve">as </w:t>
      </w:r>
      <w:r w:rsidRPr="003A5068">
        <w:t>teachers</w:t>
      </w:r>
      <w:r w:rsidR="003530F1">
        <w:t>]</w:t>
      </w:r>
      <w:r w:rsidRPr="003A5068">
        <w:t xml:space="preserve"> truly have ownership in decisionmaking in the district</w:t>
      </w:r>
      <w:r>
        <w:t>.”</w:t>
      </w:r>
      <w:r w:rsidRPr="003A5068">
        <w:t xml:space="preserve"> </w:t>
      </w:r>
      <w:r>
        <w:t xml:space="preserve">For this </w:t>
      </w:r>
      <w:r w:rsidRPr="003A5068">
        <w:t>district leader</w:t>
      </w:r>
      <w:r>
        <w:t>,</w:t>
      </w:r>
      <w:r w:rsidRPr="003A5068">
        <w:t xml:space="preserve"> </w:t>
      </w:r>
      <w:r>
        <w:t>adopting such an inclusive strategy requires “</w:t>
      </w:r>
      <w:r w:rsidRPr="003A5068">
        <w:t>transform</w:t>
      </w:r>
      <w:r>
        <w:t>ing</w:t>
      </w:r>
      <w:r w:rsidRPr="003A5068">
        <w:t xml:space="preserve"> how superintendent</w:t>
      </w:r>
      <w:r>
        <w:t>s</w:t>
      </w:r>
      <w:r w:rsidRPr="003A5068">
        <w:t xml:space="preserve"> function and see</w:t>
      </w:r>
      <w:r>
        <w:t xml:space="preserve"> [their]</w:t>
      </w:r>
      <w:r w:rsidRPr="003A5068">
        <w:t xml:space="preserve"> role</w:t>
      </w:r>
      <w:r>
        <w:t>” in making decisions.</w:t>
      </w:r>
      <w:r w:rsidR="00934943">
        <w:t xml:space="preserve"> </w:t>
      </w:r>
    </w:p>
    <w:p w:rsidR="007D388E" w:rsidRPr="00B01909" w:rsidRDefault="007D388E" w:rsidP="00891FDD">
      <w:pPr>
        <w:pStyle w:val="Heading1"/>
      </w:pPr>
      <w:bookmarkStart w:id="51" w:name="_Toc393717738"/>
      <w:bookmarkStart w:id="52" w:name="_Toc394916542"/>
      <w:bookmarkStart w:id="53" w:name="_Toc399828630"/>
      <w:r w:rsidRPr="00B01909">
        <w:t>Labor-Management Relationship</w:t>
      </w:r>
      <w:bookmarkEnd w:id="51"/>
      <w:bookmarkEnd w:id="52"/>
      <w:bookmarkEnd w:id="53"/>
    </w:p>
    <w:p w:rsidR="007D388E" w:rsidRDefault="007D388E" w:rsidP="0035181C">
      <w:pPr>
        <w:pStyle w:val="BodyText"/>
      </w:pPr>
      <w:r>
        <w:t xml:space="preserve">Local unions can play a key role in facilitating or hindering district reforms, especially with respect to any changes affecting teachers’ working conditions and responsibilities </w:t>
      </w:r>
      <w:r w:rsidR="00DE485F">
        <w:t>(Donaldson, Mayer, Cobb, LeChasseur, &amp; Welton, 2013; Kerchner &amp; Koppich, 2000)</w:t>
      </w:r>
      <w:r>
        <w:t xml:space="preserve">. Conducive labor-management relations was a readiness factor in the original selection of the HR Pilot districts and influenced how the districts designed and rolled out any changes related to the HR Pilot levers. </w:t>
      </w:r>
    </w:p>
    <w:p w:rsidR="00FC7AB5" w:rsidRDefault="00FC7AB5">
      <w:pPr>
        <w:rPr>
          <w:b/>
        </w:rPr>
      </w:pPr>
      <w:r>
        <w:br w:type="page"/>
      </w:r>
    </w:p>
    <w:p w:rsidR="007D388E" w:rsidRDefault="007D388E" w:rsidP="00891FDD">
      <w:pPr>
        <w:pStyle w:val="Heading-Call-Out"/>
      </w:pPr>
      <w:r w:rsidRPr="007170FE">
        <w:t>Collaborative labor-management relationships smooth</w:t>
      </w:r>
      <w:r>
        <w:t>ed</w:t>
      </w:r>
      <w:r w:rsidR="00F63936">
        <w:t xml:space="preserve"> the</w:t>
      </w:r>
      <w:r>
        <w:t xml:space="preserve"> implementation</w:t>
      </w:r>
      <w:r w:rsidRPr="007170FE">
        <w:t xml:space="preserve"> pro</w:t>
      </w:r>
      <w:r>
        <w:t>c</w:t>
      </w:r>
      <w:r w:rsidRPr="007170FE">
        <w:t>ess</w:t>
      </w:r>
      <w:r w:rsidR="00DE3C6C">
        <w:t>.</w:t>
      </w:r>
      <w:r w:rsidRPr="007170FE">
        <w:t xml:space="preserve"> </w:t>
      </w:r>
    </w:p>
    <w:p w:rsidR="007D388E" w:rsidRDefault="00103964" w:rsidP="0035181C">
      <w:pPr>
        <w:pStyle w:val="BodyText"/>
      </w:pPr>
      <w:r>
        <w:rPr>
          <w:noProof/>
        </w:rPr>
        <w:pict>
          <v:roundrect id="Text Box 310" o:spid="_x0000_s1030" style="position:absolute;left:0;text-align:left;margin-left:4in;margin-top:12.55pt;width:162.75pt;height:75.85pt;z-index:251652096;visibility:visible;mso-width-relative:margin;mso-height-relative:margin" arcsize="120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" strokecolor="#558ed5" strokeweight="2.25pt">
            <v:textbox>
              <w:txbxContent>
                <w:p w:rsidR="00231C50" w:rsidRPr="0016278A" w:rsidRDefault="00231C50" w:rsidP="00FC7AB5">
                  <w:pPr>
                    <w:pStyle w:val="Pulloutquoteitalic"/>
                  </w:pPr>
                  <w:r w:rsidRPr="0016278A">
                    <w:t>“Union partnership is critical to the success of the HR Pilot program.”</w:t>
                  </w:r>
                </w:p>
                <w:p w:rsidR="00231C50" w:rsidRPr="005D23A1" w:rsidRDefault="00231C50" w:rsidP="00FC7AB5">
                  <w:pPr>
                    <w:pStyle w:val="Pulloutquoteitalic"/>
                    <w:rPr>
                      <w:sz w:val="22"/>
                      <w:szCs w:val="22"/>
                    </w:rPr>
                  </w:pPr>
                  <w:r w:rsidRPr="005D23A1">
                    <w:rPr>
                      <w:sz w:val="22"/>
                      <w:szCs w:val="22"/>
                    </w:rPr>
                    <w:t>-</w:t>
                  </w:r>
                  <w:r w:rsidRPr="005D23A1">
                    <w:t>District Leader</w:t>
                  </w:r>
                </w:p>
              </w:txbxContent>
            </v:textbox>
            <w10:wrap type="square"/>
          </v:roundrect>
        </w:pict>
      </w:r>
      <w:r w:rsidR="007D388E">
        <w:t>S</w:t>
      </w:r>
      <w:r w:rsidR="007D388E" w:rsidRPr="007170FE">
        <w:t>trong labor</w:t>
      </w:r>
      <w:r w:rsidR="007D388E">
        <w:t>-</w:t>
      </w:r>
      <w:r w:rsidR="007D388E" w:rsidRPr="007170FE">
        <w:t>management</w:t>
      </w:r>
      <w:r w:rsidR="007D388E">
        <w:t xml:space="preserve"> </w:t>
      </w:r>
      <w:r w:rsidR="007D388E" w:rsidRPr="007170FE">
        <w:t>relationship</w:t>
      </w:r>
      <w:r w:rsidR="007D388E">
        <w:t>s</w:t>
      </w:r>
      <w:r w:rsidR="007D388E" w:rsidRPr="007170FE">
        <w:t xml:space="preserve"> </w:t>
      </w:r>
      <w:r w:rsidR="007D388E">
        <w:t xml:space="preserve">from the outset in all three HR Pilot districts </w:t>
      </w:r>
      <w:r w:rsidR="007D388E" w:rsidRPr="007170FE">
        <w:t xml:space="preserve">provided a </w:t>
      </w:r>
      <w:r w:rsidR="007D388E">
        <w:t xml:space="preserve">collaborative </w:t>
      </w:r>
      <w:r w:rsidR="007D388E" w:rsidRPr="007170FE">
        <w:t xml:space="preserve">foundation for </w:t>
      </w:r>
      <w:r w:rsidR="007D388E">
        <w:t xml:space="preserve">implementing </w:t>
      </w:r>
      <w:r w:rsidR="007D388E" w:rsidRPr="007170FE">
        <w:t>the HR Pilot</w:t>
      </w:r>
      <w:r w:rsidR="007D388E">
        <w:t xml:space="preserve"> project</w:t>
      </w:r>
      <w:r w:rsidR="007D388E" w:rsidRPr="007170FE">
        <w:t>.</w:t>
      </w:r>
      <w:r w:rsidR="007D388E">
        <w:t xml:space="preserve"> </w:t>
      </w:r>
      <w:r w:rsidR="007D388E" w:rsidRPr="007170FE">
        <w:t xml:space="preserve">District leaders prioritized </w:t>
      </w:r>
      <w:r w:rsidR="007D388E">
        <w:t xml:space="preserve">consistent </w:t>
      </w:r>
      <w:r w:rsidR="007D388E" w:rsidRPr="007170FE">
        <w:t xml:space="preserve">communication </w:t>
      </w:r>
      <w:r w:rsidR="007D388E">
        <w:t xml:space="preserve">with </w:t>
      </w:r>
      <w:r w:rsidR="007D388E" w:rsidRPr="007170FE">
        <w:t>union leaders</w:t>
      </w:r>
      <w:r w:rsidR="007D388E">
        <w:t>, and</w:t>
      </w:r>
      <w:r w:rsidR="007D388E" w:rsidRPr="007170FE">
        <w:t xml:space="preserve"> met regularly </w:t>
      </w:r>
      <w:r w:rsidR="007D388E">
        <w:t>to engage i</w:t>
      </w:r>
      <w:r w:rsidR="007D388E" w:rsidRPr="007170FE">
        <w:t xml:space="preserve">n collaborative decisionmaking regarding </w:t>
      </w:r>
      <w:r w:rsidR="007D388E">
        <w:t xml:space="preserve">all </w:t>
      </w:r>
      <w:r w:rsidR="007D388E" w:rsidRPr="007170FE">
        <w:t xml:space="preserve">important issues in the district. </w:t>
      </w:r>
      <w:r w:rsidR="007D388E">
        <w:t>T</w:t>
      </w:r>
      <w:r w:rsidR="007D388E" w:rsidRPr="007170FE">
        <w:t xml:space="preserve">he union president </w:t>
      </w:r>
      <w:r w:rsidR="007D388E">
        <w:t>(</w:t>
      </w:r>
      <w:r w:rsidR="007D388E" w:rsidRPr="007170FE">
        <w:t>or design</w:t>
      </w:r>
      <w:r w:rsidR="003748FF">
        <w:t>ee</w:t>
      </w:r>
      <w:r w:rsidR="007D388E">
        <w:t>)</w:t>
      </w:r>
      <w:r w:rsidR="007D388E" w:rsidRPr="007170FE">
        <w:t xml:space="preserve"> </w:t>
      </w:r>
      <w:r w:rsidR="007D388E">
        <w:t xml:space="preserve">in each district </w:t>
      </w:r>
      <w:r w:rsidR="007D388E" w:rsidRPr="007170FE">
        <w:t>was invited to all technical assistance meetings and played an active role</w:t>
      </w:r>
      <w:r w:rsidR="007D388E">
        <w:t xml:space="preserve"> on the steering committees</w:t>
      </w:r>
      <w:r w:rsidR="007D388E" w:rsidRPr="007170FE">
        <w:t>.</w:t>
      </w:r>
      <w:r w:rsidR="007D388E">
        <w:t xml:space="preserve"> Two of the districts sought to place teachers with union leadership positions in chair or co-chair </w:t>
      </w:r>
      <w:r w:rsidR="004B54A8">
        <w:t xml:space="preserve">roles </w:t>
      </w:r>
      <w:r w:rsidR="007D388E">
        <w:t xml:space="preserve">to ensure the union perspective was well represented </w:t>
      </w:r>
      <w:r w:rsidR="00A849D6">
        <w:t>o</w:t>
      </w:r>
      <w:r w:rsidR="007D388E">
        <w:t>n lever committees. As committee chairs, these teachers could monitor whether any proposed policy change conflicted with the teacher contract. One superintendent believed that the HR Pilot provided a platform to broaden union input in district decisions as u</w:t>
      </w:r>
      <w:r w:rsidR="007D388E" w:rsidRPr="007170FE">
        <w:t xml:space="preserve">nion leaders were well positioned to solicit teacher support for </w:t>
      </w:r>
      <w:r w:rsidR="007D388E">
        <w:t xml:space="preserve">resulting policy and practice changes under the levers in general </w:t>
      </w:r>
      <w:r w:rsidR="007D388E" w:rsidRPr="007170FE">
        <w:t>and</w:t>
      </w:r>
      <w:r w:rsidR="007D388E">
        <w:t xml:space="preserve"> for</w:t>
      </w:r>
      <w:r w:rsidR="007D388E" w:rsidRPr="007170FE">
        <w:t xml:space="preserve"> the new educator evaluation system in particular.</w:t>
      </w:r>
    </w:p>
    <w:p w:rsidR="007D388E" w:rsidRDefault="00103964" w:rsidP="0035181C">
      <w:pPr>
        <w:pStyle w:val="BodyText"/>
      </w:pPr>
      <w:r>
        <w:rPr>
          <w:noProof/>
        </w:rPr>
        <w:pict>
          <v:roundrect id="Text Box 27" o:spid="_x0000_s1029" style="position:absolute;left:0;text-align:left;margin-left:5.9pt;margin-top:151.75pt;width:239.1pt;height:221.35pt;z-index:251654144;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" filled="f" strokecolor="#558ed5" strokeweight="2.25pt">
            <v:textbox>
              <w:txbxContent>
                <w:p w:rsidR="00231C50" w:rsidRPr="005D23A1" w:rsidRDefault="00231C50" w:rsidP="005D23A1">
                  <w:pPr>
                    <w:spacing w:after="120"/>
                    <w:jc w:val="center"/>
                    <w:rPr>
                      <w:rFonts w:ascii="Arial Narrow" w:hAnsi="Arial Narrow"/>
                      <w:b/>
                      <w:sz w:val="22"/>
                      <w:szCs w:val="22"/>
                    </w:rPr>
                  </w:pPr>
                  <w:r w:rsidRPr="005D23A1">
                    <w:rPr>
                      <w:rFonts w:ascii="Arial Narrow" w:hAnsi="Arial Narrow"/>
                      <w:b/>
                      <w:sz w:val="22"/>
                      <w:szCs w:val="22"/>
                    </w:rPr>
                    <w:t>Joint Management Labor Task Force</w:t>
                  </w:r>
                </w:p>
                <w:p w:rsidR="00231C50" w:rsidRPr="005D23A1" w:rsidRDefault="00231C50" w:rsidP="007E3F07">
                  <w:pPr>
                    <w:rPr>
                      <w:rFonts w:ascii="Arial Narrow" w:hAnsi="Arial Narrow"/>
                      <w:sz w:val="22"/>
                      <w:szCs w:val="22"/>
                    </w:rPr>
                  </w:pPr>
                  <w:r w:rsidRPr="005D23A1">
                    <w:rPr>
                      <w:rFonts w:ascii="Arial Narrow" w:eastAsia="Times New Roman" w:hAnsi="Arial Narrow"/>
                      <w:sz w:val="20"/>
                    </w:rPr>
                    <w:t xml:space="preserve">The district and union leaders in one district created a joint committee to oversee </w:t>
                  </w:r>
                  <w:r>
                    <w:rPr>
                      <w:rFonts w:ascii="Arial Narrow" w:eastAsia="Times New Roman" w:hAnsi="Arial Narrow"/>
                      <w:sz w:val="20"/>
                    </w:rPr>
                    <w:t>educator evaluation</w:t>
                  </w:r>
                  <w:r w:rsidRPr="005D23A1">
                    <w:rPr>
                      <w:rFonts w:ascii="Arial Narrow" w:eastAsia="Times New Roman" w:hAnsi="Arial Narrow"/>
                      <w:sz w:val="20"/>
                    </w:rPr>
                    <w:t xml:space="preserve"> implementation districtwide. The committee had a broad base of stakeholder representatives</w:t>
                  </w:r>
                  <w:r>
                    <w:rPr>
                      <w:rFonts w:ascii="Arial Narrow" w:eastAsia="Times New Roman" w:hAnsi="Arial Narrow"/>
                      <w:sz w:val="20"/>
                    </w:rPr>
                    <w:t>,</w:t>
                  </w:r>
                  <w:r w:rsidRPr="005D23A1">
                    <w:rPr>
                      <w:rFonts w:ascii="Arial Narrow" w:eastAsia="Times New Roman" w:hAnsi="Arial Narrow"/>
                      <w:sz w:val="20"/>
                    </w:rPr>
                    <w:t xml:space="preserve"> including district administrators, school leaders, teachers, caseload employees, and librarians. Meeting twice a month, the committee gather</w:t>
                  </w:r>
                  <w:r>
                    <w:rPr>
                      <w:rFonts w:ascii="Arial Narrow" w:eastAsia="Times New Roman" w:hAnsi="Arial Narrow"/>
                      <w:sz w:val="20"/>
                    </w:rPr>
                    <w:t>ed</w:t>
                  </w:r>
                  <w:r w:rsidRPr="005D23A1">
                    <w:rPr>
                      <w:rFonts w:ascii="Arial Narrow" w:eastAsia="Times New Roman" w:hAnsi="Arial Narrow"/>
                      <w:sz w:val="20"/>
                    </w:rPr>
                    <w:t xml:space="preserve"> feedback from designated teacher leaders in each school tasked with helping their colleagues</w:t>
                  </w:r>
                  <w:r>
                    <w:rPr>
                      <w:rFonts w:ascii="Arial Narrow" w:eastAsia="Times New Roman" w:hAnsi="Arial Narrow"/>
                      <w:sz w:val="20"/>
                    </w:rPr>
                    <w:t>’</w:t>
                  </w:r>
                  <w:r w:rsidRPr="005D23A1">
                    <w:rPr>
                      <w:rFonts w:ascii="Arial Narrow" w:eastAsia="Times New Roman" w:hAnsi="Arial Narrow"/>
                      <w:sz w:val="20"/>
                    </w:rPr>
                    <w:t xml:space="preserve"> progress through the state-required evaluation cycle. The committee act</w:t>
                  </w:r>
                  <w:r>
                    <w:rPr>
                      <w:rFonts w:ascii="Arial Narrow" w:eastAsia="Times New Roman" w:hAnsi="Arial Narrow"/>
                      <w:sz w:val="20"/>
                    </w:rPr>
                    <w:t>ed</w:t>
                  </w:r>
                  <w:r w:rsidRPr="005D23A1">
                    <w:rPr>
                      <w:rFonts w:ascii="Arial Narrow" w:eastAsia="Times New Roman" w:hAnsi="Arial Narrow"/>
                      <w:sz w:val="20"/>
                    </w:rPr>
                    <w:t xml:space="preserve"> as a central forum where administrators and teachers </w:t>
                  </w:r>
                  <w:r>
                    <w:rPr>
                      <w:rFonts w:ascii="Arial Narrow" w:eastAsia="Times New Roman" w:hAnsi="Arial Narrow"/>
                      <w:sz w:val="20"/>
                    </w:rPr>
                    <w:t xml:space="preserve">could </w:t>
                  </w:r>
                  <w:r w:rsidRPr="005D23A1">
                    <w:rPr>
                      <w:rFonts w:ascii="Arial Narrow" w:eastAsia="Times New Roman" w:hAnsi="Arial Narrow"/>
                      <w:sz w:val="20"/>
                    </w:rPr>
                    <w:t xml:space="preserve">problem-solve together, address questions and dispel confusion about the evaluation process, and issue unified guidance to all educators in the district. </w:t>
                  </w:r>
                </w:p>
              </w:txbxContent>
            </v:textbox>
            <w10:wrap type="square"/>
          </v:roundrect>
        </w:pict>
      </w:r>
      <w:r w:rsidR="007D388E" w:rsidRPr="007170FE">
        <w:t xml:space="preserve">Unlike </w:t>
      </w:r>
      <w:r w:rsidR="007D388E">
        <w:t>providing</w:t>
      </w:r>
      <w:r w:rsidR="007D388E" w:rsidRPr="007170FE">
        <w:t xml:space="preserve"> support for less controversial changes, t</w:t>
      </w:r>
      <w:r w:rsidR="004B54A8">
        <w:t>he union</w:t>
      </w:r>
      <w:r w:rsidR="007D388E" w:rsidRPr="007170FE">
        <w:t>s</w:t>
      </w:r>
      <w:r w:rsidR="004B54A8">
        <w:t>’</w:t>
      </w:r>
      <w:r w:rsidR="007D388E" w:rsidRPr="007170FE">
        <w:t xml:space="preserve"> role in implementing </w:t>
      </w:r>
      <w:r w:rsidR="004B1B07">
        <w:t>the new educator evaluation system</w:t>
      </w:r>
      <w:r w:rsidR="007D388E" w:rsidRPr="007170FE">
        <w:t xml:space="preserve"> was vital. The union</w:t>
      </w:r>
      <w:r w:rsidR="00E33566">
        <w:t>s</w:t>
      </w:r>
      <w:r w:rsidR="007D388E" w:rsidRPr="007170FE">
        <w:t xml:space="preserve"> </w:t>
      </w:r>
      <w:r w:rsidR="007D388E">
        <w:t>w</w:t>
      </w:r>
      <w:r w:rsidR="00E33566">
        <w:t>ere</w:t>
      </w:r>
      <w:r w:rsidR="007D388E">
        <w:t xml:space="preserve"> instrumental in </w:t>
      </w:r>
      <w:r w:rsidR="007D388E" w:rsidRPr="007170FE">
        <w:t>communicat</w:t>
      </w:r>
      <w:r w:rsidR="007D388E">
        <w:t>ing</w:t>
      </w:r>
      <w:r w:rsidR="007D388E" w:rsidRPr="007170FE">
        <w:t xml:space="preserve"> the mandate to </w:t>
      </w:r>
      <w:r w:rsidR="007D388E">
        <w:t xml:space="preserve">teachers </w:t>
      </w:r>
      <w:r w:rsidR="007D388E" w:rsidRPr="007170FE">
        <w:t xml:space="preserve">through their union representatives and </w:t>
      </w:r>
      <w:r w:rsidR="007D388E">
        <w:t xml:space="preserve">in </w:t>
      </w:r>
      <w:r w:rsidR="007D388E" w:rsidRPr="007170FE">
        <w:t>advocat</w:t>
      </w:r>
      <w:r w:rsidR="007D388E">
        <w:t>ing</w:t>
      </w:r>
      <w:r w:rsidR="007D388E" w:rsidRPr="007170FE">
        <w:t xml:space="preserve"> for </w:t>
      </w:r>
      <w:r w:rsidR="007D388E">
        <w:t xml:space="preserve">teachers’ </w:t>
      </w:r>
      <w:r w:rsidR="007D388E" w:rsidRPr="007170FE">
        <w:t xml:space="preserve">rights </w:t>
      </w:r>
      <w:r w:rsidR="007D388E">
        <w:t>and interests</w:t>
      </w:r>
      <w:r w:rsidR="007D388E" w:rsidRPr="007170FE">
        <w:t>.</w:t>
      </w:r>
      <w:r w:rsidR="007D388E">
        <w:t xml:space="preserve"> </w:t>
      </w:r>
      <w:r w:rsidR="007D388E" w:rsidRPr="007170FE">
        <w:t>Furthermore, the union</w:t>
      </w:r>
      <w:r w:rsidR="00E33566">
        <w:t>s</w:t>
      </w:r>
      <w:r w:rsidR="007D388E" w:rsidRPr="007170FE">
        <w:t xml:space="preserve"> </w:t>
      </w:r>
      <w:r w:rsidR="007D388E">
        <w:t>and district</w:t>
      </w:r>
      <w:r w:rsidR="00E33566">
        <w:t>s</w:t>
      </w:r>
      <w:r w:rsidR="007D388E">
        <w:t xml:space="preserve"> had to </w:t>
      </w:r>
      <w:r w:rsidR="007D388E" w:rsidRPr="007170FE">
        <w:t>negotiate</w:t>
      </w:r>
      <w:r w:rsidR="007D388E">
        <w:t xml:space="preserve"> and come to agreement on</w:t>
      </w:r>
      <w:r w:rsidR="007D388E" w:rsidRPr="007170FE">
        <w:t xml:space="preserve"> the </w:t>
      </w:r>
      <w:r w:rsidR="007D388E">
        <w:t xml:space="preserve">evaluation </w:t>
      </w:r>
      <w:r w:rsidR="007D388E" w:rsidRPr="007170FE">
        <w:t>rubric</w:t>
      </w:r>
      <w:r w:rsidR="007D388E">
        <w:t xml:space="preserve"> before the district</w:t>
      </w:r>
      <w:r w:rsidR="00E33566">
        <w:t>s</w:t>
      </w:r>
      <w:r w:rsidR="007D388E">
        <w:t xml:space="preserve"> could proceed with evaluating educators</w:t>
      </w:r>
      <w:r w:rsidR="007D388E" w:rsidRPr="007170FE">
        <w:t>.</w:t>
      </w:r>
      <w:r w:rsidR="007D388E">
        <w:t xml:space="preserve"> Overall</w:t>
      </w:r>
      <w:r w:rsidR="007D388E" w:rsidRPr="007170FE">
        <w:t>, the district</w:t>
      </w:r>
      <w:r w:rsidR="007D388E">
        <w:t>-</w:t>
      </w:r>
      <w:r w:rsidR="007D388E" w:rsidRPr="007170FE">
        <w:t xml:space="preserve">union relationship weathered the </w:t>
      </w:r>
      <w:r w:rsidR="001520A3">
        <w:t>educator evaluation</w:t>
      </w:r>
      <w:r w:rsidR="001520A3" w:rsidRPr="007170FE">
        <w:t xml:space="preserve"> </w:t>
      </w:r>
      <w:r w:rsidR="007D388E" w:rsidRPr="007170FE">
        <w:t xml:space="preserve">challenge successfully. For example, the district and union leaders </w:t>
      </w:r>
      <w:r w:rsidR="007D388E">
        <w:t>in one district</w:t>
      </w:r>
      <w:r w:rsidR="007D388E" w:rsidRPr="007170FE">
        <w:t xml:space="preserve"> formed a joint committee to </w:t>
      </w:r>
      <w:r w:rsidR="007D388E">
        <w:t xml:space="preserve">oversee </w:t>
      </w:r>
      <w:r w:rsidR="001520A3">
        <w:t>educator evaluation</w:t>
      </w:r>
      <w:r w:rsidR="007D388E">
        <w:t xml:space="preserve"> </w:t>
      </w:r>
      <w:r w:rsidR="007D388E" w:rsidRPr="007170FE">
        <w:t xml:space="preserve">implementation </w:t>
      </w:r>
      <w:r w:rsidR="007D388E">
        <w:t xml:space="preserve">and </w:t>
      </w:r>
      <w:r w:rsidR="00DD3577">
        <w:t xml:space="preserve">to </w:t>
      </w:r>
      <w:r w:rsidR="007D388E">
        <w:t>problem</w:t>
      </w:r>
      <w:r w:rsidR="00DD3577">
        <w:t xml:space="preserve"> </w:t>
      </w:r>
      <w:r w:rsidR="007D388E">
        <w:t xml:space="preserve">solve issues teachers raised as they tried out the new evaluation system (featured in </w:t>
      </w:r>
      <w:r w:rsidR="00B271FD">
        <w:t xml:space="preserve">the </w:t>
      </w:r>
      <w:r w:rsidR="00DD3577">
        <w:t>sidebar</w:t>
      </w:r>
      <w:r w:rsidR="00B271FD">
        <w:t xml:space="preserve"> </w:t>
      </w:r>
      <w:r w:rsidR="007D388E">
        <w:t>box</w:t>
      </w:r>
      <w:r w:rsidR="00DD3577">
        <w:t xml:space="preserve"> below</w:t>
      </w:r>
      <w:r w:rsidR="007D388E">
        <w:t>). I</w:t>
      </w:r>
      <w:r w:rsidR="007D388E" w:rsidRPr="007170FE">
        <w:t xml:space="preserve">n another district, union involvement and support for the new evaluation system appeared to be a key factor in facilitating </w:t>
      </w:r>
      <w:r w:rsidR="007D388E">
        <w:t xml:space="preserve">teacher </w:t>
      </w:r>
      <w:r w:rsidR="007D388E" w:rsidRPr="007170FE">
        <w:t>buy-in for the new system.</w:t>
      </w:r>
      <w:r w:rsidR="007D388E">
        <w:t xml:space="preserve"> A district leader commented</w:t>
      </w:r>
      <w:r w:rsidR="005A1466">
        <w:t>,</w:t>
      </w:r>
      <w:r w:rsidR="007D388E">
        <w:t xml:space="preserve"> “We’re way ahead of other districts vis-à-vis evaluation and our relationship with the union…</w:t>
      </w:r>
      <w:r w:rsidR="005A1466">
        <w:t xml:space="preserve"> </w:t>
      </w:r>
      <w:r w:rsidR="007D388E">
        <w:t xml:space="preserve">Our teachers are enthusiastic [about </w:t>
      </w:r>
      <w:r w:rsidR="001E6B1F">
        <w:t>the educator evaluation</w:t>
      </w:r>
      <w:r w:rsidR="007D388E">
        <w:t xml:space="preserve">].” </w:t>
      </w:r>
    </w:p>
    <w:p w:rsidR="00C7696D" w:rsidRDefault="00C7696D">
      <w:pPr>
        <w:rPr>
          <w:b/>
        </w:rPr>
      </w:pPr>
      <w:r>
        <w:br w:type="page"/>
      </w:r>
    </w:p>
    <w:p w:rsidR="007D388E" w:rsidRDefault="00D904D3" w:rsidP="00891FDD">
      <w:pPr>
        <w:pStyle w:val="Heading-Call-Out"/>
      </w:pPr>
      <w:r>
        <w:t>C</w:t>
      </w:r>
      <w:r w:rsidR="007D388E" w:rsidRPr="007170FE">
        <w:t xml:space="preserve">ollaborative </w:t>
      </w:r>
      <w:r w:rsidR="007D388E">
        <w:t xml:space="preserve">district-union </w:t>
      </w:r>
      <w:r w:rsidR="007D388E" w:rsidRPr="007170FE">
        <w:t>relationship</w:t>
      </w:r>
      <w:r>
        <w:t xml:space="preserve">s </w:t>
      </w:r>
      <w:r w:rsidR="00E33566">
        <w:t xml:space="preserve">sustained despite </w:t>
      </w:r>
      <w:r>
        <w:t>leadership turnover</w:t>
      </w:r>
      <w:r w:rsidR="00C4452C">
        <w:t>.</w:t>
      </w:r>
    </w:p>
    <w:p w:rsidR="007D388E" w:rsidRDefault="007D388E" w:rsidP="0035181C">
      <w:pPr>
        <w:pStyle w:val="BodyText"/>
      </w:pPr>
      <w:r w:rsidRPr="007170FE">
        <w:t xml:space="preserve">All three districts experienced </w:t>
      </w:r>
      <w:r w:rsidRPr="00285AF8">
        <w:t xml:space="preserve">turnover either in district or union leadership during HR Pilot implementation, with </w:t>
      </w:r>
      <w:r>
        <w:t>new l</w:t>
      </w:r>
      <w:r w:rsidRPr="00285AF8">
        <w:t>eaders</w:t>
      </w:r>
      <w:r>
        <w:t xml:space="preserve"> in two districts</w:t>
      </w:r>
      <w:r w:rsidRPr="00285AF8">
        <w:t xml:space="preserve"> </w:t>
      </w:r>
      <w:r>
        <w:t xml:space="preserve">initially </w:t>
      </w:r>
      <w:r w:rsidRPr="00285AF8">
        <w:t xml:space="preserve">uncertain </w:t>
      </w:r>
      <w:r w:rsidR="0016278A">
        <w:t xml:space="preserve">about whether </w:t>
      </w:r>
      <w:r w:rsidRPr="00F93369">
        <w:rPr>
          <w:color w:val="000000"/>
        </w:rPr>
        <w:t xml:space="preserve">fully implementing the </w:t>
      </w:r>
      <w:r w:rsidR="0016278A" w:rsidRPr="00F93369">
        <w:rPr>
          <w:color w:val="000000"/>
        </w:rPr>
        <w:t xml:space="preserve">local HR Pilot plans </w:t>
      </w:r>
      <w:r w:rsidRPr="00F93369">
        <w:rPr>
          <w:color w:val="000000"/>
        </w:rPr>
        <w:t xml:space="preserve">would support their </w:t>
      </w:r>
      <w:r w:rsidR="0016278A" w:rsidRPr="00F93369">
        <w:rPr>
          <w:color w:val="000000"/>
        </w:rPr>
        <w:t xml:space="preserve">respective </w:t>
      </w:r>
      <w:r w:rsidRPr="00F93369">
        <w:rPr>
          <w:color w:val="000000"/>
        </w:rPr>
        <w:t>agenda</w:t>
      </w:r>
      <w:r w:rsidR="0016278A" w:rsidRPr="00F93369">
        <w:rPr>
          <w:color w:val="000000"/>
        </w:rPr>
        <w:t>.</w:t>
      </w:r>
      <w:r w:rsidRPr="00285AF8">
        <w:t xml:space="preserve"> To the extent that labor-management relationships often reflect the personal style and collaborative spirit of the specific leaders involved, </w:t>
      </w:r>
      <w:r>
        <w:t xml:space="preserve">the leadership </w:t>
      </w:r>
      <w:r w:rsidRPr="00285AF8">
        <w:t xml:space="preserve">turnover could have tested these relationships and </w:t>
      </w:r>
      <w:r w:rsidRPr="00D50918">
        <w:t xml:space="preserve">possibly undermined ongoing HR Pilot implementation. </w:t>
      </w:r>
      <w:r w:rsidRPr="00F93369">
        <w:rPr>
          <w:color w:val="000000"/>
        </w:rPr>
        <w:t xml:space="preserve">WGEE helped to mitigate the impact of the turnovers and </w:t>
      </w:r>
      <w:r w:rsidR="0016278A" w:rsidRPr="00F93369">
        <w:rPr>
          <w:color w:val="000000"/>
        </w:rPr>
        <w:t xml:space="preserve">promoted continuing </w:t>
      </w:r>
      <w:r w:rsidR="00A62A77" w:rsidRPr="00F93369">
        <w:rPr>
          <w:color w:val="000000"/>
        </w:rPr>
        <w:t xml:space="preserve">the </w:t>
      </w:r>
      <w:r w:rsidRPr="00F93369">
        <w:rPr>
          <w:color w:val="000000"/>
        </w:rPr>
        <w:t xml:space="preserve">HR Pilot </w:t>
      </w:r>
      <w:r w:rsidR="0016278A" w:rsidRPr="00F93369">
        <w:rPr>
          <w:color w:val="000000"/>
        </w:rPr>
        <w:t xml:space="preserve">as </w:t>
      </w:r>
      <w:r w:rsidRPr="00F93369">
        <w:rPr>
          <w:color w:val="000000"/>
        </w:rPr>
        <w:t>an active district initiative by serving as a resource to new leaders about the history of reform in the district</w:t>
      </w:r>
      <w:r w:rsidR="0016278A" w:rsidRPr="00F93369">
        <w:rPr>
          <w:color w:val="000000"/>
        </w:rPr>
        <w:t xml:space="preserve"> and providing an outside view</w:t>
      </w:r>
      <w:r w:rsidRPr="00F93369">
        <w:rPr>
          <w:color w:val="000000"/>
        </w:rPr>
        <w:t>point on district strengths and challenges.</w:t>
      </w:r>
      <w:r w:rsidRPr="00285AF8">
        <w:t xml:space="preserve"> </w:t>
      </w:r>
      <w:r w:rsidRPr="007170FE">
        <w:t xml:space="preserve">Overall, turnover did not appear to adversely impact sustainability of </w:t>
      </w:r>
      <w:r w:rsidR="00A62A77">
        <w:t xml:space="preserve">the </w:t>
      </w:r>
      <w:r w:rsidRPr="007170FE">
        <w:t xml:space="preserve">HR Pilot </w:t>
      </w:r>
      <w:r>
        <w:t>as district and union l</w:t>
      </w:r>
      <w:r w:rsidRPr="007170FE">
        <w:t xml:space="preserve">eaders </w:t>
      </w:r>
      <w:r>
        <w:t xml:space="preserve">maintained their </w:t>
      </w:r>
      <w:r w:rsidRPr="007170FE">
        <w:t>commit</w:t>
      </w:r>
      <w:r>
        <w:t>ment</w:t>
      </w:r>
      <w:r w:rsidRPr="007170FE">
        <w:t xml:space="preserve"> to</w:t>
      </w:r>
      <w:r w:rsidR="00E51157">
        <w:t xml:space="preserve"> </w:t>
      </w:r>
      <w:r w:rsidR="00407C72">
        <w:t xml:space="preserve">meet regularly to </w:t>
      </w:r>
      <w:r w:rsidRPr="007170FE">
        <w:t xml:space="preserve">work through </w:t>
      </w:r>
      <w:r>
        <w:t xml:space="preserve">any implementation </w:t>
      </w:r>
      <w:r w:rsidRPr="007170FE">
        <w:t>challenges</w:t>
      </w:r>
      <w:r w:rsidR="00407C72">
        <w:t>.</w:t>
      </w:r>
      <w:r>
        <w:t xml:space="preserve"> </w:t>
      </w:r>
    </w:p>
    <w:p w:rsidR="007D388E" w:rsidRPr="00B01909" w:rsidRDefault="007D388E" w:rsidP="0083023B">
      <w:pPr>
        <w:pStyle w:val="Heading1"/>
      </w:pPr>
      <w:bookmarkStart w:id="54" w:name="_Toc393717740"/>
      <w:bookmarkStart w:id="55" w:name="_Toc394916543"/>
      <w:bookmarkStart w:id="56" w:name="_Toc399828631"/>
      <w:r w:rsidRPr="00B01909">
        <w:t>Communication and Buy-in</w:t>
      </w:r>
      <w:bookmarkEnd w:id="54"/>
      <w:bookmarkEnd w:id="55"/>
      <w:bookmarkEnd w:id="56"/>
      <w:r w:rsidRPr="00B01909">
        <w:t xml:space="preserve"> </w:t>
      </w:r>
    </w:p>
    <w:p w:rsidR="007D388E" w:rsidRDefault="007D388E" w:rsidP="0035181C">
      <w:pPr>
        <w:pStyle w:val="BodyText"/>
      </w:pPr>
      <w:r>
        <w:t xml:space="preserve">District change efforts demand clear communication with stakeholders to develop a shared understanding and engage staff in the reform </w:t>
      </w:r>
      <w:r w:rsidR="00850658">
        <w:t>(Dee, Henkin, &amp; Duemer, 2003; Hollingsworth, 2012)</w:t>
      </w:r>
      <w:r>
        <w:t xml:space="preserve">. Pursuing a communications strategy that effectively conveyed to stakeholders the purpose of the HR Pilot and important related changes was an ongoing district effort aided by the committee structures that offered broad-based participation. </w:t>
      </w:r>
    </w:p>
    <w:p w:rsidR="007D388E" w:rsidRDefault="007D388E" w:rsidP="00891FDD">
      <w:pPr>
        <w:pStyle w:val="Heading-Call-Out"/>
      </w:pPr>
      <w:r>
        <w:t>B</w:t>
      </w:r>
      <w:r w:rsidRPr="006B6773">
        <w:t xml:space="preserve">road-based participation </w:t>
      </w:r>
      <w:r>
        <w:t>sanctioned teacher inp</w:t>
      </w:r>
      <w:r w:rsidR="00CD2F46">
        <w:t>ut into district decisionmaking</w:t>
      </w:r>
      <w:r w:rsidR="003A5A25">
        <w:t>.</w:t>
      </w:r>
      <w:r w:rsidR="00F925BF">
        <w:t xml:space="preserve"> </w:t>
      </w:r>
    </w:p>
    <w:p w:rsidR="007D388E" w:rsidRDefault="00103964" w:rsidP="00A65D4C">
      <w:pPr>
        <w:pStyle w:val="BodyText"/>
      </w:pPr>
      <w:r>
        <w:rPr>
          <w:noProof/>
        </w:rPr>
        <w:pict>
          <v:roundrect id="Text Box 9" o:spid="_x0000_s1028" style="position:absolute;left:0;text-align:left;margin-left:291.4pt;margin-top:162.9pt;width:171.75pt;height:133.5pt;z-index:251651072;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" strokecolor="#558ed5" strokeweight="2.25pt">
            <v:textbox>
              <w:txbxContent>
                <w:p w:rsidR="00231C50" w:rsidRPr="00306C97" w:rsidRDefault="00231C50" w:rsidP="003530F1">
                  <w:pPr>
                    <w:pStyle w:val="Pulloutquotetext"/>
                    <w:ind w:firstLine="0"/>
                  </w:pPr>
                  <w:r w:rsidRPr="00306C97">
                    <w:t xml:space="preserve">“[Sharing information on subcommittees is important] to show how much ‘say’ teachers have in the decisionmaking process, which will increase our credibility, since it will show that teachers and administrators are presenting their ideas together.” </w:t>
                  </w:r>
                </w:p>
                <w:p w:rsidR="00231C50" w:rsidRPr="005D23A1" w:rsidRDefault="00231C50" w:rsidP="00FC7AB5">
                  <w:pPr>
                    <w:pStyle w:val="Pulloutquoteitalic"/>
                  </w:pPr>
                  <w:r w:rsidRPr="005D23A1">
                    <w:t>-District Administrator</w:t>
                  </w:r>
                </w:p>
              </w:txbxContent>
            </v:textbox>
            <w10:wrap type="square"/>
          </v:roundrect>
        </w:pict>
      </w:r>
      <w:r w:rsidR="007D388E" w:rsidRPr="00CD3EBE">
        <w:t xml:space="preserve">The </w:t>
      </w:r>
      <w:r w:rsidR="007D388E">
        <w:t xml:space="preserve">local </w:t>
      </w:r>
      <w:r w:rsidR="007D388E" w:rsidRPr="00CD3EBE">
        <w:t>committee structure</w:t>
      </w:r>
      <w:r w:rsidR="007D388E">
        <w:t>s</w:t>
      </w:r>
      <w:r w:rsidR="007D388E" w:rsidRPr="00CD3EBE">
        <w:t xml:space="preserve"> </w:t>
      </w:r>
      <w:r w:rsidR="007D388E">
        <w:t xml:space="preserve">established for </w:t>
      </w:r>
      <w:r w:rsidR="007D388E" w:rsidRPr="00CD3EBE">
        <w:t>the HR Pilot project created opportunities for districts to engage a</w:t>
      </w:r>
      <w:r w:rsidR="007D388E">
        <w:t>n expanded</w:t>
      </w:r>
      <w:r w:rsidR="00403FFF">
        <w:t>,</w:t>
      </w:r>
      <w:r w:rsidR="007D388E">
        <w:t xml:space="preserve"> albeit still</w:t>
      </w:r>
      <w:r w:rsidR="007D388E" w:rsidRPr="00CD3EBE">
        <w:t xml:space="preserve"> limited</w:t>
      </w:r>
      <w:r w:rsidR="00403FFF">
        <w:t>,</w:t>
      </w:r>
      <w:r w:rsidR="007D388E" w:rsidRPr="00CD3EBE">
        <w:t xml:space="preserve"> number of teachers into the districts’ decisionmaking process</w:t>
      </w:r>
      <w:r w:rsidR="007D388E">
        <w:t xml:space="preserve">. </w:t>
      </w:r>
      <w:r w:rsidR="007D388E" w:rsidRPr="00CD3EBE">
        <w:t xml:space="preserve">Initially, school staff and district administrators who served on committees actively participated in developing plans and recommending </w:t>
      </w:r>
      <w:r w:rsidR="007D388E">
        <w:t>polic</w:t>
      </w:r>
      <w:r w:rsidR="00403FFF">
        <w:t>y</w:t>
      </w:r>
      <w:r w:rsidR="007D388E">
        <w:t xml:space="preserve"> revisions </w:t>
      </w:r>
      <w:r w:rsidR="007D388E" w:rsidRPr="00CD3EBE">
        <w:t>or adoption</w:t>
      </w:r>
      <w:r w:rsidR="007D388E">
        <w:t>s</w:t>
      </w:r>
      <w:r w:rsidR="007D388E" w:rsidRPr="00CD3EBE">
        <w:t>.</w:t>
      </w:r>
      <w:r w:rsidR="007D388E">
        <w:t xml:space="preserve"> As </w:t>
      </w:r>
      <w:r w:rsidR="007D388E" w:rsidRPr="00CD3EBE">
        <w:t xml:space="preserve">districts added more teachers to the </w:t>
      </w:r>
      <w:r w:rsidR="007D388E">
        <w:t xml:space="preserve">lever </w:t>
      </w:r>
      <w:r w:rsidR="007D388E" w:rsidRPr="00CD3EBE">
        <w:t>committees</w:t>
      </w:r>
      <w:r w:rsidR="007D388E">
        <w:t>,</w:t>
      </w:r>
      <w:r w:rsidR="007D388E" w:rsidRPr="00CD3EBE">
        <w:t xml:space="preserve"> multiple representatives at each school </w:t>
      </w:r>
      <w:r w:rsidR="007D388E">
        <w:t xml:space="preserve">became </w:t>
      </w:r>
      <w:r w:rsidR="007D388E" w:rsidRPr="00CD3EBE">
        <w:t xml:space="preserve">invested in the HR Pilot </w:t>
      </w:r>
      <w:r w:rsidR="007D388E">
        <w:t xml:space="preserve">project </w:t>
      </w:r>
      <w:r w:rsidR="007D388E" w:rsidRPr="00CD3EBE">
        <w:t>and act</w:t>
      </w:r>
      <w:r w:rsidR="007D388E">
        <w:t>ed</w:t>
      </w:r>
      <w:r w:rsidR="007D388E" w:rsidRPr="00CD3EBE">
        <w:t xml:space="preserve"> as messengers</w:t>
      </w:r>
      <w:r w:rsidR="007D388E">
        <w:t xml:space="preserve"> </w:t>
      </w:r>
      <w:r w:rsidR="00CB4D65">
        <w:t xml:space="preserve">to and </w:t>
      </w:r>
      <w:r w:rsidR="007D388E">
        <w:t>from other teachers in their schools</w:t>
      </w:r>
      <w:r w:rsidR="007D388E" w:rsidRPr="00CD3EBE">
        <w:t xml:space="preserve">. </w:t>
      </w:r>
    </w:p>
    <w:p w:rsidR="007D388E" w:rsidRPr="00D07641" w:rsidRDefault="007D388E" w:rsidP="0035181C">
      <w:pPr>
        <w:pStyle w:val="BodyText"/>
      </w:pPr>
      <w:r w:rsidRPr="00CD3EBE">
        <w:t>As the HR Pilot progressed, district leaders realized the importance of</w:t>
      </w:r>
      <w:r w:rsidRPr="005E016A">
        <w:t xml:space="preserve"> </w:t>
      </w:r>
      <w:r>
        <w:t xml:space="preserve">creating </w:t>
      </w:r>
      <w:r w:rsidRPr="00CD3EBE">
        <w:t>broader educator buy-in and shared understanding about their local HR Pilot projects</w:t>
      </w:r>
      <w:r>
        <w:t xml:space="preserve"> to garner </w:t>
      </w:r>
      <w:r w:rsidR="00E33566">
        <w:t xml:space="preserve">teachers’ </w:t>
      </w:r>
      <w:r>
        <w:t xml:space="preserve">support for any policy or practice changes </w:t>
      </w:r>
      <w:r w:rsidR="00E33566">
        <w:t xml:space="preserve">resulting from </w:t>
      </w:r>
      <w:r w:rsidRPr="00CD3EBE">
        <w:t>the HR Pilot project</w:t>
      </w:r>
      <w:r>
        <w:t>.</w:t>
      </w:r>
      <w:r w:rsidRPr="00CD3EBE">
        <w:t xml:space="preserve"> </w:t>
      </w:r>
      <w:r>
        <w:t>District leaders used a variety of communication strategies (e.g.</w:t>
      </w:r>
      <w:r w:rsidR="001F6E04">
        <w:t>,</w:t>
      </w:r>
      <w:r>
        <w:t xml:space="preserve"> newsletters to staff) to share information about the initiative districtwide. For example, one</w:t>
      </w:r>
      <w:r w:rsidRPr="00CD3EBE">
        <w:t xml:space="preserve"> district leader developed a presentation and script for each principal to </w:t>
      </w:r>
      <w:r w:rsidR="00CF0F03">
        <w:t xml:space="preserve">use </w:t>
      </w:r>
      <w:r w:rsidRPr="00CD3EBE">
        <w:t xml:space="preserve">at the year-end staff meeting. The presentation shared the accomplishments of each </w:t>
      </w:r>
      <w:r>
        <w:t xml:space="preserve">lever </w:t>
      </w:r>
      <w:r w:rsidRPr="00CD3EBE">
        <w:t xml:space="preserve">committee and placed the work in the larger context of overall district efforts to improve teaching expertise. </w:t>
      </w:r>
    </w:p>
    <w:p w:rsidR="002A3516" w:rsidRDefault="002A3516">
      <w:pPr>
        <w:rPr>
          <w:b/>
        </w:rPr>
      </w:pPr>
      <w:r>
        <w:br w:type="page"/>
      </w:r>
    </w:p>
    <w:p w:rsidR="007D388E" w:rsidRDefault="007D388E" w:rsidP="00891FDD">
      <w:pPr>
        <w:pStyle w:val="Heading-Call-Out"/>
      </w:pPr>
      <w:r>
        <w:t>D</w:t>
      </w:r>
      <w:r w:rsidRPr="006B6773">
        <w:t>istrict effo</w:t>
      </w:r>
      <w:r>
        <w:t>rts to communicate the work broa</w:t>
      </w:r>
      <w:r w:rsidR="00836B7E">
        <w:t>dly remained a work in progress</w:t>
      </w:r>
      <w:r w:rsidR="0086737F">
        <w:t>.</w:t>
      </w:r>
    </w:p>
    <w:p w:rsidR="007D388E" w:rsidRDefault="007C61B9" w:rsidP="0035181C">
      <w:pPr>
        <w:pStyle w:val="BodyText"/>
      </w:pPr>
      <w:r>
        <w:t xml:space="preserve">Notwithstanding the </w:t>
      </w:r>
      <w:r w:rsidR="00905CF5">
        <w:t>broad participation o</w:t>
      </w:r>
      <w:r w:rsidR="003B4EC5">
        <w:t xml:space="preserve">n the lever committees, </w:t>
      </w:r>
      <w:r w:rsidR="007D388E" w:rsidRPr="00CD3EBE">
        <w:t>the majority of staff not directly involved in the HR Pilot</w:t>
      </w:r>
      <w:r w:rsidR="007D388E">
        <w:t xml:space="preserve"> still </w:t>
      </w:r>
      <w:r w:rsidR="007D388E" w:rsidRPr="00CD3EBE">
        <w:t>knew little about the purposes and goals of the initiative</w:t>
      </w:r>
      <w:r w:rsidR="00D21BD6">
        <w:t xml:space="preserve">. </w:t>
      </w:r>
      <w:r w:rsidR="003B4EC5">
        <w:t>In considering their respective communication strategies, d</w:t>
      </w:r>
      <w:r w:rsidR="006502E0">
        <w:t xml:space="preserve">istrict leaders </w:t>
      </w:r>
      <w:r w:rsidR="00C53F83">
        <w:t>struggle</w:t>
      </w:r>
      <w:r w:rsidR="003B4EC5">
        <w:t>d</w:t>
      </w:r>
      <w:r w:rsidR="006502E0">
        <w:t xml:space="preserve"> to determine the best time to share ongoing committee work</w:t>
      </w:r>
      <w:r w:rsidR="003B4EC5">
        <w:t>.</w:t>
      </w:r>
      <w:r w:rsidR="006502E0">
        <w:t xml:space="preserve"> For example, o</w:t>
      </w:r>
      <w:r w:rsidR="006502E0" w:rsidRPr="00CD3EBE" w:rsidDel="00FC5A25">
        <w:t xml:space="preserve">ne district representative reported a reluctance to roll out committee plans for changing district policies and practices until everyone involved clearly understood the implications and expected outcomes of HR Pilot work for the district. </w:t>
      </w:r>
      <w:r w:rsidR="003B4EC5">
        <w:t>District leaders thus tended to limit widespread communication about the HR Pilot committees’ efforts</w:t>
      </w:r>
      <w:r w:rsidR="0086737F">
        <w:t>,</w:t>
      </w:r>
      <w:r w:rsidR="003B4EC5">
        <w:t xml:space="preserve"> and those </w:t>
      </w:r>
      <w:r w:rsidR="007D388E" w:rsidRPr="00CD3EBE">
        <w:t xml:space="preserve">who did not serve on committees did not link </w:t>
      </w:r>
      <w:r w:rsidR="006502E0" w:rsidRPr="00CD3EBE">
        <w:t>newly adopted or revised practice</w:t>
      </w:r>
      <w:r w:rsidR="00114628">
        <w:t>s</w:t>
      </w:r>
      <w:r w:rsidR="006502E0" w:rsidRPr="00CD3EBE">
        <w:t xml:space="preserve"> </w:t>
      </w:r>
      <w:r w:rsidR="006502E0">
        <w:t xml:space="preserve">under one of the levers </w:t>
      </w:r>
      <w:r w:rsidR="007D388E" w:rsidRPr="00CD3EBE">
        <w:t>to the HR project.</w:t>
      </w:r>
      <w:r w:rsidR="007D388E">
        <w:t xml:space="preserve"> </w:t>
      </w:r>
      <w:r w:rsidR="007D388E" w:rsidRPr="00CD3EBE">
        <w:t>For example, many staff in one district expressed enthusiasm for the first district recruitment fair held in spring 2014</w:t>
      </w:r>
      <w:r w:rsidR="0086737F">
        <w:t>,</w:t>
      </w:r>
      <w:r w:rsidR="007D388E" w:rsidRPr="00CD3EBE">
        <w:t xml:space="preserve"> but did not associate it with the </w:t>
      </w:r>
      <w:r w:rsidR="00BA59B2">
        <w:t>r</w:t>
      </w:r>
      <w:r w:rsidR="007D388E" w:rsidRPr="00CD3EBE">
        <w:t xml:space="preserve">ecruitment, </w:t>
      </w:r>
      <w:r w:rsidR="00BA59B2">
        <w:t>h</w:t>
      </w:r>
      <w:r w:rsidR="007D388E" w:rsidRPr="00CD3EBE">
        <w:t xml:space="preserve">iring, and </w:t>
      </w:r>
      <w:r w:rsidR="00BA59B2">
        <w:t>p</w:t>
      </w:r>
      <w:r w:rsidR="007D388E" w:rsidRPr="00CD3EBE">
        <w:t xml:space="preserve">lacement committee that spearheaded the fair. </w:t>
      </w:r>
      <w:r w:rsidR="00114628">
        <w:t>W</w:t>
      </w:r>
      <w:r w:rsidR="007D388E" w:rsidRPr="00CD3EBE">
        <w:t xml:space="preserve">hen </w:t>
      </w:r>
      <w:proofErr w:type="gramStart"/>
      <w:r w:rsidR="007D388E" w:rsidRPr="00CD3EBE">
        <w:t>staff were</w:t>
      </w:r>
      <w:proofErr w:type="gramEnd"/>
      <w:r w:rsidR="007D388E" w:rsidRPr="00CD3EBE">
        <w:t xml:space="preserve"> aware of changes to HR policies or practices, they had limited knowledge that committees with broad representation generated them.</w:t>
      </w:r>
      <w:r w:rsidR="007D388E">
        <w:t xml:space="preserve"> </w:t>
      </w:r>
      <w:r w:rsidR="007D388E" w:rsidRPr="00CD3EBE">
        <w:t xml:space="preserve">While it </w:t>
      </w:r>
      <w:r w:rsidR="00114628">
        <w:t>wa</w:t>
      </w:r>
      <w:r w:rsidR="007D388E" w:rsidRPr="00CD3EBE">
        <w:t xml:space="preserve">s not necessary to “brand” every change </w:t>
      </w:r>
      <w:r w:rsidR="00114628">
        <w:t xml:space="preserve">under the </w:t>
      </w:r>
      <w:r w:rsidR="007D388E" w:rsidRPr="00CD3EBE">
        <w:t xml:space="preserve">HR Pilot, the consequence of not knowing that </w:t>
      </w:r>
      <w:r w:rsidR="00114628">
        <w:t xml:space="preserve">broad-based educator participation generated the </w:t>
      </w:r>
      <w:r w:rsidR="007D388E" w:rsidRPr="00CD3EBE">
        <w:t xml:space="preserve">changes </w:t>
      </w:r>
      <w:r w:rsidR="007D388E">
        <w:t>mean</w:t>
      </w:r>
      <w:r w:rsidR="00114628">
        <w:t>t</w:t>
      </w:r>
      <w:r w:rsidR="007D388E" w:rsidRPr="00CD3EBE">
        <w:t xml:space="preserve"> that stakeholders </w:t>
      </w:r>
      <w:r w:rsidR="00114628">
        <w:t xml:space="preserve">might have </w:t>
      </w:r>
      <w:r w:rsidR="00C67ABC">
        <w:t>be</w:t>
      </w:r>
      <w:r w:rsidR="00114628">
        <w:t>en</w:t>
      </w:r>
      <w:r w:rsidR="00C67ABC">
        <w:t xml:space="preserve"> </w:t>
      </w:r>
      <w:r w:rsidR="007D388E">
        <w:t>less likely to value the</w:t>
      </w:r>
      <w:r w:rsidR="00114628">
        <w:t xml:space="preserve"> changes</w:t>
      </w:r>
      <w:r w:rsidR="00C67ABC">
        <w:t>, view them as legitimate,</w:t>
      </w:r>
      <w:r w:rsidR="007D388E">
        <w:t xml:space="preserve"> or understand the connections between and among the changes.</w:t>
      </w:r>
    </w:p>
    <w:p w:rsidR="007D388E" w:rsidRPr="00B01909" w:rsidRDefault="007D388E" w:rsidP="0083023B">
      <w:pPr>
        <w:pStyle w:val="Heading1"/>
      </w:pPr>
      <w:bookmarkStart w:id="57" w:name="_Toc393717742"/>
      <w:bookmarkStart w:id="58" w:name="_Toc394916544"/>
      <w:bookmarkStart w:id="59" w:name="_Toc399828632"/>
      <w:r w:rsidRPr="00B01909">
        <w:t>Technical Assistance</w:t>
      </w:r>
      <w:bookmarkEnd w:id="57"/>
      <w:bookmarkEnd w:id="58"/>
      <w:bookmarkEnd w:id="59"/>
    </w:p>
    <w:p w:rsidR="007D388E" w:rsidRDefault="007D388E" w:rsidP="0035181C">
      <w:pPr>
        <w:pStyle w:val="BodyText"/>
      </w:pPr>
      <w:r w:rsidRPr="007170FE">
        <w:t>WGEE served as</w:t>
      </w:r>
      <w:r>
        <w:t xml:space="preserve"> the</w:t>
      </w:r>
      <w:r w:rsidRPr="007170FE">
        <w:t xml:space="preserve"> technical assistance provider to the three HR districts</w:t>
      </w:r>
      <w:r>
        <w:t xml:space="preserve">, </w:t>
      </w:r>
      <w:r w:rsidRPr="007170FE">
        <w:t>provid</w:t>
      </w:r>
      <w:r>
        <w:t>ing</w:t>
      </w:r>
      <w:r w:rsidRPr="007170FE">
        <w:t xml:space="preserve"> a </w:t>
      </w:r>
      <w:r>
        <w:t xml:space="preserve">suite </w:t>
      </w:r>
      <w:r w:rsidRPr="007170FE">
        <w:t xml:space="preserve">of supports including cross-district and district-specific </w:t>
      </w:r>
      <w:r>
        <w:t>assistance</w:t>
      </w:r>
      <w:r w:rsidRPr="007170FE">
        <w:t xml:space="preserve">. The </w:t>
      </w:r>
      <w:r w:rsidR="0003121E">
        <w:t>technical assistance</w:t>
      </w:r>
      <w:r>
        <w:t xml:space="preserve"> </w:t>
      </w:r>
      <w:r w:rsidR="00E33566">
        <w:t xml:space="preserve">providers </w:t>
      </w:r>
      <w:r>
        <w:t xml:space="preserve">offered </w:t>
      </w:r>
      <w:r w:rsidRPr="007170FE">
        <w:t>three levels of customization</w:t>
      </w:r>
      <w:r>
        <w:t>:</w:t>
      </w:r>
      <w:r w:rsidRPr="007170FE">
        <w:t xml:space="preserve"> </w:t>
      </w:r>
      <w:r w:rsidR="005E2D80">
        <w:t>a</w:t>
      </w:r>
      <w:r w:rsidRPr="007170FE">
        <w:t xml:space="preserve">) cross-district colloquia intended to inform district representatives of key </w:t>
      </w:r>
      <w:r>
        <w:t xml:space="preserve">HR </w:t>
      </w:r>
      <w:r w:rsidR="00775092">
        <w:t xml:space="preserve">Pilot </w:t>
      </w:r>
      <w:r>
        <w:t xml:space="preserve">implementation </w:t>
      </w:r>
      <w:r w:rsidRPr="007170FE">
        <w:t>issues and provide time for cross-talk among the district</w:t>
      </w:r>
      <w:r>
        <w:t>;</w:t>
      </w:r>
      <w:r w:rsidRPr="007170FE">
        <w:t xml:space="preserve"> </w:t>
      </w:r>
      <w:r w:rsidR="005E2D80">
        <w:t>b</w:t>
      </w:r>
      <w:r w:rsidRPr="007170FE">
        <w:t xml:space="preserve">) resources </w:t>
      </w:r>
      <w:r w:rsidR="00E33566">
        <w:t xml:space="preserve">provided </w:t>
      </w:r>
      <w:r w:rsidRPr="007170FE">
        <w:t>directly to district</w:t>
      </w:r>
      <w:r>
        <w:t>s</w:t>
      </w:r>
      <w:r w:rsidRPr="007170FE">
        <w:t xml:space="preserve"> to help them address implementation challenges; and </w:t>
      </w:r>
      <w:r w:rsidR="005E2D80">
        <w:t>c</w:t>
      </w:r>
      <w:r w:rsidRPr="007170FE">
        <w:t>) a coherence coach to work with each district to facilitate the implementation process.</w:t>
      </w:r>
      <w:r>
        <w:t xml:space="preserve"> The effectiveness of the </w:t>
      </w:r>
      <w:r w:rsidR="00775092">
        <w:t>technical assistance</w:t>
      </w:r>
      <w:r>
        <w:t xml:space="preserve"> varied across activities and across district contexts. </w:t>
      </w:r>
    </w:p>
    <w:p w:rsidR="007D388E" w:rsidRDefault="007D388E" w:rsidP="00891FDD">
      <w:pPr>
        <w:pStyle w:val="Heading-Call-Out"/>
      </w:pPr>
      <w:r w:rsidRPr="00B55BB5">
        <w:t>Districts generally valued WGEE-sponsored events</w:t>
      </w:r>
      <w:r>
        <w:t xml:space="preserve"> and district-specific consulting</w:t>
      </w:r>
      <w:r w:rsidR="00A70934">
        <w:t>.</w:t>
      </w:r>
      <w:r>
        <w:t xml:space="preserve"> </w:t>
      </w:r>
    </w:p>
    <w:p w:rsidR="005E101C" w:rsidRDefault="007D388E" w:rsidP="0035181C">
      <w:pPr>
        <w:pStyle w:val="BodyText"/>
      </w:pPr>
      <w:r w:rsidRPr="007170FE">
        <w:t xml:space="preserve">A significant component of the </w:t>
      </w:r>
      <w:r w:rsidR="00A70934">
        <w:t>technical assistance</w:t>
      </w:r>
      <w:r w:rsidRPr="007170FE">
        <w:t xml:space="preserve"> </w:t>
      </w:r>
      <w:r w:rsidR="00ED1F05">
        <w:t xml:space="preserve">of the grant </w:t>
      </w:r>
      <w:r w:rsidRPr="007170FE">
        <w:t>was cross-district meetings.</w:t>
      </w:r>
      <w:r>
        <w:t xml:space="preserve"> </w:t>
      </w:r>
      <w:r w:rsidRPr="007170FE">
        <w:t xml:space="preserve">A team of </w:t>
      </w:r>
      <w:r w:rsidR="002E01C6">
        <w:t>8</w:t>
      </w:r>
      <w:r w:rsidR="002E01C6" w:rsidRPr="007170FE">
        <w:t xml:space="preserve"> </w:t>
      </w:r>
      <w:r w:rsidRPr="007170FE">
        <w:t>to 12 members from each district typically attended the</w:t>
      </w:r>
      <w:r>
        <w:t>se</w:t>
      </w:r>
      <w:r w:rsidRPr="007170FE">
        <w:t xml:space="preserve"> meetings</w:t>
      </w:r>
      <w:r>
        <w:t>,</w:t>
      </w:r>
      <w:r w:rsidRPr="007170FE">
        <w:t xml:space="preserve"> held monthly during the school year </w:t>
      </w:r>
      <w:r w:rsidR="000E5E95">
        <w:t>and</w:t>
      </w:r>
      <w:r w:rsidRPr="007170FE">
        <w:t xml:space="preserve"> </w:t>
      </w:r>
      <w:r w:rsidR="00C71979">
        <w:t xml:space="preserve">once </w:t>
      </w:r>
      <w:r w:rsidRPr="007170FE">
        <w:t>annual</w:t>
      </w:r>
      <w:r w:rsidR="000E5E95">
        <w:t>ly as a</w:t>
      </w:r>
      <w:r w:rsidRPr="007170FE">
        <w:t xml:space="preserve"> summer institute. During the first year, each meeting focused on a specific lever</w:t>
      </w:r>
      <w:r>
        <w:t xml:space="preserve"> and allowed</w:t>
      </w:r>
      <w:r w:rsidRPr="007170FE">
        <w:t xml:space="preserve"> districts to identify issues and plan changes </w:t>
      </w:r>
      <w:r>
        <w:t>for each</w:t>
      </w:r>
      <w:r w:rsidRPr="007170FE">
        <w:t xml:space="preserve"> lever. As </w:t>
      </w:r>
      <w:r w:rsidR="00E33566">
        <w:t xml:space="preserve">the </w:t>
      </w:r>
      <w:r w:rsidRPr="007170FE">
        <w:t xml:space="preserve">HR Pilot progressed, WGEE provided content experts on a variety of topics. </w:t>
      </w:r>
      <w:r w:rsidR="005E101C">
        <w:t>S</w:t>
      </w:r>
      <w:r w:rsidR="005E101C" w:rsidRPr="000212E3">
        <w:t>ome of the colloquia topics (e.g.</w:t>
      </w:r>
      <w:r w:rsidR="009F2F9C">
        <w:t>,</w:t>
      </w:r>
      <w:r w:rsidR="005E101C" w:rsidRPr="000212E3">
        <w:t xml:space="preserve"> </w:t>
      </w:r>
      <w:r w:rsidR="005E101C">
        <w:t>c</w:t>
      </w:r>
      <w:r w:rsidR="005E101C" w:rsidRPr="000212E3">
        <w:t xml:space="preserve">ultural </w:t>
      </w:r>
      <w:r w:rsidR="005E101C">
        <w:t>p</w:t>
      </w:r>
      <w:r w:rsidR="005E101C" w:rsidRPr="000212E3">
        <w:t xml:space="preserve">roficiency, </w:t>
      </w:r>
      <w:r w:rsidR="005E101C">
        <w:t>p</w:t>
      </w:r>
      <w:r w:rsidR="005E101C" w:rsidRPr="000212E3">
        <w:t xml:space="preserve">eer </w:t>
      </w:r>
      <w:r w:rsidR="005E101C">
        <w:t>a</w:t>
      </w:r>
      <w:r w:rsidR="005E101C" w:rsidRPr="000212E3">
        <w:t xml:space="preserve">ssistance) resonated with the districts, either because the speaker offered powerful insights or the topic fit with the next steps districts were ready to take in implementing specific strategies under </w:t>
      </w:r>
      <w:r w:rsidR="009F2F9C">
        <w:t xml:space="preserve">the </w:t>
      </w:r>
      <w:r w:rsidR="005E101C" w:rsidRPr="000212E3">
        <w:t>HR Pilot.</w:t>
      </w:r>
    </w:p>
    <w:p w:rsidR="00F925BF" w:rsidRDefault="00F925BF">
      <w:pPr>
        <w:rPr>
          <w:rFonts w:eastAsia="Times New Roman"/>
        </w:rPr>
      </w:pPr>
      <w:r>
        <w:br w:type="page"/>
      </w:r>
    </w:p>
    <w:p w:rsidR="007D388E" w:rsidRDefault="007D388E" w:rsidP="00B41569">
      <w:pPr>
        <w:pStyle w:val="BodyText"/>
        <w:rPr>
          <w:color w:val="000000"/>
        </w:rPr>
      </w:pPr>
      <w:r>
        <w:t>Separate c</w:t>
      </w:r>
      <w:r w:rsidRPr="007170FE">
        <w:t xml:space="preserve">ross-district meetings </w:t>
      </w:r>
      <w:r>
        <w:t xml:space="preserve">gathered together </w:t>
      </w:r>
      <w:r w:rsidRPr="007170FE">
        <w:t xml:space="preserve">role-alike groups </w:t>
      </w:r>
      <w:r>
        <w:t xml:space="preserve">so that union leaders, district administrators, and school administrators could </w:t>
      </w:r>
      <w:r w:rsidRPr="007170FE">
        <w:t xml:space="preserve">share </w:t>
      </w:r>
      <w:r>
        <w:t>strategies and challenges specific to their respective role</w:t>
      </w:r>
      <w:r w:rsidR="00E33566">
        <w:t>s</w:t>
      </w:r>
      <w:r w:rsidRPr="007170FE">
        <w:t xml:space="preserve">. </w:t>
      </w:r>
      <w:r w:rsidRPr="000212E3">
        <w:t xml:space="preserve">District staff reported </w:t>
      </w:r>
      <w:r w:rsidR="003B05F2">
        <w:t xml:space="preserve">that </w:t>
      </w:r>
      <w:r w:rsidRPr="000212E3">
        <w:t xml:space="preserve">cross-district meetings were generally useful for learning about </w:t>
      </w:r>
      <w:r>
        <w:t>how</w:t>
      </w:r>
      <w:r w:rsidRPr="000212E3">
        <w:t xml:space="preserve"> other HR Pilot districts were </w:t>
      </w:r>
      <w:r>
        <w:t>revising policies for</w:t>
      </w:r>
      <w:r w:rsidRPr="000212E3">
        <w:t xml:space="preserve"> specific levers, especially if another district had made more progress and could offer lessons learned. </w:t>
      </w:r>
      <w:r>
        <w:t>Nonetheless, when one district implemented changes on very different timelines from the others, these cross-district discussions became less applicable.</w:t>
      </w:r>
      <w:r w:rsidRPr="007E4304">
        <w:t xml:space="preserve"> </w:t>
      </w:r>
    </w:p>
    <w:p w:rsidR="007D388E" w:rsidRDefault="00103964" w:rsidP="0035181C">
      <w:pPr>
        <w:pStyle w:val="BodyText"/>
      </w:pPr>
      <w:r>
        <w:rPr>
          <w:noProof/>
        </w:rPr>
        <w:pict>
          <v:roundrect id="AutoShape 23" o:spid="_x0000_s1027" style="position:absolute;left:0;text-align:left;margin-left:297pt;margin-top:67.45pt;width:180.9pt;height:175.5pt;z-index:251653120;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" filled="f" strokecolor="#558ed5" strokeweight="2.25pt">
            <v:textbox>
              <w:txbxContent>
                <w:p w:rsidR="00231C50" w:rsidRPr="00306C97" w:rsidRDefault="00231C50" w:rsidP="00FC7AB5">
                  <w:pPr>
                    <w:pStyle w:val="Pulloutquoteitalic"/>
                  </w:pPr>
                  <w:r w:rsidRPr="00306C97">
                    <w:t xml:space="preserve">“Working without other teams would not be as beneficial because we [districts] become very insular, and really see things only the way we want to see them. </w:t>
                  </w:r>
                  <w:r>
                    <w:t>[It’s] g</w:t>
                  </w:r>
                  <w:r w:rsidRPr="00306C97">
                    <w:t>ood to have this other lens of critical friends, and hear what they are doing to shape your own thought process. If not…it just becomes too tempting to do [things] the way [they were] always done.</w:t>
                  </w:r>
                  <w:r>
                    <w:t>”</w:t>
                  </w:r>
                </w:p>
                <w:p w:rsidR="00231C50" w:rsidRPr="005D23A1" w:rsidRDefault="00231C50" w:rsidP="00FC7AB5">
                  <w:pPr>
                    <w:pStyle w:val="Pulloutquoteitalic"/>
                  </w:pPr>
                  <w:r w:rsidRPr="005D23A1">
                    <w:t xml:space="preserve">-District administrator </w:t>
                  </w:r>
                </w:p>
              </w:txbxContent>
            </v:textbox>
            <w10:wrap type="square"/>
          </v:roundrect>
        </w:pict>
      </w:r>
      <w:r w:rsidR="007D388E" w:rsidRPr="007170FE">
        <w:t xml:space="preserve">While most district feedback on </w:t>
      </w:r>
      <w:r w:rsidR="007D388E">
        <w:t>colloquia events</w:t>
      </w:r>
      <w:r w:rsidR="007D388E" w:rsidRPr="007170FE">
        <w:t xml:space="preserve"> was positive</w:t>
      </w:r>
      <w:r w:rsidR="007D388E">
        <w:t xml:space="preserve">, WGEE struggled to consistently design meetings </w:t>
      </w:r>
      <w:r w:rsidR="0017444F">
        <w:t xml:space="preserve">that were </w:t>
      </w:r>
      <w:r w:rsidR="007D388E">
        <w:t>well</w:t>
      </w:r>
      <w:r w:rsidR="0017444F">
        <w:t xml:space="preserve"> </w:t>
      </w:r>
      <w:r w:rsidR="007D388E">
        <w:t xml:space="preserve">received by all participants. Some attendees </w:t>
      </w:r>
      <w:r w:rsidR="007D388E" w:rsidRPr="007170FE">
        <w:t>noted that several presentations at WGEE-sponsored events were not helpful because the presenters did not clearly link the content to the issues the districts</w:t>
      </w:r>
      <w:r w:rsidR="007D388E">
        <w:t xml:space="preserve"> were facing. </w:t>
      </w:r>
      <w:r w:rsidR="00B12864">
        <w:t>Moreover,</w:t>
      </w:r>
      <w:r w:rsidR="007D388E">
        <w:t xml:space="preserve"> participants </w:t>
      </w:r>
      <w:r w:rsidR="007D388E" w:rsidRPr="007170FE">
        <w:t xml:space="preserve">often weighed </w:t>
      </w:r>
      <w:r w:rsidR="007D388E">
        <w:t xml:space="preserve">the uncertain benefits </w:t>
      </w:r>
      <w:r w:rsidR="007D388E" w:rsidRPr="007170FE">
        <w:t xml:space="preserve">against the significant time </w:t>
      </w:r>
      <w:r w:rsidR="007D388E">
        <w:t xml:space="preserve">required </w:t>
      </w:r>
      <w:r w:rsidR="007D388E" w:rsidRPr="007170FE">
        <w:t xml:space="preserve">to attend </w:t>
      </w:r>
      <w:r w:rsidR="007D388E">
        <w:t xml:space="preserve">the </w:t>
      </w:r>
      <w:r w:rsidR="007D388E" w:rsidRPr="007170FE">
        <w:t>meetings. In response to these concerns, WGEE sought additional input from districts on relevant topics and held shorter and more focused meetings.</w:t>
      </w:r>
      <w:r w:rsidR="007D388E">
        <w:t xml:space="preserve"> </w:t>
      </w:r>
      <w:r w:rsidR="007D388E" w:rsidRPr="007170FE">
        <w:t xml:space="preserve">Thus, </w:t>
      </w:r>
      <w:r w:rsidR="007D388E">
        <w:t xml:space="preserve">the </w:t>
      </w:r>
      <w:r w:rsidR="002E6767">
        <w:t xml:space="preserve">technical assistance </w:t>
      </w:r>
      <w:r w:rsidR="007D388E" w:rsidRPr="007170FE">
        <w:t xml:space="preserve">at the most general level was seen as </w:t>
      </w:r>
      <w:r w:rsidR="007D388E">
        <w:t>useful</w:t>
      </w:r>
      <w:r w:rsidR="00CC5950">
        <w:t>,</w:t>
      </w:r>
      <w:r w:rsidR="007D388E" w:rsidRPr="007170FE">
        <w:t xml:space="preserve"> </w:t>
      </w:r>
      <w:r w:rsidR="007D388E">
        <w:t>although</w:t>
      </w:r>
      <w:r w:rsidR="007D388E" w:rsidRPr="007170FE">
        <w:t xml:space="preserve"> the time spent </w:t>
      </w:r>
      <w:r w:rsidR="007D388E">
        <w:t xml:space="preserve">away from the district </w:t>
      </w:r>
      <w:r w:rsidR="00E24FE6">
        <w:t>versus the</w:t>
      </w:r>
      <w:r w:rsidR="007D388E" w:rsidRPr="007170FE">
        <w:t xml:space="preserve"> </w:t>
      </w:r>
      <w:r w:rsidR="007D388E">
        <w:t xml:space="preserve">knowledge </w:t>
      </w:r>
      <w:r w:rsidR="007D388E" w:rsidRPr="007170FE">
        <w:t>gained was a concern across districts.</w:t>
      </w:r>
    </w:p>
    <w:p w:rsidR="007D388E" w:rsidRDefault="007D388E" w:rsidP="0035181C">
      <w:pPr>
        <w:pStyle w:val="BodyText"/>
      </w:pPr>
      <w:r>
        <w:t xml:space="preserve">In addition to these cross-district offerings, </w:t>
      </w:r>
      <w:r w:rsidRPr="00CD3EBE">
        <w:t xml:space="preserve">WGEE </w:t>
      </w:r>
      <w:r>
        <w:t xml:space="preserve">offered tailored </w:t>
      </w:r>
      <w:r w:rsidR="00E4633E">
        <w:t>technical assistance</w:t>
      </w:r>
      <w:r w:rsidR="00934943">
        <w:t xml:space="preserve"> </w:t>
      </w:r>
      <w:r>
        <w:t xml:space="preserve">based on needs identified in annual planning meetings with the local HR Pilot leadership. </w:t>
      </w:r>
      <w:r w:rsidRPr="00CD3EBE">
        <w:t>For example, WGEE facilitate</w:t>
      </w:r>
      <w:r>
        <w:t>d</w:t>
      </w:r>
      <w:r w:rsidRPr="00CD3EBE">
        <w:t xml:space="preserve"> </w:t>
      </w:r>
      <w:r w:rsidR="00E4633E">
        <w:t>s</w:t>
      </w:r>
      <w:r>
        <w:t xml:space="preserve">teering </w:t>
      </w:r>
      <w:r w:rsidR="00E4633E">
        <w:t>c</w:t>
      </w:r>
      <w:r>
        <w:t xml:space="preserve">ommittee </w:t>
      </w:r>
      <w:r w:rsidRPr="00CD3EBE">
        <w:t>meetings, produce</w:t>
      </w:r>
      <w:r>
        <w:t>d</w:t>
      </w:r>
      <w:r w:rsidRPr="00CD3EBE">
        <w:t xml:space="preserve"> white papers that drew on the literature for a specific lever, br</w:t>
      </w:r>
      <w:r>
        <w:t>ought</w:t>
      </w:r>
      <w:r w:rsidRPr="00CD3EBE">
        <w:t xml:space="preserve"> in external experts to meet with lever committees, and provide</w:t>
      </w:r>
      <w:r>
        <w:t>d</w:t>
      </w:r>
      <w:r w:rsidRPr="00CD3EBE">
        <w:t xml:space="preserve"> executive coaching for district leaders. </w:t>
      </w:r>
      <w:r>
        <w:t xml:space="preserve">Districts generally viewed these efforts as more valuable because they were more tailored and applicable and in response to direct requests. For instance, </w:t>
      </w:r>
      <w:r w:rsidR="002F2143">
        <w:t>for one district</w:t>
      </w:r>
      <w:r w:rsidR="005D23A1">
        <w:t>,</w:t>
      </w:r>
      <w:r w:rsidR="002F2143">
        <w:t xml:space="preserve"> </w:t>
      </w:r>
      <w:r>
        <w:t>t</w:t>
      </w:r>
      <w:r w:rsidRPr="00CD3EBE">
        <w:t xml:space="preserve">he </w:t>
      </w:r>
      <w:r w:rsidR="00E4633E">
        <w:t xml:space="preserve">technical assistance </w:t>
      </w:r>
      <w:r w:rsidRPr="00CD3EBE">
        <w:t xml:space="preserve">provider developed five protocols of varying complexity for </w:t>
      </w:r>
      <w:r w:rsidR="00E33566">
        <w:t xml:space="preserve">one </w:t>
      </w:r>
      <w:r w:rsidRPr="00CD3EBE">
        <w:t>steering committee to use to make evidence-based decisions about the proposals</w:t>
      </w:r>
      <w:r w:rsidR="003B072E">
        <w:t>,</w:t>
      </w:r>
      <w:r w:rsidRPr="00CD3EBE">
        <w:t xml:space="preserve"> and the district crafted</w:t>
      </w:r>
      <w:r w:rsidR="00A23B57">
        <w:t xml:space="preserve"> its</w:t>
      </w:r>
      <w:r w:rsidRPr="00CD3EBE">
        <w:t xml:space="preserve"> own protocol from the options provided.</w:t>
      </w:r>
    </w:p>
    <w:p w:rsidR="00C7696D" w:rsidRDefault="00C7696D">
      <w:pPr>
        <w:rPr>
          <w:b/>
        </w:rPr>
      </w:pPr>
      <w:r>
        <w:br w:type="page"/>
      </w:r>
    </w:p>
    <w:p w:rsidR="007D388E" w:rsidRDefault="007D388E" w:rsidP="00891FDD">
      <w:pPr>
        <w:pStyle w:val="Heading-Call-Out"/>
      </w:pPr>
      <w:r>
        <w:t>The effectiveness of c</w:t>
      </w:r>
      <w:r w:rsidRPr="00B55BB5">
        <w:t>oherence coach</w:t>
      </w:r>
      <w:r>
        <w:t xml:space="preserve">es’ </w:t>
      </w:r>
      <w:r w:rsidRPr="00B55BB5">
        <w:t>implementation</w:t>
      </w:r>
      <w:r>
        <w:t xml:space="preserve"> support depended on district contexts</w:t>
      </w:r>
      <w:r w:rsidR="003B072E">
        <w:t>.</w:t>
      </w:r>
      <w:r w:rsidRPr="008964C0">
        <w:t xml:space="preserve"> </w:t>
      </w:r>
    </w:p>
    <w:p w:rsidR="007D388E" w:rsidRDefault="007D388E" w:rsidP="0035181C">
      <w:pPr>
        <w:pStyle w:val="BodyText"/>
      </w:pPr>
      <w:r w:rsidRPr="00CD3EBE">
        <w:t xml:space="preserve">At the beginning of the HR Pilot, each district was assigned a coherence coach to meet </w:t>
      </w:r>
      <w:r w:rsidR="00C67ABC">
        <w:t xml:space="preserve">the </w:t>
      </w:r>
      <w:r w:rsidRPr="00CD3EBE">
        <w:t>district</w:t>
      </w:r>
      <w:r w:rsidR="00E33566">
        <w:t>s’ specific</w:t>
      </w:r>
      <w:r w:rsidRPr="00CD3EBE">
        <w:t xml:space="preserve"> needs during implementation.</w:t>
      </w:r>
      <w:r>
        <w:t xml:space="preserve"> </w:t>
      </w:r>
      <w:r w:rsidRPr="00CD3EBE">
        <w:t xml:space="preserve">The </w:t>
      </w:r>
      <w:r w:rsidR="00E33566">
        <w:t xml:space="preserve">coaches’ </w:t>
      </w:r>
      <w:r w:rsidRPr="00CD3EBE">
        <w:t xml:space="preserve">responsibilities varied across districts and included providing support to the district leader, working directly with multiple </w:t>
      </w:r>
      <w:r w:rsidR="00E33566">
        <w:t xml:space="preserve">lever </w:t>
      </w:r>
      <w:r w:rsidRPr="00CD3EBE">
        <w:t xml:space="preserve">committees, facilitating steering committee meetings, and attending the technical assistance sessions. Where the coherence coach </w:t>
      </w:r>
      <w:r>
        <w:t xml:space="preserve">was </w:t>
      </w:r>
      <w:r w:rsidRPr="00CD3EBE">
        <w:t>consistently involved, districts found them useful and</w:t>
      </w:r>
      <w:r>
        <w:t xml:space="preserve"> were</w:t>
      </w:r>
      <w:r w:rsidRPr="00CD3EBE">
        <w:t xml:space="preserve"> grateful for their hands-on help. In those cases, the district administrators in charge of </w:t>
      </w:r>
      <w:r w:rsidR="00E33566">
        <w:t xml:space="preserve">lever </w:t>
      </w:r>
      <w:r w:rsidRPr="00CD3EBE">
        <w:t>committees acknowledge</w:t>
      </w:r>
      <w:r>
        <w:t>d</w:t>
      </w:r>
      <w:r w:rsidRPr="00CD3EBE">
        <w:t xml:space="preserve"> that their work </w:t>
      </w:r>
      <w:r w:rsidR="00E33566">
        <w:t>wa</w:t>
      </w:r>
      <w:r w:rsidRPr="00CD3EBE">
        <w:t>s farther along because the coherence coach helped write the plans. They appreciated having a knowledgeable and capable coach who could keep the district’s HR Pilot on target, for example, by consolidating plans based on subcommittee discussions when district</w:t>
      </w:r>
      <w:r>
        <w:t xml:space="preserve"> leadership</w:t>
      </w:r>
      <w:r w:rsidRPr="00CD3EBE">
        <w:t xml:space="preserve"> capacity to take on this kind of effort was thin. </w:t>
      </w:r>
    </w:p>
    <w:p w:rsidR="007E3F07" w:rsidRDefault="00551699" w:rsidP="0035181C">
      <w:pPr>
        <w:pStyle w:val="BodyText"/>
      </w:pPr>
      <w:r>
        <w:t>Two</w:t>
      </w:r>
      <w:r w:rsidR="007D388E" w:rsidRPr="00CD3EBE">
        <w:t xml:space="preserve"> key factor</w:t>
      </w:r>
      <w:r>
        <w:t>s</w:t>
      </w:r>
      <w:r w:rsidR="007D388E" w:rsidRPr="00CD3EBE">
        <w:t xml:space="preserve"> contributing to the usefulness of the </w:t>
      </w:r>
      <w:r w:rsidR="004E5317">
        <w:t>technical assistance</w:t>
      </w:r>
      <w:r w:rsidR="00934943">
        <w:t xml:space="preserve"> </w:t>
      </w:r>
      <w:r w:rsidR="007D388E" w:rsidRPr="00CD3EBE">
        <w:t>appeared to be the opennes</w:t>
      </w:r>
      <w:r w:rsidR="00E33566">
        <w:t>s of the district to receiving</w:t>
      </w:r>
      <w:r w:rsidR="007D388E">
        <w:t xml:space="preserve"> it and t</w:t>
      </w:r>
      <w:r w:rsidR="004E5317">
        <w:t xml:space="preserve">he </w:t>
      </w:r>
      <w:r w:rsidR="007D388E">
        <w:t>district</w:t>
      </w:r>
      <w:r w:rsidR="00A868B1">
        <w:t>’</w:t>
      </w:r>
      <w:r w:rsidR="007D388E">
        <w:t>s ability to identify a meaningful role</w:t>
      </w:r>
      <w:r w:rsidR="004E5317">
        <w:t xml:space="preserve"> for the coach</w:t>
      </w:r>
      <w:r w:rsidR="007D388E">
        <w:t xml:space="preserve">. </w:t>
      </w:r>
      <w:r w:rsidR="007D388E" w:rsidRPr="00CD3EBE">
        <w:t xml:space="preserve">As coherence coaches provided the most customized </w:t>
      </w:r>
      <w:r w:rsidR="004E5317">
        <w:t xml:space="preserve">technical assistance </w:t>
      </w:r>
      <w:r w:rsidR="007D388E" w:rsidRPr="00CD3EBE">
        <w:t xml:space="preserve">support, </w:t>
      </w:r>
      <w:r w:rsidR="007D388E">
        <w:t xml:space="preserve">in the one district </w:t>
      </w:r>
      <w:r w:rsidR="007D388E" w:rsidRPr="00CD3EBE">
        <w:t>where it worked well, the coach function</w:t>
      </w:r>
      <w:r w:rsidR="007D388E">
        <w:t>ed</w:t>
      </w:r>
      <w:r w:rsidR="007D388E" w:rsidRPr="00CD3EBE">
        <w:t xml:space="preserve"> as a quasi-change agent. In the other two districts, the coach had a narrowly defined role and provided minimal support to the steering and lever committees.</w:t>
      </w:r>
      <w:r w:rsidR="007D388E">
        <w:t xml:space="preserve"> </w:t>
      </w:r>
      <w:r w:rsidR="007D388E" w:rsidRPr="00CD3EBE">
        <w:t xml:space="preserve">By narrowly defining the </w:t>
      </w:r>
      <w:r w:rsidR="00840836">
        <w:t xml:space="preserve">coach’s </w:t>
      </w:r>
      <w:r w:rsidR="007D388E" w:rsidRPr="00CD3EBE">
        <w:t xml:space="preserve">role, those districts might have missed an opportunity to leverage reform expertise </w:t>
      </w:r>
      <w:r w:rsidR="00435791">
        <w:t>to support</w:t>
      </w:r>
      <w:r w:rsidR="007D388E" w:rsidRPr="00CD3EBE">
        <w:t xml:space="preserve"> HR Pilot implementation.</w:t>
      </w:r>
    </w:p>
    <w:p w:rsidR="00F925BF" w:rsidRPr="00F93369" w:rsidRDefault="00F925BF">
      <w:pPr>
        <w:rPr>
          <w:color w:val="000000"/>
        </w:rPr>
      </w:pPr>
      <w:r w:rsidRPr="00F93369">
        <w:rPr>
          <w:color w:val="000000"/>
        </w:rPr>
        <w:br w:type="page"/>
      </w:r>
    </w:p>
    <w:p w:rsidR="00F925BF" w:rsidRPr="00F93369" w:rsidRDefault="00F925BF">
      <w:pPr>
        <w:rPr>
          <w:color w:val="000000"/>
        </w:rPr>
      </w:pPr>
    </w:p>
    <w:p w:rsidR="00F925BF" w:rsidRPr="00F93369" w:rsidRDefault="00F925BF">
      <w:pPr>
        <w:rPr>
          <w:color w:val="000000"/>
        </w:rPr>
      </w:pPr>
    </w:p>
    <w:p w:rsidR="00F739A3" w:rsidRPr="00D52CDF" w:rsidRDefault="00AC62EC" w:rsidP="0056546D">
      <w:pPr>
        <w:pStyle w:val="ChapterTitle"/>
      </w:pPr>
      <w:r w:rsidRPr="00F93369">
        <w:br w:type="page"/>
      </w:r>
      <w:bookmarkStart w:id="60" w:name="_Toc399828633"/>
      <w:r w:rsidR="00F739A3" w:rsidRPr="00D52CDF">
        <w:t>Chapter 5: Sustainability</w:t>
      </w:r>
      <w:bookmarkEnd w:id="60"/>
      <w:r w:rsidR="00F739A3" w:rsidRPr="00D52CDF">
        <w:t xml:space="preserve"> </w:t>
      </w:r>
    </w:p>
    <w:p w:rsidR="00D01286" w:rsidRDefault="00D01286" w:rsidP="0035181C">
      <w:pPr>
        <w:pStyle w:val="BodyText"/>
      </w:pPr>
      <w:r w:rsidRPr="007B5B19">
        <w:t xml:space="preserve">It is too soon to tell if changes </w:t>
      </w:r>
      <w:r>
        <w:t xml:space="preserve">made </w:t>
      </w:r>
      <w:r w:rsidRPr="007B5B19">
        <w:t>under the HR Pilot</w:t>
      </w:r>
      <w:r>
        <w:t xml:space="preserve"> </w:t>
      </w:r>
      <w:r w:rsidR="007748CB">
        <w:t>i</w:t>
      </w:r>
      <w:r>
        <w:t>nitiative</w:t>
      </w:r>
      <w:r w:rsidRPr="007B5B19">
        <w:t xml:space="preserve"> will be sustained in the three pilot districts. However, </w:t>
      </w:r>
      <w:r>
        <w:t>the literature suggests</w:t>
      </w:r>
      <w:r w:rsidRPr="007B5B19">
        <w:t xml:space="preserve"> </w:t>
      </w:r>
      <w:r>
        <w:t xml:space="preserve">that </w:t>
      </w:r>
      <w:r w:rsidRPr="007B5B19">
        <w:t>certain indicators enhance the likelihood of sustaining a project beyond the term of outside support and funding. The indicators include committed</w:t>
      </w:r>
      <w:r>
        <w:t xml:space="preserve"> and visionary</w:t>
      </w:r>
      <w:r w:rsidRPr="007B5B19">
        <w:t xml:space="preserve"> leadership</w:t>
      </w:r>
      <w:r w:rsidR="000B2D30">
        <w:t>,</w:t>
      </w:r>
      <w:r w:rsidRPr="007B5B19">
        <w:t xml:space="preserve"> local ownership of the project</w:t>
      </w:r>
      <w:r w:rsidR="000B2D30">
        <w:t>,</w:t>
      </w:r>
      <w:r w:rsidRPr="007B5B19">
        <w:t xml:space="preserve"> formalization via structures and policies, and the availability of resources to support the changes (</w:t>
      </w:r>
      <w:r>
        <w:t xml:space="preserve">Copland, 2003; </w:t>
      </w:r>
      <w:r w:rsidR="00F02EA3" w:rsidRPr="007B5B19">
        <w:t>Fullan</w:t>
      </w:r>
      <w:r w:rsidR="00F02EA3">
        <w:t>,</w:t>
      </w:r>
      <w:r w:rsidR="00F02EA3" w:rsidRPr="007B5B19">
        <w:t xml:space="preserve"> 2007</w:t>
      </w:r>
      <w:r w:rsidR="00F02EA3">
        <w:t xml:space="preserve">; </w:t>
      </w:r>
      <w:r w:rsidRPr="007B5B19">
        <w:t xml:space="preserve">Nardi </w:t>
      </w:r>
      <w:r>
        <w:t xml:space="preserve">&amp; </w:t>
      </w:r>
      <w:r w:rsidRPr="007B5B19">
        <w:t xml:space="preserve">O’Day, 1999). </w:t>
      </w:r>
      <w:r>
        <w:t xml:space="preserve">This chapter examines the outlook for sustaining the policy and practice changes begun under </w:t>
      </w:r>
      <w:r w:rsidR="00E33566">
        <w:t xml:space="preserve">the </w:t>
      </w:r>
      <w:r>
        <w:t>HR Pilot in terms of these indicators.</w:t>
      </w:r>
    </w:p>
    <w:p w:rsidR="00D01286" w:rsidRPr="008E5F53" w:rsidRDefault="00D01286" w:rsidP="00891FDD">
      <w:pPr>
        <w:pStyle w:val="Heading-Call-Out"/>
      </w:pPr>
      <w:bookmarkStart w:id="61" w:name="_Toc393717744"/>
      <w:r>
        <w:t>District and union leaders</w:t>
      </w:r>
      <w:r w:rsidRPr="008E5F53">
        <w:t xml:space="preserve"> </w:t>
      </w:r>
      <w:r>
        <w:t>m</w:t>
      </w:r>
      <w:r w:rsidRPr="008E5F53">
        <w:t xml:space="preserve">ade </w:t>
      </w:r>
      <w:r>
        <w:t>e</w:t>
      </w:r>
      <w:r w:rsidRPr="008E5F53">
        <w:t xml:space="preserve">xplicit </w:t>
      </w:r>
      <w:r>
        <w:t>c</w:t>
      </w:r>
      <w:r w:rsidRPr="008E5F53">
        <w:t xml:space="preserve">ommitments to </w:t>
      </w:r>
      <w:r>
        <w:t>s</w:t>
      </w:r>
      <w:r w:rsidRPr="008E5F53">
        <w:t xml:space="preserve">ustain the </w:t>
      </w:r>
      <w:r>
        <w:t>w</w:t>
      </w:r>
      <w:r w:rsidRPr="008E5F53">
        <w:t>ork</w:t>
      </w:r>
      <w:bookmarkEnd w:id="61"/>
      <w:r w:rsidR="000748E3">
        <w:t>.</w:t>
      </w:r>
    </w:p>
    <w:p w:rsidR="00D01286" w:rsidRDefault="00D01286" w:rsidP="0035181C">
      <w:pPr>
        <w:pStyle w:val="BodyText"/>
      </w:pPr>
      <w:r>
        <w:t xml:space="preserve">Almost from the start of the initiative, district leaders demonstrated a commitment to continue their efforts to </w:t>
      </w:r>
      <w:r w:rsidRPr="00CD3EBE">
        <w:t>improv</w:t>
      </w:r>
      <w:r>
        <w:t>e</w:t>
      </w:r>
      <w:r w:rsidRPr="00CD3EBE">
        <w:t xml:space="preserve"> human resources policies and practices. </w:t>
      </w:r>
      <w:r>
        <w:t xml:space="preserve">This commitment increased the likelihood that the momentum would be sustained </w:t>
      </w:r>
      <w:r w:rsidR="00640829">
        <w:t xml:space="preserve">both </w:t>
      </w:r>
      <w:r>
        <w:t>in the face of leadership turnover and at the end of the funded period. As mentioned earlier in the report, two districts experienced turnover at the top level. As their departure became more certain, the two superintendents made a variety of decisions intended to sustain the work begun under their leadership. For example, t</w:t>
      </w:r>
      <w:r w:rsidRPr="000212E3">
        <w:t>he</w:t>
      </w:r>
      <w:r>
        <w:t>y</w:t>
      </w:r>
      <w:r w:rsidRPr="000212E3">
        <w:t xml:space="preserve"> incorporated some aspects of the HR Pilot into the </w:t>
      </w:r>
      <w:r>
        <w:t xml:space="preserve">district </w:t>
      </w:r>
      <w:r w:rsidRPr="000212E3">
        <w:t>strategic plan</w:t>
      </w:r>
      <w:r>
        <w:t xml:space="preserve"> that district staff continued to implement. One superintendent </w:t>
      </w:r>
      <w:r w:rsidRPr="000212E3">
        <w:t xml:space="preserve">shifted </w:t>
      </w:r>
      <w:r>
        <w:t xml:space="preserve">local </w:t>
      </w:r>
      <w:r w:rsidRPr="000212E3">
        <w:t xml:space="preserve">HR Pilot leadership to </w:t>
      </w:r>
      <w:r>
        <w:t>an ass</w:t>
      </w:r>
      <w:r w:rsidRPr="000212E3">
        <w:t>ociate superintendent</w:t>
      </w:r>
      <w:r>
        <w:t xml:space="preserve"> in</w:t>
      </w:r>
      <w:r w:rsidRPr="000212E3">
        <w:t xml:space="preserve"> fall 2012</w:t>
      </w:r>
      <w:r>
        <w:t xml:space="preserve"> and provided </w:t>
      </w:r>
      <w:r w:rsidRPr="000212E3">
        <w:t>mentorship before leaving the district in spring 2013.</w:t>
      </w:r>
      <w:r w:rsidR="00934943">
        <w:t xml:space="preserve"> </w:t>
      </w:r>
    </w:p>
    <w:p w:rsidR="00D01286" w:rsidRDefault="00103964" w:rsidP="0035181C">
      <w:pPr>
        <w:pStyle w:val="BodyText"/>
      </w:pPr>
      <w:r>
        <w:rPr>
          <w:noProof/>
        </w:rPr>
        <w:pict>
          <v:roundrect id="Text Box 15" o:spid="_x0000_s1026" style="position:absolute;left:0;text-align:left;margin-left:304.5pt;margin-top:11.15pt;width:171.75pt;height:111.75pt;z-index:251655168;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" filled="f" strokecolor="#558ed5" strokeweight="2.25pt">
            <v:textbox>
              <w:txbxContent>
                <w:p w:rsidR="00231C50" w:rsidRDefault="00231C50" w:rsidP="00FC7AB5">
                  <w:pPr>
                    <w:pStyle w:val="Pulloutquoteitalic"/>
                  </w:pPr>
                  <w:r>
                    <w:t>“</w:t>
                  </w:r>
                  <w:r w:rsidRPr="00CD3EBE">
                    <w:t>We knew this is what we wanted to continue</w:t>
                  </w:r>
                  <w:r>
                    <w:t>….</w:t>
                  </w:r>
                  <w:r w:rsidRPr="00CD3EBE">
                    <w:t xml:space="preserve"> </w:t>
                  </w:r>
                  <w:r>
                    <w:t xml:space="preserve">[We were] </w:t>
                  </w:r>
                  <w:r w:rsidRPr="00CD3EBE">
                    <w:t xml:space="preserve">thinking about sustaining the work long before </w:t>
                  </w:r>
                  <w:r>
                    <w:t xml:space="preserve">[we were] </w:t>
                  </w:r>
                  <w:r w:rsidRPr="00CD3EBE">
                    <w:t xml:space="preserve">asked to think about sustainability.” </w:t>
                  </w:r>
                </w:p>
                <w:p w:rsidR="00231C50" w:rsidRPr="00C7231D" w:rsidRDefault="00231C50" w:rsidP="00FC7AB5">
                  <w:pPr>
                    <w:pStyle w:val="Pulloutquoteitalic"/>
                  </w:pPr>
                  <w:r w:rsidRPr="00C7231D">
                    <w:t>-District Administrator</w:t>
                  </w:r>
                </w:p>
              </w:txbxContent>
            </v:textbox>
            <w10:wrap type="square"/>
          </v:roundrect>
        </w:pict>
      </w:r>
      <w:r w:rsidR="00D01286">
        <w:t xml:space="preserve">District leaders pursued additional strategies to sustain the changes related to the HR Pilot beyond the grant. For example, one </w:t>
      </w:r>
      <w:r w:rsidR="00D01286" w:rsidRPr="00CD3EBE">
        <w:t xml:space="preserve">superintendent successfully embedded citywide professional development in </w:t>
      </w:r>
      <w:r w:rsidR="00D01286">
        <w:t>the 2014</w:t>
      </w:r>
      <w:r w:rsidR="003964FF">
        <w:t>–</w:t>
      </w:r>
      <w:r w:rsidR="00D01286">
        <w:t xml:space="preserve">15 </w:t>
      </w:r>
      <w:r w:rsidR="00D01286" w:rsidRPr="00CD3EBE">
        <w:t>school</w:t>
      </w:r>
      <w:r w:rsidR="000748E3">
        <w:t>-</w:t>
      </w:r>
      <w:r w:rsidR="004F5384">
        <w:t xml:space="preserve">year </w:t>
      </w:r>
      <w:proofErr w:type="gramStart"/>
      <w:r w:rsidR="00D01286" w:rsidRPr="00CD3EBE">
        <w:t>calendar</w:t>
      </w:r>
      <w:proofErr w:type="gramEnd"/>
      <w:r w:rsidR="00D01286">
        <w:t xml:space="preserve"> in an effort to allocate time for </w:t>
      </w:r>
      <w:r w:rsidR="003964FF">
        <w:t>professional development</w:t>
      </w:r>
      <w:r w:rsidR="00D01286">
        <w:t xml:space="preserve"> that would not require extending teachers’ instructional year. As the grant period entered its final year</w:t>
      </w:r>
      <w:r w:rsidR="00D01286" w:rsidRPr="00CD3EBE">
        <w:t xml:space="preserve">, leaders </w:t>
      </w:r>
      <w:r w:rsidR="00D01286">
        <w:t>in another district rebranded the lever and steering committees as a signal of the district’s ongoing ownership over the process and commitment to distributed leadership and human capital development</w:t>
      </w:r>
      <w:r w:rsidR="00D01286" w:rsidRPr="00CD3EBE">
        <w:t>.</w:t>
      </w:r>
    </w:p>
    <w:p w:rsidR="00D01286" w:rsidRPr="000B146B" w:rsidRDefault="00D01286" w:rsidP="0035181C">
      <w:pPr>
        <w:pStyle w:val="BodyText"/>
      </w:pPr>
      <w:r w:rsidRPr="000B146B">
        <w:t>Commitment from union leadership was also critical to sustainability both because of the importance of facilitating formal commitments when required and because they serve as a bellwether of teacher perspectives. Maintaining cooperative relationship</w:t>
      </w:r>
      <w:r w:rsidR="001D0CA5">
        <w:t>s</w:t>
      </w:r>
      <w:r w:rsidRPr="000B146B">
        <w:t xml:space="preserve"> with the union and open communication is thus a priority going forward</w:t>
      </w:r>
      <w:r w:rsidR="00E33566">
        <w:t xml:space="preserve"> for each district</w:t>
      </w:r>
      <w:r w:rsidRPr="000B146B">
        <w:t>. The superintendent in one district ha</w:t>
      </w:r>
      <w:r w:rsidR="00B36C40">
        <w:t>d</w:t>
      </w:r>
      <w:r w:rsidRPr="000B146B">
        <w:t xml:space="preserve"> a weekly meeting with the union president, which appear</w:t>
      </w:r>
      <w:r w:rsidR="001D0CA5">
        <w:t>ed</w:t>
      </w:r>
      <w:r w:rsidRPr="000B146B">
        <w:t xml:space="preserve"> prominently on her white</w:t>
      </w:r>
      <w:r w:rsidR="00306C97">
        <w:t xml:space="preserve">board schedule in her office. </w:t>
      </w:r>
      <w:r w:rsidRPr="000B146B">
        <w:t xml:space="preserve">Less formal, but important to demonstrating unity, the superintendent and union president made </w:t>
      </w:r>
      <w:r w:rsidR="00840836">
        <w:t xml:space="preserve">several </w:t>
      </w:r>
      <w:r w:rsidRPr="000B146B">
        <w:t>joint school visits</w:t>
      </w:r>
      <w:r w:rsidR="00306C97">
        <w:t xml:space="preserve">. </w:t>
      </w:r>
      <w:r w:rsidRPr="000B146B">
        <w:t xml:space="preserve">All three districts included the union president on their steering committees, and in one district, district leaders and </w:t>
      </w:r>
      <w:r w:rsidR="00303DAF">
        <w:t>technical assistance</w:t>
      </w:r>
      <w:r w:rsidRPr="000B146B">
        <w:t xml:space="preserve"> providers </w:t>
      </w:r>
      <w:r w:rsidR="00922480">
        <w:t xml:space="preserve">worked closely with </w:t>
      </w:r>
      <w:r w:rsidRPr="000B146B">
        <w:t xml:space="preserve">the union president to convey why proposed </w:t>
      </w:r>
      <w:r w:rsidR="00262947">
        <w:t>human resources</w:t>
      </w:r>
      <w:r w:rsidRPr="000B146B">
        <w:t xml:space="preserve"> changes would support teachers. In another district, the union leader displayed a willingness to explore alternative options </w:t>
      </w:r>
      <w:r w:rsidR="00E33566">
        <w:t>(</w:t>
      </w:r>
      <w:r w:rsidR="00E33566" w:rsidRPr="000B146B">
        <w:t xml:space="preserve">such as awarding </w:t>
      </w:r>
      <w:r w:rsidR="00E33566">
        <w:t>professional development points in lieu of stipends)</w:t>
      </w:r>
      <w:r w:rsidR="00E33566" w:rsidRPr="000B146B">
        <w:t xml:space="preserve"> </w:t>
      </w:r>
      <w:r w:rsidRPr="000B146B">
        <w:t xml:space="preserve">to compensate teachers serving on the committees, </w:t>
      </w:r>
      <w:r w:rsidR="00E33566">
        <w:t>an essential structure for carrying out the local HR Pilot work.</w:t>
      </w:r>
    </w:p>
    <w:p w:rsidR="00D01286" w:rsidRPr="008E5F53" w:rsidRDefault="0056546D" w:rsidP="00891FDD">
      <w:pPr>
        <w:pStyle w:val="Heading-Call-Out"/>
      </w:pPr>
      <w:bookmarkStart w:id="62" w:name="_Toc393717746"/>
      <w:r>
        <w:br w:type="page"/>
      </w:r>
      <w:r w:rsidR="00D01286">
        <w:t>HR Pilot committee structures fostered ownership and</w:t>
      </w:r>
      <w:r w:rsidR="00D01286" w:rsidRPr="008E5F53">
        <w:t xml:space="preserve"> </w:t>
      </w:r>
      <w:r w:rsidR="00D01286">
        <w:t>s</w:t>
      </w:r>
      <w:r w:rsidR="00D01286" w:rsidRPr="008E5F53">
        <w:t>ustainability</w:t>
      </w:r>
      <w:bookmarkEnd w:id="62"/>
      <w:r w:rsidR="00B605CB">
        <w:t>.</w:t>
      </w:r>
    </w:p>
    <w:p w:rsidR="00D01286" w:rsidRDefault="00D01286" w:rsidP="0035181C">
      <w:pPr>
        <w:pStyle w:val="BodyText"/>
      </w:pPr>
      <w:r>
        <w:t>The local HR Pilot projects organized its work through s</w:t>
      </w:r>
      <w:r w:rsidRPr="00CD3EBE">
        <w:t xml:space="preserve">teering </w:t>
      </w:r>
      <w:r>
        <w:t>c</w:t>
      </w:r>
      <w:r w:rsidRPr="00CD3EBE">
        <w:t>ommittee</w:t>
      </w:r>
      <w:r>
        <w:t>s</w:t>
      </w:r>
      <w:r w:rsidRPr="00CD3EBE">
        <w:t xml:space="preserve"> </w:t>
      </w:r>
      <w:r>
        <w:t xml:space="preserve">and </w:t>
      </w:r>
      <w:r w:rsidRPr="00CD3EBE">
        <w:t>committees on each lever</w:t>
      </w:r>
      <w:r>
        <w:t>, as recommended by WGEE. Where these committees had high proportions of teachers, met consistently, and focused on analyzing problems and creating solutions related to the levers, the committee structure elevated and expanded teacher voice in districtwide decisions.</w:t>
      </w:r>
      <w:r w:rsidRPr="00CD3EBE">
        <w:t xml:space="preserve"> </w:t>
      </w:r>
      <w:r>
        <w:t>During the initiative,</w:t>
      </w:r>
      <w:r w:rsidRPr="00CD3EBE">
        <w:t xml:space="preserve"> </w:t>
      </w:r>
      <w:r>
        <w:t>5</w:t>
      </w:r>
      <w:r w:rsidRPr="00CD3EBE">
        <w:t>0</w:t>
      </w:r>
      <w:r w:rsidR="00B605CB">
        <w:t xml:space="preserve"> to </w:t>
      </w:r>
      <w:r w:rsidRPr="00CD3EBE">
        <w:t xml:space="preserve">100 </w:t>
      </w:r>
      <w:r>
        <w:t xml:space="preserve">staff from each district </w:t>
      </w:r>
      <w:proofErr w:type="gramStart"/>
      <w:r w:rsidRPr="00CD3EBE">
        <w:t>were</w:t>
      </w:r>
      <w:proofErr w:type="gramEnd"/>
      <w:r w:rsidRPr="00CD3EBE">
        <w:t xml:space="preserve"> involved in some aspect of the HR Pilot </w:t>
      </w:r>
      <w:r w:rsidR="00350355">
        <w:t>p</w:t>
      </w:r>
      <w:r w:rsidRPr="00CD3EBE">
        <w:t>roject.</w:t>
      </w:r>
      <w:r>
        <w:t xml:space="preserve"> Committee membership</w:t>
      </w:r>
      <w:r w:rsidRPr="00CD3EBE">
        <w:t xml:space="preserve"> </w:t>
      </w:r>
      <w:r>
        <w:t>brought</w:t>
      </w:r>
      <w:r w:rsidRPr="00CD3EBE">
        <w:t xml:space="preserve"> </w:t>
      </w:r>
      <w:r>
        <w:t xml:space="preserve">a broader representation of teacher perspectives </w:t>
      </w:r>
      <w:r w:rsidRPr="00CD3EBE">
        <w:t xml:space="preserve">into </w:t>
      </w:r>
      <w:r>
        <w:t>core</w:t>
      </w:r>
      <w:r w:rsidRPr="00CD3EBE">
        <w:t xml:space="preserve"> district functions</w:t>
      </w:r>
      <w:r w:rsidR="00B605CB">
        <w:t>,</w:t>
      </w:r>
      <w:r>
        <w:t xml:space="preserve"> such as professional development, teacher hiring, and induction.</w:t>
      </w:r>
      <w:r w:rsidR="00E51157">
        <w:t xml:space="preserve"> </w:t>
      </w:r>
    </w:p>
    <w:p w:rsidR="00D01286" w:rsidRDefault="00D01286" w:rsidP="0035181C">
      <w:pPr>
        <w:pStyle w:val="BodyText"/>
      </w:pPr>
      <w:r w:rsidRPr="00CD3EBE">
        <w:t xml:space="preserve">The changes that district leaders made to the committee structures </w:t>
      </w:r>
      <w:r>
        <w:t>further</w:t>
      </w:r>
      <w:r w:rsidRPr="00CD3EBE">
        <w:t xml:space="preserve"> recognize</w:t>
      </w:r>
      <w:r>
        <w:t>d</w:t>
      </w:r>
      <w:r w:rsidRPr="00CD3EBE">
        <w:t xml:space="preserve"> the importance of broadening the base of involvement in decisionmaking</w:t>
      </w:r>
      <w:r>
        <w:t xml:space="preserve">. </w:t>
      </w:r>
      <w:r w:rsidRPr="00CD3EBE">
        <w:t>For example, one district chose to add more teachers and decrease the number of administrators</w:t>
      </w:r>
      <w:r>
        <w:t xml:space="preserve"> across committees</w:t>
      </w:r>
      <w:r w:rsidR="00091989">
        <w:t>,</w:t>
      </w:r>
      <w:r w:rsidRPr="00CD3EBE">
        <w:t xml:space="preserve"> another district added specialists to the committee, and the third district increased representation across school levels. </w:t>
      </w:r>
      <w:r>
        <w:t xml:space="preserve">The committee structures were vital to implementation and </w:t>
      </w:r>
      <w:r w:rsidR="00D333D6">
        <w:t>remained an important component of the HR Pilot work</w:t>
      </w:r>
      <w:r w:rsidR="00E40DD8">
        <w:t xml:space="preserve"> even as the grant neared its end</w:t>
      </w:r>
      <w:r>
        <w:t>.</w:t>
      </w:r>
    </w:p>
    <w:p w:rsidR="00D01286" w:rsidRPr="00CD3EBE" w:rsidRDefault="00D01286" w:rsidP="0035181C">
      <w:pPr>
        <w:pStyle w:val="BodyText"/>
      </w:pPr>
      <w:r w:rsidRPr="00CD3EBE">
        <w:t>All three</w:t>
      </w:r>
      <w:r>
        <w:t xml:space="preserve"> districts</w:t>
      </w:r>
      <w:r w:rsidRPr="00CD3EBE">
        <w:t xml:space="preserve"> </w:t>
      </w:r>
      <w:r w:rsidR="00C3798C">
        <w:t>chose</w:t>
      </w:r>
      <w:r w:rsidRPr="00CD3EBE">
        <w:t xml:space="preserve"> to continue</w:t>
      </w:r>
      <w:r>
        <w:t xml:space="preserve"> their steering committees.</w:t>
      </w:r>
      <w:r w:rsidRPr="00CD3EBE">
        <w:t xml:space="preserve"> One district leader stated that </w:t>
      </w:r>
      <w:r>
        <w:t>the</w:t>
      </w:r>
      <w:r w:rsidRPr="00CD3EBE">
        <w:t xml:space="preserve"> steering committee had “transformed the way we think about solving big [districtwide] problems…the steering committee is now a place to get more input and more ideas generated to solve problems.”</w:t>
      </w:r>
      <w:r>
        <w:t xml:space="preserve"> Additionally, t</w:t>
      </w:r>
      <w:r w:rsidRPr="005A0023">
        <w:t>wo districts strengthen</w:t>
      </w:r>
      <w:r>
        <w:t>ed</w:t>
      </w:r>
      <w:r w:rsidRPr="005A0023">
        <w:t xml:space="preserve"> the </w:t>
      </w:r>
      <w:r>
        <w:t>s</w:t>
      </w:r>
      <w:r w:rsidRPr="005A0023">
        <w:t xml:space="preserve">teering </w:t>
      </w:r>
      <w:r>
        <w:t>c</w:t>
      </w:r>
      <w:r w:rsidRPr="005A0023">
        <w:t xml:space="preserve">ommittee role going forward. One district </w:t>
      </w:r>
      <w:r>
        <w:t>underlined the significant role of the committee</w:t>
      </w:r>
      <w:r w:rsidR="00F03BB1">
        <w:t>:</w:t>
      </w:r>
      <w:r>
        <w:t xml:space="preserve"> “We do not make a decision from the central office that doesn’t go through (the committee).”</w:t>
      </w:r>
      <w:r w:rsidR="00934943">
        <w:t xml:space="preserve"> </w:t>
      </w:r>
      <w:r>
        <w:t xml:space="preserve">The district </w:t>
      </w:r>
      <w:r w:rsidRPr="005A0023">
        <w:t xml:space="preserve">implemented term limits for committee members and developed policies to bring in educators with fresh perspectives. </w:t>
      </w:r>
      <w:r>
        <w:t>In another</w:t>
      </w:r>
      <w:r w:rsidRPr="00CD3EBE">
        <w:t xml:space="preserve"> district, when the</w:t>
      </w:r>
      <w:r>
        <w:t>ir</w:t>
      </w:r>
      <w:r w:rsidRPr="00CD3EBE">
        <w:t xml:space="preserve"> </w:t>
      </w:r>
      <w:r w:rsidR="00DC02BC">
        <w:t>2</w:t>
      </w:r>
      <w:r w:rsidRPr="00CD3EBE">
        <w:t>-year term expire</w:t>
      </w:r>
      <w:r>
        <w:t>s</w:t>
      </w:r>
      <w:r w:rsidRPr="00CD3EBE">
        <w:t xml:space="preserve">, staff will </w:t>
      </w:r>
      <w:r>
        <w:t>as</w:t>
      </w:r>
      <w:r w:rsidR="00427680">
        <w:t>sume a consultant</w:t>
      </w:r>
      <w:r w:rsidRPr="00CD3EBE">
        <w:t xml:space="preserve"> role to the steering committee and remain involved in special projects. One leader noted that systematically changing the committee membership </w:t>
      </w:r>
      <w:r w:rsidR="008E3184">
        <w:t xml:space="preserve">would </w:t>
      </w:r>
      <w:r w:rsidRPr="00CD3EBE">
        <w:t xml:space="preserve">allow </w:t>
      </w:r>
      <w:r w:rsidR="00B605CB">
        <w:t xml:space="preserve">the </w:t>
      </w:r>
      <w:r w:rsidRPr="00CD3EBE">
        <w:t>HR Pilot</w:t>
      </w:r>
      <w:r>
        <w:t xml:space="preserve"> </w:t>
      </w:r>
      <w:r w:rsidR="006F60F9">
        <w:t xml:space="preserve">project </w:t>
      </w:r>
      <w:r>
        <w:t>to remain</w:t>
      </w:r>
      <w:r w:rsidRPr="00CD3EBE">
        <w:t xml:space="preserve"> a “districtwide initiative, not a closed or elite membership.”</w:t>
      </w:r>
      <w:r>
        <w:t xml:space="preserve"> </w:t>
      </w:r>
      <w:r w:rsidRPr="00CD3EBE">
        <w:t xml:space="preserve">The </w:t>
      </w:r>
      <w:r>
        <w:t>s</w:t>
      </w:r>
      <w:r w:rsidRPr="00CD3EBE">
        <w:t xml:space="preserve">teering </w:t>
      </w:r>
      <w:r>
        <w:t>c</w:t>
      </w:r>
      <w:r w:rsidRPr="00CD3EBE">
        <w:t xml:space="preserve">ommittee structure was the channel for eliciting and conveying input from all stakeholders on the most important issues </w:t>
      </w:r>
      <w:r>
        <w:t xml:space="preserve">in </w:t>
      </w:r>
      <w:r w:rsidRPr="00CD3EBE">
        <w:t xml:space="preserve">instituting new </w:t>
      </w:r>
      <w:r w:rsidR="00E4692E">
        <w:t>human resources</w:t>
      </w:r>
      <w:r>
        <w:t xml:space="preserve"> </w:t>
      </w:r>
      <w:r w:rsidRPr="00CD3EBE">
        <w:t>policies and practices.</w:t>
      </w:r>
    </w:p>
    <w:p w:rsidR="00D01286" w:rsidRPr="00CD3EBE" w:rsidRDefault="00D01286" w:rsidP="0035181C">
      <w:pPr>
        <w:pStyle w:val="BodyText"/>
      </w:pPr>
      <w:r w:rsidRPr="00CD3EBE">
        <w:t>The decision to maintain</w:t>
      </w:r>
      <w:r>
        <w:t xml:space="preserve"> the </w:t>
      </w:r>
      <w:r w:rsidRPr="00CD3EBE">
        <w:t>steering committees</w:t>
      </w:r>
      <w:r>
        <w:t xml:space="preserve"> and accord them a meaningful role in district decisionmaking </w:t>
      </w:r>
      <w:r w:rsidRPr="00CD3EBE">
        <w:t>may be the most promising</w:t>
      </w:r>
      <w:r>
        <w:t xml:space="preserve"> </w:t>
      </w:r>
      <w:r w:rsidRPr="00CD3EBE">
        <w:t>legacy</w:t>
      </w:r>
      <w:r>
        <w:t xml:space="preserve"> of the HR Pilot and its best hope for sustaining the work.</w:t>
      </w:r>
      <w:r w:rsidR="00934943">
        <w:t xml:space="preserve"> </w:t>
      </w:r>
    </w:p>
    <w:p w:rsidR="00FC7AB5" w:rsidRDefault="00FC7AB5">
      <w:pPr>
        <w:rPr>
          <w:b/>
        </w:rPr>
      </w:pPr>
      <w:r>
        <w:rPr>
          <w:b/>
        </w:rPr>
        <w:br w:type="page"/>
      </w:r>
    </w:p>
    <w:p w:rsidR="00D01286" w:rsidRPr="008761BB" w:rsidRDefault="00D01286" w:rsidP="00D01286">
      <w:pPr>
        <w:spacing w:before="120" w:after="120" w:line="276" w:lineRule="auto"/>
        <w:rPr>
          <w:b/>
        </w:rPr>
      </w:pPr>
      <w:r>
        <w:rPr>
          <w:b/>
        </w:rPr>
        <w:t>Formalized and documented c</w:t>
      </w:r>
      <w:r w:rsidRPr="008761BB">
        <w:rPr>
          <w:b/>
        </w:rPr>
        <w:t xml:space="preserve">hanges </w:t>
      </w:r>
      <w:r>
        <w:rPr>
          <w:b/>
        </w:rPr>
        <w:t>appear</w:t>
      </w:r>
      <w:r w:rsidR="006E7835">
        <w:rPr>
          <w:b/>
        </w:rPr>
        <w:t>ed</w:t>
      </w:r>
      <w:r w:rsidRPr="008761BB">
        <w:rPr>
          <w:b/>
        </w:rPr>
        <w:t xml:space="preserve"> </w:t>
      </w:r>
      <w:r>
        <w:rPr>
          <w:b/>
        </w:rPr>
        <w:t>more l</w:t>
      </w:r>
      <w:r w:rsidRPr="008761BB">
        <w:rPr>
          <w:b/>
        </w:rPr>
        <w:t xml:space="preserve">ikely to </w:t>
      </w:r>
      <w:r>
        <w:rPr>
          <w:b/>
        </w:rPr>
        <w:t>e</w:t>
      </w:r>
      <w:r w:rsidRPr="008761BB">
        <w:rPr>
          <w:b/>
        </w:rPr>
        <w:t>ndure</w:t>
      </w:r>
      <w:r w:rsidR="00C44E99">
        <w:rPr>
          <w:b/>
        </w:rPr>
        <w:t>.</w:t>
      </w:r>
    </w:p>
    <w:p w:rsidR="00D01286" w:rsidRPr="002476DC" w:rsidRDefault="00D01286" w:rsidP="0035181C">
      <w:pPr>
        <w:pStyle w:val="BodyText"/>
      </w:pPr>
      <w:r>
        <w:t>Districts took steps to f</w:t>
      </w:r>
      <w:r w:rsidRPr="001F49A3">
        <w:t>ormalize and codif</w:t>
      </w:r>
      <w:r>
        <w:t>y</w:t>
      </w:r>
      <w:r w:rsidRPr="001F49A3">
        <w:t xml:space="preserve"> new </w:t>
      </w:r>
      <w:r w:rsidR="00B82AB7">
        <w:t>human resources</w:t>
      </w:r>
      <w:r w:rsidRPr="001F49A3">
        <w:t xml:space="preserve"> policies and practices</w:t>
      </w:r>
      <w:r w:rsidR="0007482F">
        <w:t xml:space="preserve"> so they would be sustained. </w:t>
      </w:r>
      <w:r>
        <w:t>For example, the superintendent in one district documented and publicized the work of the committees to all district staff and even externally. Towards the end of the HR Pilot period, the district produced a brochure setting out its mission and vision that articulated</w:t>
      </w:r>
      <w:r w:rsidR="00635332">
        <w:t>,</w:t>
      </w:r>
      <w:r>
        <w:t xml:space="preserve"> among other principles, teacher participation in decisionmaking. As a district administrator expressed, the brochure—initially designed as recruitment material for prospective teachers—was a statement of the district’s identity </w:t>
      </w:r>
      <w:r w:rsidR="00427680">
        <w:t xml:space="preserve">for all staff to embrace </w:t>
      </w:r>
      <w:r>
        <w:t xml:space="preserve">and described </w:t>
      </w:r>
      <w:r w:rsidRPr="00D7347C">
        <w:t>the HR Pilot project for prospective teachers.</w:t>
      </w:r>
      <w:r w:rsidRPr="002476DC">
        <w:t xml:space="preserve"> </w:t>
      </w:r>
      <w:r w:rsidR="002476DC" w:rsidRPr="002476DC">
        <w:t xml:space="preserve">In another district, the </w:t>
      </w:r>
      <w:r w:rsidR="00635332">
        <w:t>i</w:t>
      </w:r>
      <w:r w:rsidR="002476DC" w:rsidRPr="002476DC">
        <w:t xml:space="preserve">nduction committee created a </w:t>
      </w:r>
      <w:r w:rsidR="00427680">
        <w:t>c</w:t>
      </w:r>
      <w:r w:rsidR="002476DC" w:rsidRPr="002476DC">
        <w:t xml:space="preserve">omprehensive </w:t>
      </w:r>
      <w:r w:rsidR="00427680">
        <w:t>i</w:t>
      </w:r>
      <w:r w:rsidR="002476DC" w:rsidRPr="002476DC">
        <w:t xml:space="preserve">nduction </w:t>
      </w:r>
      <w:r w:rsidR="00427680">
        <w:t>p</w:t>
      </w:r>
      <w:r w:rsidR="002476DC" w:rsidRPr="002476DC">
        <w:t xml:space="preserve">lan to codify the new educator induction process, including a </w:t>
      </w:r>
      <w:r w:rsidR="00DC02BC">
        <w:t>3</w:t>
      </w:r>
      <w:r w:rsidR="002476DC" w:rsidRPr="002476DC">
        <w:t>-year mentorship program.</w:t>
      </w:r>
      <w:r w:rsidR="00840836">
        <w:t xml:space="preserve"> </w:t>
      </w:r>
      <w:r w:rsidR="002476DC" w:rsidRPr="002476DC">
        <w:t xml:space="preserve">The district successfully implemented the </w:t>
      </w:r>
      <w:r w:rsidR="00427680">
        <w:t>c</w:t>
      </w:r>
      <w:r w:rsidR="009E2F6A">
        <w:t xml:space="preserve">omprehensive </w:t>
      </w:r>
      <w:r w:rsidR="00427680">
        <w:t>i</w:t>
      </w:r>
      <w:r w:rsidR="002476DC" w:rsidRPr="002476DC">
        <w:t xml:space="preserve">nduction </w:t>
      </w:r>
      <w:r w:rsidR="00427680">
        <w:t>p</w:t>
      </w:r>
      <w:r w:rsidR="002476DC" w:rsidRPr="002476DC">
        <w:t xml:space="preserve">lan for all new educators, and the improvements to the </w:t>
      </w:r>
      <w:r w:rsidR="009E2F6A">
        <w:t>i</w:t>
      </w:r>
      <w:r w:rsidR="002476DC" w:rsidRPr="002476DC">
        <w:t xml:space="preserve">nduction process </w:t>
      </w:r>
      <w:r w:rsidR="002476DC">
        <w:t>were well</w:t>
      </w:r>
      <w:r w:rsidR="009E2F6A">
        <w:t xml:space="preserve"> </w:t>
      </w:r>
      <w:r w:rsidR="002476DC">
        <w:t>received at the school</w:t>
      </w:r>
      <w:r w:rsidR="009E2F6A">
        <w:t xml:space="preserve"> </w:t>
      </w:r>
      <w:r w:rsidR="002476DC">
        <w:t>level</w:t>
      </w:r>
      <w:r w:rsidR="002476DC" w:rsidRPr="002476DC">
        <w:t xml:space="preserve">. Moving forward, </w:t>
      </w:r>
      <w:r w:rsidR="009238F5">
        <w:t xml:space="preserve">the district was in </w:t>
      </w:r>
      <w:r w:rsidR="002476DC" w:rsidRPr="002476DC">
        <w:t>discussion</w:t>
      </w:r>
      <w:r w:rsidR="009238F5">
        <w:t>s</w:t>
      </w:r>
      <w:r w:rsidR="004F5384">
        <w:t xml:space="preserve"> regarding</w:t>
      </w:r>
      <w:r w:rsidR="002476DC" w:rsidRPr="002476DC">
        <w:t xml:space="preserve"> how </w:t>
      </w:r>
      <w:r w:rsidR="009238F5">
        <w:t xml:space="preserve">to </w:t>
      </w:r>
      <w:r w:rsidR="002476DC" w:rsidRPr="002476DC">
        <w:t>extend and improve the induction process for paraprofessionals and</w:t>
      </w:r>
      <w:r w:rsidR="00840836">
        <w:t xml:space="preserve"> </w:t>
      </w:r>
      <w:r w:rsidR="002476DC" w:rsidRPr="002476DC">
        <w:t xml:space="preserve">further differentiate between </w:t>
      </w:r>
      <w:r w:rsidR="008D60DB">
        <w:t xml:space="preserve">novice and experienced </w:t>
      </w:r>
      <w:r w:rsidR="002476DC" w:rsidRPr="002476DC">
        <w:t>teachers</w:t>
      </w:r>
      <w:r w:rsidR="00C7231D">
        <w:t xml:space="preserve"> that are new to the district</w:t>
      </w:r>
      <w:r w:rsidR="002476DC">
        <w:t>.</w:t>
      </w:r>
    </w:p>
    <w:p w:rsidR="00D01286" w:rsidRPr="001F49A3" w:rsidRDefault="004332E6" w:rsidP="00891FDD">
      <w:pPr>
        <w:pStyle w:val="Heading-Call-Out"/>
      </w:pPr>
      <w:r>
        <w:t xml:space="preserve">The </w:t>
      </w:r>
      <w:r w:rsidR="00C65438">
        <w:t>educator evaluation</w:t>
      </w:r>
      <w:r w:rsidR="00D01286" w:rsidRPr="001F49A3">
        <w:t xml:space="preserve"> </w:t>
      </w:r>
      <w:r w:rsidR="00664612">
        <w:t xml:space="preserve">system </w:t>
      </w:r>
      <w:r w:rsidR="00D01286">
        <w:t>o</w:t>
      </w:r>
      <w:r w:rsidR="00D01286" w:rsidRPr="001F49A3">
        <w:t xml:space="preserve">ffers </w:t>
      </w:r>
      <w:r w:rsidR="00D01286">
        <w:t>p</w:t>
      </w:r>
      <w:r w:rsidR="00D01286" w:rsidRPr="001F49A3">
        <w:t xml:space="preserve">romise and </w:t>
      </w:r>
      <w:r w:rsidR="00D01286">
        <w:t>c</w:t>
      </w:r>
      <w:r w:rsidR="00D01286" w:rsidRPr="001F49A3">
        <w:t xml:space="preserve">hallenge </w:t>
      </w:r>
      <w:r w:rsidR="00D01286">
        <w:t>in s</w:t>
      </w:r>
      <w:r w:rsidR="00D01286" w:rsidRPr="001F49A3">
        <w:t xml:space="preserve">ustaining the </w:t>
      </w:r>
      <w:r w:rsidR="00D01286">
        <w:t>w</w:t>
      </w:r>
      <w:r w:rsidR="00D01286" w:rsidRPr="001F49A3">
        <w:t>ork</w:t>
      </w:r>
      <w:r w:rsidR="001F6770">
        <w:t>.</w:t>
      </w:r>
    </w:p>
    <w:p w:rsidR="00D01286" w:rsidRPr="0024620D" w:rsidRDefault="00D01286" w:rsidP="0035181C">
      <w:pPr>
        <w:pStyle w:val="BodyText"/>
      </w:pPr>
      <w:r w:rsidRPr="008373F7">
        <w:t xml:space="preserve">The </w:t>
      </w:r>
      <w:r w:rsidR="004332E6">
        <w:t>s</w:t>
      </w:r>
      <w:r w:rsidRPr="008373F7">
        <w:t xml:space="preserve">upervision and </w:t>
      </w:r>
      <w:r w:rsidR="004332E6">
        <w:t>e</w:t>
      </w:r>
      <w:r w:rsidRPr="008373F7">
        <w:t>valuation lever differ</w:t>
      </w:r>
      <w:r>
        <w:t>ed</w:t>
      </w:r>
      <w:r w:rsidRPr="008373F7">
        <w:t xml:space="preserve"> from the others because it</w:t>
      </w:r>
      <w:r>
        <w:t xml:space="preserve"> carried a clear </w:t>
      </w:r>
      <w:r w:rsidRPr="00517F30">
        <w:t>goal</w:t>
      </w:r>
      <w:r w:rsidR="004332E6" w:rsidRPr="00517F30">
        <w:t xml:space="preserve">: </w:t>
      </w:r>
      <w:r w:rsidRPr="00517F30">
        <w:t xml:space="preserve">to lead efforts to implement the new </w:t>
      </w:r>
      <w:r w:rsidR="00E113BE" w:rsidRPr="00517F30">
        <w:t>educator evaluation system</w:t>
      </w:r>
      <w:r w:rsidRPr="00517F30">
        <w:t xml:space="preserve"> in the HR Pilot</w:t>
      </w:r>
      <w:r w:rsidRPr="008373F7">
        <w:t xml:space="preserve"> districts. Backed by a state mandate and strong accountability measures</w:t>
      </w:r>
      <w:r>
        <w:t>,</w:t>
      </w:r>
      <w:r w:rsidRPr="008373F7">
        <w:t xml:space="preserve"> the promise of </w:t>
      </w:r>
      <w:r w:rsidR="005E4A7E">
        <w:t>the new evaluation</w:t>
      </w:r>
      <w:r w:rsidR="00C7231D">
        <w:t xml:space="preserve"> system</w:t>
      </w:r>
      <w:r w:rsidR="005E4A7E" w:rsidRPr="008373F7">
        <w:t xml:space="preserve"> </w:t>
      </w:r>
      <w:r w:rsidRPr="008373F7">
        <w:t>lies in its long-range cycle of continuous improvement in teaching, which naturally align</w:t>
      </w:r>
      <w:r>
        <w:t>s</w:t>
      </w:r>
      <w:r w:rsidRPr="008373F7">
        <w:t xml:space="preserve"> with </w:t>
      </w:r>
      <w:r>
        <w:t xml:space="preserve">some </w:t>
      </w:r>
      <w:r w:rsidRPr="008373F7">
        <w:t>HR Pilot levers</w:t>
      </w:r>
      <w:r>
        <w:t xml:space="preserve">. Where districts have integrated </w:t>
      </w:r>
      <w:r w:rsidR="005E4A7E">
        <w:t xml:space="preserve">new educator evaluation </w:t>
      </w:r>
      <w:r>
        <w:t xml:space="preserve">implementation with other aspects of the HR Pilot, the set of HR reforms have a higher likelihood of sustaining. </w:t>
      </w:r>
      <w:r w:rsidR="00840836">
        <w:t xml:space="preserve">One </w:t>
      </w:r>
      <w:r>
        <w:t xml:space="preserve">district </w:t>
      </w:r>
      <w:r w:rsidR="00427680">
        <w:t xml:space="preserve">generally </w:t>
      </w:r>
      <w:r>
        <w:t>considered</w:t>
      </w:r>
      <w:r w:rsidRPr="0024620D">
        <w:t xml:space="preserve"> a </w:t>
      </w:r>
      <w:r>
        <w:t xml:space="preserve">state </w:t>
      </w:r>
      <w:r w:rsidRPr="0024620D">
        <w:t xml:space="preserve">leader in </w:t>
      </w:r>
      <w:r w:rsidR="000B08BE">
        <w:t xml:space="preserve">educator evaluation </w:t>
      </w:r>
      <w:r>
        <w:t>implement</w:t>
      </w:r>
      <w:r w:rsidR="000B08BE">
        <w:t>ation</w:t>
      </w:r>
      <w:r>
        <w:t xml:space="preserve"> distributed components of </w:t>
      </w:r>
      <w:r w:rsidR="000B08BE">
        <w:t xml:space="preserve">educator evaluation </w:t>
      </w:r>
      <w:r>
        <w:t>implementation across all the lever committees. This kind of integration suggests that the evaluation component will reinforce the HR</w:t>
      </w:r>
      <w:r w:rsidR="00675618">
        <w:t xml:space="preserve"> Pilot</w:t>
      </w:r>
      <w:r>
        <w:t xml:space="preserve"> levers and that the whole movement is more likely to be sustained in the long term. </w:t>
      </w:r>
    </w:p>
    <w:p w:rsidR="00FC7AB5" w:rsidRDefault="00D01286" w:rsidP="00FC7AB5">
      <w:pPr>
        <w:pStyle w:val="BodyText"/>
        <w:rPr>
          <w:b/>
        </w:rPr>
      </w:pPr>
      <w:r w:rsidRPr="008373F7">
        <w:t>The challenge of</w:t>
      </w:r>
      <w:r>
        <w:t xml:space="preserve"> implementing</w:t>
      </w:r>
      <w:r w:rsidRPr="008373F7">
        <w:t xml:space="preserve"> </w:t>
      </w:r>
      <w:r w:rsidR="00C80540">
        <w:t>the new educator evaluation</w:t>
      </w:r>
      <w:r w:rsidRPr="008373F7">
        <w:t xml:space="preserve"> in the short term </w:t>
      </w:r>
      <w:r w:rsidR="004254F8">
        <w:t xml:space="preserve">was </w:t>
      </w:r>
      <w:r w:rsidRPr="008373F7">
        <w:t>that</w:t>
      </w:r>
      <w:r w:rsidR="004B5916">
        <w:t xml:space="preserve"> it</w:t>
      </w:r>
      <w:r>
        <w:t xml:space="preserve"> </w:t>
      </w:r>
      <w:r w:rsidR="004254F8">
        <w:t>contradicted</w:t>
      </w:r>
      <w:r>
        <w:t xml:space="preserve"> the </w:t>
      </w:r>
      <w:r w:rsidR="00BC20C9">
        <w:t xml:space="preserve">establishment </w:t>
      </w:r>
      <w:r w:rsidR="002E1EBD">
        <w:t xml:space="preserve">of </w:t>
      </w:r>
      <w:r>
        <w:t>local ownership, which is a fundamental component of sustainability.</w:t>
      </w:r>
      <w:r w:rsidRPr="008373F7" w:rsidDel="00187120">
        <w:t xml:space="preserve"> </w:t>
      </w:r>
      <w:r w:rsidR="00522DA3">
        <w:t>Because the new educator evaluation</w:t>
      </w:r>
      <w:r w:rsidR="00AE3CD2">
        <w:t xml:space="preserve"> is </w:t>
      </w:r>
      <w:r>
        <w:t>an outside and</w:t>
      </w:r>
      <w:r w:rsidRPr="00053C61">
        <w:t xml:space="preserve"> </w:t>
      </w:r>
      <w:r>
        <w:t>sometimes controversial mandate,</w:t>
      </w:r>
      <w:r w:rsidR="00431F86">
        <w:t xml:space="preserve"> </w:t>
      </w:r>
      <w:r>
        <w:t xml:space="preserve">districts </w:t>
      </w:r>
      <w:r w:rsidR="00A927FF">
        <w:t>s</w:t>
      </w:r>
      <w:r>
        <w:t>truggle</w:t>
      </w:r>
      <w:r w:rsidR="00A927FF">
        <w:t>d</w:t>
      </w:r>
      <w:r>
        <w:t xml:space="preserve"> </w:t>
      </w:r>
      <w:r w:rsidRPr="008373F7">
        <w:t>with</w:t>
      </w:r>
      <w:r>
        <w:t xml:space="preserve"> building </w:t>
      </w:r>
      <w:r w:rsidR="00A42104">
        <w:t>buy-in to</w:t>
      </w:r>
      <w:r>
        <w:t xml:space="preserve"> the implementation process.</w:t>
      </w:r>
      <w:r w:rsidRPr="008373F7" w:rsidDel="00053C61">
        <w:t xml:space="preserve"> </w:t>
      </w:r>
      <w:r>
        <w:t>T</w:t>
      </w:r>
      <w:r w:rsidRPr="008373F7">
        <w:t>he HR Pilot districts, perhaps using what they learned in implementing the other levers</w:t>
      </w:r>
      <w:r w:rsidR="00D01AA8">
        <w:t>,</w:t>
      </w:r>
      <w:r>
        <w:t xml:space="preserve"> </w:t>
      </w:r>
      <w:r w:rsidR="00D01AA8">
        <w:t>took</w:t>
      </w:r>
      <w:r>
        <w:t xml:space="preserve"> </w:t>
      </w:r>
      <w:r w:rsidRPr="008373F7">
        <w:t>steps</w:t>
      </w:r>
      <w:r>
        <w:t xml:space="preserve"> toward </w:t>
      </w:r>
      <w:r w:rsidR="00840836">
        <w:t xml:space="preserve">building that </w:t>
      </w:r>
      <w:r>
        <w:t>ownership. For example, i</w:t>
      </w:r>
      <w:r w:rsidRPr="008373F7">
        <w:t xml:space="preserve">n one district, the evaluation lever committee </w:t>
      </w:r>
      <w:r w:rsidR="005E5497">
        <w:t>became</w:t>
      </w:r>
      <w:r w:rsidRPr="008373F7">
        <w:t xml:space="preserve"> known as the “Council on Educator Growth</w:t>
      </w:r>
      <w:r>
        <w:t>.</w:t>
      </w:r>
      <w:r w:rsidRPr="008373F7">
        <w:t>”</w:t>
      </w:r>
      <w:r w:rsidRPr="0046122D">
        <w:t xml:space="preserve"> This district recognized a need to “own” </w:t>
      </w:r>
      <w:r w:rsidR="001A10D5">
        <w:t xml:space="preserve">the </w:t>
      </w:r>
      <w:r w:rsidRPr="0046122D">
        <w:t>HR</w:t>
      </w:r>
      <w:r w:rsidR="001A10D5">
        <w:t xml:space="preserve"> Pilot</w:t>
      </w:r>
      <w:r w:rsidRPr="0046122D">
        <w:t xml:space="preserve"> and </w:t>
      </w:r>
      <w:r w:rsidR="00496B6E">
        <w:t>re</w:t>
      </w:r>
      <w:r w:rsidRPr="0046122D">
        <w:t xml:space="preserve">named </w:t>
      </w:r>
      <w:r w:rsidR="00496B6E">
        <w:t xml:space="preserve">the committees </w:t>
      </w:r>
      <w:r w:rsidR="00A42104">
        <w:t>to tailor them to the district context.</w:t>
      </w:r>
      <w:r w:rsidRPr="00F93369">
        <w:rPr>
          <w:rFonts w:ascii="Calibri" w:hAnsi="Calibri"/>
        </w:rPr>
        <w:t xml:space="preserve"> </w:t>
      </w:r>
      <w:r>
        <w:t xml:space="preserve">Two </w:t>
      </w:r>
      <w:r w:rsidRPr="008373F7">
        <w:t xml:space="preserve">districts also created </w:t>
      </w:r>
      <w:r>
        <w:t xml:space="preserve">new </w:t>
      </w:r>
      <w:r w:rsidRPr="008373F7">
        <w:t xml:space="preserve">positions </w:t>
      </w:r>
      <w:r>
        <w:t xml:space="preserve">for teacher leaders to support their colleagues in an effort to provide teachers with a trusted source to express questions or concerns about evaluation. </w:t>
      </w:r>
      <w:r w:rsidR="00352827">
        <w:t>A</w:t>
      </w:r>
      <w:r w:rsidRPr="008373F7">
        <w:t xml:space="preserve">ll three districts created committees or task forces with broad stakeholder participation to oversee and smooth the </w:t>
      </w:r>
      <w:r w:rsidR="005C2717">
        <w:t>educator evaluation</w:t>
      </w:r>
      <w:r>
        <w:t xml:space="preserve"> </w:t>
      </w:r>
      <w:r w:rsidRPr="008373F7">
        <w:t>implementation process.</w:t>
      </w:r>
      <w:r w:rsidR="00160F5A">
        <w:t xml:space="preserve"> </w:t>
      </w:r>
      <w:r>
        <w:t xml:space="preserve">These implementation challenges are in tension with the potential to sustain </w:t>
      </w:r>
      <w:r w:rsidR="005C35E0">
        <w:t>the educator evaluation</w:t>
      </w:r>
      <w:r>
        <w:t xml:space="preserve"> as an integral</w:t>
      </w:r>
      <w:r w:rsidR="00492CAC">
        <w:t>,</w:t>
      </w:r>
      <w:r>
        <w:t xml:space="preserve"> locally</w:t>
      </w:r>
      <w:r w:rsidR="00C9163B">
        <w:t xml:space="preserve"> </w:t>
      </w:r>
      <w:r>
        <w:t xml:space="preserve">owned component of integrated </w:t>
      </w:r>
      <w:r w:rsidR="00492CAC">
        <w:t>human resources</w:t>
      </w:r>
      <w:r>
        <w:t xml:space="preserve"> policies aimed to improve teacher effectiveness.</w:t>
      </w:r>
      <w:bookmarkStart w:id="63" w:name="_Toc393717747"/>
      <w:r w:rsidR="00934943">
        <w:t xml:space="preserve"> </w:t>
      </w:r>
      <w:r w:rsidR="00FC7AB5">
        <w:br w:type="page"/>
      </w:r>
    </w:p>
    <w:p w:rsidR="00D01286" w:rsidRPr="008373F7" w:rsidRDefault="00D01286" w:rsidP="00FC7AB5">
      <w:pPr>
        <w:pStyle w:val="Heading-Call-Out"/>
        <w:spacing w:before="0"/>
      </w:pPr>
      <w:r w:rsidRPr="008373F7">
        <w:t>Scarc</w:t>
      </w:r>
      <w:r>
        <w:t>e</w:t>
      </w:r>
      <w:r w:rsidRPr="008373F7">
        <w:t xml:space="preserve"> </w:t>
      </w:r>
      <w:r>
        <w:t>d</w:t>
      </w:r>
      <w:r w:rsidRPr="008373F7">
        <w:t xml:space="preserve">istrict </w:t>
      </w:r>
      <w:r>
        <w:t>r</w:t>
      </w:r>
      <w:r w:rsidRPr="008373F7">
        <w:t xml:space="preserve">esources </w:t>
      </w:r>
      <w:r>
        <w:t>t</w:t>
      </w:r>
      <w:r w:rsidRPr="008373F7">
        <w:t xml:space="preserve">hreaten </w:t>
      </w:r>
      <w:r>
        <w:t>s</w:t>
      </w:r>
      <w:r w:rsidRPr="008373F7">
        <w:t>ustain</w:t>
      </w:r>
      <w:r>
        <w:t>ability</w:t>
      </w:r>
      <w:r w:rsidR="00C9163B">
        <w:t>.</w:t>
      </w:r>
      <w:r w:rsidRPr="008373F7">
        <w:t xml:space="preserve"> </w:t>
      </w:r>
      <w:bookmarkEnd w:id="63"/>
    </w:p>
    <w:p w:rsidR="00D01286" w:rsidRPr="008373F7" w:rsidRDefault="00D01286" w:rsidP="0035181C">
      <w:pPr>
        <w:pStyle w:val="BodyText"/>
      </w:pPr>
      <w:r w:rsidRPr="00F93369">
        <w:rPr>
          <w:rFonts w:eastAsia="Cambria"/>
        </w:rPr>
        <w:t xml:space="preserve">The HR Pilot participants across all of the districts voiced concerns that momentum for continuing and sustaining the HR Pilot work will stall without continued outside </w:t>
      </w:r>
      <w:r w:rsidR="00164185" w:rsidRPr="00F93369">
        <w:rPr>
          <w:rFonts w:eastAsia="Cambria"/>
        </w:rPr>
        <w:t xml:space="preserve">funding </w:t>
      </w:r>
      <w:r w:rsidRPr="00F93369">
        <w:rPr>
          <w:rFonts w:eastAsia="Cambria"/>
        </w:rPr>
        <w:t xml:space="preserve">support. Although these concerns are legitimate, it appears that the amount of funding involved is not especially large even for financially strapped urban districts. The districts were primarily concerned about the lack of future funding to support staff and staff time. </w:t>
      </w:r>
      <w:r w:rsidR="00F25A97" w:rsidRPr="00F93369">
        <w:rPr>
          <w:rFonts w:eastAsia="Cambria"/>
        </w:rPr>
        <w:t>I</w:t>
      </w:r>
      <w:r w:rsidRPr="00F93369">
        <w:rPr>
          <w:rFonts w:eastAsia="Cambria"/>
        </w:rPr>
        <w:t>n one district,</w:t>
      </w:r>
      <w:r>
        <w:t xml:space="preserve"> committee members were</w:t>
      </w:r>
      <w:r w:rsidRPr="008373F7">
        <w:t xml:space="preserve"> paid a </w:t>
      </w:r>
      <w:r>
        <w:t xml:space="preserve">nominal </w:t>
      </w:r>
      <w:r w:rsidRPr="008373F7">
        <w:t>stipend from project funds</w:t>
      </w:r>
      <w:r w:rsidR="00F25A97">
        <w:t>,</w:t>
      </w:r>
      <w:r>
        <w:t xml:space="preserve"> another district utilized grant funds to cover</w:t>
      </w:r>
      <w:r w:rsidRPr="008373F7">
        <w:t xml:space="preserve"> educator release time to observe best practices in other classrooms</w:t>
      </w:r>
      <w:r>
        <w:t xml:space="preserve">, and the third district used the funds to release teachers for </w:t>
      </w:r>
      <w:r w:rsidR="00F25A97">
        <w:t>professional development</w:t>
      </w:r>
      <w:r>
        <w:t xml:space="preserve">. Districts also used grant funds </w:t>
      </w:r>
      <w:r w:rsidRPr="008373F7">
        <w:t xml:space="preserve">to </w:t>
      </w:r>
      <w:r>
        <w:t>purchase materials for</w:t>
      </w:r>
      <w:r w:rsidRPr="008373F7">
        <w:t xml:space="preserve"> workshops/trainings</w:t>
      </w:r>
      <w:r w:rsidR="00F858F1">
        <w:t>,</w:t>
      </w:r>
      <w:r w:rsidRPr="008373F7">
        <w:t xml:space="preserve"> </w:t>
      </w:r>
      <w:r>
        <w:t>to cover</w:t>
      </w:r>
      <w:r w:rsidRPr="008373F7">
        <w:t xml:space="preserve"> </w:t>
      </w:r>
      <w:r>
        <w:t xml:space="preserve">subscription </w:t>
      </w:r>
      <w:r w:rsidRPr="008373F7">
        <w:t xml:space="preserve">fees </w:t>
      </w:r>
      <w:r>
        <w:t>for</w:t>
      </w:r>
      <w:r w:rsidRPr="008373F7">
        <w:t xml:space="preserve"> programs and services</w:t>
      </w:r>
      <w:r>
        <w:t xml:space="preserve"> </w:t>
      </w:r>
      <w:r w:rsidRPr="008373F7">
        <w:t>result</w:t>
      </w:r>
      <w:r>
        <w:t>ing</w:t>
      </w:r>
      <w:r w:rsidRPr="008373F7">
        <w:t xml:space="preserve"> </w:t>
      </w:r>
      <w:r>
        <w:t xml:space="preserve">from lever </w:t>
      </w:r>
      <w:r w:rsidRPr="008373F7">
        <w:t>committee</w:t>
      </w:r>
      <w:r>
        <w:t xml:space="preserve"> recommendations, and </w:t>
      </w:r>
      <w:r w:rsidR="00F858F1">
        <w:t xml:space="preserve">to pay </w:t>
      </w:r>
      <w:r>
        <w:t xml:space="preserve">for </w:t>
      </w:r>
      <w:r w:rsidRPr="008373F7">
        <w:t xml:space="preserve">outside experts </w:t>
      </w:r>
      <w:r>
        <w:t>to support the committees.</w:t>
      </w:r>
      <w:r w:rsidRPr="008373F7">
        <w:t xml:space="preserve"> </w:t>
      </w:r>
      <w:r w:rsidR="00922480">
        <w:t xml:space="preserve">As the project culminated, </w:t>
      </w:r>
      <w:r w:rsidR="00922480" w:rsidRPr="00F93369">
        <w:rPr>
          <w:rFonts w:eastAsia="Cambria"/>
        </w:rPr>
        <w:t xml:space="preserve">WGEE identified grant opportunities for </w:t>
      </w:r>
      <w:r w:rsidR="00DC3D59" w:rsidRPr="00F93369">
        <w:rPr>
          <w:rFonts w:eastAsia="Cambria"/>
        </w:rPr>
        <w:t xml:space="preserve">two </w:t>
      </w:r>
      <w:r w:rsidR="00922480" w:rsidRPr="00F93369">
        <w:rPr>
          <w:rFonts w:eastAsia="Cambria"/>
        </w:rPr>
        <w:t>districts seeking to continue HR Pilot</w:t>
      </w:r>
      <w:r w:rsidR="00DC3D59" w:rsidRPr="00F93369">
        <w:rPr>
          <w:rFonts w:eastAsia="Cambria"/>
        </w:rPr>
        <w:t>-related</w:t>
      </w:r>
      <w:r w:rsidR="00922480" w:rsidRPr="00F93369">
        <w:rPr>
          <w:rFonts w:eastAsia="Cambria"/>
        </w:rPr>
        <w:t xml:space="preserve"> work.</w:t>
      </w:r>
    </w:p>
    <w:p w:rsidR="00D01286" w:rsidRDefault="00D01286" w:rsidP="0035181C">
      <w:pPr>
        <w:pStyle w:val="BodyText"/>
      </w:pPr>
      <w:r w:rsidRPr="008373F7">
        <w:t xml:space="preserve">Setting district budgets is not only a financial exercise but </w:t>
      </w:r>
      <w:r w:rsidR="00D62CC9">
        <w:t xml:space="preserve">a </w:t>
      </w:r>
      <w:r>
        <w:t>process of setting district</w:t>
      </w:r>
      <w:r w:rsidRPr="008373F7">
        <w:t xml:space="preserve"> priorities.</w:t>
      </w:r>
      <w:r>
        <w:t xml:space="preserve"> Although i</w:t>
      </w:r>
      <w:r w:rsidRPr="008373F7">
        <w:t>t may be difficult or impossible to</w:t>
      </w:r>
      <w:r>
        <w:t xml:space="preserve"> fund more expensive initiatives (</w:t>
      </w:r>
      <w:r w:rsidR="00840836">
        <w:t>e.g.,</w:t>
      </w:r>
      <w:r w:rsidR="00E51157">
        <w:t xml:space="preserve"> </w:t>
      </w:r>
      <w:r w:rsidRPr="008373F7">
        <w:t>common planning time</w:t>
      </w:r>
      <w:r>
        <w:t>)</w:t>
      </w:r>
      <w:r w:rsidR="00C3721D">
        <w:t>,</w:t>
      </w:r>
      <w:r w:rsidRPr="008373F7">
        <w:t xml:space="preserve"> </w:t>
      </w:r>
      <w:r>
        <w:t xml:space="preserve">district leaders seemed hopeful they could find </w:t>
      </w:r>
      <w:r w:rsidRPr="008373F7">
        <w:t>funds to sustain the committees</w:t>
      </w:r>
      <w:r>
        <w:t xml:space="preserve"> as the vehicle by which they can maintain their new participatory practices and the forum for continuing to find creative and inexpensive solutions to improvement</w:t>
      </w:r>
      <w:r w:rsidRPr="008373F7">
        <w:t>.</w:t>
      </w:r>
    </w:p>
    <w:p w:rsidR="00D01286" w:rsidRDefault="00D01286" w:rsidP="0035181C">
      <w:pPr>
        <w:pStyle w:val="BodyText"/>
      </w:pPr>
      <w:r>
        <w:t>Overall</w:t>
      </w:r>
      <w:r w:rsidR="00164185">
        <w:t>,</w:t>
      </w:r>
      <w:r>
        <w:t xml:space="preserve"> findings from the HR Pilot implementation </w:t>
      </w:r>
      <w:r w:rsidR="00427680">
        <w:t>verify</w:t>
      </w:r>
      <w:r>
        <w:t xml:space="preserve"> the importance of the sustainability indicators identified in the literature. One surprising finding, however, is the key role played by the committee structures both in empowering teachers and changing the relationship between the district administration and the teachers, perhaps permanently. The decision to continue the structural element</w:t>
      </w:r>
      <w:r w:rsidR="00DC3D59">
        <w:t>s</w:t>
      </w:r>
      <w:r>
        <w:t xml:space="preserve"> of the HR Pilot</w:t>
      </w:r>
      <w:r>
        <w:sym w:font="Symbol" w:char="F0BE"/>
      </w:r>
      <w:r>
        <w:t>and even strengthen the power of the committees</w:t>
      </w:r>
      <w:r>
        <w:sym w:font="Symbol" w:char="F0BE"/>
      </w:r>
      <w:r>
        <w:t>shows the impact and continued influence of the local HR Pilot on the ownership of improved teaching and learning in the districts.</w:t>
      </w:r>
    </w:p>
    <w:p w:rsidR="00D01286" w:rsidRDefault="00D01286" w:rsidP="00D01286"/>
    <w:p w:rsidR="00EF3C13" w:rsidRPr="00D52CDF" w:rsidRDefault="007E3F07" w:rsidP="0056546D">
      <w:pPr>
        <w:pStyle w:val="ChapterTitle"/>
      </w:pPr>
      <w:r>
        <w:br w:type="page"/>
      </w:r>
      <w:bookmarkStart w:id="64" w:name="_Toc399828634"/>
      <w:r w:rsidR="00EF3C13" w:rsidRPr="00D52CDF">
        <w:t>Chapter 6</w:t>
      </w:r>
      <w:r w:rsidR="00103836">
        <w:t>:</w:t>
      </w:r>
      <w:r w:rsidR="00EF3C13">
        <w:t xml:space="preserve"> Conclusions and </w:t>
      </w:r>
      <w:r w:rsidR="00ED57F4">
        <w:br/>
      </w:r>
      <w:r w:rsidR="00EF3C13" w:rsidRPr="00D52CDF">
        <w:t>Lessons Learned</w:t>
      </w:r>
      <w:bookmarkEnd w:id="64"/>
      <w:r w:rsidR="00EF3C13" w:rsidRPr="00D52CDF">
        <w:t xml:space="preserve"> </w:t>
      </w:r>
    </w:p>
    <w:p w:rsidR="00EF3C13" w:rsidRDefault="00EF3C13" w:rsidP="0035181C">
      <w:pPr>
        <w:pStyle w:val="BodyText"/>
      </w:pPr>
      <w:r>
        <w:t xml:space="preserve">This final chapter </w:t>
      </w:r>
      <w:r w:rsidR="00454E9E">
        <w:t xml:space="preserve">discusses the implications of </w:t>
      </w:r>
      <w:r>
        <w:t xml:space="preserve">the findings </w:t>
      </w:r>
      <w:r w:rsidR="000A1063">
        <w:t>on</w:t>
      </w:r>
      <w:r>
        <w:t xml:space="preserve"> HR Pilot implementation across the three districts and </w:t>
      </w:r>
      <w:r w:rsidRPr="00CD3EBE">
        <w:t>extracts key lessons from the</w:t>
      </w:r>
      <w:r>
        <w:t>ir</w:t>
      </w:r>
      <w:r w:rsidRPr="00CD3EBE">
        <w:t xml:space="preserve"> experiences.</w:t>
      </w:r>
      <w:r w:rsidR="003A6F84">
        <w:t xml:space="preserve"> It begins with revisiting the conceptual framework (Chapter 2) to highlight specific assumptions underlying the reforms that were critical for districts to successfully implement the HR Pilot locally. </w:t>
      </w:r>
    </w:p>
    <w:p w:rsidR="00E261A2" w:rsidRDefault="003A6F84" w:rsidP="00451664">
      <w:pPr>
        <w:pStyle w:val="BodyText"/>
      </w:pPr>
      <w:r>
        <w:t xml:space="preserve">A </w:t>
      </w:r>
      <w:r w:rsidR="00451664">
        <w:t>conceptual framework expresses the key explicit assumption that if “activities are conducted as planned with sufficient quality, intensity</w:t>
      </w:r>
      <w:r>
        <w:t>,</w:t>
      </w:r>
      <w:r w:rsidR="00451664">
        <w:t xml:space="preserve"> and fidelity to </w:t>
      </w:r>
      <w:proofErr w:type="gramStart"/>
      <w:r w:rsidR="00451664">
        <w:t>plan,</w:t>
      </w:r>
      <w:proofErr w:type="gramEnd"/>
      <w:r w:rsidR="00451664">
        <w:t xml:space="preserve"> the desired results will be forthcoming” (Weiss, 1998, p. 58). However, the variation in quality, scope, and fidelity of implementation among the HR Pilot districts necessitates looking beyond the explicit assumptions of the HR Pilot to examine the underlying, implicit assumptions that contribute to the variation. These are the assumptions that, “although as important as those made explicit, remain implicit, unexplored</w:t>
      </w:r>
      <w:r>
        <w:t>,</w:t>
      </w:r>
      <w:r w:rsidR="00451664">
        <w:t xml:space="preserve"> and inferred” (</w:t>
      </w:r>
      <w:r w:rsidR="00451664" w:rsidRPr="0072587E">
        <w:t xml:space="preserve">Weiss, </w:t>
      </w:r>
      <w:r w:rsidR="00451664">
        <w:t>1995, p. 23).</w:t>
      </w:r>
      <w:r w:rsidR="00114628">
        <w:t xml:space="preserve"> </w:t>
      </w:r>
    </w:p>
    <w:p w:rsidR="00454E9E" w:rsidRDefault="00E261A2" w:rsidP="006E6FF6">
      <w:pPr>
        <w:pStyle w:val="BodyText"/>
      </w:pPr>
      <w:r>
        <w:t>We discuss some of the im</w:t>
      </w:r>
      <w:r w:rsidRPr="00397627">
        <w:t>plicit assumptions</w:t>
      </w:r>
      <w:r>
        <w:t xml:space="preserve"> underlying the HR Pilot conceptual framework, including assumptions about leadership, technical assistance, and the expectation that districts work on all seven levers. All these assumptions challenged districts’ efforts to implement their local projects. </w:t>
      </w:r>
      <w:r w:rsidR="00451664">
        <w:t xml:space="preserve">For example, “strong and stable leadership” is a condition of success but fails to </w:t>
      </w:r>
      <w:r w:rsidR="00451664">
        <w:rPr>
          <w:rFonts w:eastAsia="Arial Unicode MS"/>
        </w:rPr>
        <w:t xml:space="preserve">take into account that stable leadership, although vital, is not characteristic of urban districts and did not hold true in two HR Pilot districts that experienced superintendent turnover. </w:t>
      </w:r>
      <w:r w:rsidR="00454E9E">
        <w:t xml:space="preserve">Over the course of the HR Pilot, district and union leadership turnover across the districts impeded the progress to varying degrees. In each case, WGEE’s concerted effort was necessary to educate the new leader about the HR Pilot’s theory of action, reaffirm district and union leadership commitment to the project, and revise the implementation plan to take into account the leaders’ priorities. </w:t>
      </w:r>
      <w:r w:rsidR="00454E9E">
        <w:rPr>
          <w:rFonts w:eastAsia="Arial Unicode MS"/>
        </w:rPr>
        <w:t>In hindsight one district administrator observed, “</w:t>
      </w:r>
      <w:r w:rsidR="00454E9E">
        <w:t xml:space="preserve">We really struggled with HR Pilot because if you don’t have stable leadership, HR Pilot is not the thing for you.” </w:t>
      </w:r>
    </w:p>
    <w:p w:rsidR="00621E86" w:rsidRDefault="00454E9E" w:rsidP="00454E9E">
      <w:pPr>
        <w:pStyle w:val="BodyText"/>
      </w:pPr>
      <w:r>
        <w:t xml:space="preserve">The second critical assumption is that the districts would and could take on seven levers at once. This assumption seems to touch the nonnegotiable core of the HR Pilot model, since the levers (and the alignment of the levers) differentiate the HR Pilot from other similar programs aspiring to improve human capital management. Two districts accepted the expectation to work on all the levers at once, although the leaders knew this decision would strain district capacity. One superintendent acknowledged wanting to prioritize four of the seven levers but was strongly encouraged to work on all seven simultaneously. Having then done so, the relationships between the levers became clearer to the district leaders: “If we had spent the first year focused on fewer (levers), it (the implementation process) might have been less fractured…. But now I am not sure how (that) would work as the seven committees are so intertwined.” </w:t>
      </w:r>
    </w:p>
    <w:p w:rsidR="00454E9E" w:rsidRDefault="00F5086B" w:rsidP="00454E9E">
      <w:pPr>
        <w:pStyle w:val="BodyText"/>
      </w:pPr>
      <w:r>
        <w:t>W</w:t>
      </w:r>
      <w:r w:rsidR="00621E86">
        <w:t xml:space="preserve">here districts attempted to address all </w:t>
      </w:r>
      <w:r w:rsidR="00454E9E">
        <w:t>seven levers</w:t>
      </w:r>
      <w:r w:rsidR="00621E86">
        <w:t xml:space="preserve">, seven </w:t>
      </w:r>
      <w:r w:rsidR="00454E9E">
        <w:t xml:space="preserve">proved too many to work on with equal effort within the 2.5 years of </w:t>
      </w:r>
      <w:r w:rsidR="00621E86">
        <w:t>implementation</w:t>
      </w:r>
      <w:r w:rsidR="00454E9E">
        <w:t xml:space="preserve">. Policy and practice changes most commonly took place under the recruitment and hiring, induction, professional development, and evaluation levers, the last motivated by the implementation of the state-mandated educator evaluation framework. Adult professional culture proved the most difficult to affect directly, perhaps not surprisingly lagging behind other changes until late in the implementation process. </w:t>
      </w:r>
    </w:p>
    <w:p w:rsidR="00451664" w:rsidRDefault="00451664" w:rsidP="00451664">
      <w:pPr>
        <w:pStyle w:val="BodyText"/>
      </w:pPr>
      <w:r>
        <w:t>Technical assistance comprise</w:t>
      </w:r>
      <w:r w:rsidR="00621E86">
        <w:t>d</w:t>
      </w:r>
      <w:r>
        <w:t xml:space="preserve"> a major source of ongoing support for implementation, as reflected in the conceptual framework</w:t>
      </w:r>
      <w:r w:rsidR="00621E86">
        <w:t xml:space="preserve"> and as we discussed in Chapter 4</w:t>
      </w:r>
      <w:r>
        <w:t xml:space="preserve">. </w:t>
      </w:r>
      <w:r w:rsidR="00621E86">
        <w:t>As the initiative was designed, the coherence coach offered assistance tailored to districts’ needs and worked directly with the local steering committees and lever committees.</w:t>
      </w:r>
      <w:r>
        <w:t xml:space="preserve"> Implicit to this </w:t>
      </w:r>
      <w:r w:rsidR="00621E86">
        <w:t xml:space="preserve">technical assistance </w:t>
      </w:r>
      <w:r>
        <w:t xml:space="preserve">component were the assumptions that </w:t>
      </w:r>
      <w:r w:rsidR="00CF21D7">
        <w:t>a</w:t>
      </w:r>
      <w:r>
        <w:t>) districts would accept an outsider as a key player in the project</w:t>
      </w:r>
      <w:r w:rsidR="00F5086B">
        <w:t>,</w:t>
      </w:r>
      <w:r>
        <w:t xml:space="preserve"> and </w:t>
      </w:r>
      <w:r w:rsidR="00CF21D7">
        <w:t>b</w:t>
      </w:r>
      <w:r>
        <w:t xml:space="preserve">) districts would know how to use the coach’s assistance for optimal results. These assumptions did not bear out </w:t>
      </w:r>
      <w:r w:rsidR="00621E86">
        <w:t>across all districts</w:t>
      </w:r>
      <w:r>
        <w:t xml:space="preserve">. One district started with a coherence coach the first year but between a lack of superintendent support and the district’s preference for working with insiders to the system, the coach “met with a bad reception” </w:t>
      </w:r>
      <w:r w:rsidR="00621E86">
        <w:t xml:space="preserve">according to interview respondents, </w:t>
      </w:r>
      <w:r>
        <w:t xml:space="preserve">left after the first year, and was not replaced. In a second district, the coherence coach limited her assistance to directly supporting the district administrators. With the arrival of the new superintendent, the coach’s involvement basically ended. The third district experienced turnover in the position, which slowed their progress, according to the superintendent. </w:t>
      </w:r>
      <w:r w:rsidR="00C04939">
        <w:t xml:space="preserve">Where </w:t>
      </w:r>
      <w:r w:rsidR="00621E86">
        <w:t xml:space="preserve">the coherence coach </w:t>
      </w:r>
      <w:r w:rsidR="00C04939">
        <w:t>was able to provide assistance valued by the district, the coach could identify hands-on activities to support particular committees that welcomed the coach’s involvement or the district leaders shaped a niche role for the coherence coach, such as executive coaching for specific district administrators.</w:t>
      </w:r>
    </w:p>
    <w:p w:rsidR="00C04939" w:rsidRDefault="00451664" w:rsidP="006E6FF6">
      <w:pPr>
        <w:pStyle w:val="BodyText"/>
      </w:pPr>
      <w:r>
        <w:t xml:space="preserve">Not all the implicit assumptions had negative or limiting effects. For example, </w:t>
      </w:r>
      <w:r w:rsidR="00C04939">
        <w:t xml:space="preserve">an </w:t>
      </w:r>
      <w:r>
        <w:t>explicit assumption was that “expanded educator participation in district decisionmaking” would be an outcome of the project, but the effect of that expanded participation on the district leadership is not included</w:t>
      </w:r>
      <w:r w:rsidR="00C04939">
        <w:t xml:space="preserve"> in the conceptual framework</w:t>
      </w:r>
      <w:r>
        <w:t>. In fact, two districts found that empowered teachers enriched the district with new sources of information and ideas for changing policy and practice. One assistant superintendent commented</w:t>
      </w:r>
      <w:r w:rsidR="00C04939">
        <w:t>:</w:t>
      </w:r>
      <w:r>
        <w:t xml:space="preserve"> “[It is my] sincere hope that this initiative will help us find a process by which we have shared decisionmaking between educators and administrators. Being more nimble and responsive to concerns will ultimately have better educational outcomes.”</w:t>
      </w:r>
      <w:r w:rsidRPr="00F93369">
        <w:rPr>
          <w:rFonts w:ascii="Calibri" w:hAnsi="Calibri"/>
        </w:rPr>
        <w:t xml:space="preserve"> </w:t>
      </w:r>
      <w:r>
        <w:t>The superintendent in another district mused</w:t>
      </w:r>
      <w:r w:rsidR="00C04939">
        <w:t>:</w:t>
      </w:r>
      <w:r>
        <w:t xml:space="preserve"> “If [we] go back to 5 years ago, the thinking of 60 people was done by 2 or 3 people. Through this reform, [the] change [is] almost natural. Let’s turn it over to them [the teachers].” </w:t>
      </w:r>
    </w:p>
    <w:p w:rsidR="006E6FF6" w:rsidRDefault="00C04939" w:rsidP="006E6FF6">
      <w:pPr>
        <w:pStyle w:val="BodyText"/>
      </w:pPr>
      <w:r>
        <w:t>Thus</w:t>
      </w:r>
      <w:r w:rsidR="007B2F80">
        <w:t>,</w:t>
      </w:r>
      <w:r>
        <w:t xml:space="preserve"> </w:t>
      </w:r>
      <w:r w:rsidR="006E6FF6">
        <w:t xml:space="preserve">expanded and more powerful teacher voice was a clear outcome of the HR Pilot work. This outcome </w:t>
      </w:r>
      <w:r w:rsidR="0069360B">
        <w:t>a</w:t>
      </w:r>
      <w:r w:rsidR="007F141D">
        <w:t xml:space="preserve">rose in part from </w:t>
      </w:r>
      <w:r w:rsidR="006E6FF6">
        <w:t>two other important HR Pilot accomplishments</w:t>
      </w:r>
      <w:r w:rsidR="007F141D">
        <w:t>: engaging</w:t>
      </w:r>
      <w:r w:rsidR="006E6FF6">
        <w:t xml:space="preserve"> the support of district leadership in sharing decisionmaking beyond traditional district administrators</w:t>
      </w:r>
      <w:r w:rsidR="007F141D">
        <w:t xml:space="preserve">; and using </w:t>
      </w:r>
      <w:r w:rsidR="006E6FF6">
        <w:t xml:space="preserve">the </w:t>
      </w:r>
      <w:r w:rsidR="007F141D">
        <w:t xml:space="preserve">broad-based </w:t>
      </w:r>
      <w:r w:rsidR="006E6FF6">
        <w:t xml:space="preserve">committee structures to carry out HR Pilot-related work. The </w:t>
      </w:r>
      <w:r w:rsidR="007F141D">
        <w:t xml:space="preserve">committee </w:t>
      </w:r>
      <w:r w:rsidR="006E6FF6">
        <w:t xml:space="preserve">structures provided a channel for conveying </w:t>
      </w:r>
      <w:r w:rsidR="007F141D">
        <w:t xml:space="preserve">diverse </w:t>
      </w:r>
      <w:r w:rsidR="006E6FF6">
        <w:t>ideas to the district leaders</w:t>
      </w:r>
      <w:r w:rsidR="0069360B">
        <w:t>,</w:t>
      </w:r>
      <w:r w:rsidR="007F141D">
        <w:t xml:space="preserve"> and </w:t>
      </w:r>
      <w:r w:rsidR="006E6FF6">
        <w:t xml:space="preserve">shared leadership </w:t>
      </w:r>
      <w:r w:rsidR="007F141D">
        <w:t xml:space="preserve">not only gave </w:t>
      </w:r>
      <w:r w:rsidR="006E6FF6">
        <w:t>educator</w:t>
      </w:r>
      <w:r w:rsidR="007F141D">
        <w:t>s</w:t>
      </w:r>
      <w:r w:rsidR="006E6FF6">
        <w:t xml:space="preserve"> voice </w:t>
      </w:r>
      <w:r w:rsidR="007F141D">
        <w:t>but gave</w:t>
      </w:r>
      <w:r w:rsidR="006E6FF6">
        <w:t xml:space="preserve"> the</w:t>
      </w:r>
      <w:r w:rsidR="007F141D">
        <w:t>m the</w:t>
      </w:r>
      <w:r w:rsidR="006E6FF6">
        <w:t xml:space="preserve"> opportunity to become catalyst</w:t>
      </w:r>
      <w:r w:rsidR="007F141D">
        <w:t>s</w:t>
      </w:r>
      <w:r w:rsidR="006E6FF6">
        <w:t xml:space="preserve"> for change. </w:t>
      </w:r>
      <w:r w:rsidR="00E261A2">
        <w:t>In the clearest examples of teacher voice and ownership over aspects of the local HR Pilot projects, the committees generated the recommendations for modifying policies</w:t>
      </w:r>
      <w:r w:rsidR="00787494">
        <w:t>,</w:t>
      </w:r>
      <w:r w:rsidR="00E261A2">
        <w:t xml:space="preserve"> such as </w:t>
      </w:r>
      <w:r w:rsidR="00DC3D59">
        <w:t xml:space="preserve">streamlining the hiring process and increasing the differentiation of </w:t>
      </w:r>
      <w:r w:rsidR="00787494">
        <w:t xml:space="preserve">professional development </w:t>
      </w:r>
      <w:r w:rsidR="00DC3D59">
        <w:t>to better meet teacher</w:t>
      </w:r>
      <w:r w:rsidR="00787494">
        <w:t>s’</w:t>
      </w:r>
      <w:r w:rsidR="00DC3D59">
        <w:t xml:space="preserve"> unique needs</w:t>
      </w:r>
      <w:r w:rsidR="00E261A2">
        <w:t xml:space="preserve">. </w:t>
      </w:r>
      <w:r w:rsidR="006E6FF6">
        <w:t xml:space="preserve">The developers often stated that if successful, the HR Pilot would change the way the districts “do business,” meaning decisionmaking would be collaborative and decentralized. </w:t>
      </w:r>
    </w:p>
    <w:p w:rsidR="00EF3C13" w:rsidRDefault="00EF3C13" w:rsidP="0035181C">
      <w:pPr>
        <w:pStyle w:val="BodyText"/>
      </w:pPr>
      <w:r>
        <w:t>The long view of the HR Pilot re</w:t>
      </w:r>
      <w:r w:rsidR="00306C97">
        <w:t xml:space="preserve">cognizes that </w:t>
      </w:r>
      <w:r>
        <w:t>significant district reform, both in terms of how teachers are supported throughout their careers and how the district makes decisions—true distributed leadership—takes time. Sustainability indicators suggest reason</w:t>
      </w:r>
      <w:r w:rsidR="00E60A0A">
        <w:t>s</w:t>
      </w:r>
      <w:r>
        <w:t xml:space="preserve"> for optimism in at least two districts. The legacy of </w:t>
      </w:r>
      <w:r w:rsidR="00E60A0A">
        <w:t xml:space="preserve">the </w:t>
      </w:r>
      <w:r>
        <w:t xml:space="preserve">HR Pilot </w:t>
      </w:r>
      <w:r w:rsidR="00B6373C">
        <w:t xml:space="preserve">project </w:t>
      </w:r>
      <w:r>
        <w:t>in these district</w:t>
      </w:r>
      <w:r w:rsidR="008F029A">
        <w:t>s</w:t>
      </w:r>
      <w:r>
        <w:t xml:space="preserve"> is an opening up of norms around district consultation and decisionmaking</w:t>
      </w:r>
      <w:r w:rsidR="000379C0">
        <w:t>,</w:t>
      </w:r>
      <w:r>
        <w:t xml:space="preserve"> as well as a resulting ownership of district policies and practices among all educators, especially teachers. As important as these changes are, financial concerns hang over the districts about how to pay for teachers’ time associated with this kind of involvement beyond their instructional duties. </w:t>
      </w:r>
    </w:p>
    <w:p w:rsidR="00EF3C13" w:rsidRDefault="00EF3C13" w:rsidP="0035181C">
      <w:pPr>
        <w:pStyle w:val="BodyText"/>
      </w:pPr>
      <w:r>
        <w:t xml:space="preserve">It is from this holistic view of the HR Pilot that we pose some key lessons learned. </w:t>
      </w:r>
      <w:r w:rsidRPr="00CD3EBE">
        <w:t xml:space="preserve">While the lessons </w:t>
      </w:r>
      <w:r>
        <w:t xml:space="preserve">derive </w:t>
      </w:r>
      <w:r w:rsidRPr="00CD3EBE">
        <w:t xml:space="preserve">specifically from the successes and challenges of implementing human resources-related strategies, the HR Pilot was also an example of districtwide reform. </w:t>
      </w:r>
      <w:r>
        <w:t>S</w:t>
      </w:r>
      <w:r w:rsidRPr="00CD3EBE">
        <w:t xml:space="preserve">ome of the lessons </w:t>
      </w:r>
      <w:r w:rsidR="00EC0B2E" w:rsidRPr="00CD3EBE">
        <w:t xml:space="preserve">will </w:t>
      </w:r>
      <w:r>
        <w:t xml:space="preserve">therefore </w:t>
      </w:r>
      <w:r w:rsidRPr="00CD3EBE">
        <w:t>apply more broadly to a range of district reform strategies</w:t>
      </w:r>
      <w:r w:rsidR="00F861CF">
        <w:t xml:space="preserve">, particularly around the need for active district leadership to define </w:t>
      </w:r>
      <w:r w:rsidR="009C2959">
        <w:t>the purpose and scope of the reforms, shared leadership that generates teachers’ buy-in and engages them as change agents, and external assistance within the district’s capacity to pursue the reforms</w:t>
      </w:r>
      <w:r w:rsidRPr="00CD3EBE">
        <w:t xml:space="preserve">. Moreover, </w:t>
      </w:r>
      <w:r w:rsidR="007235C2">
        <w:t xml:space="preserve">the </w:t>
      </w:r>
      <w:r w:rsidRPr="00CD3EBE">
        <w:t>new educator evaluation system</w:t>
      </w:r>
      <w:r w:rsidR="009C2959">
        <w:t xml:space="preserve"> </w:t>
      </w:r>
      <w:r w:rsidR="007235C2">
        <w:t xml:space="preserve">has as its central purpose improving teacher quality. To do so, districts may need to retool </w:t>
      </w:r>
      <w:r w:rsidR="002A1EBA">
        <w:t xml:space="preserve">various </w:t>
      </w:r>
      <w:r w:rsidR="007235C2">
        <w:t xml:space="preserve">HR functions to offer more coherent supports to new and experienced teachers. </w:t>
      </w:r>
      <w:r w:rsidR="00EC0B2E">
        <w:t>Thus, t</w:t>
      </w:r>
      <w:r w:rsidR="002A1EBA">
        <w:t>he H</w:t>
      </w:r>
      <w:r w:rsidRPr="00CD3EBE">
        <w:t xml:space="preserve">R Pilot districts’ efforts </w:t>
      </w:r>
      <w:r w:rsidR="007235C2">
        <w:t xml:space="preserve">to examine and reform those functions </w:t>
      </w:r>
      <w:r w:rsidRPr="00CD3EBE">
        <w:t xml:space="preserve">may </w:t>
      </w:r>
      <w:r w:rsidR="002A1EBA">
        <w:t>be applicable to districts across Massachusetts.</w:t>
      </w:r>
      <w:r w:rsidRPr="00CD3EBE">
        <w:t xml:space="preserve"> </w:t>
      </w:r>
    </w:p>
    <w:p w:rsidR="00EF3C13" w:rsidRDefault="00EF3C13" w:rsidP="004A1D54">
      <w:pPr>
        <w:pStyle w:val="Heading1"/>
      </w:pPr>
      <w:bookmarkStart w:id="65" w:name="_Toc394916545"/>
      <w:bookmarkStart w:id="66" w:name="_Toc399828635"/>
      <w:r>
        <w:t>Lessons about Leadership</w:t>
      </w:r>
      <w:bookmarkEnd w:id="65"/>
      <w:bookmarkEnd w:id="66"/>
    </w:p>
    <w:p w:rsidR="00EF3C13" w:rsidRDefault="00EF3C13" w:rsidP="00EF3C13">
      <w:pPr>
        <w:pStyle w:val="ListParagraph"/>
        <w:numPr>
          <w:ilvl w:val="0"/>
          <w:numId w:val="11"/>
        </w:numPr>
      </w:pPr>
      <w:r w:rsidRPr="00CD3EBE">
        <w:t>The early stage of engaging district leaders in the reform theory and developing their understanding and concrete commitment to integrate the reforms into their district priorities is essential</w:t>
      </w:r>
      <w:r>
        <w:t xml:space="preserve"> and must be </w:t>
      </w:r>
      <w:r w:rsidR="000379C0">
        <w:t>thorough</w:t>
      </w:r>
      <w:r>
        <w:t>.</w:t>
      </w:r>
    </w:p>
    <w:p w:rsidR="00EF3C13" w:rsidRDefault="00EF3C13" w:rsidP="00EF3C13">
      <w:pPr>
        <w:pStyle w:val="ListParagraph"/>
        <w:numPr>
          <w:ilvl w:val="0"/>
          <w:numId w:val="11"/>
        </w:numPr>
      </w:pPr>
      <w:r w:rsidRPr="00CD3EBE">
        <w:t>District leadership turnover can paralyze reform activities, especially if the reform strategies d</w:t>
      </w:r>
      <w:r w:rsidR="00522BDC">
        <w:t>o</w:t>
      </w:r>
      <w:r>
        <w:t xml:space="preserve"> not have broad buy-</w:t>
      </w:r>
      <w:r w:rsidRPr="00CD3EBE">
        <w:t>in across district and school staff. Where such buy-in exist</w:t>
      </w:r>
      <w:r>
        <w:t>s</w:t>
      </w:r>
      <w:r w:rsidR="008F029A">
        <w:t>,</w:t>
      </w:r>
      <w:r w:rsidRPr="00CD3EBE">
        <w:t xml:space="preserve"> key principles and practices representing the reforms can survive</w:t>
      </w:r>
      <w:r>
        <w:t xml:space="preserve"> turnover</w:t>
      </w:r>
      <w:r w:rsidRPr="00CD3EBE">
        <w:t>.</w:t>
      </w:r>
    </w:p>
    <w:p w:rsidR="00EF3C13" w:rsidRPr="00CD3EBE" w:rsidRDefault="00EF3C13" w:rsidP="00EF3C13">
      <w:pPr>
        <w:pStyle w:val="ListParagraph"/>
        <w:numPr>
          <w:ilvl w:val="0"/>
          <w:numId w:val="11"/>
        </w:numPr>
      </w:pPr>
      <w:r w:rsidRPr="00CD3EBE">
        <w:t>Union leadership turnover can be almost equally disruptive to reform efforts</w:t>
      </w:r>
      <w:r>
        <w:t>. Maintaining union support in the face of turnover requires persistent communication efforts and investment in explaining the reform theory of action, purposes, goals, and strategies to new union partners.</w:t>
      </w:r>
    </w:p>
    <w:p w:rsidR="00EF3C13" w:rsidRDefault="00EF3C13" w:rsidP="004A1D54">
      <w:pPr>
        <w:pStyle w:val="Heading1"/>
      </w:pPr>
      <w:bookmarkStart w:id="67" w:name="_Toc394916546"/>
      <w:bookmarkStart w:id="68" w:name="_Toc399828636"/>
      <w:r>
        <w:t xml:space="preserve">Lessons about Successfully Implementing </w:t>
      </w:r>
      <w:r w:rsidR="00D0701F">
        <w:br/>
      </w:r>
      <w:r>
        <w:t>Complex Initiatives</w:t>
      </w:r>
      <w:bookmarkEnd w:id="67"/>
      <w:bookmarkEnd w:id="68"/>
    </w:p>
    <w:p w:rsidR="00EF3C13" w:rsidRDefault="00EF3C13" w:rsidP="00EF3C13">
      <w:pPr>
        <w:pStyle w:val="ListParagraph"/>
        <w:numPr>
          <w:ilvl w:val="0"/>
          <w:numId w:val="11"/>
        </w:numPr>
      </w:pPr>
      <w:r w:rsidRPr="00CD3EBE">
        <w:t xml:space="preserve">Policy reforms, even with broad-based participation and distributed leadership, take many years to </w:t>
      </w:r>
      <w:r w:rsidR="00F20FF3">
        <w:t>institutionalize</w:t>
      </w:r>
      <w:r w:rsidR="00521DA5">
        <w:t xml:space="preserve"> changes in</w:t>
      </w:r>
      <w:r w:rsidRPr="00CD3EBE">
        <w:t xml:space="preserve"> practice. At the end of 2.5 years, </w:t>
      </w:r>
      <w:r>
        <w:t xml:space="preserve">the HR Pilot </w:t>
      </w:r>
      <w:r w:rsidRPr="00CD3EBE">
        <w:t xml:space="preserve">districts at best had made a few important changes in key priority levers and had begun to plan for sustainability. But </w:t>
      </w:r>
      <w:r>
        <w:t xml:space="preserve">the funded period did not afford sufficient time </w:t>
      </w:r>
      <w:r w:rsidRPr="00CD3EBE">
        <w:t xml:space="preserve">to </w:t>
      </w:r>
      <w:r w:rsidR="003233A8">
        <w:t xml:space="preserve">for those practices to spread consistently </w:t>
      </w:r>
      <w:r w:rsidRPr="00CD3EBE">
        <w:t>at the school level.</w:t>
      </w:r>
    </w:p>
    <w:p w:rsidR="00EF3C13" w:rsidRDefault="00EF3C13" w:rsidP="00EF3C13">
      <w:pPr>
        <w:pStyle w:val="ListParagraph"/>
        <w:numPr>
          <w:ilvl w:val="0"/>
          <w:numId w:val="11"/>
        </w:numPr>
      </w:pPr>
      <w:r w:rsidRPr="00CD3EBE">
        <w:t>Districts, no matter how organized o</w:t>
      </w:r>
      <w:r>
        <w:t>r ambitious, cannot tackle seven</w:t>
      </w:r>
      <w:r w:rsidRPr="00CD3EBE">
        <w:t xml:space="preserve"> levers simultaneously</w:t>
      </w:r>
      <w:r>
        <w:t xml:space="preserve"> and with equal results</w:t>
      </w:r>
      <w:r w:rsidR="00A33C6C">
        <w:t xml:space="preserve"> i</w:t>
      </w:r>
      <w:r>
        <w:t>n a period of</w:t>
      </w:r>
      <w:r w:rsidRPr="00CD3EBE">
        <w:t xml:space="preserve"> 2.5 years. </w:t>
      </w:r>
      <w:r>
        <w:t>District leadership must define priorities for the lever groups, provide encouragement to lagging or discouraged groups</w:t>
      </w:r>
      <w:r w:rsidR="008C30E8">
        <w:t>,</w:t>
      </w:r>
      <w:r>
        <w:t xml:space="preserve"> and offer the reward of seeing hard work at the committee level bring change at the district level. </w:t>
      </w:r>
    </w:p>
    <w:p w:rsidR="00EF3C13" w:rsidRDefault="00EF3C13" w:rsidP="00EF3C13">
      <w:pPr>
        <w:pStyle w:val="ListParagraph"/>
        <w:numPr>
          <w:ilvl w:val="0"/>
          <w:numId w:val="11"/>
        </w:numPr>
      </w:pPr>
      <w:r w:rsidRPr="00CD3EBE">
        <w:t xml:space="preserve">Breaking down the silos that characterize typical district functions requires </w:t>
      </w:r>
      <w:r>
        <w:t xml:space="preserve">explicit </w:t>
      </w:r>
      <w:r w:rsidRPr="00CD3EBE">
        <w:t>effort, even to</w:t>
      </w:r>
      <w:r>
        <w:t xml:space="preserve"> align </w:t>
      </w:r>
      <w:r w:rsidRPr="00CD3EBE">
        <w:t xml:space="preserve">activities that seem </w:t>
      </w:r>
      <w:r>
        <w:t>to fit naturally</w:t>
      </w:r>
      <w:r w:rsidR="00AE56C4">
        <w:t>,</w:t>
      </w:r>
      <w:r w:rsidRPr="00CD3EBE">
        <w:t xml:space="preserve"> </w:t>
      </w:r>
      <w:r w:rsidR="00350C8C">
        <w:t xml:space="preserve">such as </w:t>
      </w:r>
      <w:r w:rsidRPr="00CD3EBE">
        <w:t>using evaluation results to inform professional development offerings.</w:t>
      </w:r>
      <w:r>
        <w:t xml:space="preserve"> While the emphasis in the HR Pilot </w:t>
      </w:r>
      <w:r w:rsidR="009912EF">
        <w:t>i</w:t>
      </w:r>
      <w:r>
        <w:t xml:space="preserve">nitiative was on aligning the work of the </w:t>
      </w:r>
      <w:r w:rsidR="00F20FF3">
        <w:t xml:space="preserve">lever </w:t>
      </w:r>
      <w:r>
        <w:t xml:space="preserve">committees, it is equally critical that </w:t>
      </w:r>
      <w:r w:rsidRPr="00CD3EBE">
        <w:t>district staff working in different functions</w:t>
      </w:r>
      <w:r>
        <w:t xml:space="preserve"> have opportunities</w:t>
      </w:r>
      <w:r w:rsidRPr="00CD3EBE">
        <w:t xml:space="preserve"> to interact routinely and make joint decisions. </w:t>
      </w:r>
    </w:p>
    <w:p w:rsidR="00EF3C13" w:rsidRPr="00CD3EBE" w:rsidRDefault="00EF3C13" w:rsidP="00EF3C13">
      <w:pPr>
        <w:pStyle w:val="ListParagraph"/>
        <w:numPr>
          <w:ilvl w:val="0"/>
          <w:numId w:val="11"/>
        </w:numPr>
      </w:pPr>
      <w:r>
        <w:t>Training t</w:t>
      </w:r>
      <w:r w:rsidRPr="00CD3EBE">
        <w:t>eacher leaders</w:t>
      </w:r>
      <w:r>
        <w:t xml:space="preserve"> to help</w:t>
      </w:r>
      <w:r w:rsidRPr="00CD3EBE">
        <w:t xml:space="preserve"> implement specific changes is a powerful strategy to achieve widespread implement</w:t>
      </w:r>
      <w:r>
        <w:t>ation and buy-in. If chosen carefully, the teacher leaders</w:t>
      </w:r>
      <w:r w:rsidRPr="00CD3EBE">
        <w:t xml:space="preserve"> have legitimacy among their colleagues, can reach the teaching force at scale, </w:t>
      </w:r>
      <w:r>
        <w:t xml:space="preserve">and </w:t>
      </w:r>
      <w:r w:rsidRPr="00CD3EBE">
        <w:t xml:space="preserve">provide distributed capacity to support implementation across </w:t>
      </w:r>
      <w:r>
        <w:t>schools</w:t>
      </w:r>
      <w:r w:rsidR="00F20FF3">
        <w:t>.</w:t>
      </w:r>
    </w:p>
    <w:p w:rsidR="00EF3C13" w:rsidRDefault="00EF3C13" w:rsidP="004A1D54">
      <w:pPr>
        <w:pStyle w:val="Heading1"/>
      </w:pPr>
      <w:bookmarkStart w:id="69" w:name="_Toc394916547"/>
      <w:bookmarkStart w:id="70" w:name="_Toc399828637"/>
      <w:r>
        <w:t xml:space="preserve">Lessons about Inherent Limitations of </w:t>
      </w:r>
      <w:r w:rsidR="00D0701F">
        <w:br/>
      </w:r>
      <w:r>
        <w:t>Technical Assistance</w:t>
      </w:r>
      <w:bookmarkEnd w:id="69"/>
      <w:bookmarkEnd w:id="70"/>
    </w:p>
    <w:p w:rsidR="00EF3C13" w:rsidRDefault="00EF3C13" w:rsidP="00EF3C13">
      <w:pPr>
        <w:pStyle w:val="ListParagraph"/>
        <w:numPr>
          <w:ilvl w:val="0"/>
          <w:numId w:val="11"/>
        </w:numPr>
      </w:pPr>
      <w:r w:rsidRPr="00CD3EBE">
        <w:t>The usefulness and effectiveness of technical assistance is a function of the district’s readiness to receive technical assistance</w:t>
      </w:r>
      <w:r w:rsidR="00F827F8">
        <w:t>—</w:t>
      </w:r>
      <w:r w:rsidR="00523EC8">
        <w:t xml:space="preserve">for example the district having </w:t>
      </w:r>
      <w:r w:rsidRPr="00CD3EBE">
        <w:t>a rough set of plans with target goals, dat</w:t>
      </w:r>
      <w:r>
        <w:t>es, and actions that can be used</w:t>
      </w:r>
      <w:r w:rsidRPr="00CD3EBE">
        <w:t xml:space="preserve"> to identify an appropriate role for the </w:t>
      </w:r>
      <w:r w:rsidR="00FD2EB7" w:rsidRPr="00CD3EBE">
        <w:t xml:space="preserve">technical assistance </w:t>
      </w:r>
      <w:r w:rsidRPr="00CD3EBE">
        <w:t>provider</w:t>
      </w:r>
      <w:r>
        <w:t xml:space="preserve">. </w:t>
      </w:r>
      <w:r w:rsidR="00F827F8">
        <w:t xml:space="preserve">These </w:t>
      </w:r>
      <w:r>
        <w:t>plans help define</w:t>
      </w:r>
      <w:r w:rsidRPr="00CD3EBE">
        <w:t xml:space="preserve"> the capacity </w:t>
      </w:r>
      <w:r>
        <w:t>the district needs</w:t>
      </w:r>
      <w:r w:rsidRPr="00CD3EBE">
        <w:t xml:space="preserve"> to implement the reforms</w:t>
      </w:r>
      <w:r>
        <w:t xml:space="preserve">, </w:t>
      </w:r>
      <w:r w:rsidR="00F827F8">
        <w:t>as well as</w:t>
      </w:r>
      <w:r>
        <w:t xml:space="preserve"> the high-value functions to which the </w:t>
      </w:r>
      <w:r w:rsidR="00FD2EB7" w:rsidRPr="00CD3EBE">
        <w:t xml:space="preserve">technical assistance </w:t>
      </w:r>
      <w:r>
        <w:t xml:space="preserve">provider can contribute. </w:t>
      </w:r>
    </w:p>
    <w:p w:rsidR="00EF3C13" w:rsidRPr="00CD3EBE" w:rsidRDefault="00EF3C13" w:rsidP="00EF3C13">
      <w:pPr>
        <w:pStyle w:val="ListParagraph"/>
        <w:numPr>
          <w:ilvl w:val="0"/>
          <w:numId w:val="11"/>
        </w:numPr>
      </w:pPr>
      <w:r w:rsidRPr="00CD3EBE">
        <w:t xml:space="preserve">Ultimately, the role of external </w:t>
      </w:r>
      <w:r w:rsidR="00DD15E2" w:rsidRPr="00CD3EBE">
        <w:t>technical assistance</w:t>
      </w:r>
      <w:r w:rsidRPr="00CD3EBE">
        <w:t xml:space="preserve"> is limited to providing needed capacity (</w:t>
      </w:r>
      <w:r>
        <w:t xml:space="preserve">such as needed </w:t>
      </w:r>
      <w:r w:rsidRPr="00CD3EBE">
        <w:t xml:space="preserve">extra </w:t>
      </w:r>
      <w:r>
        <w:t>help</w:t>
      </w:r>
      <w:r w:rsidRPr="00CD3EBE">
        <w:t xml:space="preserve"> in </w:t>
      </w:r>
      <w:r>
        <w:t>planning and organizing</w:t>
      </w:r>
      <w:r w:rsidRPr="00CD3EBE">
        <w:t xml:space="preserve">, knowledge on </w:t>
      </w:r>
      <w:r>
        <w:t>specific topics</w:t>
      </w:r>
      <w:r w:rsidRPr="00CD3EBE">
        <w:t xml:space="preserve">, </w:t>
      </w:r>
      <w:r>
        <w:t xml:space="preserve">and </w:t>
      </w:r>
      <w:r w:rsidRPr="00CD3EBE">
        <w:t>access to resources</w:t>
      </w:r>
      <w:r>
        <w:t xml:space="preserve"> or other experts), maintaining and monitoring a work</w:t>
      </w:r>
      <w:r w:rsidR="00782D60">
        <w:t xml:space="preserve"> </w:t>
      </w:r>
      <w:r>
        <w:t xml:space="preserve">plan or timeline, and </w:t>
      </w:r>
      <w:r w:rsidRPr="00CD3EBE">
        <w:t>encouraging or even cajoling</w:t>
      </w:r>
      <w:r>
        <w:t xml:space="preserve"> those in the district who are supposed to take action</w:t>
      </w:r>
      <w:r w:rsidRPr="00CD3EBE">
        <w:t xml:space="preserve">. External </w:t>
      </w:r>
      <w:r w:rsidR="00782D60">
        <w:t>technical assistance</w:t>
      </w:r>
      <w:r w:rsidRPr="00CD3EBE">
        <w:t xml:space="preserve"> providers cannot </w:t>
      </w:r>
      <w:r>
        <w:t xml:space="preserve">supply </w:t>
      </w:r>
      <w:r w:rsidRPr="00CD3EBE">
        <w:t>the motivation or rationale for seeing through the project, establish the project as a district priority</w:t>
      </w:r>
      <w:r>
        <w:t>,</w:t>
      </w:r>
      <w:r w:rsidRPr="00CD3EBE">
        <w:t xml:space="preserve"> </w:t>
      </w:r>
      <w:r>
        <w:t xml:space="preserve">or </w:t>
      </w:r>
      <w:r w:rsidRPr="00CD3EBE">
        <w:t xml:space="preserve">devote leadership attention to it. Those essentials must come from the district. </w:t>
      </w:r>
    </w:p>
    <w:p w:rsidR="00EF3C13" w:rsidRPr="00CD3EBE" w:rsidRDefault="00EF3C13" w:rsidP="004A1D54">
      <w:pPr>
        <w:pStyle w:val="Heading1"/>
      </w:pPr>
      <w:bookmarkStart w:id="71" w:name="_Toc394916548"/>
      <w:bookmarkStart w:id="72" w:name="_Toc399828638"/>
      <w:r>
        <w:t>Lessons about Teacher Voice</w:t>
      </w:r>
      <w:bookmarkEnd w:id="71"/>
      <w:bookmarkEnd w:id="72"/>
    </w:p>
    <w:p w:rsidR="00EF3C13" w:rsidRDefault="00EF3C13" w:rsidP="00EF3C13">
      <w:pPr>
        <w:pStyle w:val="ListParagraph"/>
        <w:numPr>
          <w:ilvl w:val="0"/>
          <w:numId w:val="11"/>
        </w:numPr>
      </w:pPr>
      <w:r w:rsidRPr="00CD3EBE">
        <w:t xml:space="preserve">Teacher voice and union representation </w:t>
      </w:r>
      <w:proofErr w:type="gramStart"/>
      <w:r w:rsidRPr="00CD3EBE">
        <w:t>are</w:t>
      </w:r>
      <w:proofErr w:type="gramEnd"/>
      <w:r w:rsidRPr="00CD3EBE">
        <w:t xml:space="preserve"> not the same thing. </w:t>
      </w:r>
      <w:r>
        <w:t>U</w:t>
      </w:r>
      <w:r w:rsidRPr="00CD3EBE">
        <w:t>nion rep</w:t>
      </w:r>
      <w:r>
        <w:t xml:space="preserve">resentation is often governed by provisions in the collective agreement and offers a formal or </w:t>
      </w:r>
      <w:r w:rsidRPr="00CD3EBE">
        <w:t xml:space="preserve">official viewpoint </w:t>
      </w:r>
      <w:r>
        <w:t>intended to convey a unified position across the membership. T</w:t>
      </w:r>
      <w:r w:rsidRPr="00CD3EBE">
        <w:t xml:space="preserve">rue teacher voice gives </w:t>
      </w:r>
      <w:r>
        <w:t xml:space="preserve">a broad range of </w:t>
      </w:r>
      <w:r w:rsidRPr="00CD3EBE">
        <w:t>individual teachers</w:t>
      </w:r>
      <w:r>
        <w:t xml:space="preserve"> </w:t>
      </w:r>
      <w:r w:rsidRPr="00CD3EBE">
        <w:t xml:space="preserve">direct access to </w:t>
      </w:r>
      <w:r>
        <w:t>district discussion and decisionmaking</w:t>
      </w:r>
      <w:r w:rsidRPr="00CD3EBE">
        <w:t xml:space="preserve">, </w:t>
      </w:r>
      <w:r>
        <w:t xml:space="preserve">recognizes the myriad differences among teachers (assignments, training, school culture, knowledge, skills, etc.), and treats </w:t>
      </w:r>
      <w:r w:rsidRPr="00CD3EBE">
        <w:t xml:space="preserve">variation and nuances among teacher perceptions </w:t>
      </w:r>
      <w:r>
        <w:t>as important considerations in policy and organizational changes.</w:t>
      </w:r>
    </w:p>
    <w:p w:rsidR="00EF3C13" w:rsidRDefault="00EF3C13" w:rsidP="00EF3C13">
      <w:pPr>
        <w:pStyle w:val="ListParagraph"/>
        <w:numPr>
          <w:ilvl w:val="0"/>
          <w:numId w:val="11"/>
        </w:numPr>
      </w:pPr>
      <w:r>
        <w:t xml:space="preserve">Effectively giving teachers a voice in decisionmaking needs to be explicit in structures, processes, and policies. Those structures, processes, and policies become the mechanism </w:t>
      </w:r>
      <w:r w:rsidR="00F20FF3">
        <w:t xml:space="preserve">for </w:t>
      </w:r>
      <w:r>
        <w:t>hear</w:t>
      </w:r>
      <w:r w:rsidR="00F20FF3">
        <w:t>ing</w:t>
      </w:r>
      <w:r>
        <w:t xml:space="preserve"> teachers’ voices. </w:t>
      </w:r>
      <w:r w:rsidR="00895A01">
        <w:t>Examples of joint decisionmaking include</w:t>
      </w:r>
      <w:r>
        <w:t xml:space="preserve"> numerous representation and leadership on committees (not a single or token teacher representative), policies on committee membership rotation to maximize teacher participation over time, teachers being visible owners of the work (e.g., presenting committee plans to executives), joint taskforces of administrators and teachers guiding the implementation of key initiatives, </w:t>
      </w:r>
      <w:r w:rsidR="00A35D5D">
        <w:t xml:space="preserve">and </w:t>
      </w:r>
      <w:r>
        <w:t>teacher leaders on the front lines helping colleagues through challenging initiatives and bringing teacher feedback to a joint taskforce.</w:t>
      </w:r>
    </w:p>
    <w:p w:rsidR="00EF3C13" w:rsidRDefault="00EF3C13" w:rsidP="0035181C">
      <w:pPr>
        <w:pStyle w:val="BodyText"/>
      </w:pPr>
      <w:r>
        <w:t xml:space="preserve">The HR Pilot </w:t>
      </w:r>
      <w:r w:rsidR="00FB5F0A">
        <w:t>i</w:t>
      </w:r>
      <w:r>
        <w:t xml:space="preserve">nitiative was implemented in very few districts in a very short time span. It is easy to get lost in </w:t>
      </w:r>
      <w:r w:rsidR="00F20FF3">
        <w:t xml:space="preserve">the specific stories of successes </w:t>
      </w:r>
      <w:r>
        <w:t xml:space="preserve">and lapses of the </w:t>
      </w:r>
      <w:r w:rsidR="00AE56C4">
        <w:t xml:space="preserve">local </w:t>
      </w:r>
      <w:r>
        <w:t>project</w:t>
      </w:r>
      <w:r w:rsidR="00F20FF3">
        <w:t>s</w:t>
      </w:r>
      <w:r>
        <w:t xml:space="preserve"> </w:t>
      </w:r>
      <w:r w:rsidR="00F20FF3">
        <w:t xml:space="preserve">in </w:t>
      </w:r>
      <w:r>
        <w:t xml:space="preserve">individual districts. However, the overarching lesson of the HR Pilot </w:t>
      </w:r>
      <w:r w:rsidR="00AE56C4">
        <w:t>i</w:t>
      </w:r>
      <w:r>
        <w:t xml:space="preserve">nitiative is a powerful message for other districts in Massachusetts as they </w:t>
      </w:r>
      <w:r w:rsidR="000379C0">
        <w:t xml:space="preserve">embark on </w:t>
      </w:r>
      <w:r>
        <w:t xml:space="preserve">districtwide change. If district administrators are willing to share leadership, create specific channels for including educators at all levels in the decisionmaking process and then act on the input they receive, they </w:t>
      </w:r>
      <w:r w:rsidR="00AE56C4">
        <w:t xml:space="preserve">will </w:t>
      </w:r>
      <w:r>
        <w:t>have taken a powerful step toward</w:t>
      </w:r>
      <w:r w:rsidR="00AE56C4">
        <w:t>s</w:t>
      </w:r>
      <w:r>
        <w:t xml:space="preserve"> building </w:t>
      </w:r>
      <w:r w:rsidR="00AE56C4">
        <w:t xml:space="preserve">broad-based </w:t>
      </w:r>
      <w:r>
        <w:t>ownership and support that will make change more palatable, easier</w:t>
      </w:r>
      <w:r w:rsidR="00AE56C4">
        <w:t>,</w:t>
      </w:r>
      <w:r>
        <w:t xml:space="preserve"> and likely more successful.</w:t>
      </w:r>
      <w:r w:rsidR="00934943">
        <w:t xml:space="preserve"> </w:t>
      </w:r>
    </w:p>
    <w:p w:rsidR="0035332A" w:rsidRDefault="0035332A"/>
    <w:p w:rsidR="0035332A" w:rsidRDefault="0035332A">
      <w:r>
        <w:br w:type="page"/>
      </w:r>
    </w:p>
    <w:p w:rsidR="00BA4B60" w:rsidRDefault="00BA4B60">
      <w:r>
        <w:br w:type="page"/>
      </w:r>
    </w:p>
    <w:p w:rsidR="009404C0" w:rsidRDefault="00BA4B60" w:rsidP="00BA4B60">
      <w:pPr>
        <w:pStyle w:val="ChapterTitle"/>
      </w:pPr>
      <w:bookmarkStart w:id="73" w:name="_Toc399828639"/>
      <w:r>
        <w:t>References</w:t>
      </w:r>
      <w:bookmarkEnd w:id="73"/>
    </w:p>
    <w:p w:rsidR="007D2EDC" w:rsidRDefault="007D2EDC" w:rsidP="007D2EDC">
      <w:pPr>
        <w:pStyle w:val="MAReferencelist"/>
        <w:spacing w:before="60" w:after="60"/>
        <w:ind w:left="360" w:hanging="360"/>
      </w:pPr>
      <w:proofErr w:type="gramStart"/>
      <w:r>
        <w:t>C</w:t>
      </w:r>
      <w:r w:rsidR="005012F1">
        <w:t>op</w:t>
      </w:r>
      <w:r>
        <w:t>land, M. (2003).</w:t>
      </w:r>
      <w:proofErr w:type="gramEnd"/>
      <w:r>
        <w:t xml:space="preserve"> Leadership of inquiry: Building and sustaining capacity for school improvement. </w:t>
      </w:r>
      <w:r w:rsidRPr="007D2EDC">
        <w:rPr>
          <w:i/>
        </w:rPr>
        <w:t>Educational Evaluation and Policy Analysis, 25</w:t>
      </w:r>
      <w:r>
        <w:t>(4), 375-395.</w:t>
      </w:r>
    </w:p>
    <w:p w:rsidR="007D2EDC" w:rsidRDefault="007D2EDC" w:rsidP="007D2EDC">
      <w:pPr>
        <w:pStyle w:val="MAReferencelist"/>
        <w:spacing w:before="60" w:after="60"/>
        <w:ind w:left="360" w:hanging="360"/>
      </w:pPr>
      <w:proofErr w:type="gramStart"/>
      <w:r>
        <w:t>Dee, J. R., Henkin, A. B., &amp; Duemer, L. (2003).</w:t>
      </w:r>
      <w:proofErr w:type="gramEnd"/>
      <w:r>
        <w:t xml:space="preserve"> </w:t>
      </w:r>
      <w:proofErr w:type="gramStart"/>
      <w:r>
        <w:t xml:space="preserve">Structural </w:t>
      </w:r>
      <w:r w:rsidR="00BC1149">
        <w:t>a</w:t>
      </w:r>
      <w:r>
        <w:t xml:space="preserve">ntecedents and </w:t>
      </w:r>
      <w:r w:rsidR="00BC1149">
        <w:t>p</w:t>
      </w:r>
      <w:r>
        <w:t xml:space="preserve">sychological </w:t>
      </w:r>
      <w:r w:rsidR="00BC1149">
        <w:t>c</w:t>
      </w:r>
      <w:r>
        <w:t xml:space="preserve">orrelates of </w:t>
      </w:r>
      <w:r w:rsidR="00BC1149">
        <w:t>t</w:t>
      </w:r>
      <w:r>
        <w:t xml:space="preserve">eacher </w:t>
      </w:r>
      <w:r w:rsidR="00BC1149">
        <w:t>e</w:t>
      </w:r>
      <w:r>
        <w:t>mpowerment.</w:t>
      </w:r>
      <w:proofErr w:type="gramEnd"/>
      <w:r>
        <w:t xml:space="preserve"> </w:t>
      </w:r>
      <w:r w:rsidRPr="007D2EDC">
        <w:rPr>
          <w:i/>
        </w:rPr>
        <w:t>Journal of Educational Administration</w:t>
      </w:r>
      <w:r>
        <w:t xml:space="preserve">, </w:t>
      </w:r>
      <w:r w:rsidRPr="007D2EDC">
        <w:rPr>
          <w:i/>
        </w:rPr>
        <w:t>41</w:t>
      </w:r>
      <w:r>
        <w:t>(3), 257-277.</w:t>
      </w:r>
    </w:p>
    <w:p w:rsidR="007D2EDC" w:rsidRDefault="007D2EDC" w:rsidP="007D2EDC">
      <w:pPr>
        <w:pStyle w:val="MAReferencelist"/>
        <w:spacing w:before="60" w:after="60"/>
        <w:ind w:left="360" w:hanging="360"/>
      </w:pPr>
      <w:proofErr w:type="gramStart"/>
      <w:r>
        <w:t>Donaldson, M. L., Mayer, A. P., Cobb, C. D., LeChasseur, K., &amp; Welton, A. (2013).</w:t>
      </w:r>
      <w:proofErr w:type="gramEnd"/>
      <w:r>
        <w:t xml:space="preserve"> </w:t>
      </w:r>
      <w:proofErr w:type="gramStart"/>
      <w:r>
        <w:t xml:space="preserve">New </w:t>
      </w:r>
      <w:r w:rsidR="00C56A5A">
        <w:t>r</w:t>
      </w:r>
      <w:r>
        <w:t xml:space="preserve">oles for </w:t>
      </w:r>
      <w:r w:rsidR="00C56A5A">
        <w:t>t</w:t>
      </w:r>
      <w:r>
        <w:t xml:space="preserve">eachers </w:t>
      </w:r>
      <w:r w:rsidR="00C56A5A">
        <w:t>u</w:t>
      </w:r>
      <w:r>
        <w:t>nions?</w:t>
      </w:r>
      <w:proofErr w:type="gramEnd"/>
      <w:r>
        <w:t xml:space="preserve"> </w:t>
      </w:r>
      <w:proofErr w:type="gramStart"/>
      <w:r>
        <w:t xml:space="preserve">Reform </w:t>
      </w:r>
      <w:r w:rsidR="00C56A5A">
        <w:t>u</w:t>
      </w:r>
      <w:r>
        <w:t xml:space="preserve">nionism in </w:t>
      </w:r>
      <w:r w:rsidR="00C56A5A">
        <w:t>s</w:t>
      </w:r>
      <w:r>
        <w:t xml:space="preserve">chool </w:t>
      </w:r>
      <w:r w:rsidR="00C56A5A">
        <w:t>d</w:t>
      </w:r>
      <w:r>
        <w:t>ecentralization.</w:t>
      </w:r>
      <w:proofErr w:type="gramEnd"/>
      <w:r>
        <w:t xml:space="preserve"> </w:t>
      </w:r>
      <w:r w:rsidRPr="007D2EDC">
        <w:rPr>
          <w:i/>
        </w:rPr>
        <w:t>Journal of Educational Change, 14</w:t>
      </w:r>
      <w:r>
        <w:t>(4), 501-525.</w:t>
      </w:r>
    </w:p>
    <w:p w:rsidR="007D2EDC" w:rsidRDefault="007D2EDC" w:rsidP="007D2EDC">
      <w:pPr>
        <w:pStyle w:val="MAReferencelist"/>
        <w:spacing w:before="60" w:after="60"/>
        <w:ind w:left="360" w:hanging="360"/>
      </w:pPr>
      <w:r>
        <w:t xml:space="preserve">Fullan, Michael. (2007). </w:t>
      </w:r>
      <w:proofErr w:type="gramStart"/>
      <w:r w:rsidRPr="007D2EDC">
        <w:rPr>
          <w:i/>
        </w:rPr>
        <w:t>The</w:t>
      </w:r>
      <w:proofErr w:type="gramEnd"/>
      <w:r w:rsidRPr="007D2EDC">
        <w:rPr>
          <w:i/>
        </w:rPr>
        <w:t xml:space="preserve"> </w:t>
      </w:r>
      <w:r w:rsidR="00C74888">
        <w:rPr>
          <w:i/>
        </w:rPr>
        <w:t>n</w:t>
      </w:r>
      <w:r w:rsidRPr="007D2EDC">
        <w:rPr>
          <w:i/>
        </w:rPr>
        <w:t xml:space="preserve">ew </w:t>
      </w:r>
      <w:r w:rsidR="00C74888">
        <w:rPr>
          <w:i/>
        </w:rPr>
        <w:t>m</w:t>
      </w:r>
      <w:r w:rsidRPr="007D2EDC">
        <w:rPr>
          <w:i/>
        </w:rPr>
        <w:t xml:space="preserve">eaning of </w:t>
      </w:r>
      <w:r w:rsidR="00C74888">
        <w:rPr>
          <w:i/>
        </w:rPr>
        <w:t>e</w:t>
      </w:r>
      <w:r w:rsidRPr="007D2EDC">
        <w:rPr>
          <w:i/>
        </w:rPr>
        <w:t xml:space="preserve">ducational </w:t>
      </w:r>
      <w:r w:rsidR="00C74888">
        <w:rPr>
          <w:i/>
        </w:rPr>
        <w:t>c</w:t>
      </w:r>
      <w:r w:rsidRPr="007D2EDC">
        <w:rPr>
          <w:i/>
        </w:rPr>
        <w:t>hange</w:t>
      </w:r>
      <w:r>
        <w:t xml:space="preserve">. </w:t>
      </w:r>
      <w:r w:rsidR="00C915D5">
        <w:t>New York, NY:</w:t>
      </w:r>
      <w:r w:rsidR="003E154F">
        <w:t xml:space="preserve"> </w:t>
      </w:r>
      <w:r>
        <w:t xml:space="preserve">Teachers College Press. </w:t>
      </w:r>
    </w:p>
    <w:p w:rsidR="007D2EDC" w:rsidRDefault="007D2EDC" w:rsidP="007D2EDC">
      <w:pPr>
        <w:pStyle w:val="MAReferencelist"/>
        <w:spacing w:before="60" w:after="60"/>
        <w:ind w:left="360" w:hanging="360"/>
      </w:pPr>
      <w:r>
        <w:t xml:space="preserve">Hollingworth, L. (2012). Why </w:t>
      </w:r>
      <w:r w:rsidR="00C9014F">
        <w:t>l</w:t>
      </w:r>
      <w:r>
        <w:t xml:space="preserve">eadership </w:t>
      </w:r>
      <w:r w:rsidR="00C9014F">
        <w:t>m</w:t>
      </w:r>
      <w:r>
        <w:t xml:space="preserve">atters: Empowering </w:t>
      </w:r>
      <w:r w:rsidR="00C9014F">
        <w:t>t</w:t>
      </w:r>
      <w:r>
        <w:t xml:space="preserve">eachers to </w:t>
      </w:r>
      <w:r w:rsidR="00C9014F">
        <w:t>i</w:t>
      </w:r>
      <w:r>
        <w:t xml:space="preserve">mplement </w:t>
      </w:r>
      <w:r w:rsidR="00C9014F">
        <w:t>f</w:t>
      </w:r>
      <w:r>
        <w:t xml:space="preserve">ormative </w:t>
      </w:r>
      <w:r w:rsidR="00C9014F">
        <w:t>a</w:t>
      </w:r>
      <w:r>
        <w:t xml:space="preserve">ssessment. </w:t>
      </w:r>
      <w:r w:rsidRPr="007D2EDC">
        <w:rPr>
          <w:i/>
        </w:rPr>
        <w:t>Journal of Educational Administration</w:t>
      </w:r>
      <w:r w:rsidR="00E113BE" w:rsidRPr="00B6373C">
        <w:rPr>
          <w:i/>
        </w:rPr>
        <w:t>, 50</w:t>
      </w:r>
      <w:r>
        <w:t>(3), 365-379.</w:t>
      </w:r>
    </w:p>
    <w:p w:rsidR="007D2EDC" w:rsidRDefault="007D2EDC" w:rsidP="007D2EDC">
      <w:pPr>
        <w:pStyle w:val="MAReferencelist"/>
        <w:spacing w:before="60" w:after="60"/>
        <w:ind w:left="360" w:hanging="360"/>
      </w:pPr>
      <w:proofErr w:type="gramStart"/>
      <w:r>
        <w:t>Kerchner, C.</w:t>
      </w:r>
      <w:r w:rsidR="002621FC">
        <w:t xml:space="preserve"> &amp; </w:t>
      </w:r>
      <w:r>
        <w:t>Koppich, J. (2000).</w:t>
      </w:r>
      <w:proofErr w:type="gramEnd"/>
      <w:r>
        <w:t xml:space="preserve"> </w:t>
      </w:r>
      <w:r w:rsidRPr="007D2EDC">
        <w:rPr>
          <w:i/>
        </w:rPr>
        <w:t xml:space="preserve">A </w:t>
      </w:r>
      <w:r w:rsidR="002A1E49">
        <w:rPr>
          <w:i/>
        </w:rPr>
        <w:t>u</w:t>
      </w:r>
      <w:r w:rsidRPr="007D2EDC">
        <w:rPr>
          <w:i/>
        </w:rPr>
        <w:t xml:space="preserve">nion of </w:t>
      </w:r>
      <w:r w:rsidR="002A1E49">
        <w:rPr>
          <w:i/>
        </w:rPr>
        <w:t>p</w:t>
      </w:r>
      <w:r w:rsidRPr="007D2EDC">
        <w:rPr>
          <w:i/>
        </w:rPr>
        <w:t xml:space="preserve">rofessionals: Labor </w:t>
      </w:r>
      <w:r w:rsidR="002A1E49">
        <w:rPr>
          <w:i/>
        </w:rPr>
        <w:t>r</w:t>
      </w:r>
      <w:r w:rsidRPr="007D2EDC">
        <w:rPr>
          <w:i/>
        </w:rPr>
        <w:t xml:space="preserve">elations and </w:t>
      </w:r>
      <w:r w:rsidR="002A1E49">
        <w:rPr>
          <w:i/>
        </w:rPr>
        <w:t>e</w:t>
      </w:r>
      <w:r w:rsidRPr="007D2EDC">
        <w:rPr>
          <w:i/>
        </w:rPr>
        <w:t xml:space="preserve">ducational </w:t>
      </w:r>
      <w:r w:rsidR="002A1E49">
        <w:rPr>
          <w:i/>
        </w:rPr>
        <w:t>r</w:t>
      </w:r>
      <w:r w:rsidRPr="007D2EDC">
        <w:rPr>
          <w:i/>
        </w:rPr>
        <w:t>eform</w:t>
      </w:r>
      <w:r>
        <w:t>. New York</w:t>
      </w:r>
      <w:r w:rsidR="00433D6F">
        <w:t>, NY</w:t>
      </w:r>
      <w:r>
        <w:t>: Teachers College Press.</w:t>
      </w:r>
    </w:p>
    <w:p w:rsidR="007D2EDC" w:rsidRDefault="007D2EDC" w:rsidP="007D2EDC">
      <w:pPr>
        <w:pStyle w:val="MAReferencelist"/>
        <w:spacing w:before="60" w:after="60"/>
        <w:ind w:left="360" w:hanging="360"/>
      </w:pPr>
      <w:r>
        <w:t>Louis, K. S., Leithwood,</w:t>
      </w:r>
      <w:r w:rsidR="003A6A88">
        <w:t xml:space="preserve"> K., Wahlstrom</w:t>
      </w:r>
      <w:r>
        <w:t xml:space="preserve">, K. L., &amp; Anderson, S. (2010). </w:t>
      </w:r>
      <w:proofErr w:type="gramStart"/>
      <w:r w:rsidRPr="007D2EDC">
        <w:rPr>
          <w:i/>
        </w:rPr>
        <w:t xml:space="preserve">Investigating the </w:t>
      </w:r>
      <w:r w:rsidR="0078099E">
        <w:rPr>
          <w:i/>
        </w:rPr>
        <w:t>l</w:t>
      </w:r>
      <w:r w:rsidRPr="007D2EDC">
        <w:rPr>
          <w:i/>
        </w:rPr>
        <w:t xml:space="preserve">inks to </w:t>
      </w:r>
      <w:r w:rsidR="0078099E">
        <w:rPr>
          <w:i/>
        </w:rPr>
        <w:t>i</w:t>
      </w:r>
      <w:r w:rsidRPr="007D2EDC">
        <w:rPr>
          <w:i/>
        </w:rPr>
        <w:t xml:space="preserve">mproved </w:t>
      </w:r>
      <w:r w:rsidR="0078099E">
        <w:rPr>
          <w:i/>
        </w:rPr>
        <w:t>s</w:t>
      </w:r>
      <w:r w:rsidRPr="007D2EDC">
        <w:rPr>
          <w:i/>
        </w:rPr>
        <w:t xml:space="preserve">tudent </w:t>
      </w:r>
      <w:r w:rsidR="0078099E">
        <w:rPr>
          <w:i/>
        </w:rPr>
        <w:t>l</w:t>
      </w:r>
      <w:r w:rsidRPr="007D2EDC">
        <w:rPr>
          <w:i/>
        </w:rPr>
        <w:t>earning</w:t>
      </w:r>
      <w:r>
        <w:t>.</w:t>
      </w:r>
      <w:proofErr w:type="gramEnd"/>
      <w:r>
        <w:t xml:space="preserve"> Wallace Foundation. Minneapolis</w:t>
      </w:r>
      <w:r w:rsidR="00433D6F">
        <w:t>, MN</w:t>
      </w:r>
      <w:r>
        <w:t>: University of Minnesota.</w:t>
      </w:r>
    </w:p>
    <w:p w:rsidR="007D2EDC" w:rsidRDefault="007D2EDC" w:rsidP="007D2EDC">
      <w:pPr>
        <w:pStyle w:val="MAReferencelist"/>
        <w:spacing w:before="60" w:after="60"/>
        <w:ind w:left="360" w:hanging="360"/>
      </w:pPr>
      <w:proofErr w:type="gramStart"/>
      <w:r>
        <w:t>Marzano, R. J.</w:t>
      </w:r>
      <w:r w:rsidR="009E096E">
        <w:t>,</w:t>
      </w:r>
      <w:r w:rsidR="002621FC">
        <w:t xml:space="preserve"> &amp; </w:t>
      </w:r>
      <w:r>
        <w:t>Waters, J. T. (2009).</w:t>
      </w:r>
      <w:proofErr w:type="gramEnd"/>
      <w:r>
        <w:t xml:space="preserve"> </w:t>
      </w:r>
      <w:r w:rsidRPr="007D2EDC">
        <w:rPr>
          <w:i/>
        </w:rPr>
        <w:t xml:space="preserve">District </w:t>
      </w:r>
      <w:r w:rsidR="009E096E">
        <w:rPr>
          <w:i/>
        </w:rPr>
        <w:t>l</w:t>
      </w:r>
      <w:r w:rsidRPr="007D2EDC">
        <w:rPr>
          <w:i/>
        </w:rPr>
        <w:t xml:space="preserve">eadership </w:t>
      </w:r>
      <w:r w:rsidR="009E096E">
        <w:rPr>
          <w:i/>
        </w:rPr>
        <w:t>t</w:t>
      </w:r>
      <w:r w:rsidRPr="007D2EDC">
        <w:rPr>
          <w:i/>
        </w:rPr>
        <w:t xml:space="preserve">hat </w:t>
      </w:r>
      <w:r w:rsidR="009E096E">
        <w:rPr>
          <w:i/>
        </w:rPr>
        <w:t>w</w:t>
      </w:r>
      <w:r w:rsidRPr="007D2EDC">
        <w:rPr>
          <w:i/>
        </w:rPr>
        <w:t xml:space="preserve">orks: Striking the </w:t>
      </w:r>
      <w:r w:rsidR="009E096E">
        <w:rPr>
          <w:i/>
        </w:rPr>
        <w:t>r</w:t>
      </w:r>
      <w:r w:rsidRPr="007D2EDC">
        <w:rPr>
          <w:i/>
        </w:rPr>
        <w:t xml:space="preserve">ight </w:t>
      </w:r>
      <w:r w:rsidR="009E096E">
        <w:rPr>
          <w:i/>
        </w:rPr>
        <w:t>b</w:t>
      </w:r>
      <w:r w:rsidRPr="007D2EDC">
        <w:rPr>
          <w:i/>
        </w:rPr>
        <w:t>alance</w:t>
      </w:r>
      <w:r>
        <w:t>.</w:t>
      </w:r>
      <w:r w:rsidR="003D5351">
        <w:t xml:space="preserve"> Bloomington, IN: Solution Tree Press.</w:t>
      </w:r>
    </w:p>
    <w:p w:rsidR="00616E6A" w:rsidRDefault="00616E6A" w:rsidP="007D2EDC">
      <w:pPr>
        <w:pStyle w:val="MAReferencelist"/>
        <w:spacing w:before="60" w:after="60"/>
        <w:ind w:left="360" w:hanging="360"/>
      </w:pPr>
      <w:proofErr w:type="gramStart"/>
      <w:r>
        <w:t>Massachusetts Department of Elementary and Secondary Education</w:t>
      </w:r>
      <w:r w:rsidR="00E31A30">
        <w:t xml:space="preserve"> (ESE)</w:t>
      </w:r>
      <w:r>
        <w:t>.</w:t>
      </w:r>
      <w:proofErr w:type="gramEnd"/>
      <w:r>
        <w:t xml:space="preserve"> (2011, August 2). Request for responses for program evaluation of Human Capital Management Initiatives, RFA 12OPRKW3. Malden, MA: Author.</w:t>
      </w:r>
    </w:p>
    <w:p w:rsidR="007D2EDC" w:rsidRDefault="007D2EDC" w:rsidP="007D2EDC">
      <w:pPr>
        <w:pStyle w:val="MAReferencelist"/>
        <w:spacing w:before="60" w:after="60"/>
        <w:ind w:left="360" w:hanging="360"/>
      </w:pPr>
      <w:proofErr w:type="gramStart"/>
      <w:r>
        <w:t>McFarlane, D. A. (2010).</w:t>
      </w:r>
      <w:proofErr w:type="gramEnd"/>
      <w:r>
        <w:t xml:space="preserve"> Perceived </w:t>
      </w:r>
      <w:r w:rsidR="006F3346">
        <w:t>i</w:t>
      </w:r>
      <w:r>
        <w:t xml:space="preserve">mpact of </w:t>
      </w:r>
      <w:r w:rsidR="006F3346">
        <w:t>d</w:t>
      </w:r>
      <w:r>
        <w:t xml:space="preserve">istrict </w:t>
      </w:r>
      <w:r w:rsidR="006F3346">
        <w:t>l</w:t>
      </w:r>
      <w:r>
        <w:t xml:space="preserve">eadership </w:t>
      </w:r>
      <w:r w:rsidR="006F3346">
        <w:t>p</w:t>
      </w:r>
      <w:r>
        <w:t xml:space="preserve">ractices on </w:t>
      </w:r>
      <w:r w:rsidR="006F3346">
        <w:t>s</w:t>
      </w:r>
      <w:r>
        <w:t xml:space="preserve">chool </w:t>
      </w:r>
      <w:r w:rsidR="006F3346">
        <w:t>c</w:t>
      </w:r>
      <w:r>
        <w:t xml:space="preserve">limate and </w:t>
      </w:r>
      <w:r w:rsidR="006F3346">
        <w:t>s</w:t>
      </w:r>
      <w:r>
        <w:t xml:space="preserve">chool </w:t>
      </w:r>
      <w:r w:rsidR="006F3346">
        <w:t>i</w:t>
      </w:r>
      <w:r>
        <w:t xml:space="preserve">mprovement. </w:t>
      </w:r>
      <w:r w:rsidRPr="007D2EDC">
        <w:rPr>
          <w:i/>
        </w:rPr>
        <w:t>Journal of Multidisciplinary Research</w:t>
      </w:r>
      <w:r>
        <w:t xml:space="preserve">, </w:t>
      </w:r>
      <w:r w:rsidR="00B91EA3" w:rsidRPr="00B91EA3">
        <w:rPr>
          <w:i/>
        </w:rPr>
        <w:t>2</w:t>
      </w:r>
      <w:r w:rsidR="00B91EA3">
        <w:t xml:space="preserve">(2), </w:t>
      </w:r>
      <w:r w:rsidRPr="00B91EA3">
        <w:t>53</w:t>
      </w:r>
      <w:r>
        <w:t>-70.</w:t>
      </w:r>
    </w:p>
    <w:p w:rsidR="007D2EDC" w:rsidRDefault="007D2EDC" w:rsidP="007D2EDC">
      <w:pPr>
        <w:pStyle w:val="MAReferencelist"/>
        <w:spacing w:before="60" w:after="60"/>
        <w:ind w:left="360" w:hanging="360"/>
      </w:pPr>
      <w:proofErr w:type="gramStart"/>
      <w:r>
        <w:t>Nardi, B. A.</w:t>
      </w:r>
      <w:r w:rsidR="00AF0EC0">
        <w:t>,</w:t>
      </w:r>
      <w:r w:rsidR="002621FC">
        <w:t xml:space="preserve"> &amp; </w:t>
      </w:r>
      <w:r>
        <w:t>O’Day, V. I.</w:t>
      </w:r>
      <w:r w:rsidR="00934943">
        <w:t xml:space="preserve"> </w:t>
      </w:r>
      <w:r w:rsidR="00E1012E">
        <w:t>(1999).</w:t>
      </w:r>
      <w:proofErr w:type="gramEnd"/>
      <w:r w:rsidR="00E1012E">
        <w:t xml:space="preserve"> </w:t>
      </w:r>
      <w:proofErr w:type="gramStart"/>
      <w:r w:rsidRPr="007D2EDC">
        <w:rPr>
          <w:i/>
        </w:rPr>
        <w:t xml:space="preserve">Information </w:t>
      </w:r>
      <w:r w:rsidR="00AF0EC0">
        <w:rPr>
          <w:i/>
        </w:rPr>
        <w:t>t</w:t>
      </w:r>
      <w:r w:rsidRPr="007D2EDC">
        <w:rPr>
          <w:i/>
        </w:rPr>
        <w:t>echnologies</w:t>
      </w:r>
      <w:r>
        <w:t>.</w:t>
      </w:r>
      <w:proofErr w:type="gramEnd"/>
      <w:r>
        <w:t xml:space="preserve"> </w:t>
      </w:r>
      <w:r w:rsidR="003D5351">
        <w:t xml:space="preserve">Cambridge, MA: </w:t>
      </w:r>
      <w:r>
        <w:t>M.I.T. Press.</w:t>
      </w:r>
    </w:p>
    <w:p w:rsidR="007D2EDC" w:rsidRDefault="007D2EDC" w:rsidP="007D2EDC">
      <w:pPr>
        <w:pStyle w:val="MAReferencelist"/>
        <w:spacing w:before="60" w:after="60"/>
        <w:ind w:left="360" w:hanging="360"/>
      </w:pPr>
      <w:proofErr w:type="gramStart"/>
      <w:r>
        <w:t xml:space="preserve">Waters, J. </w:t>
      </w:r>
      <w:r w:rsidR="002621FC">
        <w:t xml:space="preserve">&amp; </w:t>
      </w:r>
      <w:r w:rsidR="00E0434B">
        <w:t xml:space="preserve">Marzano, R. </w:t>
      </w:r>
      <w:r>
        <w:t>(2006).</w:t>
      </w:r>
      <w:proofErr w:type="gramEnd"/>
      <w:r>
        <w:t xml:space="preserve"> </w:t>
      </w:r>
      <w:r w:rsidR="00E113BE" w:rsidRPr="00B6373C">
        <w:rPr>
          <w:i/>
        </w:rPr>
        <w:t xml:space="preserve">School </w:t>
      </w:r>
      <w:r w:rsidR="00801CF4">
        <w:rPr>
          <w:i/>
        </w:rPr>
        <w:t>d</w:t>
      </w:r>
      <w:r w:rsidR="00E113BE" w:rsidRPr="00B6373C">
        <w:rPr>
          <w:i/>
        </w:rPr>
        <w:t xml:space="preserve">istrict </w:t>
      </w:r>
      <w:r w:rsidR="00801CF4">
        <w:rPr>
          <w:i/>
        </w:rPr>
        <w:t>l</w:t>
      </w:r>
      <w:r w:rsidR="00E113BE" w:rsidRPr="00B6373C">
        <w:rPr>
          <w:i/>
        </w:rPr>
        <w:t xml:space="preserve">eadership that </w:t>
      </w:r>
      <w:r w:rsidR="00801CF4">
        <w:rPr>
          <w:i/>
        </w:rPr>
        <w:t>w</w:t>
      </w:r>
      <w:r w:rsidR="00E113BE" w:rsidRPr="00B6373C">
        <w:rPr>
          <w:i/>
        </w:rPr>
        <w:t>orks:</w:t>
      </w:r>
      <w:r>
        <w:t xml:space="preserve"> </w:t>
      </w:r>
      <w:r w:rsidRPr="007D2EDC">
        <w:rPr>
          <w:i/>
        </w:rPr>
        <w:t xml:space="preserve">The </w:t>
      </w:r>
      <w:r w:rsidR="00801CF4">
        <w:rPr>
          <w:i/>
        </w:rPr>
        <w:t>e</w:t>
      </w:r>
      <w:r w:rsidRPr="007D2EDC">
        <w:rPr>
          <w:i/>
        </w:rPr>
        <w:t xml:space="preserve">ffect of </w:t>
      </w:r>
      <w:r w:rsidR="00801CF4">
        <w:rPr>
          <w:i/>
        </w:rPr>
        <w:t>s</w:t>
      </w:r>
      <w:r w:rsidRPr="007D2EDC">
        <w:rPr>
          <w:i/>
        </w:rPr>
        <w:t xml:space="preserve">uperintendent </w:t>
      </w:r>
      <w:r w:rsidR="00801CF4">
        <w:rPr>
          <w:i/>
        </w:rPr>
        <w:t>l</w:t>
      </w:r>
      <w:r w:rsidRPr="007D2EDC">
        <w:rPr>
          <w:i/>
        </w:rPr>
        <w:t xml:space="preserve">eadership on </w:t>
      </w:r>
      <w:r w:rsidR="00801CF4">
        <w:rPr>
          <w:i/>
        </w:rPr>
        <w:t>s</w:t>
      </w:r>
      <w:r w:rsidRPr="007D2EDC">
        <w:rPr>
          <w:i/>
        </w:rPr>
        <w:t xml:space="preserve">tudent </w:t>
      </w:r>
      <w:r w:rsidR="00801CF4">
        <w:rPr>
          <w:i/>
        </w:rPr>
        <w:t>a</w:t>
      </w:r>
      <w:r w:rsidRPr="007D2EDC">
        <w:rPr>
          <w:i/>
        </w:rPr>
        <w:t>chievement</w:t>
      </w:r>
      <w:r>
        <w:t>. Denver</w:t>
      </w:r>
      <w:r w:rsidR="00433D6F">
        <w:t>, CO</w:t>
      </w:r>
      <w:r>
        <w:t>: McR</w:t>
      </w:r>
      <w:r w:rsidR="00433D6F">
        <w:t>EL</w:t>
      </w:r>
      <w:r w:rsidR="00E0434B">
        <w:t>.</w:t>
      </w:r>
    </w:p>
    <w:p w:rsidR="007D2EDC" w:rsidRDefault="007D2EDC" w:rsidP="007D2EDC">
      <w:pPr>
        <w:pStyle w:val="MAReferencelist"/>
        <w:spacing w:before="60" w:after="60"/>
        <w:ind w:left="360" w:hanging="360"/>
      </w:pPr>
      <w:r>
        <w:t>Weiss, C</w:t>
      </w:r>
      <w:r w:rsidR="002621FC">
        <w:t>.</w:t>
      </w:r>
      <w:r>
        <w:t xml:space="preserve"> H. (1998). </w:t>
      </w:r>
      <w:r w:rsidRPr="007D2EDC">
        <w:rPr>
          <w:i/>
        </w:rPr>
        <w:t xml:space="preserve">Evaluation: Methods for </w:t>
      </w:r>
      <w:r w:rsidR="00801CF4">
        <w:rPr>
          <w:i/>
        </w:rPr>
        <w:t>s</w:t>
      </w:r>
      <w:r w:rsidRPr="007D2EDC">
        <w:rPr>
          <w:i/>
        </w:rPr>
        <w:t xml:space="preserve">tudying </w:t>
      </w:r>
      <w:r w:rsidR="00801CF4">
        <w:rPr>
          <w:i/>
        </w:rPr>
        <w:t>p</w:t>
      </w:r>
      <w:r w:rsidRPr="007D2EDC">
        <w:rPr>
          <w:i/>
        </w:rPr>
        <w:t xml:space="preserve">rograms and </w:t>
      </w:r>
      <w:r w:rsidR="00801CF4">
        <w:rPr>
          <w:i/>
        </w:rPr>
        <w:t>p</w:t>
      </w:r>
      <w:r w:rsidRPr="007D2EDC">
        <w:rPr>
          <w:i/>
        </w:rPr>
        <w:t>olic</w:t>
      </w:r>
      <w:r w:rsidR="00E0434B">
        <w:rPr>
          <w:i/>
        </w:rPr>
        <w:t>i</w:t>
      </w:r>
      <w:r w:rsidRPr="007D2EDC">
        <w:rPr>
          <w:i/>
        </w:rPr>
        <w:t>es</w:t>
      </w:r>
      <w:r w:rsidR="00E113BE" w:rsidRPr="00B6373C">
        <w:t xml:space="preserve">. </w:t>
      </w:r>
      <w:proofErr w:type="gramStart"/>
      <w:r w:rsidR="00E113BE" w:rsidRPr="00B6373C">
        <w:t>2nd edition</w:t>
      </w:r>
      <w:r w:rsidRPr="000C634B">
        <w:t>.</w:t>
      </w:r>
      <w:proofErr w:type="gramEnd"/>
      <w:r>
        <w:t xml:space="preserve"> </w:t>
      </w:r>
      <w:r w:rsidR="00E0434B">
        <w:t>Upper Saddle River, NJ: Prentice Hall.</w:t>
      </w:r>
    </w:p>
    <w:p w:rsidR="007D2EDC" w:rsidRDefault="007D2EDC" w:rsidP="007D2EDC">
      <w:pPr>
        <w:pStyle w:val="MAReferencelist"/>
        <w:spacing w:before="60" w:after="60"/>
        <w:ind w:left="360" w:hanging="360"/>
      </w:pPr>
      <w:r>
        <w:t>Weiss, C</w:t>
      </w:r>
      <w:r w:rsidR="002621FC">
        <w:t xml:space="preserve">. </w:t>
      </w:r>
      <w:r>
        <w:t xml:space="preserve">H. (1995). Nothing as </w:t>
      </w:r>
      <w:r w:rsidR="00150BE2">
        <w:t>p</w:t>
      </w:r>
      <w:r>
        <w:t xml:space="preserve">ractical as </w:t>
      </w:r>
      <w:r w:rsidR="00150BE2">
        <w:t>g</w:t>
      </w:r>
      <w:r>
        <w:t xml:space="preserve">ood </w:t>
      </w:r>
      <w:r w:rsidR="00150BE2">
        <w:t>t</w:t>
      </w:r>
      <w:r>
        <w:t xml:space="preserve">heory: Exploring </w:t>
      </w:r>
      <w:r w:rsidR="00150BE2">
        <w:t>t</w:t>
      </w:r>
      <w:r>
        <w:t xml:space="preserve">heory-based </w:t>
      </w:r>
      <w:r w:rsidR="00150BE2">
        <w:t>e</w:t>
      </w:r>
      <w:r>
        <w:t xml:space="preserve">valuation for </w:t>
      </w:r>
      <w:r w:rsidR="00150BE2">
        <w:t>c</w:t>
      </w:r>
      <w:r>
        <w:t xml:space="preserve">omprehensive </w:t>
      </w:r>
      <w:r w:rsidR="00150BE2">
        <w:t>c</w:t>
      </w:r>
      <w:r>
        <w:t xml:space="preserve">ommunity </w:t>
      </w:r>
      <w:r w:rsidR="00150BE2">
        <w:t>i</w:t>
      </w:r>
      <w:r>
        <w:t xml:space="preserve">nitiatives for </w:t>
      </w:r>
      <w:r w:rsidR="00150BE2">
        <w:t>c</w:t>
      </w:r>
      <w:r>
        <w:t xml:space="preserve">hildren and </w:t>
      </w:r>
      <w:r w:rsidR="00150BE2">
        <w:t>f</w:t>
      </w:r>
      <w:r>
        <w:t xml:space="preserve">amilies. In </w:t>
      </w:r>
      <w:r w:rsidR="00B91EA3">
        <w:t xml:space="preserve">J.P. </w:t>
      </w:r>
      <w:r w:rsidR="00F92456">
        <w:t>Connell</w:t>
      </w:r>
      <w:r w:rsidR="00B91EA3">
        <w:t>, A.C. Kubisch,</w:t>
      </w:r>
      <w:r w:rsidR="00F925BF">
        <w:t xml:space="preserve"> </w:t>
      </w:r>
      <w:r w:rsidR="00F92456">
        <w:t>et al. (Ed.),</w:t>
      </w:r>
      <w:r w:rsidR="00150BE2">
        <w:t xml:space="preserve"> </w:t>
      </w:r>
      <w:r w:rsidRPr="007D2EDC">
        <w:rPr>
          <w:i/>
        </w:rPr>
        <w:t xml:space="preserve">New </w:t>
      </w:r>
      <w:r w:rsidR="008D4C83">
        <w:rPr>
          <w:i/>
        </w:rPr>
        <w:t>a</w:t>
      </w:r>
      <w:r w:rsidRPr="007D2EDC">
        <w:rPr>
          <w:i/>
        </w:rPr>
        <w:t xml:space="preserve">pproaches to </w:t>
      </w:r>
      <w:r w:rsidR="008D4C83">
        <w:rPr>
          <w:i/>
        </w:rPr>
        <w:t>e</w:t>
      </w:r>
      <w:r w:rsidRPr="007D2EDC">
        <w:rPr>
          <w:i/>
        </w:rPr>
        <w:t xml:space="preserve">valuating </w:t>
      </w:r>
      <w:r w:rsidR="008D4C83">
        <w:rPr>
          <w:i/>
        </w:rPr>
        <w:t>c</w:t>
      </w:r>
      <w:r w:rsidRPr="007D2EDC">
        <w:rPr>
          <w:i/>
        </w:rPr>
        <w:t xml:space="preserve">ommunity </w:t>
      </w:r>
      <w:r w:rsidR="008D4C83">
        <w:rPr>
          <w:i/>
        </w:rPr>
        <w:t>i</w:t>
      </w:r>
      <w:r w:rsidRPr="007D2EDC">
        <w:rPr>
          <w:i/>
        </w:rPr>
        <w:t xml:space="preserve">nitiatives: Concepts, </w:t>
      </w:r>
      <w:r w:rsidR="008D4C83">
        <w:rPr>
          <w:i/>
        </w:rPr>
        <w:t>m</w:t>
      </w:r>
      <w:r w:rsidRPr="007D2EDC">
        <w:rPr>
          <w:i/>
        </w:rPr>
        <w:t xml:space="preserve">ethods, and </w:t>
      </w:r>
      <w:r w:rsidR="008D4C83">
        <w:rPr>
          <w:i/>
        </w:rPr>
        <w:t>c</w:t>
      </w:r>
      <w:r w:rsidRPr="007D2EDC">
        <w:rPr>
          <w:i/>
        </w:rPr>
        <w:t>ontexts</w:t>
      </w:r>
      <w:r w:rsidR="00150BE2">
        <w:t>.</w:t>
      </w:r>
      <w:r w:rsidR="00F925BF">
        <w:t xml:space="preserve"> </w:t>
      </w:r>
      <w:r>
        <w:t xml:space="preserve">Washington, DC: Aspen Institute. </w:t>
      </w:r>
    </w:p>
    <w:p w:rsidR="007D2EDC" w:rsidRDefault="007D2EDC" w:rsidP="007D2EDC">
      <w:pPr>
        <w:pStyle w:val="MAReferencelist"/>
        <w:spacing w:before="60" w:after="60"/>
        <w:ind w:left="360" w:hanging="360"/>
      </w:pPr>
    </w:p>
    <w:p w:rsidR="00DE5628" w:rsidRDefault="00DE5628" w:rsidP="00163C08">
      <w:pPr>
        <w:pStyle w:val="MAReferencelist"/>
        <w:spacing w:before="60" w:after="60"/>
        <w:ind w:left="360" w:hanging="360"/>
      </w:pPr>
    </w:p>
    <w:sectPr w:rsidR="00DE5628" w:rsidSect="004E08CC">
      <w:headerReference w:type="default" r:id="rId34"/>
      <w:footerReference w:type="default" r:id="rId3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914" w:rsidRDefault="00E11914" w:rsidP="00064AAC">
      <w:r>
        <w:separator/>
      </w:r>
    </w:p>
  </w:endnote>
  <w:endnote w:type="continuationSeparator" w:id="0">
    <w:p w:rsidR="00E11914" w:rsidRDefault="00E11914" w:rsidP="00064A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C50" w:rsidRPr="00B4591D" w:rsidRDefault="00231C50" w:rsidP="00B459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C50" w:rsidRPr="004E08CC" w:rsidRDefault="00231C50" w:rsidP="004E08CC">
    <w:pPr>
      <w:pStyle w:val="Footer"/>
      <w:tabs>
        <w:tab w:val="clear" w:pos="4680"/>
      </w:tabs>
      <w:rPr>
        <w:sz w:val="20"/>
        <w:szCs w:val="20"/>
      </w:rPr>
    </w:pPr>
    <w:r>
      <w:rPr>
        <w:sz w:val="20"/>
        <w:szCs w:val="20"/>
      </w:rPr>
      <w:t xml:space="preserve">SRI P21179: Evaluation of the </w:t>
    </w:r>
    <w:r w:rsidRPr="004E08CC">
      <w:rPr>
        <w:sz w:val="20"/>
        <w:szCs w:val="20"/>
      </w:rPr>
      <w:t xml:space="preserve">Human </w:t>
    </w:r>
    <w:r>
      <w:rPr>
        <w:sz w:val="20"/>
        <w:szCs w:val="20"/>
      </w:rPr>
      <w:t>Resources Pilot</w:t>
    </w:r>
    <w:r w:rsidRPr="004E08CC">
      <w:rPr>
        <w:sz w:val="20"/>
        <w:szCs w:val="20"/>
      </w:rPr>
      <w:tab/>
    </w:r>
    <w:fldSimple w:instr=" PAGE   \* MERGEFORMAT ">
      <w:r w:rsidR="00257E42" w:rsidRPr="00257E42">
        <w:rPr>
          <w:noProof/>
          <w:sz w:val="20"/>
          <w:szCs w:val="20"/>
        </w:rPr>
        <w:t>iii</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C50" w:rsidRPr="004E08CC" w:rsidRDefault="00231C50" w:rsidP="004E08CC">
    <w:pPr>
      <w:pStyle w:val="Footer"/>
      <w:tabs>
        <w:tab w:val="clear" w:pos="4680"/>
      </w:tabs>
      <w:rPr>
        <w:sz w:val="20"/>
        <w:szCs w:val="20"/>
      </w:rPr>
    </w:pPr>
    <w:r>
      <w:rPr>
        <w:sz w:val="20"/>
        <w:szCs w:val="20"/>
      </w:rPr>
      <w:t xml:space="preserve">SRI P21179: Evaluation of the </w:t>
    </w:r>
    <w:r w:rsidRPr="004E08CC">
      <w:rPr>
        <w:sz w:val="20"/>
        <w:szCs w:val="20"/>
      </w:rPr>
      <w:t xml:space="preserve">Human </w:t>
    </w:r>
    <w:r>
      <w:rPr>
        <w:sz w:val="20"/>
        <w:szCs w:val="20"/>
      </w:rPr>
      <w:t>Resources Pilot</w:t>
    </w:r>
    <w:r w:rsidRPr="004E08CC">
      <w:rPr>
        <w:sz w:val="20"/>
        <w:szCs w:val="20"/>
      </w:rPr>
      <w:tab/>
    </w:r>
    <w:fldSimple w:instr=" PAGE   \* MERGEFORMAT ">
      <w:r w:rsidR="00F71426" w:rsidRPr="00F71426">
        <w:rPr>
          <w:noProof/>
          <w:sz w:val="20"/>
          <w:szCs w:val="20"/>
        </w:rPr>
        <w:t>4</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C50" w:rsidRPr="004E08CC" w:rsidRDefault="00231C50" w:rsidP="008959FB">
    <w:pPr>
      <w:pStyle w:val="Footer"/>
      <w:tabs>
        <w:tab w:val="clear" w:pos="4680"/>
        <w:tab w:val="clear" w:pos="9360"/>
        <w:tab w:val="right" w:pos="12780"/>
      </w:tabs>
      <w:rPr>
        <w:sz w:val="20"/>
        <w:szCs w:val="20"/>
      </w:rPr>
    </w:pPr>
    <w:r>
      <w:rPr>
        <w:sz w:val="20"/>
        <w:szCs w:val="20"/>
      </w:rPr>
      <w:t xml:space="preserve">SRI P21179: Evaluation of the </w:t>
    </w:r>
    <w:r w:rsidRPr="004E08CC">
      <w:rPr>
        <w:sz w:val="20"/>
        <w:szCs w:val="20"/>
      </w:rPr>
      <w:t xml:space="preserve">Human </w:t>
    </w:r>
    <w:r>
      <w:rPr>
        <w:sz w:val="20"/>
        <w:szCs w:val="20"/>
      </w:rPr>
      <w:t>Resources Pilot</w:t>
    </w:r>
    <w:r w:rsidRPr="004E08CC">
      <w:rPr>
        <w:sz w:val="20"/>
        <w:szCs w:val="20"/>
      </w:rPr>
      <w:tab/>
    </w:r>
    <w:fldSimple w:instr=" PAGE   \* MERGEFORMAT ">
      <w:r w:rsidR="00257E42" w:rsidRPr="00257E42">
        <w:rPr>
          <w:noProof/>
          <w:sz w:val="20"/>
          <w:szCs w:val="20"/>
        </w:rPr>
        <w:t>5</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C50" w:rsidRPr="004E08CC" w:rsidRDefault="00231C50" w:rsidP="00FC7AB5">
    <w:pPr>
      <w:pStyle w:val="Footer"/>
      <w:tabs>
        <w:tab w:val="clear" w:pos="4680"/>
      </w:tabs>
      <w:rPr>
        <w:sz w:val="20"/>
        <w:szCs w:val="20"/>
      </w:rPr>
    </w:pPr>
    <w:r>
      <w:rPr>
        <w:sz w:val="20"/>
        <w:szCs w:val="20"/>
      </w:rPr>
      <w:t xml:space="preserve">SRI P21179: Evaluation of the </w:t>
    </w:r>
    <w:r w:rsidRPr="004E08CC">
      <w:rPr>
        <w:sz w:val="20"/>
        <w:szCs w:val="20"/>
      </w:rPr>
      <w:t xml:space="preserve">Human </w:t>
    </w:r>
    <w:r>
      <w:rPr>
        <w:sz w:val="20"/>
        <w:szCs w:val="20"/>
      </w:rPr>
      <w:t>Resources Pilot</w:t>
    </w:r>
    <w:r w:rsidRPr="004E08CC">
      <w:rPr>
        <w:sz w:val="20"/>
        <w:szCs w:val="20"/>
      </w:rPr>
      <w:tab/>
    </w:r>
    <w:fldSimple w:instr=" PAGE   \* MERGEFORMAT ">
      <w:r w:rsidR="005A3540" w:rsidRPr="005A3540">
        <w:rPr>
          <w:noProof/>
          <w:sz w:val="20"/>
          <w:szCs w:val="20"/>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914" w:rsidRDefault="00E11914" w:rsidP="00064AAC">
      <w:r>
        <w:separator/>
      </w:r>
    </w:p>
  </w:footnote>
  <w:footnote w:type="continuationSeparator" w:id="0">
    <w:p w:rsidR="00E11914" w:rsidRDefault="00E11914" w:rsidP="00064AAC">
      <w:r>
        <w:continuationSeparator/>
      </w:r>
    </w:p>
  </w:footnote>
  <w:footnote w:id="1">
    <w:p w:rsidR="00231C50" w:rsidRDefault="00231C50" w:rsidP="00901E7E">
      <w:pPr>
        <w:pStyle w:val="FootnoteText"/>
      </w:pPr>
      <w:r>
        <w:rPr>
          <w:rStyle w:val="FootnoteReference"/>
        </w:rPr>
        <w:footnoteRef/>
      </w:r>
      <w:r>
        <w:t xml:space="preserve"> WGEE is a broad coalition and includes many stakeholders statewide, including various state professional organizations (Massachusetts Association of School Superintendents (MASS), Massachusetts Association of School Personnel Administrators (MASPA), etc.), higher education, and teacher unions. In addition to collaborating in developing the HR Pilot initiative, WGEE also provided technical assistance to the three districts in planning and implementing their local projects.</w:t>
      </w:r>
    </w:p>
  </w:footnote>
  <w:footnote w:id="2">
    <w:p w:rsidR="00231C50" w:rsidRDefault="00231C50">
      <w:pPr>
        <w:pStyle w:val="FootnoteText"/>
      </w:pPr>
      <w:r>
        <w:rPr>
          <w:rStyle w:val="FootnoteReference"/>
        </w:rPr>
        <w:footnoteRef/>
      </w:r>
      <w:r>
        <w:t xml:space="preserve"> Excerpted from J. Saphier and S. Freedman, WGEE Internal Draft Anchor Paper, received via personal communication between authors and evaluation team, August 3, 2012.</w:t>
      </w:r>
    </w:p>
  </w:footnote>
  <w:footnote w:id="3">
    <w:p w:rsidR="00231C50" w:rsidRDefault="00231C50" w:rsidP="00967608">
      <w:pPr>
        <w:pStyle w:val="FootnoteText"/>
      </w:pPr>
      <w:r>
        <w:rPr>
          <w:rStyle w:val="FootnoteReference"/>
        </w:rPr>
        <w:footnoteRef/>
      </w:r>
      <w:r>
        <w:t xml:space="preserve"> The percent of EL students in Attleboro increased from 4% to 8% from 2008–09 to 2013–14. In Brockton and Revere, those proportions increased from 17% to 20% and 10% to 14%, respectively.</w:t>
      </w:r>
    </w:p>
  </w:footnote>
  <w:footnote w:id="4">
    <w:p w:rsidR="00231C50" w:rsidRDefault="00231C50" w:rsidP="00967608">
      <w:pPr>
        <w:pStyle w:val="FootnoteText"/>
      </w:pPr>
      <w:r>
        <w:rPr>
          <w:rStyle w:val="FootnoteReference"/>
        </w:rPr>
        <w:footnoteRef/>
      </w:r>
      <w:r>
        <w:t xml:space="preserve"> </w:t>
      </w:r>
      <w:r w:rsidRPr="00FE5479">
        <w:t>Teachers are designated as “highly qualified” if they (</w:t>
      </w:r>
      <w:r>
        <w:t>a</w:t>
      </w:r>
      <w:r w:rsidRPr="00FE5479">
        <w:t>) possess a bachelor’s degree</w:t>
      </w:r>
      <w:r>
        <w:t xml:space="preserve">, </w:t>
      </w:r>
      <w:r w:rsidRPr="00FE5479">
        <w:t>(</w:t>
      </w:r>
      <w:r>
        <w:t>b</w:t>
      </w:r>
      <w:r w:rsidRPr="00FE5479">
        <w:t>) possess a Massachusetts teaching license</w:t>
      </w:r>
      <w:r>
        <w:t>,</w:t>
      </w:r>
      <w:r w:rsidRPr="00FE5479">
        <w:t xml:space="preserve"> and (</w:t>
      </w:r>
      <w:r>
        <w:t>c</w:t>
      </w:r>
      <w:r w:rsidRPr="00FE5479">
        <w:t xml:space="preserve">) have demonstrated subject matter competency in each of the core subjects they teach using </w:t>
      </w:r>
      <w:r>
        <w:t xml:space="preserve">a </w:t>
      </w:r>
      <w:r w:rsidRPr="00FE5479">
        <w:t xml:space="preserve">specific option included </w:t>
      </w:r>
      <w:r w:rsidRPr="00E44E12">
        <w:t xml:space="preserve">in federal legislation.  </w:t>
      </w:r>
    </w:p>
  </w:footnote>
  <w:footnote w:id="5">
    <w:p w:rsidR="00231C50" w:rsidRDefault="00231C50" w:rsidP="00967608">
      <w:pPr>
        <w:pStyle w:val="FootnoteText"/>
      </w:pPr>
      <w:r>
        <w:rPr>
          <w:rStyle w:val="FootnoteReference"/>
        </w:rPr>
        <w:footnoteRef/>
      </w:r>
      <w:r>
        <w:t xml:space="preserve"> Annual PPI measures the improvement that groups make towards targets over a 2-year period on up to seven different indicators, including proficiency gaps, growth, and graduation and dropout rates. The cumulative PPI is the average of annual PPIs over the most recent 4-year period (2009, 2010, 2011, and 2012), weighting the later years the most. </w:t>
      </w:r>
      <w:r w:rsidRPr="001A3DAA">
        <w:t xml:space="preserve">For a school to be considered </w:t>
      </w:r>
      <w:r>
        <w:t xml:space="preserve">“on target” in </w:t>
      </w:r>
      <w:r w:rsidRPr="001A3DAA">
        <w:t>making progress toward narrowing proficiency gaps, the cumulative PPI for both th</w:t>
      </w:r>
      <w:r>
        <w:t>e "all students" group and high-</w:t>
      </w:r>
      <w:r w:rsidRPr="001A3DAA">
        <w:t>needs students must be 75 or higher.</w:t>
      </w:r>
    </w:p>
  </w:footnote>
  <w:footnote w:id="6">
    <w:p w:rsidR="00231C50" w:rsidRDefault="00231C50" w:rsidP="00EE4495">
      <w:pPr>
        <w:pStyle w:val="FootnoteText"/>
      </w:pPr>
      <w:r>
        <w:rPr>
          <w:rStyle w:val="FootnoteReference"/>
        </w:rPr>
        <w:footnoteRef/>
      </w:r>
      <w:r>
        <w:t xml:space="preserve"> </w:t>
      </w:r>
      <w:r w:rsidRPr="00C351F8">
        <w:rPr>
          <w:bCs/>
        </w:rPr>
        <w:t>The TELL MASS Survey is a statewi</w:t>
      </w:r>
      <w:r>
        <w:rPr>
          <w:bCs/>
        </w:rPr>
        <w:t>de survey of school-</w:t>
      </w:r>
      <w:r w:rsidRPr="00C351F8">
        <w:rPr>
          <w:bCs/>
        </w:rPr>
        <w:t>based licensed educators to determine if they have the supports necessary for effective teaching.</w:t>
      </w:r>
      <w:r>
        <w:rPr>
          <w:bCs/>
        </w:rPr>
        <w:t xml:space="preserve"> Survey topics include professional development, school and teacher leadership, and instructional practices and support. Source: </w:t>
      </w:r>
      <w:r w:rsidRPr="00C351F8">
        <w:rPr>
          <w:bCs/>
        </w:rPr>
        <w:t>http://www.tellmass.org/about</w:t>
      </w:r>
      <w:r>
        <w:rPr>
          <w:bCs/>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C50" w:rsidRPr="003875C7" w:rsidRDefault="00231C50" w:rsidP="003875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C50" w:rsidRPr="003875C7" w:rsidRDefault="00231C50" w:rsidP="003875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C50" w:rsidRPr="003875C7" w:rsidRDefault="00231C50" w:rsidP="003875C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C50" w:rsidRPr="00C3523F" w:rsidRDefault="00231C50" w:rsidP="00C3523F">
    <w:pPr>
      <w:pStyle w:val="Header"/>
      <w:tabs>
        <w:tab w:val="clear" w:pos="4680"/>
        <w:tab w:val="clear" w:pos="9360"/>
        <w:tab w:val="right" w:pos="12960"/>
      </w:tabs>
      <w:rPr>
        <w:sz w:val="20"/>
        <w:szCs w:val="20"/>
      </w:rPr>
    </w:pPr>
    <w:r w:rsidRPr="00C3523F">
      <w:rPr>
        <w:i/>
        <w:sz w:val="20"/>
        <w:szCs w:val="20"/>
      </w:rPr>
      <w:t>DRAFT</w:t>
    </w:r>
    <w:r>
      <w:rPr>
        <w:sz w:val="20"/>
        <w:szCs w:val="20"/>
      </w:rPr>
      <w:tab/>
      <w:t xml:space="preserve">August 5, </w:t>
    </w:r>
    <w:r w:rsidRPr="00064AAC">
      <w:rPr>
        <w:sz w:val="20"/>
        <w:szCs w:val="20"/>
      </w:rPr>
      <w:t>2014</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C50" w:rsidRPr="00735C0F" w:rsidRDefault="00231C50" w:rsidP="00735C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35716"/>
    <w:multiLevelType w:val="hybridMultilevel"/>
    <w:tmpl w:val="55727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74C26"/>
    <w:multiLevelType w:val="hybridMultilevel"/>
    <w:tmpl w:val="3930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B0EB2"/>
    <w:multiLevelType w:val="hybridMultilevel"/>
    <w:tmpl w:val="6FF46DB4"/>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17AD07DC"/>
    <w:multiLevelType w:val="hybridMultilevel"/>
    <w:tmpl w:val="4DC4E3CC"/>
    <w:lvl w:ilvl="0" w:tplc="8B50F226">
      <w:start w:val="1"/>
      <w:numFmt w:val="decimal"/>
      <w:lvlText w:val="%1."/>
      <w:lvlJc w:val="left"/>
      <w:pPr>
        <w:ind w:left="360" w:hanging="360"/>
      </w:pPr>
      <w:rPr>
        <w:rFonts w:ascii="Times New Roman" w:hAnsi="Times New Roman" w:cs="Times New Roman" w:hint="default"/>
        <w:b w:val="0"/>
        <w:i w:val="0"/>
      </w:rPr>
    </w:lvl>
    <w:lvl w:ilvl="1" w:tplc="0E506202">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98E0646"/>
    <w:multiLevelType w:val="hybridMultilevel"/>
    <w:tmpl w:val="6EC04D3E"/>
    <w:lvl w:ilvl="0" w:tplc="741A6CC8">
      <w:start w:val="1"/>
      <w:numFmt w:val="upperRoman"/>
      <w:lvlText w:val="%1."/>
      <w:lvlJc w:val="left"/>
      <w:pPr>
        <w:ind w:left="1080" w:hanging="72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2B1BF8"/>
    <w:multiLevelType w:val="hybridMultilevel"/>
    <w:tmpl w:val="4C0A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1643CD"/>
    <w:multiLevelType w:val="hybridMultilevel"/>
    <w:tmpl w:val="BC2ED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BF5F1E"/>
    <w:multiLevelType w:val="hybridMultilevel"/>
    <w:tmpl w:val="A26CB2B4"/>
    <w:lvl w:ilvl="0" w:tplc="8B50F226">
      <w:start w:val="1"/>
      <w:numFmt w:val="decimal"/>
      <w:lvlText w:val="%1."/>
      <w:lvlJc w:val="left"/>
      <w:pPr>
        <w:ind w:left="360" w:hanging="360"/>
      </w:pPr>
      <w:rPr>
        <w:rFonts w:ascii="Times New Roman" w:hAnsi="Times New Roman" w:cs="Times New Roman" w:hint="default"/>
        <w:b w:val="0"/>
        <w:i w:val="0"/>
      </w:rPr>
    </w:lvl>
    <w:lvl w:ilvl="1" w:tplc="04090001">
      <w:start w:val="1"/>
      <w:numFmt w:val="bullet"/>
      <w:lvlText w:val=""/>
      <w:lvlJc w:val="left"/>
      <w:pPr>
        <w:ind w:left="1080" w:hanging="360"/>
      </w:pPr>
      <w:rPr>
        <w:rFonts w:ascii="Symbol" w:hAnsi="Symbol"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B657E8B"/>
    <w:multiLevelType w:val="hybridMultilevel"/>
    <w:tmpl w:val="C5967E2C"/>
    <w:lvl w:ilvl="0" w:tplc="8B50F226">
      <w:start w:val="1"/>
      <w:numFmt w:val="decimal"/>
      <w:lvlText w:val="%1."/>
      <w:lvlJc w:val="left"/>
      <w:pPr>
        <w:ind w:left="360" w:hanging="360"/>
      </w:pPr>
      <w:rPr>
        <w:rFonts w:ascii="Times New Roman" w:hAnsi="Times New Roman" w:cs="Times New Roman" w:hint="default"/>
        <w:b w:val="0"/>
        <w:i w:val="0"/>
      </w:rPr>
    </w:lvl>
    <w:lvl w:ilvl="1" w:tplc="0409000F">
      <w:start w:val="1"/>
      <w:numFmt w:val="decimal"/>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FCB3A88"/>
    <w:multiLevelType w:val="hybridMultilevel"/>
    <w:tmpl w:val="5B8EE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AD285C"/>
    <w:multiLevelType w:val="hybridMultilevel"/>
    <w:tmpl w:val="0554D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064582"/>
    <w:multiLevelType w:val="hybridMultilevel"/>
    <w:tmpl w:val="9C34E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D846F1"/>
    <w:multiLevelType w:val="hybridMultilevel"/>
    <w:tmpl w:val="331660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42F6456"/>
    <w:multiLevelType w:val="hybridMultilevel"/>
    <w:tmpl w:val="4482BD36"/>
    <w:lvl w:ilvl="0" w:tplc="04090013">
      <w:start w:val="1"/>
      <w:numFmt w:val="upperRoman"/>
      <w:lvlText w:val="%1."/>
      <w:lvlJc w:val="right"/>
      <w:pPr>
        <w:ind w:left="360" w:hanging="360"/>
      </w:pPr>
    </w:lvl>
    <w:lvl w:ilvl="1" w:tplc="04090019">
      <w:start w:val="1"/>
      <w:numFmt w:val="lowerLetter"/>
      <w:lvlText w:val="%2."/>
      <w:lvlJc w:val="left"/>
      <w:pPr>
        <w:ind w:left="99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ADA14C2"/>
    <w:multiLevelType w:val="hybridMultilevel"/>
    <w:tmpl w:val="BD166D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BB621B2"/>
    <w:multiLevelType w:val="hybridMultilevel"/>
    <w:tmpl w:val="E78ED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9616D4"/>
    <w:multiLevelType w:val="hybridMultilevel"/>
    <w:tmpl w:val="6EC04D3E"/>
    <w:lvl w:ilvl="0" w:tplc="741A6CC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154D6C"/>
    <w:multiLevelType w:val="hybridMultilevel"/>
    <w:tmpl w:val="BD166D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8675525"/>
    <w:multiLevelType w:val="hybridMultilevel"/>
    <w:tmpl w:val="034A9FFA"/>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nsid w:val="7C6046F2"/>
    <w:multiLevelType w:val="hybridMultilevel"/>
    <w:tmpl w:val="DAF471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17"/>
  </w:num>
  <w:num w:numId="4">
    <w:abstractNumId w:val="2"/>
  </w:num>
  <w:num w:numId="5">
    <w:abstractNumId w:val="14"/>
  </w:num>
  <w:num w:numId="6">
    <w:abstractNumId w:val="15"/>
  </w:num>
  <w:num w:numId="7">
    <w:abstractNumId w:val="18"/>
  </w:num>
  <w:num w:numId="8">
    <w:abstractNumId w:val="12"/>
  </w:num>
  <w:num w:numId="9">
    <w:abstractNumId w:val="16"/>
  </w:num>
  <w:num w:numId="10">
    <w:abstractNumId w:val="10"/>
  </w:num>
  <w:num w:numId="11">
    <w:abstractNumId w:val="9"/>
  </w:num>
  <w:num w:numId="12">
    <w:abstractNumId w:val="6"/>
  </w:num>
  <w:num w:numId="13">
    <w:abstractNumId w:val="1"/>
  </w:num>
  <w:num w:numId="14">
    <w:abstractNumId w:val="5"/>
  </w:num>
  <w:num w:numId="15">
    <w:abstractNumId w:val="0"/>
  </w:num>
  <w:num w:numId="16">
    <w:abstractNumId w:val="11"/>
  </w:num>
  <w:num w:numId="17">
    <w:abstractNumId w:val="3"/>
  </w:num>
  <w:num w:numId="18">
    <w:abstractNumId w:val="11"/>
  </w:num>
  <w:num w:numId="19">
    <w:abstractNumId w:val="8"/>
  </w:num>
  <w:num w:numId="20">
    <w:abstractNumId w:val="7"/>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
  <w:rsids>
    <w:rsidRoot w:val="0002095A"/>
    <w:rsid w:val="0000037E"/>
    <w:rsid w:val="00001418"/>
    <w:rsid w:val="00004FDA"/>
    <w:rsid w:val="00006C0B"/>
    <w:rsid w:val="0000772A"/>
    <w:rsid w:val="00010515"/>
    <w:rsid w:val="00010CDB"/>
    <w:rsid w:val="000154C4"/>
    <w:rsid w:val="0002072E"/>
    <w:rsid w:val="0002095A"/>
    <w:rsid w:val="000249AE"/>
    <w:rsid w:val="00026962"/>
    <w:rsid w:val="00026C29"/>
    <w:rsid w:val="00030183"/>
    <w:rsid w:val="000309AB"/>
    <w:rsid w:val="0003121E"/>
    <w:rsid w:val="000331B8"/>
    <w:rsid w:val="00037032"/>
    <w:rsid w:val="000379C0"/>
    <w:rsid w:val="00040275"/>
    <w:rsid w:val="00040CAE"/>
    <w:rsid w:val="000426CC"/>
    <w:rsid w:val="00042E57"/>
    <w:rsid w:val="0004454D"/>
    <w:rsid w:val="00046943"/>
    <w:rsid w:val="0005008E"/>
    <w:rsid w:val="000524DF"/>
    <w:rsid w:val="00054223"/>
    <w:rsid w:val="00055310"/>
    <w:rsid w:val="00055D29"/>
    <w:rsid w:val="00055EA2"/>
    <w:rsid w:val="00056292"/>
    <w:rsid w:val="00056AB5"/>
    <w:rsid w:val="00056DD7"/>
    <w:rsid w:val="00060496"/>
    <w:rsid w:val="00060522"/>
    <w:rsid w:val="00062D21"/>
    <w:rsid w:val="00064AAC"/>
    <w:rsid w:val="00065519"/>
    <w:rsid w:val="00065D15"/>
    <w:rsid w:val="000673DF"/>
    <w:rsid w:val="00067551"/>
    <w:rsid w:val="00071986"/>
    <w:rsid w:val="000725A6"/>
    <w:rsid w:val="0007336B"/>
    <w:rsid w:val="0007353C"/>
    <w:rsid w:val="00073D5E"/>
    <w:rsid w:val="00074111"/>
    <w:rsid w:val="0007482F"/>
    <w:rsid w:val="000748E3"/>
    <w:rsid w:val="0007718F"/>
    <w:rsid w:val="000777C2"/>
    <w:rsid w:val="00082433"/>
    <w:rsid w:val="00083D84"/>
    <w:rsid w:val="00084009"/>
    <w:rsid w:val="000841C0"/>
    <w:rsid w:val="00084B72"/>
    <w:rsid w:val="00086034"/>
    <w:rsid w:val="00086D08"/>
    <w:rsid w:val="00087024"/>
    <w:rsid w:val="00090CC3"/>
    <w:rsid w:val="00090D06"/>
    <w:rsid w:val="00090F06"/>
    <w:rsid w:val="00091989"/>
    <w:rsid w:val="00092B7E"/>
    <w:rsid w:val="00093C79"/>
    <w:rsid w:val="000947B6"/>
    <w:rsid w:val="00094FF8"/>
    <w:rsid w:val="000978D5"/>
    <w:rsid w:val="000A1063"/>
    <w:rsid w:val="000A1A11"/>
    <w:rsid w:val="000A30AC"/>
    <w:rsid w:val="000A40BD"/>
    <w:rsid w:val="000A7DDB"/>
    <w:rsid w:val="000B08BE"/>
    <w:rsid w:val="000B146B"/>
    <w:rsid w:val="000B1F45"/>
    <w:rsid w:val="000B243E"/>
    <w:rsid w:val="000B2D30"/>
    <w:rsid w:val="000B4144"/>
    <w:rsid w:val="000B456A"/>
    <w:rsid w:val="000B56D8"/>
    <w:rsid w:val="000B59B6"/>
    <w:rsid w:val="000B64FA"/>
    <w:rsid w:val="000C0CCE"/>
    <w:rsid w:val="000C11DD"/>
    <w:rsid w:val="000C14C8"/>
    <w:rsid w:val="000C44BA"/>
    <w:rsid w:val="000C634B"/>
    <w:rsid w:val="000C7018"/>
    <w:rsid w:val="000C7CED"/>
    <w:rsid w:val="000D0022"/>
    <w:rsid w:val="000D04D0"/>
    <w:rsid w:val="000D0F25"/>
    <w:rsid w:val="000D0FE8"/>
    <w:rsid w:val="000D172A"/>
    <w:rsid w:val="000D1E80"/>
    <w:rsid w:val="000D2CE1"/>
    <w:rsid w:val="000D3A7A"/>
    <w:rsid w:val="000D638C"/>
    <w:rsid w:val="000D645A"/>
    <w:rsid w:val="000E22C0"/>
    <w:rsid w:val="000E24DA"/>
    <w:rsid w:val="000E3F87"/>
    <w:rsid w:val="000E5765"/>
    <w:rsid w:val="000E5E95"/>
    <w:rsid w:val="000E6D9C"/>
    <w:rsid w:val="000E79AD"/>
    <w:rsid w:val="000F1ACB"/>
    <w:rsid w:val="000F49CB"/>
    <w:rsid w:val="000F67C6"/>
    <w:rsid w:val="000F768A"/>
    <w:rsid w:val="001000D3"/>
    <w:rsid w:val="0010064C"/>
    <w:rsid w:val="0010319A"/>
    <w:rsid w:val="001035EF"/>
    <w:rsid w:val="001036DA"/>
    <w:rsid w:val="00103836"/>
    <w:rsid w:val="00103964"/>
    <w:rsid w:val="00103DA6"/>
    <w:rsid w:val="00104233"/>
    <w:rsid w:val="00106977"/>
    <w:rsid w:val="0010732C"/>
    <w:rsid w:val="00111103"/>
    <w:rsid w:val="00112808"/>
    <w:rsid w:val="001133CE"/>
    <w:rsid w:val="00114628"/>
    <w:rsid w:val="00114719"/>
    <w:rsid w:val="00114A88"/>
    <w:rsid w:val="0011622F"/>
    <w:rsid w:val="001178DF"/>
    <w:rsid w:val="001203E8"/>
    <w:rsid w:val="00124A1D"/>
    <w:rsid w:val="00124D64"/>
    <w:rsid w:val="001276D8"/>
    <w:rsid w:val="001320DC"/>
    <w:rsid w:val="00135173"/>
    <w:rsid w:val="00135B33"/>
    <w:rsid w:val="0013624F"/>
    <w:rsid w:val="00136DE8"/>
    <w:rsid w:val="00137645"/>
    <w:rsid w:val="00140A81"/>
    <w:rsid w:val="0014132D"/>
    <w:rsid w:val="001425CB"/>
    <w:rsid w:val="00144C49"/>
    <w:rsid w:val="0014644E"/>
    <w:rsid w:val="00146566"/>
    <w:rsid w:val="00146674"/>
    <w:rsid w:val="00146A97"/>
    <w:rsid w:val="001473B2"/>
    <w:rsid w:val="001473C6"/>
    <w:rsid w:val="00150BE2"/>
    <w:rsid w:val="001520A3"/>
    <w:rsid w:val="00152B04"/>
    <w:rsid w:val="00152F07"/>
    <w:rsid w:val="00154134"/>
    <w:rsid w:val="00154AA9"/>
    <w:rsid w:val="0015586B"/>
    <w:rsid w:val="00157D12"/>
    <w:rsid w:val="00160F5A"/>
    <w:rsid w:val="0016278A"/>
    <w:rsid w:val="00163282"/>
    <w:rsid w:val="001634C4"/>
    <w:rsid w:val="00163C08"/>
    <w:rsid w:val="00164185"/>
    <w:rsid w:val="00166734"/>
    <w:rsid w:val="00167C22"/>
    <w:rsid w:val="00170740"/>
    <w:rsid w:val="00171709"/>
    <w:rsid w:val="001724E4"/>
    <w:rsid w:val="001724F9"/>
    <w:rsid w:val="001735E5"/>
    <w:rsid w:val="0017444F"/>
    <w:rsid w:val="00174508"/>
    <w:rsid w:val="00174A90"/>
    <w:rsid w:val="001758DA"/>
    <w:rsid w:val="00180F72"/>
    <w:rsid w:val="001811DC"/>
    <w:rsid w:val="00184C6C"/>
    <w:rsid w:val="00184CC6"/>
    <w:rsid w:val="001851E0"/>
    <w:rsid w:val="001858EA"/>
    <w:rsid w:val="00185B3B"/>
    <w:rsid w:val="00186F34"/>
    <w:rsid w:val="00190D16"/>
    <w:rsid w:val="00191E95"/>
    <w:rsid w:val="0019263E"/>
    <w:rsid w:val="00192FE6"/>
    <w:rsid w:val="00195E61"/>
    <w:rsid w:val="00196BA5"/>
    <w:rsid w:val="00197358"/>
    <w:rsid w:val="00197517"/>
    <w:rsid w:val="001975CA"/>
    <w:rsid w:val="001A10D5"/>
    <w:rsid w:val="001A14D7"/>
    <w:rsid w:val="001A4BBC"/>
    <w:rsid w:val="001A5118"/>
    <w:rsid w:val="001A5805"/>
    <w:rsid w:val="001A5B37"/>
    <w:rsid w:val="001B1C15"/>
    <w:rsid w:val="001B2E9C"/>
    <w:rsid w:val="001B32CF"/>
    <w:rsid w:val="001B37D6"/>
    <w:rsid w:val="001B440E"/>
    <w:rsid w:val="001B4DAD"/>
    <w:rsid w:val="001B68C7"/>
    <w:rsid w:val="001B6F98"/>
    <w:rsid w:val="001C4F62"/>
    <w:rsid w:val="001D0B2B"/>
    <w:rsid w:val="001D0CA5"/>
    <w:rsid w:val="001D18F3"/>
    <w:rsid w:val="001D3AC4"/>
    <w:rsid w:val="001D5544"/>
    <w:rsid w:val="001D56D0"/>
    <w:rsid w:val="001D7C01"/>
    <w:rsid w:val="001E07FE"/>
    <w:rsid w:val="001E2942"/>
    <w:rsid w:val="001E66E7"/>
    <w:rsid w:val="001E6AD0"/>
    <w:rsid w:val="001E6B1F"/>
    <w:rsid w:val="001F04D3"/>
    <w:rsid w:val="001F0A09"/>
    <w:rsid w:val="001F2B1E"/>
    <w:rsid w:val="001F2D6A"/>
    <w:rsid w:val="001F5748"/>
    <w:rsid w:val="001F5FB9"/>
    <w:rsid w:val="001F6770"/>
    <w:rsid w:val="001F6E04"/>
    <w:rsid w:val="00200DE4"/>
    <w:rsid w:val="00203203"/>
    <w:rsid w:val="00206C70"/>
    <w:rsid w:val="00207DE0"/>
    <w:rsid w:val="00212004"/>
    <w:rsid w:val="00214F59"/>
    <w:rsid w:val="00220A39"/>
    <w:rsid w:val="00226FBF"/>
    <w:rsid w:val="002308A0"/>
    <w:rsid w:val="00230EA0"/>
    <w:rsid w:val="00230EC6"/>
    <w:rsid w:val="00231C50"/>
    <w:rsid w:val="00232A23"/>
    <w:rsid w:val="00232F64"/>
    <w:rsid w:val="002343B9"/>
    <w:rsid w:val="002344C6"/>
    <w:rsid w:val="00234CAD"/>
    <w:rsid w:val="00235CEF"/>
    <w:rsid w:val="00237A6D"/>
    <w:rsid w:val="00240772"/>
    <w:rsid w:val="0024358C"/>
    <w:rsid w:val="00243DC7"/>
    <w:rsid w:val="00244690"/>
    <w:rsid w:val="0024487C"/>
    <w:rsid w:val="0024698E"/>
    <w:rsid w:val="00247582"/>
    <w:rsid w:val="002476DC"/>
    <w:rsid w:val="00247C79"/>
    <w:rsid w:val="00252F08"/>
    <w:rsid w:val="0025305F"/>
    <w:rsid w:val="00253B6F"/>
    <w:rsid w:val="002554A5"/>
    <w:rsid w:val="0025708E"/>
    <w:rsid w:val="002570EA"/>
    <w:rsid w:val="00257E42"/>
    <w:rsid w:val="002621FC"/>
    <w:rsid w:val="00262947"/>
    <w:rsid w:val="00264888"/>
    <w:rsid w:val="00266D4E"/>
    <w:rsid w:val="00270ABB"/>
    <w:rsid w:val="00274C73"/>
    <w:rsid w:val="00275100"/>
    <w:rsid w:val="0027713E"/>
    <w:rsid w:val="002773D6"/>
    <w:rsid w:val="00277654"/>
    <w:rsid w:val="0028023F"/>
    <w:rsid w:val="00280B56"/>
    <w:rsid w:val="002829EA"/>
    <w:rsid w:val="002857AE"/>
    <w:rsid w:val="002863FD"/>
    <w:rsid w:val="0028759D"/>
    <w:rsid w:val="00287991"/>
    <w:rsid w:val="00287EED"/>
    <w:rsid w:val="00293B46"/>
    <w:rsid w:val="002949BB"/>
    <w:rsid w:val="00294CC5"/>
    <w:rsid w:val="00294D82"/>
    <w:rsid w:val="00296FE5"/>
    <w:rsid w:val="00297BD0"/>
    <w:rsid w:val="002A01F0"/>
    <w:rsid w:val="002A1E49"/>
    <w:rsid w:val="002A1EBA"/>
    <w:rsid w:val="002A2278"/>
    <w:rsid w:val="002A3516"/>
    <w:rsid w:val="002A47C8"/>
    <w:rsid w:val="002A5276"/>
    <w:rsid w:val="002A64D0"/>
    <w:rsid w:val="002B28DE"/>
    <w:rsid w:val="002B358C"/>
    <w:rsid w:val="002B41E3"/>
    <w:rsid w:val="002B5211"/>
    <w:rsid w:val="002B6C95"/>
    <w:rsid w:val="002B7205"/>
    <w:rsid w:val="002B7E18"/>
    <w:rsid w:val="002B7F2A"/>
    <w:rsid w:val="002C00E7"/>
    <w:rsid w:val="002C068B"/>
    <w:rsid w:val="002C1FFC"/>
    <w:rsid w:val="002C2A6E"/>
    <w:rsid w:val="002C43DB"/>
    <w:rsid w:val="002C4CB1"/>
    <w:rsid w:val="002C6ABE"/>
    <w:rsid w:val="002C726D"/>
    <w:rsid w:val="002D0755"/>
    <w:rsid w:val="002D177E"/>
    <w:rsid w:val="002D2D3E"/>
    <w:rsid w:val="002D3837"/>
    <w:rsid w:val="002D4F7A"/>
    <w:rsid w:val="002D621F"/>
    <w:rsid w:val="002E01C6"/>
    <w:rsid w:val="002E11C2"/>
    <w:rsid w:val="002E1750"/>
    <w:rsid w:val="002E1EBD"/>
    <w:rsid w:val="002E6767"/>
    <w:rsid w:val="002F2143"/>
    <w:rsid w:val="002F24EB"/>
    <w:rsid w:val="002F3375"/>
    <w:rsid w:val="002F51D9"/>
    <w:rsid w:val="002F6DFD"/>
    <w:rsid w:val="00301B2B"/>
    <w:rsid w:val="00303DAF"/>
    <w:rsid w:val="003040B3"/>
    <w:rsid w:val="0030504B"/>
    <w:rsid w:val="00306C97"/>
    <w:rsid w:val="00306F5E"/>
    <w:rsid w:val="00307408"/>
    <w:rsid w:val="00310342"/>
    <w:rsid w:val="00310746"/>
    <w:rsid w:val="00313A4C"/>
    <w:rsid w:val="00313EEB"/>
    <w:rsid w:val="003160EB"/>
    <w:rsid w:val="00316840"/>
    <w:rsid w:val="00317142"/>
    <w:rsid w:val="003177BF"/>
    <w:rsid w:val="00320C43"/>
    <w:rsid w:val="00322540"/>
    <w:rsid w:val="003233A8"/>
    <w:rsid w:val="003234F4"/>
    <w:rsid w:val="00324C5E"/>
    <w:rsid w:val="00324E68"/>
    <w:rsid w:val="00326224"/>
    <w:rsid w:val="00333D94"/>
    <w:rsid w:val="0034049E"/>
    <w:rsid w:val="00341251"/>
    <w:rsid w:val="003437FA"/>
    <w:rsid w:val="00343BAF"/>
    <w:rsid w:val="00344B13"/>
    <w:rsid w:val="00344EAC"/>
    <w:rsid w:val="003458C5"/>
    <w:rsid w:val="00345EAC"/>
    <w:rsid w:val="00350355"/>
    <w:rsid w:val="0035094B"/>
    <w:rsid w:val="00350C8C"/>
    <w:rsid w:val="0035181C"/>
    <w:rsid w:val="0035246F"/>
    <w:rsid w:val="00352827"/>
    <w:rsid w:val="003530F1"/>
    <w:rsid w:val="0035332A"/>
    <w:rsid w:val="0035591F"/>
    <w:rsid w:val="00357E2B"/>
    <w:rsid w:val="003602D3"/>
    <w:rsid w:val="00361455"/>
    <w:rsid w:val="003622B7"/>
    <w:rsid w:val="00364E88"/>
    <w:rsid w:val="003658BD"/>
    <w:rsid w:val="003671FE"/>
    <w:rsid w:val="0037346C"/>
    <w:rsid w:val="00373562"/>
    <w:rsid w:val="003748FF"/>
    <w:rsid w:val="00376697"/>
    <w:rsid w:val="00377594"/>
    <w:rsid w:val="0038095C"/>
    <w:rsid w:val="00380D87"/>
    <w:rsid w:val="00380EDA"/>
    <w:rsid w:val="00386A5C"/>
    <w:rsid w:val="003875C7"/>
    <w:rsid w:val="003876D2"/>
    <w:rsid w:val="0039005C"/>
    <w:rsid w:val="003964FF"/>
    <w:rsid w:val="003A07C8"/>
    <w:rsid w:val="003A592C"/>
    <w:rsid w:val="003A5A25"/>
    <w:rsid w:val="003A6A88"/>
    <w:rsid w:val="003A6F84"/>
    <w:rsid w:val="003B05F2"/>
    <w:rsid w:val="003B072E"/>
    <w:rsid w:val="003B0921"/>
    <w:rsid w:val="003B18BA"/>
    <w:rsid w:val="003B3FC3"/>
    <w:rsid w:val="003B4EC5"/>
    <w:rsid w:val="003B7B35"/>
    <w:rsid w:val="003C25E5"/>
    <w:rsid w:val="003C4D39"/>
    <w:rsid w:val="003C4F33"/>
    <w:rsid w:val="003C4F7B"/>
    <w:rsid w:val="003C76BB"/>
    <w:rsid w:val="003D1D1A"/>
    <w:rsid w:val="003D256C"/>
    <w:rsid w:val="003D3EC1"/>
    <w:rsid w:val="003D5351"/>
    <w:rsid w:val="003D7581"/>
    <w:rsid w:val="003D7CD6"/>
    <w:rsid w:val="003E154F"/>
    <w:rsid w:val="003E555B"/>
    <w:rsid w:val="003E5769"/>
    <w:rsid w:val="003E6A6F"/>
    <w:rsid w:val="003F4BDB"/>
    <w:rsid w:val="003F66B3"/>
    <w:rsid w:val="003F7C63"/>
    <w:rsid w:val="00403D03"/>
    <w:rsid w:val="00403F25"/>
    <w:rsid w:val="00403FFF"/>
    <w:rsid w:val="00405527"/>
    <w:rsid w:val="004058C0"/>
    <w:rsid w:val="00407C72"/>
    <w:rsid w:val="00411539"/>
    <w:rsid w:val="004141F8"/>
    <w:rsid w:val="00415367"/>
    <w:rsid w:val="00415417"/>
    <w:rsid w:val="00421336"/>
    <w:rsid w:val="0042216C"/>
    <w:rsid w:val="004254F8"/>
    <w:rsid w:val="00425F23"/>
    <w:rsid w:val="00427680"/>
    <w:rsid w:val="00427AA7"/>
    <w:rsid w:val="00431A05"/>
    <w:rsid w:val="00431F86"/>
    <w:rsid w:val="004332E6"/>
    <w:rsid w:val="00433D6F"/>
    <w:rsid w:val="0043552C"/>
    <w:rsid w:val="00435791"/>
    <w:rsid w:val="00436211"/>
    <w:rsid w:val="0043665B"/>
    <w:rsid w:val="00436B08"/>
    <w:rsid w:val="00436F06"/>
    <w:rsid w:val="004413A8"/>
    <w:rsid w:val="00441938"/>
    <w:rsid w:val="00441A95"/>
    <w:rsid w:val="00445FD7"/>
    <w:rsid w:val="004464CE"/>
    <w:rsid w:val="00446750"/>
    <w:rsid w:val="00447CE2"/>
    <w:rsid w:val="00450A63"/>
    <w:rsid w:val="00451664"/>
    <w:rsid w:val="00452684"/>
    <w:rsid w:val="00454E9E"/>
    <w:rsid w:val="004572FA"/>
    <w:rsid w:val="004606E5"/>
    <w:rsid w:val="00464E91"/>
    <w:rsid w:val="0046593E"/>
    <w:rsid w:val="00467211"/>
    <w:rsid w:val="00470074"/>
    <w:rsid w:val="00470444"/>
    <w:rsid w:val="00471C73"/>
    <w:rsid w:val="00471CBD"/>
    <w:rsid w:val="00476A9C"/>
    <w:rsid w:val="00476B78"/>
    <w:rsid w:val="00477256"/>
    <w:rsid w:val="0047751B"/>
    <w:rsid w:val="00480261"/>
    <w:rsid w:val="00480797"/>
    <w:rsid w:val="00480E4F"/>
    <w:rsid w:val="0048156A"/>
    <w:rsid w:val="004816C7"/>
    <w:rsid w:val="00483125"/>
    <w:rsid w:val="0048670E"/>
    <w:rsid w:val="0049135F"/>
    <w:rsid w:val="00492CAC"/>
    <w:rsid w:val="00492F5A"/>
    <w:rsid w:val="00495A06"/>
    <w:rsid w:val="004960FA"/>
    <w:rsid w:val="00496324"/>
    <w:rsid w:val="00496B6E"/>
    <w:rsid w:val="004A01A0"/>
    <w:rsid w:val="004A0F5A"/>
    <w:rsid w:val="004A195C"/>
    <w:rsid w:val="004A1D54"/>
    <w:rsid w:val="004A4235"/>
    <w:rsid w:val="004A4705"/>
    <w:rsid w:val="004A7656"/>
    <w:rsid w:val="004B023A"/>
    <w:rsid w:val="004B119C"/>
    <w:rsid w:val="004B141D"/>
    <w:rsid w:val="004B1B07"/>
    <w:rsid w:val="004B27FF"/>
    <w:rsid w:val="004B280C"/>
    <w:rsid w:val="004B2B9E"/>
    <w:rsid w:val="004B3F1D"/>
    <w:rsid w:val="004B4107"/>
    <w:rsid w:val="004B4985"/>
    <w:rsid w:val="004B54A8"/>
    <w:rsid w:val="004B5916"/>
    <w:rsid w:val="004B6DC5"/>
    <w:rsid w:val="004B7748"/>
    <w:rsid w:val="004C132A"/>
    <w:rsid w:val="004C14E3"/>
    <w:rsid w:val="004C3F75"/>
    <w:rsid w:val="004C5555"/>
    <w:rsid w:val="004C673A"/>
    <w:rsid w:val="004C76A0"/>
    <w:rsid w:val="004D179E"/>
    <w:rsid w:val="004D6E97"/>
    <w:rsid w:val="004D72AE"/>
    <w:rsid w:val="004D78BC"/>
    <w:rsid w:val="004E08CC"/>
    <w:rsid w:val="004E13A2"/>
    <w:rsid w:val="004E14E7"/>
    <w:rsid w:val="004E3431"/>
    <w:rsid w:val="004E5317"/>
    <w:rsid w:val="004F1D6F"/>
    <w:rsid w:val="004F3842"/>
    <w:rsid w:val="004F4510"/>
    <w:rsid w:val="004F5384"/>
    <w:rsid w:val="004F6455"/>
    <w:rsid w:val="004F6F70"/>
    <w:rsid w:val="004F77B6"/>
    <w:rsid w:val="005012F1"/>
    <w:rsid w:val="005016E5"/>
    <w:rsid w:val="0050276F"/>
    <w:rsid w:val="005036FC"/>
    <w:rsid w:val="005037EF"/>
    <w:rsid w:val="0050577B"/>
    <w:rsid w:val="005079C1"/>
    <w:rsid w:val="00511362"/>
    <w:rsid w:val="00511578"/>
    <w:rsid w:val="00513BD1"/>
    <w:rsid w:val="005151DC"/>
    <w:rsid w:val="005167C3"/>
    <w:rsid w:val="00517F30"/>
    <w:rsid w:val="00521DA5"/>
    <w:rsid w:val="005222DD"/>
    <w:rsid w:val="00522BDC"/>
    <w:rsid w:val="00522DA3"/>
    <w:rsid w:val="00523EC8"/>
    <w:rsid w:val="005253A9"/>
    <w:rsid w:val="0052654F"/>
    <w:rsid w:val="005342FE"/>
    <w:rsid w:val="005343B2"/>
    <w:rsid w:val="00534B4D"/>
    <w:rsid w:val="005367FF"/>
    <w:rsid w:val="00537E1D"/>
    <w:rsid w:val="005403F2"/>
    <w:rsid w:val="0054187A"/>
    <w:rsid w:val="00543152"/>
    <w:rsid w:val="0054381A"/>
    <w:rsid w:val="00544064"/>
    <w:rsid w:val="005441FF"/>
    <w:rsid w:val="005462DB"/>
    <w:rsid w:val="005477A5"/>
    <w:rsid w:val="00551699"/>
    <w:rsid w:val="0055324C"/>
    <w:rsid w:val="005533DD"/>
    <w:rsid w:val="00554E8E"/>
    <w:rsid w:val="00557817"/>
    <w:rsid w:val="00557983"/>
    <w:rsid w:val="00562046"/>
    <w:rsid w:val="00563DF2"/>
    <w:rsid w:val="0056546D"/>
    <w:rsid w:val="00565D83"/>
    <w:rsid w:val="005660C8"/>
    <w:rsid w:val="005672BC"/>
    <w:rsid w:val="005703FC"/>
    <w:rsid w:val="00572692"/>
    <w:rsid w:val="00572FE5"/>
    <w:rsid w:val="0057314B"/>
    <w:rsid w:val="005737E9"/>
    <w:rsid w:val="005768E9"/>
    <w:rsid w:val="00580610"/>
    <w:rsid w:val="00583483"/>
    <w:rsid w:val="0058638E"/>
    <w:rsid w:val="005869CA"/>
    <w:rsid w:val="00586D8C"/>
    <w:rsid w:val="00591A68"/>
    <w:rsid w:val="00591B59"/>
    <w:rsid w:val="00594915"/>
    <w:rsid w:val="0059706A"/>
    <w:rsid w:val="005A0D48"/>
    <w:rsid w:val="005A0E68"/>
    <w:rsid w:val="005A1466"/>
    <w:rsid w:val="005A2314"/>
    <w:rsid w:val="005A2971"/>
    <w:rsid w:val="005A3540"/>
    <w:rsid w:val="005A3E9C"/>
    <w:rsid w:val="005A693C"/>
    <w:rsid w:val="005A7195"/>
    <w:rsid w:val="005B1DA7"/>
    <w:rsid w:val="005B21A6"/>
    <w:rsid w:val="005B5F4C"/>
    <w:rsid w:val="005B621D"/>
    <w:rsid w:val="005B72F3"/>
    <w:rsid w:val="005C19D7"/>
    <w:rsid w:val="005C1BBD"/>
    <w:rsid w:val="005C1DB5"/>
    <w:rsid w:val="005C2717"/>
    <w:rsid w:val="005C3509"/>
    <w:rsid w:val="005C35E0"/>
    <w:rsid w:val="005C4769"/>
    <w:rsid w:val="005C6F02"/>
    <w:rsid w:val="005C7D87"/>
    <w:rsid w:val="005D02AE"/>
    <w:rsid w:val="005D05C5"/>
    <w:rsid w:val="005D0607"/>
    <w:rsid w:val="005D0D63"/>
    <w:rsid w:val="005D0E15"/>
    <w:rsid w:val="005D1142"/>
    <w:rsid w:val="005D13F6"/>
    <w:rsid w:val="005D23A1"/>
    <w:rsid w:val="005D36DE"/>
    <w:rsid w:val="005D5071"/>
    <w:rsid w:val="005D5EBB"/>
    <w:rsid w:val="005D7798"/>
    <w:rsid w:val="005E003A"/>
    <w:rsid w:val="005E016A"/>
    <w:rsid w:val="005E101C"/>
    <w:rsid w:val="005E1AE4"/>
    <w:rsid w:val="005E2D80"/>
    <w:rsid w:val="005E3AEC"/>
    <w:rsid w:val="005E4A7E"/>
    <w:rsid w:val="005E52D2"/>
    <w:rsid w:val="005E5497"/>
    <w:rsid w:val="005F0667"/>
    <w:rsid w:val="005F19EF"/>
    <w:rsid w:val="005F1FAD"/>
    <w:rsid w:val="005F2D04"/>
    <w:rsid w:val="005F4482"/>
    <w:rsid w:val="005F494B"/>
    <w:rsid w:val="005F4DB4"/>
    <w:rsid w:val="005F5A4B"/>
    <w:rsid w:val="005F5BE9"/>
    <w:rsid w:val="005F640B"/>
    <w:rsid w:val="005F6531"/>
    <w:rsid w:val="0060704B"/>
    <w:rsid w:val="006078E5"/>
    <w:rsid w:val="006127B0"/>
    <w:rsid w:val="00612911"/>
    <w:rsid w:val="00612F38"/>
    <w:rsid w:val="00616E6A"/>
    <w:rsid w:val="00617DD9"/>
    <w:rsid w:val="00620470"/>
    <w:rsid w:val="0062051F"/>
    <w:rsid w:val="00621E86"/>
    <w:rsid w:val="00622598"/>
    <w:rsid w:val="0062278A"/>
    <w:rsid w:val="00622E2E"/>
    <w:rsid w:val="00622FE3"/>
    <w:rsid w:val="0062352E"/>
    <w:rsid w:val="00624A7E"/>
    <w:rsid w:val="006317C2"/>
    <w:rsid w:val="00632A46"/>
    <w:rsid w:val="006338DB"/>
    <w:rsid w:val="00635332"/>
    <w:rsid w:val="00640829"/>
    <w:rsid w:val="00641112"/>
    <w:rsid w:val="00641D82"/>
    <w:rsid w:val="00645389"/>
    <w:rsid w:val="00646396"/>
    <w:rsid w:val="0064697F"/>
    <w:rsid w:val="00647E2A"/>
    <w:rsid w:val="006502E0"/>
    <w:rsid w:val="006514AB"/>
    <w:rsid w:val="00651DE9"/>
    <w:rsid w:val="00652C8C"/>
    <w:rsid w:val="00652CD2"/>
    <w:rsid w:val="00654CE8"/>
    <w:rsid w:val="00655336"/>
    <w:rsid w:val="00655DE1"/>
    <w:rsid w:val="00656875"/>
    <w:rsid w:val="006568F5"/>
    <w:rsid w:val="00657574"/>
    <w:rsid w:val="00657BAF"/>
    <w:rsid w:val="00660198"/>
    <w:rsid w:val="0066154E"/>
    <w:rsid w:val="006620B1"/>
    <w:rsid w:val="00664612"/>
    <w:rsid w:val="00665D24"/>
    <w:rsid w:val="00666FE2"/>
    <w:rsid w:val="006675EB"/>
    <w:rsid w:val="00673A9B"/>
    <w:rsid w:val="00675618"/>
    <w:rsid w:val="00675F94"/>
    <w:rsid w:val="00677894"/>
    <w:rsid w:val="006817ED"/>
    <w:rsid w:val="0068282E"/>
    <w:rsid w:val="00682F7A"/>
    <w:rsid w:val="00682FD8"/>
    <w:rsid w:val="00684564"/>
    <w:rsid w:val="00685E3A"/>
    <w:rsid w:val="00691035"/>
    <w:rsid w:val="00691C90"/>
    <w:rsid w:val="0069360B"/>
    <w:rsid w:val="00693D0C"/>
    <w:rsid w:val="00694B4F"/>
    <w:rsid w:val="00694C6C"/>
    <w:rsid w:val="00695875"/>
    <w:rsid w:val="006A350D"/>
    <w:rsid w:val="006A3AFA"/>
    <w:rsid w:val="006A3CBB"/>
    <w:rsid w:val="006A7EAA"/>
    <w:rsid w:val="006B0312"/>
    <w:rsid w:val="006B1216"/>
    <w:rsid w:val="006B6773"/>
    <w:rsid w:val="006C1706"/>
    <w:rsid w:val="006C31ED"/>
    <w:rsid w:val="006C4558"/>
    <w:rsid w:val="006C4B00"/>
    <w:rsid w:val="006C7D53"/>
    <w:rsid w:val="006C7E55"/>
    <w:rsid w:val="006D0629"/>
    <w:rsid w:val="006D45D1"/>
    <w:rsid w:val="006D6757"/>
    <w:rsid w:val="006D6767"/>
    <w:rsid w:val="006D69BA"/>
    <w:rsid w:val="006D6A20"/>
    <w:rsid w:val="006E1C02"/>
    <w:rsid w:val="006E202F"/>
    <w:rsid w:val="006E369F"/>
    <w:rsid w:val="006E3746"/>
    <w:rsid w:val="006E5540"/>
    <w:rsid w:val="006E5A4F"/>
    <w:rsid w:val="006E5BA3"/>
    <w:rsid w:val="006E5FCF"/>
    <w:rsid w:val="006E6FF6"/>
    <w:rsid w:val="006E7069"/>
    <w:rsid w:val="006E7835"/>
    <w:rsid w:val="006F104E"/>
    <w:rsid w:val="006F2553"/>
    <w:rsid w:val="006F3346"/>
    <w:rsid w:val="006F456A"/>
    <w:rsid w:val="006F5381"/>
    <w:rsid w:val="006F60F9"/>
    <w:rsid w:val="006F78F7"/>
    <w:rsid w:val="00701CAB"/>
    <w:rsid w:val="00703BE8"/>
    <w:rsid w:val="0070491F"/>
    <w:rsid w:val="00704D7D"/>
    <w:rsid w:val="007079A3"/>
    <w:rsid w:val="007130F7"/>
    <w:rsid w:val="00716956"/>
    <w:rsid w:val="007170FE"/>
    <w:rsid w:val="007213C3"/>
    <w:rsid w:val="00722447"/>
    <w:rsid w:val="007235C2"/>
    <w:rsid w:val="0072409E"/>
    <w:rsid w:val="0072587E"/>
    <w:rsid w:val="00726574"/>
    <w:rsid w:val="00726854"/>
    <w:rsid w:val="00734EA8"/>
    <w:rsid w:val="00735C0F"/>
    <w:rsid w:val="0074142D"/>
    <w:rsid w:val="00741444"/>
    <w:rsid w:val="00741C07"/>
    <w:rsid w:val="00742011"/>
    <w:rsid w:val="0074213B"/>
    <w:rsid w:val="0074574B"/>
    <w:rsid w:val="00750207"/>
    <w:rsid w:val="00750AD5"/>
    <w:rsid w:val="00750BF9"/>
    <w:rsid w:val="00751338"/>
    <w:rsid w:val="00751B7B"/>
    <w:rsid w:val="00753705"/>
    <w:rsid w:val="007537C9"/>
    <w:rsid w:val="00754A9C"/>
    <w:rsid w:val="00755FE2"/>
    <w:rsid w:val="00757F61"/>
    <w:rsid w:val="0076303D"/>
    <w:rsid w:val="0076595E"/>
    <w:rsid w:val="007678F1"/>
    <w:rsid w:val="007748CB"/>
    <w:rsid w:val="00775092"/>
    <w:rsid w:val="00776081"/>
    <w:rsid w:val="00776A77"/>
    <w:rsid w:val="007803D9"/>
    <w:rsid w:val="0078099E"/>
    <w:rsid w:val="0078256B"/>
    <w:rsid w:val="00782D60"/>
    <w:rsid w:val="007838F6"/>
    <w:rsid w:val="00783AF9"/>
    <w:rsid w:val="00783CCE"/>
    <w:rsid w:val="0078498E"/>
    <w:rsid w:val="00785539"/>
    <w:rsid w:val="00787494"/>
    <w:rsid w:val="007878EC"/>
    <w:rsid w:val="007906B1"/>
    <w:rsid w:val="00791C1C"/>
    <w:rsid w:val="007922CD"/>
    <w:rsid w:val="007931D5"/>
    <w:rsid w:val="00794931"/>
    <w:rsid w:val="00795D9E"/>
    <w:rsid w:val="0079608A"/>
    <w:rsid w:val="0079641C"/>
    <w:rsid w:val="007973C5"/>
    <w:rsid w:val="007A1549"/>
    <w:rsid w:val="007A330C"/>
    <w:rsid w:val="007A33B7"/>
    <w:rsid w:val="007A718A"/>
    <w:rsid w:val="007B07CD"/>
    <w:rsid w:val="007B2351"/>
    <w:rsid w:val="007B2630"/>
    <w:rsid w:val="007B2F80"/>
    <w:rsid w:val="007B3340"/>
    <w:rsid w:val="007B7FF1"/>
    <w:rsid w:val="007C068A"/>
    <w:rsid w:val="007C08A0"/>
    <w:rsid w:val="007C1A28"/>
    <w:rsid w:val="007C2760"/>
    <w:rsid w:val="007C4A0D"/>
    <w:rsid w:val="007C61B9"/>
    <w:rsid w:val="007C6876"/>
    <w:rsid w:val="007C7583"/>
    <w:rsid w:val="007C78EC"/>
    <w:rsid w:val="007C7B91"/>
    <w:rsid w:val="007D2195"/>
    <w:rsid w:val="007D2EDC"/>
    <w:rsid w:val="007D33EF"/>
    <w:rsid w:val="007D34C0"/>
    <w:rsid w:val="007D388E"/>
    <w:rsid w:val="007D3D9E"/>
    <w:rsid w:val="007E29FE"/>
    <w:rsid w:val="007E3E90"/>
    <w:rsid w:val="007E3F07"/>
    <w:rsid w:val="007E5165"/>
    <w:rsid w:val="007E5AA5"/>
    <w:rsid w:val="007E7385"/>
    <w:rsid w:val="007E74AC"/>
    <w:rsid w:val="007E7CC6"/>
    <w:rsid w:val="007F141D"/>
    <w:rsid w:val="007F266D"/>
    <w:rsid w:val="007F28F6"/>
    <w:rsid w:val="007F5460"/>
    <w:rsid w:val="007F5A1B"/>
    <w:rsid w:val="007F5E34"/>
    <w:rsid w:val="007F6D76"/>
    <w:rsid w:val="007F792B"/>
    <w:rsid w:val="0080151E"/>
    <w:rsid w:val="008017C3"/>
    <w:rsid w:val="00801CF4"/>
    <w:rsid w:val="0080311A"/>
    <w:rsid w:val="00806773"/>
    <w:rsid w:val="0080701A"/>
    <w:rsid w:val="00810F5B"/>
    <w:rsid w:val="00813116"/>
    <w:rsid w:val="0082159D"/>
    <w:rsid w:val="008217E3"/>
    <w:rsid w:val="00824E9C"/>
    <w:rsid w:val="00827180"/>
    <w:rsid w:val="00827B81"/>
    <w:rsid w:val="0083023B"/>
    <w:rsid w:val="00831A4E"/>
    <w:rsid w:val="00831A8F"/>
    <w:rsid w:val="008329C0"/>
    <w:rsid w:val="00832EA7"/>
    <w:rsid w:val="008355AF"/>
    <w:rsid w:val="0083605F"/>
    <w:rsid w:val="00836B7E"/>
    <w:rsid w:val="00840321"/>
    <w:rsid w:val="00840836"/>
    <w:rsid w:val="00840C14"/>
    <w:rsid w:val="008444A7"/>
    <w:rsid w:val="008471E7"/>
    <w:rsid w:val="00850658"/>
    <w:rsid w:val="008513E6"/>
    <w:rsid w:val="00853268"/>
    <w:rsid w:val="00853606"/>
    <w:rsid w:val="00854B19"/>
    <w:rsid w:val="0086482E"/>
    <w:rsid w:val="00866509"/>
    <w:rsid w:val="0086737F"/>
    <w:rsid w:val="00870C3D"/>
    <w:rsid w:val="00872F16"/>
    <w:rsid w:val="00873BD4"/>
    <w:rsid w:val="008750AD"/>
    <w:rsid w:val="00875D78"/>
    <w:rsid w:val="00875EB4"/>
    <w:rsid w:val="0087633D"/>
    <w:rsid w:val="00877395"/>
    <w:rsid w:val="008774B5"/>
    <w:rsid w:val="00877EB9"/>
    <w:rsid w:val="0089024F"/>
    <w:rsid w:val="00891FDD"/>
    <w:rsid w:val="008938C7"/>
    <w:rsid w:val="008940D5"/>
    <w:rsid w:val="00894454"/>
    <w:rsid w:val="00894586"/>
    <w:rsid w:val="008959FB"/>
    <w:rsid w:val="00895A01"/>
    <w:rsid w:val="00895C44"/>
    <w:rsid w:val="008A08CA"/>
    <w:rsid w:val="008A0CD9"/>
    <w:rsid w:val="008A15F3"/>
    <w:rsid w:val="008A2526"/>
    <w:rsid w:val="008A64BD"/>
    <w:rsid w:val="008A6EE8"/>
    <w:rsid w:val="008A7435"/>
    <w:rsid w:val="008A7D8B"/>
    <w:rsid w:val="008B1E29"/>
    <w:rsid w:val="008B6CC5"/>
    <w:rsid w:val="008C104E"/>
    <w:rsid w:val="008C30E8"/>
    <w:rsid w:val="008C38EE"/>
    <w:rsid w:val="008C5F38"/>
    <w:rsid w:val="008C640B"/>
    <w:rsid w:val="008C6AC6"/>
    <w:rsid w:val="008C6DB9"/>
    <w:rsid w:val="008C7AD8"/>
    <w:rsid w:val="008D1059"/>
    <w:rsid w:val="008D3AE5"/>
    <w:rsid w:val="008D4C83"/>
    <w:rsid w:val="008D60DB"/>
    <w:rsid w:val="008E17B0"/>
    <w:rsid w:val="008E3184"/>
    <w:rsid w:val="008E3B7C"/>
    <w:rsid w:val="008E3F91"/>
    <w:rsid w:val="008E516F"/>
    <w:rsid w:val="008E58A7"/>
    <w:rsid w:val="008E5F53"/>
    <w:rsid w:val="008E6117"/>
    <w:rsid w:val="008E7777"/>
    <w:rsid w:val="008F029A"/>
    <w:rsid w:val="008F46A0"/>
    <w:rsid w:val="008F4F5F"/>
    <w:rsid w:val="008F5E3C"/>
    <w:rsid w:val="008F63D5"/>
    <w:rsid w:val="008F7494"/>
    <w:rsid w:val="00900E93"/>
    <w:rsid w:val="00901E7E"/>
    <w:rsid w:val="00902095"/>
    <w:rsid w:val="00905CF5"/>
    <w:rsid w:val="00906C27"/>
    <w:rsid w:val="009144AC"/>
    <w:rsid w:val="00915DD5"/>
    <w:rsid w:val="00916B4C"/>
    <w:rsid w:val="0091745B"/>
    <w:rsid w:val="00922480"/>
    <w:rsid w:val="009238F5"/>
    <w:rsid w:val="00923E72"/>
    <w:rsid w:val="009246CC"/>
    <w:rsid w:val="009250CD"/>
    <w:rsid w:val="0092685A"/>
    <w:rsid w:val="009300B1"/>
    <w:rsid w:val="00930593"/>
    <w:rsid w:val="0093347A"/>
    <w:rsid w:val="00934496"/>
    <w:rsid w:val="0093460D"/>
    <w:rsid w:val="00934943"/>
    <w:rsid w:val="00935F0F"/>
    <w:rsid w:val="00936ABA"/>
    <w:rsid w:val="00936E20"/>
    <w:rsid w:val="009374C7"/>
    <w:rsid w:val="00940413"/>
    <w:rsid w:val="009404C0"/>
    <w:rsid w:val="00942D1C"/>
    <w:rsid w:val="00943859"/>
    <w:rsid w:val="00943AB4"/>
    <w:rsid w:val="009449FE"/>
    <w:rsid w:val="00945E1F"/>
    <w:rsid w:val="0094662C"/>
    <w:rsid w:val="009505E4"/>
    <w:rsid w:val="009536A1"/>
    <w:rsid w:val="00955C9D"/>
    <w:rsid w:val="009620EB"/>
    <w:rsid w:val="00963590"/>
    <w:rsid w:val="00963EB0"/>
    <w:rsid w:val="00964055"/>
    <w:rsid w:val="00967608"/>
    <w:rsid w:val="00970994"/>
    <w:rsid w:val="00970B50"/>
    <w:rsid w:val="00971D3D"/>
    <w:rsid w:val="00975410"/>
    <w:rsid w:val="00977C4C"/>
    <w:rsid w:val="00980994"/>
    <w:rsid w:val="009821B8"/>
    <w:rsid w:val="00985ACB"/>
    <w:rsid w:val="00986B3E"/>
    <w:rsid w:val="00990E1E"/>
    <w:rsid w:val="009912EF"/>
    <w:rsid w:val="00992370"/>
    <w:rsid w:val="00992678"/>
    <w:rsid w:val="00994395"/>
    <w:rsid w:val="0099601E"/>
    <w:rsid w:val="00996114"/>
    <w:rsid w:val="009A19B5"/>
    <w:rsid w:val="009A1A3E"/>
    <w:rsid w:val="009A1FA4"/>
    <w:rsid w:val="009A2F08"/>
    <w:rsid w:val="009A374A"/>
    <w:rsid w:val="009A431B"/>
    <w:rsid w:val="009A67A1"/>
    <w:rsid w:val="009B2267"/>
    <w:rsid w:val="009B3231"/>
    <w:rsid w:val="009B345D"/>
    <w:rsid w:val="009B4C7E"/>
    <w:rsid w:val="009B5781"/>
    <w:rsid w:val="009B5FE6"/>
    <w:rsid w:val="009C1974"/>
    <w:rsid w:val="009C1C2E"/>
    <w:rsid w:val="009C2959"/>
    <w:rsid w:val="009C3AD5"/>
    <w:rsid w:val="009C6341"/>
    <w:rsid w:val="009D0E0C"/>
    <w:rsid w:val="009D2430"/>
    <w:rsid w:val="009D3F83"/>
    <w:rsid w:val="009D5896"/>
    <w:rsid w:val="009E096E"/>
    <w:rsid w:val="009E0D6C"/>
    <w:rsid w:val="009E1C05"/>
    <w:rsid w:val="009E2D5C"/>
    <w:rsid w:val="009E2F6A"/>
    <w:rsid w:val="009E4ACD"/>
    <w:rsid w:val="009E5B32"/>
    <w:rsid w:val="009E69B3"/>
    <w:rsid w:val="009E7F5A"/>
    <w:rsid w:val="009F0EF1"/>
    <w:rsid w:val="009F2785"/>
    <w:rsid w:val="009F28B1"/>
    <w:rsid w:val="009F2F9C"/>
    <w:rsid w:val="009F3F37"/>
    <w:rsid w:val="009F4DB0"/>
    <w:rsid w:val="009F4DB4"/>
    <w:rsid w:val="00A02867"/>
    <w:rsid w:val="00A02FD0"/>
    <w:rsid w:val="00A03883"/>
    <w:rsid w:val="00A0403D"/>
    <w:rsid w:val="00A04537"/>
    <w:rsid w:val="00A04F24"/>
    <w:rsid w:val="00A052A9"/>
    <w:rsid w:val="00A06DC2"/>
    <w:rsid w:val="00A10F62"/>
    <w:rsid w:val="00A13183"/>
    <w:rsid w:val="00A14BEE"/>
    <w:rsid w:val="00A15623"/>
    <w:rsid w:val="00A168E6"/>
    <w:rsid w:val="00A16E9B"/>
    <w:rsid w:val="00A16EBD"/>
    <w:rsid w:val="00A17AD3"/>
    <w:rsid w:val="00A17F1F"/>
    <w:rsid w:val="00A209D8"/>
    <w:rsid w:val="00A20BEE"/>
    <w:rsid w:val="00A22CAB"/>
    <w:rsid w:val="00A23B57"/>
    <w:rsid w:val="00A24483"/>
    <w:rsid w:val="00A26756"/>
    <w:rsid w:val="00A30814"/>
    <w:rsid w:val="00A33C6C"/>
    <w:rsid w:val="00A35D5D"/>
    <w:rsid w:val="00A376EA"/>
    <w:rsid w:val="00A40480"/>
    <w:rsid w:val="00A42104"/>
    <w:rsid w:val="00A428ED"/>
    <w:rsid w:val="00A42FF6"/>
    <w:rsid w:val="00A43764"/>
    <w:rsid w:val="00A443B7"/>
    <w:rsid w:val="00A44CA6"/>
    <w:rsid w:val="00A47465"/>
    <w:rsid w:val="00A513F4"/>
    <w:rsid w:val="00A54579"/>
    <w:rsid w:val="00A54C69"/>
    <w:rsid w:val="00A5565A"/>
    <w:rsid w:val="00A57728"/>
    <w:rsid w:val="00A6116D"/>
    <w:rsid w:val="00A614EB"/>
    <w:rsid w:val="00A61FF5"/>
    <w:rsid w:val="00A62A77"/>
    <w:rsid w:val="00A62BDD"/>
    <w:rsid w:val="00A6399A"/>
    <w:rsid w:val="00A65D4C"/>
    <w:rsid w:val="00A6649B"/>
    <w:rsid w:val="00A677DC"/>
    <w:rsid w:val="00A67919"/>
    <w:rsid w:val="00A70934"/>
    <w:rsid w:val="00A73295"/>
    <w:rsid w:val="00A738F4"/>
    <w:rsid w:val="00A744A8"/>
    <w:rsid w:val="00A770B4"/>
    <w:rsid w:val="00A773D5"/>
    <w:rsid w:val="00A77ADA"/>
    <w:rsid w:val="00A8100D"/>
    <w:rsid w:val="00A82F82"/>
    <w:rsid w:val="00A83895"/>
    <w:rsid w:val="00A848E3"/>
    <w:rsid w:val="00A849D6"/>
    <w:rsid w:val="00A85A7E"/>
    <w:rsid w:val="00A85ECB"/>
    <w:rsid w:val="00A868B1"/>
    <w:rsid w:val="00A8726A"/>
    <w:rsid w:val="00A905FB"/>
    <w:rsid w:val="00A927FF"/>
    <w:rsid w:val="00A943AA"/>
    <w:rsid w:val="00A96C6C"/>
    <w:rsid w:val="00A96C76"/>
    <w:rsid w:val="00A9753D"/>
    <w:rsid w:val="00A97FE0"/>
    <w:rsid w:val="00AA2184"/>
    <w:rsid w:val="00AA260F"/>
    <w:rsid w:val="00AA3D9E"/>
    <w:rsid w:val="00AA44BE"/>
    <w:rsid w:val="00AA4F6C"/>
    <w:rsid w:val="00AA509B"/>
    <w:rsid w:val="00AA5F7A"/>
    <w:rsid w:val="00AB0BDE"/>
    <w:rsid w:val="00AB1890"/>
    <w:rsid w:val="00AB1F0D"/>
    <w:rsid w:val="00AB2A26"/>
    <w:rsid w:val="00AB333A"/>
    <w:rsid w:val="00AB393C"/>
    <w:rsid w:val="00AB652B"/>
    <w:rsid w:val="00AC11A0"/>
    <w:rsid w:val="00AC1700"/>
    <w:rsid w:val="00AC226D"/>
    <w:rsid w:val="00AC2EDF"/>
    <w:rsid w:val="00AC4483"/>
    <w:rsid w:val="00AC5D35"/>
    <w:rsid w:val="00AC5F6E"/>
    <w:rsid w:val="00AC62EC"/>
    <w:rsid w:val="00AC677B"/>
    <w:rsid w:val="00AC7493"/>
    <w:rsid w:val="00AC77C7"/>
    <w:rsid w:val="00AD023C"/>
    <w:rsid w:val="00AD2B76"/>
    <w:rsid w:val="00AD306B"/>
    <w:rsid w:val="00AD327F"/>
    <w:rsid w:val="00AE01EE"/>
    <w:rsid w:val="00AE0E34"/>
    <w:rsid w:val="00AE2FF6"/>
    <w:rsid w:val="00AE3CD2"/>
    <w:rsid w:val="00AE4DDF"/>
    <w:rsid w:val="00AE56C4"/>
    <w:rsid w:val="00AE68BB"/>
    <w:rsid w:val="00AF041F"/>
    <w:rsid w:val="00AF0EC0"/>
    <w:rsid w:val="00AF1E17"/>
    <w:rsid w:val="00AF2153"/>
    <w:rsid w:val="00AF26C8"/>
    <w:rsid w:val="00AF4353"/>
    <w:rsid w:val="00AF4482"/>
    <w:rsid w:val="00AF5DED"/>
    <w:rsid w:val="00B011CB"/>
    <w:rsid w:val="00B01785"/>
    <w:rsid w:val="00B01909"/>
    <w:rsid w:val="00B01FD4"/>
    <w:rsid w:val="00B0262F"/>
    <w:rsid w:val="00B02BE5"/>
    <w:rsid w:val="00B03906"/>
    <w:rsid w:val="00B03B1E"/>
    <w:rsid w:val="00B0416C"/>
    <w:rsid w:val="00B04197"/>
    <w:rsid w:val="00B04E4E"/>
    <w:rsid w:val="00B04FF8"/>
    <w:rsid w:val="00B06005"/>
    <w:rsid w:val="00B071EE"/>
    <w:rsid w:val="00B105A9"/>
    <w:rsid w:val="00B12864"/>
    <w:rsid w:val="00B12FD7"/>
    <w:rsid w:val="00B133D8"/>
    <w:rsid w:val="00B13991"/>
    <w:rsid w:val="00B14709"/>
    <w:rsid w:val="00B149EF"/>
    <w:rsid w:val="00B14B82"/>
    <w:rsid w:val="00B23C66"/>
    <w:rsid w:val="00B23CB9"/>
    <w:rsid w:val="00B2422D"/>
    <w:rsid w:val="00B24613"/>
    <w:rsid w:val="00B246B2"/>
    <w:rsid w:val="00B24F6E"/>
    <w:rsid w:val="00B271FD"/>
    <w:rsid w:val="00B30E03"/>
    <w:rsid w:val="00B317BA"/>
    <w:rsid w:val="00B33281"/>
    <w:rsid w:val="00B350B1"/>
    <w:rsid w:val="00B36C40"/>
    <w:rsid w:val="00B37BED"/>
    <w:rsid w:val="00B4010C"/>
    <w:rsid w:val="00B411A3"/>
    <w:rsid w:val="00B41569"/>
    <w:rsid w:val="00B4183A"/>
    <w:rsid w:val="00B429C2"/>
    <w:rsid w:val="00B42AE8"/>
    <w:rsid w:val="00B43D8B"/>
    <w:rsid w:val="00B447FD"/>
    <w:rsid w:val="00B4591D"/>
    <w:rsid w:val="00B4734E"/>
    <w:rsid w:val="00B533EA"/>
    <w:rsid w:val="00B53A0F"/>
    <w:rsid w:val="00B5452E"/>
    <w:rsid w:val="00B56F76"/>
    <w:rsid w:val="00B605CB"/>
    <w:rsid w:val="00B60B87"/>
    <w:rsid w:val="00B627CD"/>
    <w:rsid w:val="00B62BA4"/>
    <w:rsid w:val="00B6373C"/>
    <w:rsid w:val="00B63D30"/>
    <w:rsid w:val="00B644B5"/>
    <w:rsid w:val="00B662CC"/>
    <w:rsid w:val="00B6682C"/>
    <w:rsid w:val="00B70DA0"/>
    <w:rsid w:val="00B73D94"/>
    <w:rsid w:val="00B7410F"/>
    <w:rsid w:val="00B77E30"/>
    <w:rsid w:val="00B82AB7"/>
    <w:rsid w:val="00B82C30"/>
    <w:rsid w:val="00B8433A"/>
    <w:rsid w:val="00B84DD8"/>
    <w:rsid w:val="00B84DFB"/>
    <w:rsid w:val="00B8701B"/>
    <w:rsid w:val="00B91EA3"/>
    <w:rsid w:val="00B92062"/>
    <w:rsid w:val="00B92B6D"/>
    <w:rsid w:val="00B92CAD"/>
    <w:rsid w:val="00B966C5"/>
    <w:rsid w:val="00B975CD"/>
    <w:rsid w:val="00BA1297"/>
    <w:rsid w:val="00BA4A7E"/>
    <w:rsid w:val="00BA4B60"/>
    <w:rsid w:val="00BA59B2"/>
    <w:rsid w:val="00BA6E10"/>
    <w:rsid w:val="00BA70C5"/>
    <w:rsid w:val="00BB1F1E"/>
    <w:rsid w:val="00BB5EA5"/>
    <w:rsid w:val="00BB6611"/>
    <w:rsid w:val="00BB6945"/>
    <w:rsid w:val="00BB69C5"/>
    <w:rsid w:val="00BB7964"/>
    <w:rsid w:val="00BC0317"/>
    <w:rsid w:val="00BC0741"/>
    <w:rsid w:val="00BC1149"/>
    <w:rsid w:val="00BC1FE4"/>
    <w:rsid w:val="00BC20C9"/>
    <w:rsid w:val="00BC3A10"/>
    <w:rsid w:val="00BC4E0C"/>
    <w:rsid w:val="00BC7D47"/>
    <w:rsid w:val="00BD4127"/>
    <w:rsid w:val="00BD631C"/>
    <w:rsid w:val="00BD73ED"/>
    <w:rsid w:val="00BE0867"/>
    <w:rsid w:val="00BE0BFB"/>
    <w:rsid w:val="00BE1234"/>
    <w:rsid w:val="00BE345B"/>
    <w:rsid w:val="00BE40D1"/>
    <w:rsid w:val="00BE4CE2"/>
    <w:rsid w:val="00BE61D0"/>
    <w:rsid w:val="00BE703D"/>
    <w:rsid w:val="00BE70E4"/>
    <w:rsid w:val="00BF394D"/>
    <w:rsid w:val="00BF3CD0"/>
    <w:rsid w:val="00BF3F72"/>
    <w:rsid w:val="00BF4B88"/>
    <w:rsid w:val="00BF6F3B"/>
    <w:rsid w:val="00BF70CE"/>
    <w:rsid w:val="00BF7B00"/>
    <w:rsid w:val="00C003E9"/>
    <w:rsid w:val="00C00C18"/>
    <w:rsid w:val="00C0204E"/>
    <w:rsid w:val="00C024A4"/>
    <w:rsid w:val="00C02DD4"/>
    <w:rsid w:val="00C03023"/>
    <w:rsid w:val="00C03578"/>
    <w:rsid w:val="00C04939"/>
    <w:rsid w:val="00C05B52"/>
    <w:rsid w:val="00C0625B"/>
    <w:rsid w:val="00C1749C"/>
    <w:rsid w:val="00C2011E"/>
    <w:rsid w:val="00C21331"/>
    <w:rsid w:val="00C21A65"/>
    <w:rsid w:val="00C221DE"/>
    <w:rsid w:val="00C224E2"/>
    <w:rsid w:val="00C236A8"/>
    <w:rsid w:val="00C239F9"/>
    <w:rsid w:val="00C23BC6"/>
    <w:rsid w:val="00C27031"/>
    <w:rsid w:val="00C34606"/>
    <w:rsid w:val="00C35157"/>
    <w:rsid w:val="00C3523F"/>
    <w:rsid w:val="00C3721D"/>
    <w:rsid w:val="00C3798C"/>
    <w:rsid w:val="00C40595"/>
    <w:rsid w:val="00C411B1"/>
    <w:rsid w:val="00C41507"/>
    <w:rsid w:val="00C42081"/>
    <w:rsid w:val="00C42F34"/>
    <w:rsid w:val="00C43127"/>
    <w:rsid w:val="00C4382A"/>
    <w:rsid w:val="00C4452C"/>
    <w:rsid w:val="00C44B40"/>
    <w:rsid w:val="00C44E99"/>
    <w:rsid w:val="00C44FA8"/>
    <w:rsid w:val="00C4638B"/>
    <w:rsid w:val="00C463FD"/>
    <w:rsid w:val="00C47E61"/>
    <w:rsid w:val="00C50BAB"/>
    <w:rsid w:val="00C5169E"/>
    <w:rsid w:val="00C51BFE"/>
    <w:rsid w:val="00C51C13"/>
    <w:rsid w:val="00C51DEB"/>
    <w:rsid w:val="00C535B1"/>
    <w:rsid w:val="00C53F83"/>
    <w:rsid w:val="00C5435B"/>
    <w:rsid w:val="00C545D6"/>
    <w:rsid w:val="00C545E2"/>
    <w:rsid w:val="00C54A7C"/>
    <w:rsid w:val="00C54FEF"/>
    <w:rsid w:val="00C56A5A"/>
    <w:rsid w:val="00C56BCE"/>
    <w:rsid w:val="00C6321F"/>
    <w:rsid w:val="00C63B55"/>
    <w:rsid w:val="00C63E53"/>
    <w:rsid w:val="00C65438"/>
    <w:rsid w:val="00C65BAC"/>
    <w:rsid w:val="00C6603C"/>
    <w:rsid w:val="00C67ABC"/>
    <w:rsid w:val="00C71979"/>
    <w:rsid w:val="00C7231D"/>
    <w:rsid w:val="00C72C89"/>
    <w:rsid w:val="00C74888"/>
    <w:rsid w:val="00C763CD"/>
    <w:rsid w:val="00C7695A"/>
    <w:rsid w:val="00C7696D"/>
    <w:rsid w:val="00C80540"/>
    <w:rsid w:val="00C80C3F"/>
    <w:rsid w:val="00C82D2A"/>
    <w:rsid w:val="00C83639"/>
    <w:rsid w:val="00C8415D"/>
    <w:rsid w:val="00C8518C"/>
    <w:rsid w:val="00C85C20"/>
    <w:rsid w:val="00C8671C"/>
    <w:rsid w:val="00C87694"/>
    <w:rsid w:val="00C9014F"/>
    <w:rsid w:val="00C915D5"/>
    <w:rsid w:val="00C9160B"/>
    <w:rsid w:val="00C9163B"/>
    <w:rsid w:val="00C9201E"/>
    <w:rsid w:val="00C92ED9"/>
    <w:rsid w:val="00C93134"/>
    <w:rsid w:val="00C9468A"/>
    <w:rsid w:val="00C969C6"/>
    <w:rsid w:val="00CA0E0C"/>
    <w:rsid w:val="00CA2263"/>
    <w:rsid w:val="00CB0EA3"/>
    <w:rsid w:val="00CB1040"/>
    <w:rsid w:val="00CB377C"/>
    <w:rsid w:val="00CB4D65"/>
    <w:rsid w:val="00CB7248"/>
    <w:rsid w:val="00CB7F8E"/>
    <w:rsid w:val="00CC0293"/>
    <w:rsid w:val="00CC0471"/>
    <w:rsid w:val="00CC0519"/>
    <w:rsid w:val="00CC0D9C"/>
    <w:rsid w:val="00CC31B4"/>
    <w:rsid w:val="00CC5950"/>
    <w:rsid w:val="00CD03DC"/>
    <w:rsid w:val="00CD0448"/>
    <w:rsid w:val="00CD16EE"/>
    <w:rsid w:val="00CD2F46"/>
    <w:rsid w:val="00CD3227"/>
    <w:rsid w:val="00CD3971"/>
    <w:rsid w:val="00CD3972"/>
    <w:rsid w:val="00CD3E40"/>
    <w:rsid w:val="00CD3EBE"/>
    <w:rsid w:val="00CD503B"/>
    <w:rsid w:val="00CE1554"/>
    <w:rsid w:val="00CE2320"/>
    <w:rsid w:val="00CE41DB"/>
    <w:rsid w:val="00CE57AE"/>
    <w:rsid w:val="00CE6497"/>
    <w:rsid w:val="00CF0742"/>
    <w:rsid w:val="00CF0F03"/>
    <w:rsid w:val="00CF13C8"/>
    <w:rsid w:val="00CF21D7"/>
    <w:rsid w:val="00CF3EB9"/>
    <w:rsid w:val="00CF7574"/>
    <w:rsid w:val="00D0123C"/>
    <w:rsid w:val="00D01286"/>
    <w:rsid w:val="00D01AA8"/>
    <w:rsid w:val="00D03A12"/>
    <w:rsid w:val="00D04109"/>
    <w:rsid w:val="00D0701F"/>
    <w:rsid w:val="00D11099"/>
    <w:rsid w:val="00D14C68"/>
    <w:rsid w:val="00D15319"/>
    <w:rsid w:val="00D17468"/>
    <w:rsid w:val="00D1786C"/>
    <w:rsid w:val="00D200AE"/>
    <w:rsid w:val="00D202C2"/>
    <w:rsid w:val="00D21BD6"/>
    <w:rsid w:val="00D22392"/>
    <w:rsid w:val="00D22FAA"/>
    <w:rsid w:val="00D26835"/>
    <w:rsid w:val="00D32320"/>
    <w:rsid w:val="00D3269C"/>
    <w:rsid w:val="00D333D6"/>
    <w:rsid w:val="00D37175"/>
    <w:rsid w:val="00D40035"/>
    <w:rsid w:val="00D4071B"/>
    <w:rsid w:val="00D40939"/>
    <w:rsid w:val="00D4320D"/>
    <w:rsid w:val="00D435EE"/>
    <w:rsid w:val="00D43D89"/>
    <w:rsid w:val="00D44598"/>
    <w:rsid w:val="00D501B2"/>
    <w:rsid w:val="00D52CDF"/>
    <w:rsid w:val="00D53DC5"/>
    <w:rsid w:val="00D55B20"/>
    <w:rsid w:val="00D567B2"/>
    <w:rsid w:val="00D57BB1"/>
    <w:rsid w:val="00D6020A"/>
    <w:rsid w:val="00D60CF9"/>
    <w:rsid w:val="00D6163B"/>
    <w:rsid w:val="00D61732"/>
    <w:rsid w:val="00D6182E"/>
    <w:rsid w:val="00D6203A"/>
    <w:rsid w:val="00D62CC9"/>
    <w:rsid w:val="00D63185"/>
    <w:rsid w:val="00D64465"/>
    <w:rsid w:val="00D704EF"/>
    <w:rsid w:val="00D71461"/>
    <w:rsid w:val="00D740E8"/>
    <w:rsid w:val="00D81D18"/>
    <w:rsid w:val="00D8233A"/>
    <w:rsid w:val="00D8248F"/>
    <w:rsid w:val="00D82709"/>
    <w:rsid w:val="00D82A56"/>
    <w:rsid w:val="00D84269"/>
    <w:rsid w:val="00D86893"/>
    <w:rsid w:val="00D904D3"/>
    <w:rsid w:val="00D91065"/>
    <w:rsid w:val="00D923E5"/>
    <w:rsid w:val="00D92656"/>
    <w:rsid w:val="00D94CB1"/>
    <w:rsid w:val="00D96369"/>
    <w:rsid w:val="00D96C10"/>
    <w:rsid w:val="00DA0124"/>
    <w:rsid w:val="00DA049E"/>
    <w:rsid w:val="00DA1CFA"/>
    <w:rsid w:val="00DA366B"/>
    <w:rsid w:val="00DA42E9"/>
    <w:rsid w:val="00DA6BDD"/>
    <w:rsid w:val="00DA6F7D"/>
    <w:rsid w:val="00DB2ECE"/>
    <w:rsid w:val="00DB5315"/>
    <w:rsid w:val="00DB54F7"/>
    <w:rsid w:val="00DB6EAB"/>
    <w:rsid w:val="00DB7FE4"/>
    <w:rsid w:val="00DC02BC"/>
    <w:rsid w:val="00DC0D54"/>
    <w:rsid w:val="00DC1864"/>
    <w:rsid w:val="00DC1DCC"/>
    <w:rsid w:val="00DC3D59"/>
    <w:rsid w:val="00DC4228"/>
    <w:rsid w:val="00DC6076"/>
    <w:rsid w:val="00DC7DC6"/>
    <w:rsid w:val="00DD15E2"/>
    <w:rsid w:val="00DD183E"/>
    <w:rsid w:val="00DD27C1"/>
    <w:rsid w:val="00DD335A"/>
    <w:rsid w:val="00DD3577"/>
    <w:rsid w:val="00DD48F9"/>
    <w:rsid w:val="00DD5071"/>
    <w:rsid w:val="00DD5201"/>
    <w:rsid w:val="00DD5A2D"/>
    <w:rsid w:val="00DE3C6C"/>
    <w:rsid w:val="00DE3F6C"/>
    <w:rsid w:val="00DE485F"/>
    <w:rsid w:val="00DE5628"/>
    <w:rsid w:val="00DF4985"/>
    <w:rsid w:val="00E01C45"/>
    <w:rsid w:val="00E03BEC"/>
    <w:rsid w:val="00E0434B"/>
    <w:rsid w:val="00E043A5"/>
    <w:rsid w:val="00E06446"/>
    <w:rsid w:val="00E07BD8"/>
    <w:rsid w:val="00E1012E"/>
    <w:rsid w:val="00E113BE"/>
    <w:rsid w:val="00E11914"/>
    <w:rsid w:val="00E11E9E"/>
    <w:rsid w:val="00E203A0"/>
    <w:rsid w:val="00E22229"/>
    <w:rsid w:val="00E22EAB"/>
    <w:rsid w:val="00E24FE6"/>
    <w:rsid w:val="00E261A2"/>
    <w:rsid w:val="00E26ADF"/>
    <w:rsid w:val="00E26B2B"/>
    <w:rsid w:val="00E30268"/>
    <w:rsid w:val="00E3092B"/>
    <w:rsid w:val="00E31A30"/>
    <w:rsid w:val="00E31D24"/>
    <w:rsid w:val="00E31E28"/>
    <w:rsid w:val="00E32A80"/>
    <w:rsid w:val="00E33566"/>
    <w:rsid w:val="00E33C08"/>
    <w:rsid w:val="00E33D07"/>
    <w:rsid w:val="00E35AD9"/>
    <w:rsid w:val="00E36725"/>
    <w:rsid w:val="00E407D8"/>
    <w:rsid w:val="00E40DD8"/>
    <w:rsid w:val="00E41863"/>
    <w:rsid w:val="00E41F15"/>
    <w:rsid w:val="00E43264"/>
    <w:rsid w:val="00E44E12"/>
    <w:rsid w:val="00E4540B"/>
    <w:rsid w:val="00E4633E"/>
    <w:rsid w:val="00E4692E"/>
    <w:rsid w:val="00E50E10"/>
    <w:rsid w:val="00E51157"/>
    <w:rsid w:val="00E51D0A"/>
    <w:rsid w:val="00E53AE6"/>
    <w:rsid w:val="00E53D86"/>
    <w:rsid w:val="00E5514D"/>
    <w:rsid w:val="00E60A0A"/>
    <w:rsid w:val="00E60AF2"/>
    <w:rsid w:val="00E60CEE"/>
    <w:rsid w:val="00E6197A"/>
    <w:rsid w:val="00E62613"/>
    <w:rsid w:val="00E727F1"/>
    <w:rsid w:val="00E770BD"/>
    <w:rsid w:val="00E806F7"/>
    <w:rsid w:val="00E819CD"/>
    <w:rsid w:val="00E82E84"/>
    <w:rsid w:val="00E83430"/>
    <w:rsid w:val="00E86416"/>
    <w:rsid w:val="00E868B4"/>
    <w:rsid w:val="00E86A1A"/>
    <w:rsid w:val="00E90801"/>
    <w:rsid w:val="00E90825"/>
    <w:rsid w:val="00E9364A"/>
    <w:rsid w:val="00E93CF8"/>
    <w:rsid w:val="00E948A8"/>
    <w:rsid w:val="00E94F35"/>
    <w:rsid w:val="00E9533B"/>
    <w:rsid w:val="00E97B10"/>
    <w:rsid w:val="00EA21B3"/>
    <w:rsid w:val="00EA2795"/>
    <w:rsid w:val="00EA7464"/>
    <w:rsid w:val="00EB5A45"/>
    <w:rsid w:val="00EB731E"/>
    <w:rsid w:val="00EB7E5C"/>
    <w:rsid w:val="00EC0B2E"/>
    <w:rsid w:val="00EC2051"/>
    <w:rsid w:val="00EC262D"/>
    <w:rsid w:val="00EC3A8D"/>
    <w:rsid w:val="00EC41E8"/>
    <w:rsid w:val="00EC488A"/>
    <w:rsid w:val="00EC4C2C"/>
    <w:rsid w:val="00ED0053"/>
    <w:rsid w:val="00ED0476"/>
    <w:rsid w:val="00ED1F05"/>
    <w:rsid w:val="00ED4972"/>
    <w:rsid w:val="00ED57F4"/>
    <w:rsid w:val="00ED6CF4"/>
    <w:rsid w:val="00ED718F"/>
    <w:rsid w:val="00EE04A6"/>
    <w:rsid w:val="00EE1466"/>
    <w:rsid w:val="00EE2697"/>
    <w:rsid w:val="00EE2D19"/>
    <w:rsid w:val="00EE3484"/>
    <w:rsid w:val="00EE4495"/>
    <w:rsid w:val="00EE5F24"/>
    <w:rsid w:val="00EE612B"/>
    <w:rsid w:val="00EF2859"/>
    <w:rsid w:val="00EF3C13"/>
    <w:rsid w:val="00EF5C9B"/>
    <w:rsid w:val="00EF6D48"/>
    <w:rsid w:val="00EF7EF4"/>
    <w:rsid w:val="00F00AB9"/>
    <w:rsid w:val="00F00C17"/>
    <w:rsid w:val="00F02EA3"/>
    <w:rsid w:val="00F03BB1"/>
    <w:rsid w:val="00F03DCD"/>
    <w:rsid w:val="00F056F4"/>
    <w:rsid w:val="00F058A3"/>
    <w:rsid w:val="00F06897"/>
    <w:rsid w:val="00F10AF0"/>
    <w:rsid w:val="00F11256"/>
    <w:rsid w:val="00F1234E"/>
    <w:rsid w:val="00F14370"/>
    <w:rsid w:val="00F17650"/>
    <w:rsid w:val="00F2012F"/>
    <w:rsid w:val="00F20FF3"/>
    <w:rsid w:val="00F21867"/>
    <w:rsid w:val="00F22268"/>
    <w:rsid w:val="00F229D1"/>
    <w:rsid w:val="00F23087"/>
    <w:rsid w:val="00F25A97"/>
    <w:rsid w:val="00F2642F"/>
    <w:rsid w:val="00F267DC"/>
    <w:rsid w:val="00F26BBA"/>
    <w:rsid w:val="00F26D50"/>
    <w:rsid w:val="00F27B63"/>
    <w:rsid w:val="00F32617"/>
    <w:rsid w:val="00F32BFD"/>
    <w:rsid w:val="00F33BED"/>
    <w:rsid w:val="00F36ED0"/>
    <w:rsid w:val="00F43DA8"/>
    <w:rsid w:val="00F44DAB"/>
    <w:rsid w:val="00F5086B"/>
    <w:rsid w:val="00F525DD"/>
    <w:rsid w:val="00F52C0B"/>
    <w:rsid w:val="00F52CC6"/>
    <w:rsid w:val="00F5501D"/>
    <w:rsid w:val="00F55058"/>
    <w:rsid w:val="00F56D7E"/>
    <w:rsid w:val="00F62719"/>
    <w:rsid w:val="00F63936"/>
    <w:rsid w:val="00F6492A"/>
    <w:rsid w:val="00F6511C"/>
    <w:rsid w:val="00F66821"/>
    <w:rsid w:val="00F7044C"/>
    <w:rsid w:val="00F70DFA"/>
    <w:rsid w:val="00F71426"/>
    <w:rsid w:val="00F71BF5"/>
    <w:rsid w:val="00F72509"/>
    <w:rsid w:val="00F739A3"/>
    <w:rsid w:val="00F75CF0"/>
    <w:rsid w:val="00F81C12"/>
    <w:rsid w:val="00F827F8"/>
    <w:rsid w:val="00F84D08"/>
    <w:rsid w:val="00F858F1"/>
    <w:rsid w:val="00F861CF"/>
    <w:rsid w:val="00F86740"/>
    <w:rsid w:val="00F86B8F"/>
    <w:rsid w:val="00F90647"/>
    <w:rsid w:val="00F910CC"/>
    <w:rsid w:val="00F92456"/>
    <w:rsid w:val="00F925BF"/>
    <w:rsid w:val="00F92AA1"/>
    <w:rsid w:val="00F93369"/>
    <w:rsid w:val="00F947DF"/>
    <w:rsid w:val="00F964D1"/>
    <w:rsid w:val="00F97485"/>
    <w:rsid w:val="00F97AF1"/>
    <w:rsid w:val="00FA17AC"/>
    <w:rsid w:val="00FA34AE"/>
    <w:rsid w:val="00FA35FA"/>
    <w:rsid w:val="00FA720F"/>
    <w:rsid w:val="00FA74D3"/>
    <w:rsid w:val="00FB1BF2"/>
    <w:rsid w:val="00FB1D7C"/>
    <w:rsid w:val="00FB1E1A"/>
    <w:rsid w:val="00FB2B33"/>
    <w:rsid w:val="00FB5F0A"/>
    <w:rsid w:val="00FB7D96"/>
    <w:rsid w:val="00FC1A7A"/>
    <w:rsid w:val="00FC3E3F"/>
    <w:rsid w:val="00FC4D44"/>
    <w:rsid w:val="00FC4DA3"/>
    <w:rsid w:val="00FC5A25"/>
    <w:rsid w:val="00FC7AB5"/>
    <w:rsid w:val="00FD0AFC"/>
    <w:rsid w:val="00FD2EB7"/>
    <w:rsid w:val="00FD380C"/>
    <w:rsid w:val="00FD440F"/>
    <w:rsid w:val="00FD552B"/>
    <w:rsid w:val="00FD5D37"/>
    <w:rsid w:val="00FD607E"/>
    <w:rsid w:val="00FE5479"/>
    <w:rsid w:val="00FE7DBF"/>
    <w:rsid w:val="00FF33C2"/>
    <w:rsid w:val="00FF47E6"/>
    <w:rsid w:val="00FF7719"/>
  </w:rsids>
  <m:mathPr>
    <m:mathFont m:val="Cambria Math"/>
    <m:brkBin m:val="before"/>
    <m:brkBinSub m:val="--"/>
    <m:smallFrac/>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rules v:ext="edit">
        <o:r id="V:Rule12" type="connector" idref="#Straight Arrow Connector 28"/>
        <o:r id="V:Rule13" type="connector" idref="#Straight Arrow Connector 7"/>
        <o:r id="V:Rule14" type="connector" idref="#Straight Arrow Connector 36"/>
        <o:r id="V:Rule15" type="connector" idref="#Straight Arrow Connector 309"/>
        <o:r id="V:Rule16" type="connector" idref="#Straight Arrow Connector 301"/>
        <o:r id="V:Rule17" type="connector" idref="#Straight Arrow Connector 19"/>
        <o:r id="V:Rule18" type="connector" idref="#Straight Arrow Connector 17"/>
        <o:r id="V:Rule19" type="connector" idref="#Straight Arrow Connector 5"/>
        <o:r id="V:Rule20" type="connector" idref="#Straight Arrow Connector 34"/>
        <o:r id="V:Rule21" type="connector" idref="#Straight Arrow Connector 23"/>
        <o:r id="V:Rule22" type="connector" idref="#Straight Arrow Connector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zh-CN"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13E"/>
    <w:rPr>
      <w:sz w:val="24"/>
      <w:szCs w:val="24"/>
      <w:lang w:eastAsia="en-US" w:bidi="ar-SA"/>
    </w:rPr>
  </w:style>
  <w:style w:type="paragraph" w:styleId="Heading1">
    <w:name w:val="heading 1"/>
    <w:basedOn w:val="Normal"/>
    <w:next w:val="Normal"/>
    <w:link w:val="Heading1Char"/>
    <w:qFormat/>
    <w:rsid w:val="0083023B"/>
    <w:pPr>
      <w:keepNext/>
      <w:spacing w:before="240" w:after="120"/>
      <w:outlineLvl w:val="0"/>
    </w:pPr>
    <w:rPr>
      <w:rFonts w:ascii="Tahoma" w:eastAsia="Times New Roman" w:hAnsi="Tahoma" w:cs="Arial Unicode MS"/>
      <w:bCs/>
      <w:color w:val="548DD4"/>
      <w:kern w:val="32"/>
      <w:sz w:val="40"/>
      <w:szCs w:val="26"/>
      <w:lang w:bidi="km-KH"/>
    </w:rPr>
  </w:style>
  <w:style w:type="paragraph" w:styleId="Heading2">
    <w:name w:val="heading 2"/>
    <w:basedOn w:val="Normal"/>
    <w:next w:val="Normal"/>
    <w:link w:val="Heading2Char"/>
    <w:uiPriority w:val="9"/>
    <w:unhideWhenUsed/>
    <w:qFormat/>
    <w:rsid w:val="0083023B"/>
    <w:pPr>
      <w:keepNext/>
      <w:keepLines/>
      <w:spacing w:before="120"/>
      <w:outlineLvl w:val="1"/>
    </w:pPr>
    <w:rPr>
      <w:rFonts w:ascii="Calibri" w:eastAsia="MS Gothic" w:hAnsi="Calibri" w:cs="Arial Unicode MS"/>
      <w:b/>
      <w:bCs/>
      <w:color w:val="4F81BD"/>
      <w:sz w:val="28"/>
      <w:szCs w:val="28"/>
      <w:lang w:bidi="km-KH"/>
    </w:rPr>
  </w:style>
  <w:style w:type="paragraph" w:styleId="Heading3">
    <w:name w:val="heading 3"/>
    <w:basedOn w:val="Normal"/>
    <w:next w:val="Normal"/>
    <w:link w:val="Heading3Char"/>
    <w:uiPriority w:val="9"/>
    <w:unhideWhenUsed/>
    <w:qFormat/>
    <w:rsid w:val="004C3F75"/>
    <w:pPr>
      <w:keepNext/>
      <w:keepLines/>
      <w:spacing w:before="200"/>
      <w:outlineLvl w:val="2"/>
    </w:pPr>
    <w:rPr>
      <w:rFonts w:ascii="Calibri" w:eastAsia="MS Gothic" w:hAnsi="Calibri" w:cs="Arial Unicode MS"/>
      <w:b/>
      <w:bCs/>
      <w:color w:val="4F81BD"/>
      <w:sz w:val="20"/>
      <w:szCs w:val="20"/>
      <w:lang w:bidi="km-K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w:basedOn w:val="Normal"/>
    <w:uiPriority w:val="34"/>
    <w:qFormat/>
    <w:rsid w:val="0002095A"/>
    <w:pPr>
      <w:ind w:left="720"/>
      <w:contextualSpacing/>
    </w:pPr>
  </w:style>
  <w:style w:type="paragraph" w:styleId="Header">
    <w:name w:val="header"/>
    <w:basedOn w:val="Normal"/>
    <w:link w:val="HeaderChar"/>
    <w:uiPriority w:val="99"/>
    <w:unhideWhenUsed/>
    <w:rsid w:val="00064AAC"/>
    <w:pPr>
      <w:tabs>
        <w:tab w:val="center" w:pos="4680"/>
        <w:tab w:val="right" w:pos="9360"/>
      </w:tabs>
    </w:pPr>
  </w:style>
  <w:style w:type="character" w:customStyle="1" w:styleId="HeaderChar">
    <w:name w:val="Header Char"/>
    <w:basedOn w:val="DefaultParagraphFont"/>
    <w:link w:val="Header"/>
    <w:uiPriority w:val="99"/>
    <w:rsid w:val="00064AAC"/>
  </w:style>
  <w:style w:type="paragraph" w:styleId="Footer">
    <w:name w:val="footer"/>
    <w:basedOn w:val="Normal"/>
    <w:link w:val="FooterChar"/>
    <w:uiPriority w:val="99"/>
    <w:unhideWhenUsed/>
    <w:rsid w:val="00064AAC"/>
    <w:pPr>
      <w:tabs>
        <w:tab w:val="center" w:pos="4680"/>
        <w:tab w:val="right" w:pos="9360"/>
      </w:tabs>
    </w:pPr>
  </w:style>
  <w:style w:type="character" w:customStyle="1" w:styleId="FooterChar">
    <w:name w:val="Footer Char"/>
    <w:basedOn w:val="DefaultParagraphFont"/>
    <w:link w:val="Footer"/>
    <w:uiPriority w:val="99"/>
    <w:rsid w:val="00064AAC"/>
  </w:style>
  <w:style w:type="character" w:styleId="CommentReference">
    <w:name w:val="annotation reference"/>
    <w:uiPriority w:val="99"/>
    <w:unhideWhenUsed/>
    <w:rsid w:val="00CD0448"/>
    <w:rPr>
      <w:sz w:val="16"/>
      <w:szCs w:val="16"/>
    </w:rPr>
  </w:style>
  <w:style w:type="paragraph" w:styleId="CommentText">
    <w:name w:val="annotation text"/>
    <w:basedOn w:val="Normal"/>
    <w:link w:val="CommentTextChar"/>
    <w:uiPriority w:val="99"/>
    <w:unhideWhenUsed/>
    <w:rsid w:val="00CD0448"/>
    <w:rPr>
      <w:rFonts w:cs="Arial Unicode MS"/>
      <w:sz w:val="20"/>
      <w:szCs w:val="20"/>
      <w:lang w:bidi="km-KH"/>
    </w:rPr>
  </w:style>
  <w:style w:type="character" w:customStyle="1" w:styleId="CommentTextChar">
    <w:name w:val="Comment Text Char"/>
    <w:link w:val="CommentText"/>
    <w:uiPriority w:val="99"/>
    <w:rsid w:val="00CD0448"/>
    <w:rPr>
      <w:sz w:val="20"/>
      <w:szCs w:val="20"/>
    </w:rPr>
  </w:style>
  <w:style w:type="paragraph" w:styleId="CommentSubject">
    <w:name w:val="annotation subject"/>
    <w:basedOn w:val="CommentText"/>
    <w:next w:val="CommentText"/>
    <w:link w:val="CommentSubjectChar"/>
    <w:uiPriority w:val="99"/>
    <w:semiHidden/>
    <w:unhideWhenUsed/>
    <w:rsid w:val="00CD0448"/>
    <w:rPr>
      <w:b/>
      <w:bCs/>
    </w:rPr>
  </w:style>
  <w:style w:type="character" w:customStyle="1" w:styleId="CommentSubjectChar">
    <w:name w:val="Comment Subject Char"/>
    <w:link w:val="CommentSubject"/>
    <w:uiPriority w:val="99"/>
    <w:semiHidden/>
    <w:rsid w:val="00CD0448"/>
    <w:rPr>
      <w:b/>
      <w:bCs/>
      <w:sz w:val="20"/>
      <w:szCs w:val="20"/>
    </w:rPr>
  </w:style>
  <w:style w:type="paragraph" w:styleId="BalloonText">
    <w:name w:val="Balloon Text"/>
    <w:basedOn w:val="Normal"/>
    <w:link w:val="BalloonTextChar"/>
    <w:uiPriority w:val="99"/>
    <w:semiHidden/>
    <w:unhideWhenUsed/>
    <w:rsid w:val="00CD0448"/>
    <w:rPr>
      <w:rFonts w:ascii="Tahoma" w:hAnsi="Tahoma" w:cs="Arial Unicode MS"/>
      <w:sz w:val="16"/>
      <w:szCs w:val="16"/>
      <w:lang w:bidi="km-KH"/>
    </w:rPr>
  </w:style>
  <w:style w:type="character" w:customStyle="1" w:styleId="BalloonTextChar">
    <w:name w:val="Balloon Text Char"/>
    <w:link w:val="BalloonText"/>
    <w:uiPriority w:val="99"/>
    <w:semiHidden/>
    <w:rsid w:val="00CD0448"/>
    <w:rPr>
      <w:rFonts w:ascii="Tahoma" w:hAnsi="Tahoma" w:cs="Tahoma"/>
      <w:sz w:val="16"/>
      <w:szCs w:val="16"/>
    </w:rPr>
  </w:style>
  <w:style w:type="table" w:styleId="TableGrid">
    <w:name w:val="Table Grid"/>
    <w:basedOn w:val="TableNormal"/>
    <w:uiPriority w:val="59"/>
    <w:rsid w:val="0013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link w:val="BodyTextChar"/>
    <w:rsid w:val="0035181C"/>
    <w:pPr>
      <w:spacing w:before="180" w:after="180"/>
      <w:ind w:firstLine="360"/>
    </w:pPr>
    <w:rPr>
      <w:rFonts w:eastAsia="Times New Roman"/>
      <w:lang w:eastAsia="en-US" w:bidi="ar-SA"/>
    </w:rPr>
  </w:style>
  <w:style w:type="character" w:customStyle="1" w:styleId="BodyTextChar">
    <w:name w:val="Body Text Char"/>
    <w:link w:val="BodyText"/>
    <w:rsid w:val="0035181C"/>
    <w:rPr>
      <w:rFonts w:eastAsia="Times New Roman"/>
      <w:lang w:val="en-US" w:eastAsia="en-US" w:bidi="ar-SA"/>
    </w:rPr>
  </w:style>
  <w:style w:type="paragraph" w:customStyle="1" w:styleId="headline">
    <w:name w:val="headline"/>
    <w:basedOn w:val="BodyText"/>
    <w:qFormat/>
    <w:rsid w:val="007170FE"/>
    <w:rPr>
      <w:rFonts w:cs="Cambria"/>
      <w:b/>
    </w:rPr>
  </w:style>
  <w:style w:type="paragraph" w:customStyle="1" w:styleId="Pulloutquotetext">
    <w:name w:val="Pull out quote text"/>
    <w:basedOn w:val="BodyText"/>
    <w:qFormat/>
    <w:rsid w:val="007170FE"/>
    <w:rPr>
      <w:rFonts w:ascii="Arial Narrow" w:hAnsi="Arial Narrow"/>
    </w:rPr>
  </w:style>
  <w:style w:type="paragraph" w:customStyle="1" w:styleId="Pulloutquoteitalic">
    <w:name w:val="Pull out quote italic"/>
    <w:basedOn w:val="Pulloutquotetext"/>
    <w:qFormat/>
    <w:rsid w:val="00FC7AB5"/>
    <w:pPr>
      <w:ind w:firstLine="0"/>
    </w:pPr>
    <w:rPr>
      <w:i/>
    </w:rPr>
  </w:style>
  <w:style w:type="paragraph" w:styleId="NormalWeb">
    <w:name w:val="Normal (Web)"/>
    <w:basedOn w:val="Normal"/>
    <w:uiPriority w:val="99"/>
    <w:unhideWhenUsed/>
    <w:rsid w:val="0058638E"/>
    <w:pPr>
      <w:spacing w:before="100" w:beforeAutospacing="1" w:after="100" w:afterAutospacing="1"/>
    </w:pPr>
    <w:rPr>
      <w:rFonts w:ascii="Times New Roman" w:eastAsia="Times New Roman" w:hAnsi="Times New Roman"/>
    </w:rPr>
  </w:style>
  <w:style w:type="character" w:customStyle="1" w:styleId="Heading1Char">
    <w:name w:val="Heading 1 Char"/>
    <w:link w:val="Heading1"/>
    <w:rsid w:val="0083023B"/>
    <w:rPr>
      <w:rFonts w:ascii="Tahoma" w:eastAsia="Times New Roman" w:hAnsi="Tahoma" w:cs="Arial"/>
      <w:bCs/>
      <w:color w:val="548DD4"/>
      <w:kern w:val="32"/>
      <w:sz w:val="40"/>
      <w:szCs w:val="26"/>
    </w:rPr>
  </w:style>
  <w:style w:type="paragraph" w:styleId="FootnoteText">
    <w:name w:val="footnote text"/>
    <w:basedOn w:val="Normal"/>
    <w:link w:val="FootnoteTextChar"/>
    <w:uiPriority w:val="99"/>
    <w:unhideWhenUsed/>
    <w:rsid w:val="001425CB"/>
    <w:rPr>
      <w:rFonts w:cs="Arial Unicode MS"/>
      <w:sz w:val="20"/>
      <w:szCs w:val="20"/>
      <w:lang w:bidi="km-KH"/>
    </w:rPr>
  </w:style>
  <w:style w:type="character" w:customStyle="1" w:styleId="FootnoteTextChar">
    <w:name w:val="Footnote Text Char"/>
    <w:link w:val="FootnoteText"/>
    <w:uiPriority w:val="99"/>
    <w:rsid w:val="001425CB"/>
    <w:rPr>
      <w:sz w:val="20"/>
      <w:szCs w:val="20"/>
    </w:rPr>
  </w:style>
  <w:style w:type="character" w:styleId="FootnoteReference">
    <w:name w:val="footnote reference"/>
    <w:uiPriority w:val="99"/>
    <w:unhideWhenUsed/>
    <w:rsid w:val="001425CB"/>
    <w:rPr>
      <w:vertAlign w:val="superscript"/>
    </w:rPr>
  </w:style>
  <w:style w:type="character" w:styleId="Hyperlink">
    <w:name w:val="Hyperlink"/>
    <w:uiPriority w:val="99"/>
    <w:unhideWhenUsed/>
    <w:rsid w:val="004B6DC5"/>
    <w:rPr>
      <w:color w:val="0000FF"/>
      <w:u w:val="single"/>
    </w:rPr>
  </w:style>
  <w:style w:type="paragraph" w:customStyle="1" w:styleId="ChapterTitle">
    <w:name w:val="Chapter Title"/>
    <w:basedOn w:val="Normal"/>
    <w:next w:val="Normal"/>
    <w:qFormat/>
    <w:rsid w:val="00D52CDF"/>
    <w:pPr>
      <w:spacing w:before="880" w:after="880" w:line="300" w:lineRule="atLeast"/>
    </w:pPr>
    <w:rPr>
      <w:rFonts w:ascii="Tahoma" w:eastAsia="Times New Roman" w:hAnsi="Tahoma" w:cs="Gautami"/>
      <w:color w:val="548DD4"/>
      <w:sz w:val="56"/>
      <w:szCs w:val="44"/>
    </w:rPr>
  </w:style>
  <w:style w:type="paragraph" w:customStyle="1" w:styleId="TitlepageTitle">
    <w:name w:val="Title page Title"/>
    <w:basedOn w:val="Normal"/>
    <w:uiPriority w:val="99"/>
    <w:rsid w:val="004C3F75"/>
    <w:pPr>
      <w:spacing w:after="180" w:line="300" w:lineRule="atLeast"/>
      <w:jc w:val="center"/>
    </w:pPr>
    <w:rPr>
      <w:rFonts w:ascii="Tahoma" w:eastAsia="Times New Roman" w:hAnsi="Tahoma"/>
      <w:b/>
      <w:sz w:val="36"/>
      <w:szCs w:val="32"/>
    </w:rPr>
  </w:style>
  <w:style w:type="paragraph" w:customStyle="1" w:styleId="TitlePageText">
    <w:name w:val="Title Page Text"/>
    <w:basedOn w:val="Normal"/>
    <w:qFormat/>
    <w:rsid w:val="001851E0"/>
    <w:pPr>
      <w:autoSpaceDE w:val="0"/>
      <w:autoSpaceDN w:val="0"/>
      <w:adjustRightInd w:val="0"/>
      <w:spacing w:line="300" w:lineRule="atLeast"/>
    </w:pPr>
    <w:rPr>
      <w:rFonts w:ascii="Tahoma" w:eastAsia="Times New Roman" w:hAnsi="Tahoma" w:cs="Arial"/>
    </w:rPr>
  </w:style>
  <w:style w:type="paragraph" w:styleId="TOC1">
    <w:name w:val="toc 1"/>
    <w:basedOn w:val="Normal"/>
    <w:next w:val="Normal"/>
    <w:uiPriority w:val="39"/>
    <w:rsid w:val="001851E0"/>
    <w:pPr>
      <w:spacing w:before="120"/>
    </w:pPr>
    <w:rPr>
      <w:b/>
    </w:rPr>
  </w:style>
  <w:style w:type="character" w:styleId="BookTitle">
    <w:name w:val="Book Title"/>
    <w:uiPriority w:val="33"/>
    <w:qFormat/>
    <w:rsid w:val="004C3F75"/>
    <w:rPr>
      <w:b/>
      <w:bCs/>
      <w:smallCaps/>
      <w:spacing w:val="5"/>
    </w:rPr>
  </w:style>
  <w:style w:type="character" w:customStyle="1" w:styleId="Heading2Char">
    <w:name w:val="Heading 2 Char"/>
    <w:link w:val="Heading2"/>
    <w:uiPriority w:val="9"/>
    <w:rsid w:val="0083023B"/>
    <w:rPr>
      <w:rFonts w:ascii="Calibri" w:eastAsia="MS Gothic" w:hAnsi="Calibri" w:cs="Times New Roman"/>
      <w:b/>
      <w:bCs/>
      <w:color w:val="4F81BD"/>
      <w:sz w:val="28"/>
      <w:szCs w:val="28"/>
    </w:rPr>
  </w:style>
  <w:style w:type="character" w:customStyle="1" w:styleId="Heading3Char">
    <w:name w:val="Heading 3 Char"/>
    <w:link w:val="Heading3"/>
    <w:uiPriority w:val="9"/>
    <w:rsid w:val="004C3F75"/>
    <w:rPr>
      <w:rFonts w:ascii="Calibri" w:eastAsia="MS Gothic" w:hAnsi="Calibri" w:cs="Times New Roman"/>
      <w:b/>
      <w:bCs/>
      <w:color w:val="4F81BD"/>
    </w:rPr>
  </w:style>
  <w:style w:type="paragraph" w:customStyle="1" w:styleId="Heading-Call-Out">
    <w:name w:val="Heading-Call-Out"/>
    <w:basedOn w:val="Normal"/>
    <w:qFormat/>
    <w:rsid w:val="00891FDD"/>
    <w:pPr>
      <w:spacing w:before="120" w:after="120"/>
    </w:pPr>
    <w:rPr>
      <w:b/>
    </w:rPr>
  </w:style>
  <w:style w:type="paragraph" w:styleId="Quote">
    <w:name w:val="Quote"/>
    <w:basedOn w:val="Normal"/>
    <w:next w:val="Normal"/>
    <w:link w:val="QuoteChar"/>
    <w:uiPriority w:val="29"/>
    <w:qFormat/>
    <w:rsid w:val="00BF4B88"/>
    <w:pPr>
      <w:spacing w:before="60" w:after="60"/>
      <w:ind w:left="360" w:right="720"/>
    </w:pPr>
    <w:rPr>
      <w:rFonts w:cs="Arial Unicode MS"/>
      <w:i/>
      <w:iCs/>
      <w:color w:val="000000"/>
      <w:sz w:val="20"/>
      <w:szCs w:val="20"/>
      <w:lang w:bidi="km-KH"/>
    </w:rPr>
  </w:style>
  <w:style w:type="character" w:customStyle="1" w:styleId="QuoteChar">
    <w:name w:val="Quote Char"/>
    <w:link w:val="Quote"/>
    <w:uiPriority w:val="29"/>
    <w:rsid w:val="00BF4B88"/>
    <w:rPr>
      <w:i/>
      <w:iCs/>
      <w:color w:val="000000"/>
    </w:rPr>
  </w:style>
  <w:style w:type="paragraph" w:styleId="TOC2">
    <w:name w:val="toc 2"/>
    <w:basedOn w:val="Normal"/>
    <w:next w:val="Normal"/>
    <w:autoRedefine/>
    <w:uiPriority w:val="39"/>
    <w:unhideWhenUsed/>
    <w:rsid w:val="007F266D"/>
    <w:pPr>
      <w:tabs>
        <w:tab w:val="right" w:leader="dot" w:pos="9350"/>
      </w:tabs>
      <w:ind w:left="240"/>
    </w:pPr>
    <w:rPr>
      <w:noProof/>
      <w:sz w:val="22"/>
      <w:szCs w:val="22"/>
    </w:rPr>
  </w:style>
  <w:style w:type="paragraph" w:styleId="TOC3">
    <w:name w:val="toc 3"/>
    <w:basedOn w:val="Normal"/>
    <w:next w:val="Normal"/>
    <w:autoRedefine/>
    <w:uiPriority w:val="39"/>
    <w:unhideWhenUsed/>
    <w:rsid w:val="00C239F9"/>
    <w:pPr>
      <w:ind w:left="480"/>
    </w:pPr>
    <w:rPr>
      <w:sz w:val="22"/>
      <w:szCs w:val="22"/>
    </w:rPr>
  </w:style>
  <w:style w:type="paragraph" w:customStyle="1" w:styleId="ExhibitTitle">
    <w:name w:val="Exhibit Title"/>
    <w:basedOn w:val="Normal"/>
    <w:qFormat/>
    <w:rsid w:val="0083023B"/>
    <w:pPr>
      <w:spacing w:before="240"/>
      <w:jc w:val="center"/>
    </w:pPr>
    <w:rPr>
      <w:rFonts w:ascii="Arial" w:hAnsi="Arial" w:cs="Arial"/>
      <w:b/>
      <w:noProof/>
    </w:rPr>
  </w:style>
  <w:style w:type="paragraph" w:styleId="TOCHeading">
    <w:name w:val="TOC Heading"/>
    <w:basedOn w:val="Heading1"/>
    <w:next w:val="Normal"/>
    <w:uiPriority w:val="39"/>
    <w:unhideWhenUsed/>
    <w:qFormat/>
    <w:rsid w:val="00B33281"/>
    <w:pPr>
      <w:spacing w:before="480" w:line="276" w:lineRule="auto"/>
      <w:outlineLvl w:val="9"/>
    </w:pPr>
    <w:rPr>
      <w:b/>
      <w:bCs w:val="0"/>
      <w:sz w:val="28"/>
      <w:szCs w:val="28"/>
    </w:rPr>
  </w:style>
  <w:style w:type="paragraph" w:styleId="TOC4">
    <w:name w:val="toc 4"/>
    <w:basedOn w:val="Normal"/>
    <w:next w:val="Normal"/>
    <w:autoRedefine/>
    <w:uiPriority w:val="39"/>
    <w:semiHidden/>
    <w:unhideWhenUsed/>
    <w:rsid w:val="00B33281"/>
    <w:pPr>
      <w:ind w:left="720"/>
    </w:pPr>
    <w:rPr>
      <w:sz w:val="20"/>
      <w:szCs w:val="20"/>
    </w:rPr>
  </w:style>
  <w:style w:type="paragraph" w:styleId="TOC5">
    <w:name w:val="toc 5"/>
    <w:basedOn w:val="Normal"/>
    <w:next w:val="Normal"/>
    <w:autoRedefine/>
    <w:uiPriority w:val="39"/>
    <w:semiHidden/>
    <w:unhideWhenUsed/>
    <w:rsid w:val="00B33281"/>
    <w:pPr>
      <w:ind w:left="960"/>
    </w:pPr>
    <w:rPr>
      <w:sz w:val="20"/>
      <w:szCs w:val="20"/>
    </w:rPr>
  </w:style>
  <w:style w:type="paragraph" w:styleId="TOC6">
    <w:name w:val="toc 6"/>
    <w:basedOn w:val="Normal"/>
    <w:next w:val="Normal"/>
    <w:autoRedefine/>
    <w:uiPriority w:val="39"/>
    <w:semiHidden/>
    <w:unhideWhenUsed/>
    <w:rsid w:val="00B33281"/>
    <w:pPr>
      <w:ind w:left="1200"/>
    </w:pPr>
    <w:rPr>
      <w:sz w:val="20"/>
      <w:szCs w:val="20"/>
    </w:rPr>
  </w:style>
  <w:style w:type="paragraph" w:styleId="TOC7">
    <w:name w:val="toc 7"/>
    <w:basedOn w:val="Normal"/>
    <w:next w:val="Normal"/>
    <w:autoRedefine/>
    <w:uiPriority w:val="39"/>
    <w:semiHidden/>
    <w:unhideWhenUsed/>
    <w:rsid w:val="00B33281"/>
    <w:pPr>
      <w:ind w:left="1440"/>
    </w:pPr>
    <w:rPr>
      <w:sz w:val="20"/>
      <w:szCs w:val="20"/>
    </w:rPr>
  </w:style>
  <w:style w:type="paragraph" w:styleId="TOC8">
    <w:name w:val="toc 8"/>
    <w:basedOn w:val="Normal"/>
    <w:next w:val="Normal"/>
    <w:autoRedefine/>
    <w:uiPriority w:val="39"/>
    <w:semiHidden/>
    <w:unhideWhenUsed/>
    <w:rsid w:val="00B33281"/>
    <w:pPr>
      <w:ind w:left="1680"/>
    </w:pPr>
    <w:rPr>
      <w:sz w:val="20"/>
      <w:szCs w:val="20"/>
    </w:rPr>
  </w:style>
  <w:style w:type="paragraph" w:styleId="TOC9">
    <w:name w:val="toc 9"/>
    <w:basedOn w:val="Normal"/>
    <w:next w:val="Normal"/>
    <w:autoRedefine/>
    <w:uiPriority w:val="39"/>
    <w:semiHidden/>
    <w:unhideWhenUsed/>
    <w:rsid w:val="00B33281"/>
    <w:pPr>
      <w:ind w:left="1920"/>
    </w:pPr>
    <w:rPr>
      <w:sz w:val="20"/>
      <w:szCs w:val="20"/>
    </w:rPr>
  </w:style>
  <w:style w:type="paragraph" w:styleId="Revision">
    <w:name w:val="Revision"/>
    <w:hidden/>
    <w:uiPriority w:val="99"/>
    <w:semiHidden/>
    <w:rsid w:val="00795D9E"/>
    <w:rPr>
      <w:sz w:val="24"/>
      <w:szCs w:val="24"/>
      <w:lang w:eastAsia="en-US" w:bidi="ar-SA"/>
    </w:rPr>
  </w:style>
  <w:style w:type="character" w:customStyle="1" w:styleId="apple-style-span">
    <w:name w:val="apple-style-span"/>
    <w:basedOn w:val="DefaultParagraphFont"/>
    <w:rsid w:val="002476DC"/>
  </w:style>
  <w:style w:type="paragraph" w:customStyle="1" w:styleId="MA-HR-TableSource">
    <w:name w:val="MA-HR-TableSource"/>
    <w:basedOn w:val="Normal"/>
    <w:qFormat/>
    <w:rsid w:val="00891FDD"/>
    <w:pPr>
      <w:spacing w:after="240"/>
    </w:pPr>
    <w:rPr>
      <w:sz w:val="20"/>
      <w:szCs w:val="20"/>
    </w:rPr>
  </w:style>
  <w:style w:type="paragraph" w:customStyle="1" w:styleId="MAReferencelist">
    <w:name w:val="MA Reference list"/>
    <w:basedOn w:val="Normal"/>
    <w:qFormat/>
    <w:rsid w:val="00BA4B60"/>
  </w:style>
  <w:style w:type="character" w:styleId="FollowedHyperlink">
    <w:name w:val="FollowedHyperlink"/>
    <w:uiPriority w:val="99"/>
    <w:semiHidden/>
    <w:unhideWhenUsed/>
    <w:rsid w:val="00783CCE"/>
    <w:rPr>
      <w:color w:val="800080"/>
      <w:u w:val="single"/>
    </w:rPr>
  </w:style>
</w:styles>
</file>

<file path=word/webSettings.xml><?xml version="1.0" encoding="utf-8"?>
<w:webSettings xmlns:r="http://schemas.openxmlformats.org/officeDocument/2006/relationships" xmlns:w="http://schemas.openxmlformats.org/wordprocessingml/2006/main">
  <w:divs>
    <w:div w:id="58291952">
      <w:bodyDiv w:val="1"/>
      <w:marLeft w:val="0"/>
      <w:marRight w:val="0"/>
      <w:marTop w:val="0"/>
      <w:marBottom w:val="0"/>
      <w:divBdr>
        <w:top w:val="none" w:sz="0" w:space="0" w:color="auto"/>
        <w:left w:val="none" w:sz="0" w:space="0" w:color="auto"/>
        <w:bottom w:val="none" w:sz="0" w:space="0" w:color="auto"/>
        <w:right w:val="none" w:sz="0" w:space="0" w:color="auto"/>
      </w:divBdr>
    </w:div>
    <w:div w:id="588655563">
      <w:bodyDiv w:val="1"/>
      <w:marLeft w:val="0"/>
      <w:marRight w:val="0"/>
      <w:marTop w:val="0"/>
      <w:marBottom w:val="0"/>
      <w:divBdr>
        <w:top w:val="none" w:sz="0" w:space="0" w:color="auto"/>
        <w:left w:val="none" w:sz="0" w:space="0" w:color="auto"/>
        <w:bottom w:val="none" w:sz="0" w:space="0" w:color="auto"/>
        <w:right w:val="none" w:sz="0" w:space="0" w:color="auto"/>
      </w:divBdr>
    </w:div>
    <w:div w:id="698512293">
      <w:bodyDiv w:val="1"/>
      <w:marLeft w:val="0"/>
      <w:marRight w:val="0"/>
      <w:marTop w:val="0"/>
      <w:marBottom w:val="0"/>
      <w:divBdr>
        <w:top w:val="none" w:sz="0" w:space="0" w:color="auto"/>
        <w:left w:val="none" w:sz="0" w:space="0" w:color="auto"/>
        <w:bottom w:val="none" w:sz="0" w:space="0" w:color="auto"/>
        <w:right w:val="none" w:sz="0" w:space="0" w:color="auto"/>
      </w:divBdr>
    </w:div>
    <w:div w:id="861162841">
      <w:bodyDiv w:val="1"/>
      <w:marLeft w:val="0"/>
      <w:marRight w:val="0"/>
      <w:marTop w:val="0"/>
      <w:marBottom w:val="0"/>
      <w:divBdr>
        <w:top w:val="none" w:sz="0" w:space="0" w:color="auto"/>
        <w:left w:val="none" w:sz="0" w:space="0" w:color="auto"/>
        <w:bottom w:val="none" w:sz="0" w:space="0" w:color="auto"/>
        <w:right w:val="none" w:sz="0" w:space="0" w:color="auto"/>
      </w:divBdr>
    </w:div>
    <w:div w:id="926495107">
      <w:bodyDiv w:val="1"/>
      <w:marLeft w:val="0"/>
      <w:marRight w:val="0"/>
      <w:marTop w:val="0"/>
      <w:marBottom w:val="0"/>
      <w:divBdr>
        <w:top w:val="none" w:sz="0" w:space="0" w:color="auto"/>
        <w:left w:val="none" w:sz="0" w:space="0" w:color="auto"/>
        <w:bottom w:val="none" w:sz="0" w:space="0" w:color="auto"/>
        <w:right w:val="none" w:sz="0" w:space="0" w:color="auto"/>
      </w:divBdr>
    </w:div>
    <w:div w:id="11334756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hyperlink" Target="http://profiles.doe.mass.edu/profiles/student.aspx?orgcode=00160000&amp;orgtypecode=5&amp;leftNavId=305&amp;"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3.png"/><Relationship Id="rId33" Type="http://schemas.openxmlformats.org/officeDocument/2006/relationships/hyperlink" Target="http://profiles.doe.mass.edu/accountability/report/district.aspx?linkid=30&amp;orgcode=02480000&amp;orgtypecode=5&amp;"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2.png"/><Relationship Id="rId29" Type="http://schemas.openxmlformats.org/officeDocument/2006/relationships/hyperlink" Target="http://profiles.doe.mass.edu/profiles/teacher.aspx?orgcode=00160000&amp;orgtypecode=5&amp;&amp;fycode=2013"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profiles.doe.mass.edu/profiles/student.aspx?orgcode=00160000&amp;orgtypecode=5&amp;" TargetMode="External"/><Relationship Id="rId32" Type="http://schemas.openxmlformats.org/officeDocument/2006/relationships/hyperlink" Target="http://profiles.doe.mass.edu/state_report/accountability.aspx?year=2013&amp;mode=school&amp;orderBy"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profiles.doe.mass.edu/profiles/student.aspx?orgcode=00160000&amp;orgtypecode=5&amp;" TargetMode="External"/><Relationship Id="rId28" Type="http://schemas.openxmlformats.org/officeDocument/2006/relationships/image" Target="media/image4.png"/><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profiles.doe.mass.edu/profiles/teacher.aspx?orgcode=00160000&amp;orgtypecode=5&amp;" TargetMode="External"/><Relationship Id="rId30" Type="http://schemas.openxmlformats.org/officeDocument/2006/relationships/hyperlink" Target="http://profiles.doe.mass.edu/accountability/report/district.aspx?linkid=30&amp;orgcode=02480000&amp;orgtypecode=5&amp;" TargetMode="Externa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documentManagement>
    <_vti_RoutingExistingProperties xmlns="0a4e05da-b9bc-4326-ad73-01ef31b95567"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B3D8F-F924-4E0F-A61C-5B19A4B34217}">
  <ds:schemaRefs>
    <ds:schemaRef ds:uri="http://schemas.microsoft.com/sharepoint/events"/>
  </ds:schemaRefs>
</ds:datastoreItem>
</file>

<file path=customXml/itemProps2.xml><?xml version="1.0" encoding="utf-8"?>
<ds:datastoreItem xmlns:ds="http://schemas.openxmlformats.org/officeDocument/2006/customXml" ds:itemID="{EDF876C1-BE19-4824-AB08-13DC78BFF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9B9CDF-DE41-4C95-80D9-171F4CE98EF8}">
  <ds:schemaRefs>
    <ds:schemaRef ds:uri="http://schemas.microsoft.com/office/2006/metadata/longProperties"/>
  </ds:schemaRefs>
</ds:datastoreItem>
</file>

<file path=customXml/itemProps4.xml><?xml version="1.0" encoding="utf-8"?>
<ds:datastoreItem xmlns:ds="http://schemas.openxmlformats.org/officeDocument/2006/customXml" ds:itemID="{7DECEDE9-6D9D-467A-B5A1-70977E154CB7}">
  <ds:schemaRefs>
    <ds:schemaRef ds:uri="http://schemas.microsoft.com/sharepoint/v3/contenttype/forms"/>
  </ds:schemaRefs>
</ds:datastoreItem>
</file>

<file path=customXml/itemProps5.xml><?xml version="1.0" encoding="utf-8"?>
<ds:datastoreItem xmlns:ds="http://schemas.openxmlformats.org/officeDocument/2006/customXml" ds:itemID="{71A0D10F-CCE7-4C69-8D21-4B5DBB013779}">
  <ds:schemaRefs>
    <ds:schemaRef ds:uri="http://schemas.microsoft.com/office/2006/metadata/properties"/>
    <ds:schemaRef ds:uri="0a4e05da-b9bc-4326-ad73-01ef31b95567"/>
  </ds:schemaRefs>
</ds:datastoreItem>
</file>

<file path=customXml/itemProps6.xml><?xml version="1.0" encoding="utf-8"?>
<ds:datastoreItem xmlns:ds="http://schemas.openxmlformats.org/officeDocument/2006/customXml" ds:itemID="{E9B26B22-EAC1-45D8-B517-979361D60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14304</Words>
  <Characters>83683</Characters>
  <Application>Microsoft Office Word</Application>
  <DocSecurity>0</DocSecurity>
  <Lines>1349</Lines>
  <Paragraphs>510</Paragraphs>
  <ScaleCrop>false</ScaleCrop>
  <HeadingPairs>
    <vt:vector size="2" baseType="variant">
      <vt:variant>
        <vt:lpstr>Title</vt:lpstr>
      </vt:variant>
      <vt:variant>
        <vt:i4>1</vt:i4>
      </vt:variant>
    </vt:vector>
  </HeadingPairs>
  <TitlesOfParts>
    <vt:vector size="1" baseType="lpstr">
      <vt:lpstr>Evaluation of the Human Resources Pilot Final Report (September 2014)</vt:lpstr>
    </vt:vector>
  </TitlesOfParts>
  <Company/>
  <LinksUpToDate>false</LinksUpToDate>
  <CharactersWithSpaces>97477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Human Resources Pilot Final Report (September 2014)</dc:title>
  <dc:creator>ESE</dc:creator>
  <cp:lastModifiedBy>dzou</cp:lastModifiedBy>
  <cp:revision>2</cp:revision>
  <cp:lastPrinted>2015-08-18T19:17:00Z</cp:lastPrinted>
  <dcterms:created xsi:type="dcterms:W3CDTF">2015-08-18T19:36:00Z</dcterms:created>
  <dcterms:modified xsi:type="dcterms:W3CDTF">2015-08-18T19:36:00Z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18 2015</vt:lpwstr>
  </property>
</Properties>
</file>