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tblpX="-335" w:tblpY="1"/>
        <w:tblOverlap w:val="never"/>
        <w:tblW w:w="10080" w:type="dxa"/>
        <w:tblLayout w:type="fixed"/>
        <w:tblCellMar>
          <w:left w:w="115" w:type="dxa"/>
          <w:right w:w="115" w:type="dxa"/>
        </w:tblCellMar>
        <w:tblLook w:val="00A0"/>
      </w:tblPr>
      <w:tblGrid>
        <w:gridCol w:w="990"/>
        <w:gridCol w:w="7020"/>
        <w:gridCol w:w="2070"/>
      </w:tblGrid>
      <w:tr w:rsidR="005F037D" w:rsidTr="007856D3">
        <w:trPr>
          <w:gridAfter w:val="1"/>
          <w:wAfter w:w="2070" w:type="dxa"/>
          <w:trHeight w:val="4230"/>
        </w:trPr>
        <w:tc>
          <w:tcPr>
            <w:tcW w:w="8010" w:type="dxa"/>
            <w:gridSpan w:val="2"/>
          </w:tcPr>
          <w:p w:rsidR="005F037D" w:rsidRDefault="005F037D" w:rsidP="007856D3">
            <w:pPr>
              <w:keepNext/>
            </w:pPr>
          </w:p>
          <w:p w:rsidR="005F037D" w:rsidRDefault="00741DF2" w:rsidP="007856D3">
            <w:r>
              <w:rPr>
                <w:noProof/>
                <w:lang w:eastAsia="zh-CN" w:bidi="km-KH"/>
              </w:rPr>
              <w:drawing>
                <wp:inline distT="0" distB="0" distL="0" distR="0">
                  <wp:extent cx="2790825" cy="1352550"/>
                  <wp:effectExtent l="0" t="0" r="9525" b="0"/>
                  <wp:docPr id="1" name="Picture 1" descr="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E logo"/>
                          <pic:cNvPicPr>
                            <a:picLocks noChangeAspect="1" noChangeArrowheads="1"/>
                          </pic:cNvPicPr>
                        </pic:nvPicPr>
                        <pic:blipFill>
                          <a:blip r:embed="rId12" cstate="print"/>
                          <a:srcRect/>
                          <a:stretch>
                            <a:fillRect/>
                          </a:stretch>
                        </pic:blipFill>
                        <pic:spPr bwMode="auto">
                          <a:xfrm>
                            <a:off x="0" y="0"/>
                            <a:ext cx="2790825" cy="1352550"/>
                          </a:xfrm>
                          <a:prstGeom prst="rect">
                            <a:avLst/>
                          </a:prstGeom>
                          <a:noFill/>
                          <a:ln w="9525">
                            <a:noFill/>
                            <a:miter lim="800000"/>
                            <a:headEnd/>
                            <a:tailEnd/>
                          </a:ln>
                        </pic:spPr>
                      </pic:pic>
                    </a:graphicData>
                  </a:graphic>
                </wp:inline>
              </w:drawing>
            </w:r>
          </w:p>
        </w:tc>
      </w:tr>
      <w:tr w:rsidR="005F037D" w:rsidTr="007856D3">
        <w:trPr>
          <w:gridAfter w:val="1"/>
          <w:wAfter w:w="2070" w:type="dxa"/>
          <w:cantSplit/>
          <w:trHeight w:val="200"/>
        </w:trPr>
        <w:tc>
          <w:tcPr>
            <w:tcW w:w="990" w:type="dxa"/>
            <w:vMerge w:val="restart"/>
            <w:vAlign w:val="bottom"/>
          </w:tcPr>
          <w:p w:rsidR="005F037D" w:rsidRPr="00274356" w:rsidRDefault="005F037D" w:rsidP="007856D3"/>
        </w:tc>
        <w:tc>
          <w:tcPr>
            <w:tcW w:w="7020" w:type="dxa"/>
            <w:vAlign w:val="bottom"/>
          </w:tcPr>
          <w:p w:rsidR="005F037D" w:rsidRPr="00F66EB7" w:rsidRDefault="00750148" w:rsidP="007856D3">
            <w:pPr>
              <w:pStyle w:val="ESEReportName"/>
            </w:pPr>
            <w:r w:rsidRPr="00277126">
              <w:t xml:space="preserve">Report to the Legislature: </w:t>
            </w:r>
            <w:r w:rsidRPr="00277126">
              <w:br/>
            </w:r>
            <w:r>
              <w:t xml:space="preserve">Commonwealth of Massachusetts Virtual Schools – </w:t>
            </w:r>
            <w:r w:rsidRPr="00277126">
              <w:t>Fiscal Year 2014</w:t>
            </w:r>
          </w:p>
        </w:tc>
      </w:tr>
      <w:tr w:rsidR="005F037D" w:rsidTr="007856D3">
        <w:trPr>
          <w:gridAfter w:val="1"/>
          <w:wAfter w:w="2070" w:type="dxa"/>
          <w:cantSplit/>
          <w:trHeight w:val="240"/>
        </w:trPr>
        <w:tc>
          <w:tcPr>
            <w:tcW w:w="990" w:type="dxa"/>
            <w:vMerge/>
            <w:vAlign w:val="bottom"/>
          </w:tcPr>
          <w:p w:rsidR="005F037D" w:rsidRDefault="005F037D" w:rsidP="007856D3">
            <w:pPr>
              <w:spacing w:line="400" w:lineRule="exact"/>
              <w:rPr>
                <w:rFonts w:ascii="Arial" w:hAnsi="Arial"/>
                <w:color w:val="000000"/>
              </w:rPr>
            </w:pPr>
          </w:p>
        </w:tc>
        <w:tc>
          <w:tcPr>
            <w:tcW w:w="7020" w:type="dxa"/>
          </w:tcPr>
          <w:p w:rsidR="005F037D" w:rsidRPr="00EB1F6F" w:rsidRDefault="00081097" w:rsidP="007856D3">
            <w:r>
              <w:pict>
                <v:rect id="_x0000_i1025" style="width:0;height:1.5pt" o:hrstd="t" o:hr="t" fillcolor="#aaa" stroked="f"/>
              </w:pict>
            </w:r>
          </w:p>
        </w:tc>
      </w:tr>
      <w:tr w:rsidR="005F037D" w:rsidTr="007856D3">
        <w:trPr>
          <w:gridAfter w:val="1"/>
          <w:wAfter w:w="2070" w:type="dxa"/>
          <w:cantSplit/>
          <w:trHeight w:val="760"/>
        </w:trPr>
        <w:tc>
          <w:tcPr>
            <w:tcW w:w="990" w:type="dxa"/>
            <w:vMerge/>
            <w:vAlign w:val="bottom"/>
          </w:tcPr>
          <w:p w:rsidR="005F037D" w:rsidRDefault="005F037D" w:rsidP="007856D3">
            <w:pPr>
              <w:spacing w:line="400" w:lineRule="exact"/>
              <w:rPr>
                <w:rFonts w:ascii="Arial" w:hAnsi="Arial"/>
                <w:color w:val="000000"/>
              </w:rPr>
            </w:pPr>
          </w:p>
        </w:tc>
        <w:tc>
          <w:tcPr>
            <w:tcW w:w="7020" w:type="dxa"/>
          </w:tcPr>
          <w:p w:rsidR="00750148" w:rsidRDefault="00750148" w:rsidP="007856D3">
            <w:pPr>
              <w:pStyle w:val="arial9"/>
            </w:pPr>
            <w:r w:rsidRPr="00846E08">
              <w:t xml:space="preserve">This </w:t>
            </w:r>
            <w:r>
              <w:t>r</w:t>
            </w:r>
            <w:r w:rsidRPr="001A0FA7">
              <w:t xml:space="preserve">eport </w:t>
            </w:r>
            <w:r>
              <w:t>provides information on the implementation and impact of virtual schools pursuant to G.L. c. 71</w:t>
            </w:r>
            <w:r w:rsidRPr="001A0FA7">
              <w:t xml:space="preserve"> </w:t>
            </w:r>
            <w:r>
              <w:rPr>
                <w:rFonts w:cs="Arial"/>
              </w:rPr>
              <w:t>§</w:t>
            </w:r>
            <w:r>
              <w:t>94(q).</w:t>
            </w:r>
          </w:p>
          <w:p w:rsidR="00750148" w:rsidRPr="00F66EB7" w:rsidRDefault="00750148" w:rsidP="007856D3">
            <w:pPr>
              <w:pStyle w:val="arial9"/>
            </w:pPr>
          </w:p>
          <w:p w:rsidR="005F037D" w:rsidRDefault="005D5612" w:rsidP="007856D3">
            <w:pPr>
              <w:pStyle w:val="arial9"/>
            </w:pPr>
            <w:r>
              <w:t xml:space="preserve">December </w:t>
            </w:r>
            <w:r w:rsidR="00750148">
              <w:t>2014</w:t>
            </w:r>
          </w:p>
          <w:p w:rsidR="00187805" w:rsidRDefault="00187805" w:rsidP="007856D3">
            <w:pPr>
              <w:pStyle w:val="arial9"/>
            </w:pPr>
          </w:p>
          <w:p w:rsidR="00187805" w:rsidRDefault="00187805" w:rsidP="007856D3">
            <w:pPr>
              <w:pStyle w:val="arial9"/>
            </w:pPr>
          </w:p>
          <w:p w:rsidR="00187805" w:rsidRDefault="00187805" w:rsidP="007856D3">
            <w:pPr>
              <w:pStyle w:val="arial9"/>
            </w:pPr>
          </w:p>
          <w:p w:rsidR="00187805" w:rsidRDefault="00187805" w:rsidP="007856D3">
            <w:pPr>
              <w:pStyle w:val="arial9"/>
            </w:pPr>
          </w:p>
          <w:p w:rsidR="00187805" w:rsidRDefault="00187805" w:rsidP="007856D3">
            <w:pPr>
              <w:pStyle w:val="arial9"/>
            </w:pPr>
          </w:p>
        </w:tc>
      </w:tr>
      <w:tr w:rsidR="005F037D" w:rsidTr="007856D3">
        <w:trPr>
          <w:gridAfter w:val="1"/>
          <w:wAfter w:w="2070" w:type="dxa"/>
          <w:cantSplit/>
          <w:trHeight w:val="5958"/>
        </w:trPr>
        <w:tc>
          <w:tcPr>
            <w:tcW w:w="990" w:type="dxa"/>
            <w:vMerge/>
            <w:vAlign w:val="bottom"/>
          </w:tcPr>
          <w:p w:rsidR="005F037D" w:rsidRDefault="005F037D" w:rsidP="007856D3">
            <w:pPr>
              <w:spacing w:line="400" w:lineRule="exact"/>
              <w:rPr>
                <w:rFonts w:ascii="Arial" w:hAnsi="Arial"/>
                <w:color w:val="000000"/>
              </w:rPr>
            </w:pPr>
          </w:p>
        </w:tc>
        <w:tc>
          <w:tcPr>
            <w:tcW w:w="7020" w:type="dxa"/>
            <w:vAlign w:val="bottom"/>
          </w:tcPr>
          <w:p w:rsidR="005F037D" w:rsidRDefault="005F037D" w:rsidP="007856D3">
            <w:pPr>
              <w:pStyle w:val="AgencyTitle"/>
            </w:pPr>
            <w:r>
              <w:t xml:space="preserve">Massachusetts Department of </w:t>
            </w:r>
            <w:r w:rsidR="00440BAB">
              <w:t xml:space="preserve">Elementary and Secondary </w:t>
            </w:r>
            <w:r>
              <w:t>Education</w:t>
            </w:r>
          </w:p>
          <w:p w:rsidR="005F037D" w:rsidRDefault="005152E7" w:rsidP="007856D3">
            <w:pPr>
              <w:pStyle w:val="arial9"/>
              <w:rPr>
                <w:snapToGrid w:val="0"/>
              </w:rPr>
            </w:pPr>
            <w:r>
              <w:rPr>
                <w:snapToGrid w:val="0"/>
              </w:rPr>
              <w:t>75 Pleasant</w:t>
            </w:r>
            <w:r w:rsidR="005F037D">
              <w:rPr>
                <w:snapToGrid w:val="0"/>
              </w:rPr>
              <w:t xml:space="preserve"> Street, </w:t>
            </w:r>
            <w:smartTag w:uri="urn:schemas-microsoft-com:office:smarttags" w:element="place">
              <w:smartTag w:uri="urn:schemas-microsoft-com:office:smarttags" w:element="City">
                <w:r w:rsidR="005F037D">
                  <w:rPr>
                    <w:snapToGrid w:val="0"/>
                  </w:rPr>
                  <w:t>Malden</w:t>
                </w:r>
              </w:smartTag>
              <w:r w:rsidR="005F037D">
                <w:rPr>
                  <w:snapToGrid w:val="0"/>
                </w:rPr>
                <w:t xml:space="preserve">, </w:t>
              </w:r>
              <w:smartTag w:uri="urn:schemas-microsoft-com:office:smarttags" w:element="State">
                <w:r w:rsidR="005F037D">
                  <w:rPr>
                    <w:snapToGrid w:val="0"/>
                  </w:rPr>
                  <w:t>MA</w:t>
                </w:r>
              </w:smartTag>
              <w:r w:rsidR="005F037D">
                <w:rPr>
                  <w:snapToGrid w:val="0"/>
                </w:rPr>
                <w:t xml:space="preserve"> </w:t>
              </w:r>
              <w:smartTag w:uri="urn:schemas-microsoft-com:office:smarttags" w:element="PostalCode">
                <w:r w:rsidR="005F037D">
                  <w:rPr>
                    <w:snapToGrid w:val="0"/>
                  </w:rPr>
                  <w:t>02148</w:t>
                </w:r>
              </w:smartTag>
            </w:smartTag>
            <w:r w:rsidR="00740C0D">
              <w:rPr>
                <w:snapToGrid w:val="0"/>
              </w:rPr>
              <w:t>-4906</w:t>
            </w:r>
          </w:p>
          <w:p w:rsidR="0020780F" w:rsidRPr="0020780F" w:rsidRDefault="0020780F" w:rsidP="007856D3">
            <w:pPr>
              <w:pStyle w:val="arial9"/>
              <w:rPr>
                <w:snapToGrid w:val="0"/>
              </w:rPr>
            </w:pPr>
            <w:r>
              <w:rPr>
                <w:snapToGrid w:val="0"/>
              </w:rPr>
              <w:t xml:space="preserve">Phone </w:t>
            </w:r>
            <w:r w:rsidR="005F037D">
              <w:rPr>
                <w:snapToGrid w:val="0"/>
              </w:rPr>
              <w:t>781-338-3000</w:t>
            </w:r>
            <w:r w:rsidRPr="0020780F">
              <w:rPr>
                <w:snapToGrid w:val="0"/>
              </w:rPr>
              <w:t>TTY: N.E.T. Relay 800-439-2370</w:t>
            </w:r>
          </w:p>
          <w:p w:rsidR="005F037D" w:rsidRDefault="005F037D" w:rsidP="007856D3">
            <w:pPr>
              <w:pStyle w:val="arial9"/>
            </w:pPr>
            <w:r>
              <w:rPr>
                <w:snapToGrid w:val="0"/>
              </w:rPr>
              <w:t>www.doe.mass.edu</w:t>
            </w:r>
          </w:p>
        </w:tc>
      </w:tr>
      <w:tr w:rsidR="00C118B2" w:rsidTr="007856D3">
        <w:tblPrEx>
          <w:tblCellMar>
            <w:left w:w="108" w:type="dxa"/>
            <w:right w:w="108" w:type="dxa"/>
          </w:tblCellMar>
        </w:tblPrEx>
        <w:trPr>
          <w:trHeight w:val="8235"/>
        </w:trPr>
        <w:tc>
          <w:tcPr>
            <w:tcW w:w="10080" w:type="dxa"/>
            <w:gridSpan w:val="3"/>
          </w:tcPr>
          <w:p w:rsidR="00C118B2" w:rsidRPr="00345DE2" w:rsidRDefault="00741DF2" w:rsidP="007856D3">
            <w:pPr>
              <w:jc w:val="center"/>
            </w:pPr>
            <w:r>
              <w:rPr>
                <w:noProof/>
                <w:lang w:eastAsia="zh-CN" w:bidi="km-KH"/>
              </w:rPr>
              <w:lastRenderedPageBreak/>
              <w:drawing>
                <wp:inline distT="0" distB="0" distL="0" distR="0">
                  <wp:extent cx="1838325" cy="885825"/>
                  <wp:effectExtent l="19050" t="0" r="9525" b="0"/>
                  <wp:docPr id="3" name="Picture 3" descr="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E logo"/>
                          <pic:cNvPicPr>
                            <a:picLocks noChangeAspect="1" noChangeArrowheads="1"/>
                          </pic:cNvPicPr>
                        </pic:nvPicPr>
                        <pic:blipFill>
                          <a:blip r:embed="rId12" cstate="print"/>
                          <a:srcRect/>
                          <a:stretch>
                            <a:fillRect/>
                          </a:stretch>
                        </pic:blipFill>
                        <pic:spPr bwMode="auto">
                          <a:xfrm>
                            <a:off x="0" y="0"/>
                            <a:ext cx="1838325" cy="885825"/>
                          </a:xfrm>
                          <a:prstGeom prst="rect">
                            <a:avLst/>
                          </a:prstGeom>
                          <a:noFill/>
                          <a:ln w="9525">
                            <a:noFill/>
                            <a:miter lim="800000"/>
                            <a:headEnd/>
                            <a:tailEnd/>
                          </a:ln>
                        </pic:spPr>
                      </pic:pic>
                    </a:graphicData>
                  </a:graphic>
                </wp:inline>
              </w:drawing>
            </w:r>
          </w:p>
          <w:p w:rsidR="00C118B2" w:rsidRPr="00345DE2" w:rsidRDefault="00C118B2" w:rsidP="007856D3"/>
          <w:p w:rsidR="00C118B2" w:rsidRPr="00345DE2" w:rsidRDefault="00C118B2" w:rsidP="007856D3"/>
          <w:p w:rsidR="00C118B2" w:rsidRDefault="00C118B2" w:rsidP="007856D3">
            <w:pPr>
              <w:pStyle w:val="BoardMembers"/>
            </w:pPr>
            <w:r>
              <w:t xml:space="preserve">This document was prepared by the </w:t>
            </w:r>
            <w:r>
              <w:br/>
              <w:t xml:space="preserve">Massachusetts Department of </w:t>
            </w:r>
            <w:r w:rsidR="00440BAB" w:rsidRPr="00440BAB">
              <w:t xml:space="preserve">Elementary and Secondary </w:t>
            </w:r>
            <w:r>
              <w:t>Education</w:t>
            </w:r>
          </w:p>
          <w:p w:rsidR="00CC22F1" w:rsidRDefault="00CC22F1" w:rsidP="007856D3">
            <w:pPr>
              <w:pStyle w:val="BoardMembers"/>
            </w:pPr>
            <w:r w:rsidRPr="00CC22F1">
              <w:t>Mitchell D. Chester, Ed.D</w:t>
            </w:r>
            <w:r w:rsidR="00AD298F">
              <w:t>.</w:t>
            </w:r>
          </w:p>
          <w:p w:rsidR="00C118B2" w:rsidRDefault="00C118B2" w:rsidP="007856D3">
            <w:pPr>
              <w:pStyle w:val="BoardMembers"/>
            </w:pPr>
            <w:r>
              <w:t xml:space="preserve">Commissioner </w:t>
            </w:r>
          </w:p>
          <w:p w:rsidR="00C118B2" w:rsidRDefault="00C118B2" w:rsidP="007856D3"/>
          <w:p w:rsidR="00B61B2F" w:rsidRPr="00345DE2" w:rsidRDefault="00B61B2F" w:rsidP="007856D3"/>
          <w:p w:rsidR="007C3083" w:rsidRDefault="007C3083" w:rsidP="007856D3">
            <w:pPr>
              <w:pStyle w:val="BoardMembers"/>
              <w:rPr>
                <w:b/>
              </w:rPr>
            </w:pPr>
            <w:r>
              <w:rPr>
                <w:b/>
              </w:rPr>
              <w:t>Board of Elementary and Secondary Education Members</w:t>
            </w:r>
          </w:p>
          <w:p w:rsidR="00E253B2" w:rsidRPr="00CB2DCE" w:rsidRDefault="00E253B2" w:rsidP="007856D3">
            <w:pPr>
              <w:jc w:val="center"/>
              <w:rPr>
                <w:rFonts w:ascii="Arial" w:hAnsi="Arial" w:cs="Arial"/>
                <w:color w:val="000000"/>
                <w:sz w:val="18"/>
                <w:szCs w:val="18"/>
              </w:rPr>
            </w:pPr>
            <w:r w:rsidRPr="00CB2DCE">
              <w:rPr>
                <w:rFonts w:ascii="Arial" w:hAnsi="Arial" w:cs="Arial"/>
                <w:bCs/>
                <w:color w:val="000000"/>
                <w:sz w:val="18"/>
                <w:szCs w:val="18"/>
              </w:rPr>
              <w:t>Ms. Margaret McKenna, Chair, Boston</w:t>
            </w:r>
          </w:p>
          <w:p w:rsidR="00E253B2" w:rsidRPr="00CB2DCE" w:rsidRDefault="00E253B2" w:rsidP="007856D3">
            <w:pPr>
              <w:jc w:val="center"/>
              <w:rPr>
                <w:rFonts w:ascii="Arial" w:hAnsi="Arial" w:cs="Arial"/>
                <w:color w:val="000000"/>
                <w:sz w:val="18"/>
                <w:szCs w:val="18"/>
              </w:rPr>
            </w:pPr>
            <w:r w:rsidRPr="00CB2DCE">
              <w:rPr>
                <w:rFonts w:ascii="Arial" w:hAnsi="Arial" w:cs="Arial"/>
                <w:bCs/>
                <w:color w:val="000000"/>
                <w:sz w:val="18"/>
                <w:szCs w:val="18"/>
              </w:rPr>
              <w:t xml:space="preserve">Dr. Vanessa </w:t>
            </w:r>
            <w:proofErr w:type="spellStart"/>
            <w:r w:rsidRPr="00CB2DCE">
              <w:rPr>
                <w:rFonts w:ascii="Arial" w:hAnsi="Arial" w:cs="Arial"/>
                <w:bCs/>
                <w:color w:val="000000"/>
                <w:sz w:val="18"/>
                <w:szCs w:val="18"/>
              </w:rPr>
              <w:t>Calderón</w:t>
            </w:r>
            <w:proofErr w:type="spellEnd"/>
            <w:r w:rsidRPr="00CB2DCE">
              <w:rPr>
                <w:rFonts w:ascii="Arial" w:hAnsi="Arial" w:cs="Arial"/>
                <w:bCs/>
                <w:color w:val="000000"/>
                <w:sz w:val="18"/>
                <w:szCs w:val="18"/>
              </w:rPr>
              <w:t>-Rosado, Milton</w:t>
            </w:r>
          </w:p>
          <w:p w:rsidR="00E253B2" w:rsidRPr="00CB2DCE" w:rsidRDefault="00E253B2" w:rsidP="007856D3">
            <w:pPr>
              <w:jc w:val="center"/>
              <w:rPr>
                <w:rFonts w:ascii="Arial" w:hAnsi="Arial" w:cs="Arial"/>
                <w:color w:val="000000"/>
                <w:sz w:val="18"/>
                <w:szCs w:val="18"/>
              </w:rPr>
            </w:pPr>
            <w:r w:rsidRPr="00CB2DCE">
              <w:rPr>
                <w:rFonts w:ascii="Arial" w:hAnsi="Arial" w:cs="Arial"/>
                <w:bCs/>
                <w:color w:val="000000"/>
                <w:sz w:val="18"/>
                <w:szCs w:val="18"/>
              </w:rPr>
              <w:t xml:space="preserve">Ms. </w:t>
            </w:r>
            <w:proofErr w:type="spellStart"/>
            <w:r w:rsidRPr="00CB2DCE">
              <w:rPr>
                <w:rFonts w:ascii="Arial" w:hAnsi="Arial" w:cs="Arial"/>
                <w:bCs/>
                <w:color w:val="000000"/>
                <w:sz w:val="18"/>
                <w:szCs w:val="18"/>
              </w:rPr>
              <w:t>Harneen</w:t>
            </w:r>
            <w:proofErr w:type="spellEnd"/>
            <w:r w:rsidRPr="00CB2DCE">
              <w:rPr>
                <w:rFonts w:ascii="Arial" w:hAnsi="Arial" w:cs="Arial"/>
                <w:bCs/>
                <w:color w:val="000000"/>
                <w:sz w:val="18"/>
                <w:szCs w:val="18"/>
              </w:rPr>
              <w:t xml:space="preserve"> </w:t>
            </w:r>
            <w:proofErr w:type="spellStart"/>
            <w:r w:rsidRPr="00CB2DCE">
              <w:rPr>
                <w:rFonts w:ascii="Arial" w:hAnsi="Arial" w:cs="Arial"/>
                <w:bCs/>
                <w:color w:val="000000"/>
                <w:sz w:val="18"/>
                <w:szCs w:val="18"/>
              </w:rPr>
              <w:t>Chernow</w:t>
            </w:r>
            <w:proofErr w:type="spellEnd"/>
            <w:r w:rsidRPr="00CB2DCE">
              <w:rPr>
                <w:rFonts w:ascii="Arial" w:hAnsi="Arial" w:cs="Arial"/>
                <w:bCs/>
                <w:color w:val="000000"/>
                <w:sz w:val="18"/>
                <w:szCs w:val="18"/>
              </w:rPr>
              <w:t>, Jamaica Plain</w:t>
            </w:r>
          </w:p>
          <w:p w:rsidR="00E253B2" w:rsidRPr="00CB2DCE" w:rsidRDefault="00E253B2" w:rsidP="007856D3">
            <w:pPr>
              <w:jc w:val="center"/>
              <w:rPr>
                <w:rFonts w:ascii="Arial" w:hAnsi="Arial" w:cs="Arial"/>
                <w:color w:val="000000"/>
                <w:sz w:val="18"/>
                <w:szCs w:val="18"/>
              </w:rPr>
            </w:pPr>
            <w:r w:rsidRPr="00CB2DCE">
              <w:rPr>
                <w:rFonts w:ascii="Arial" w:hAnsi="Arial" w:cs="Arial"/>
                <w:bCs/>
                <w:color w:val="000000"/>
                <w:sz w:val="18"/>
                <w:szCs w:val="18"/>
              </w:rPr>
              <w:t>Ms. Katherine Craven, Brookline</w:t>
            </w:r>
          </w:p>
          <w:p w:rsidR="00E253B2" w:rsidRPr="00CB2DCE" w:rsidRDefault="00E253B2" w:rsidP="007856D3">
            <w:pPr>
              <w:jc w:val="center"/>
              <w:rPr>
                <w:rFonts w:ascii="Arial" w:hAnsi="Arial" w:cs="Arial"/>
                <w:color w:val="000000"/>
                <w:sz w:val="18"/>
                <w:szCs w:val="18"/>
              </w:rPr>
            </w:pPr>
            <w:r w:rsidRPr="00CB2DCE">
              <w:rPr>
                <w:rFonts w:ascii="Arial" w:hAnsi="Arial" w:cs="Arial"/>
                <w:bCs/>
                <w:color w:val="000000"/>
                <w:sz w:val="18"/>
                <w:szCs w:val="18"/>
              </w:rPr>
              <w:t>Ms. Karen Daniels, Milton</w:t>
            </w:r>
          </w:p>
          <w:p w:rsidR="00E253B2" w:rsidRPr="00CB2DCE" w:rsidRDefault="00E253B2" w:rsidP="007856D3">
            <w:pPr>
              <w:jc w:val="center"/>
              <w:rPr>
                <w:rFonts w:ascii="Arial" w:hAnsi="Arial" w:cs="Arial"/>
                <w:color w:val="000000"/>
                <w:sz w:val="18"/>
                <w:szCs w:val="18"/>
              </w:rPr>
            </w:pPr>
            <w:r w:rsidRPr="00CB2DCE">
              <w:rPr>
                <w:rFonts w:ascii="Arial" w:hAnsi="Arial" w:cs="Arial"/>
                <w:bCs/>
                <w:color w:val="000000"/>
                <w:sz w:val="18"/>
                <w:szCs w:val="18"/>
              </w:rPr>
              <w:t>Dr. Matthew Malone, Secretary of Education, Roslindale</w:t>
            </w:r>
          </w:p>
          <w:p w:rsidR="00E253B2" w:rsidRPr="00CB2DCE" w:rsidRDefault="00E253B2" w:rsidP="007856D3">
            <w:pPr>
              <w:jc w:val="center"/>
              <w:rPr>
                <w:rFonts w:ascii="Arial" w:hAnsi="Arial" w:cs="Arial"/>
                <w:color w:val="000000"/>
                <w:sz w:val="18"/>
                <w:szCs w:val="18"/>
              </w:rPr>
            </w:pPr>
            <w:r w:rsidRPr="00CB2DCE">
              <w:rPr>
                <w:rFonts w:ascii="Arial" w:hAnsi="Arial" w:cs="Arial"/>
                <w:bCs/>
                <w:color w:val="000000"/>
                <w:sz w:val="18"/>
                <w:szCs w:val="18"/>
              </w:rPr>
              <w:t>Mr. James Morton, Springfield</w:t>
            </w:r>
          </w:p>
          <w:p w:rsidR="00E253B2" w:rsidRPr="00CB2DCE" w:rsidRDefault="00E253B2" w:rsidP="007856D3">
            <w:pPr>
              <w:jc w:val="center"/>
              <w:rPr>
                <w:rFonts w:ascii="Arial" w:hAnsi="Arial" w:cs="Arial"/>
                <w:color w:val="000000"/>
                <w:sz w:val="18"/>
                <w:szCs w:val="18"/>
              </w:rPr>
            </w:pPr>
            <w:r w:rsidRPr="00CB2DCE">
              <w:rPr>
                <w:rFonts w:ascii="Arial" w:hAnsi="Arial" w:cs="Arial"/>
                <w:bCs/>
                <w:color w:val="000000"/>
                <w:sz w:val="18"/>
                <w:szCs w:val="18"/>
              </w:rPr>
              <w:t xml:space="preserve">Dr. </w:t>
            </w:r>
            <w:proofErr w:type="spellStart"/>
            <w:r w:rsidRPr="00CB2DCE">
              <w:rPr>
                <w:rFonts w:ascii="Arial" w:hAnsi="Arial" w:cs="Arial"/>
                <w:bCs/>
                <w:color w:val="000000"/>
                <w:sz w:val="18"/>
                <w:szCs w:val="18"/>
              </w:rPr>
              <w:t>Pendred</w:t>
            </w:r>
            <w:proofErr w:type="spellEnd"/>
            <w:r w:rsidRPr="00CB2DCE">
              <w:rPr>
                <w:rFonts w:ascii="Arial" w:hAnsi="Arial" w:cs="Arial"/>
                <w:bCs/>
                <w:color w:val="000000"/>
                <w:sz w:val="18"/>
                <w:szCs w:val="18"/>
              </w:rPr>
              <w:t xml:space="preserve"> </w:t>
            </w:r>
            <w:proofErr w:type="spellStart"/>
            <w:r w:rsidRPr="00CB2DCE">
              <w:rPr>
                <w:rFonts w:ascii="Arial" w:hAnsi="Arial" w:cs="Arial"/>
                <w:bCs/>
                <w:color w:val="000000"/>
                <w:sz w:val="18"/>
                <w:szCs w:val="18"/>
              </w:rPr>
              <w:t>Noyce</w:t>
            </w:r>
            <w:proofErr w:type="spellEnd"/>
            <w:r w:rsidRPr="00CB2DCE">
              <w:rPr>
                <w:rFonts w:ascii="Arial" w:hAnsi="Arial" w:cs="Arial"/>
                <w:bCs/>
                <w:color w:val="000000"/>
                <w:sz w:val="18"/>
                <w:szCs w:val="18"/>
              </w:rPr>
              <w:t>, Weston</w:t>
            </w:r>
          </w:p>
          <w:p w:rsidR="00E253B2" w:rsidRPr="00CB2DCE" w:rsidRDefault="00E253B2" w:rsidP="007856D3">
            <w:pPr>
              <w:jc w:val="center"/>
              <w:rPr>
                <w:rFonts w:ascii="Arial" w:hAnsi="Arial" w:cs="Arial"/>
                <w:color w:val="000000"/>
                <w:sz w:val="18"/>
                <w:szCs w:val="18"/>
              </w:rPr>
            </w:pPr>
            <w:r w:rsidRPr="00CB2DCE">
              <w:rPr>
                <w:rFonts w:ascii="Arial" w:hAnsi="Arial" w:cs="Arial"/>
                <w:bCs/>
                <w:color w:val="000000"/>
                <w:sz w:val="18"/>
                <w:szCs w:val="18"/>
              </w:rPr>
              <w:t xml:space="preserve">Mr. David Roach, Sutton </w:t>
            </w:r>
          </w:p>
          <w:p w:rsidR="00E253B2" w:rsidRPr="00CB2DCE" w:rsidRDefault="00E253B2" w:rsidP="007856D3">
            <w:pPr>
              <w:jc w:val="center"/>
              <w:rPr>
                <w:rFonts w:ascii="Arial" w:hAnsi="Arial" w:cs="Arial"/>
                <w:color w:val="000000"/>
                <w:sz w:val="18"/>
                <w:szCs w:val="18"/>
              </w:rPr>
            </w:pPr>
            <w:r w:rsidRPr="00CB2DCE">
              <w:rPr>
                <w:rFonts w:ascii="Arial" w:hAnsi="Arial" w:cs="Arial"/>
                <w:bCs/>
                <w:color w:val="000000"/>
                <w:sz w:val="18"/>
                <w:szCs w:val="18"/>
              </w:rPr>
              <w:t>Mary Ann Stewart, Lexington</w:t>
            </w:r>
          </w:p>
          <w:p w:rsidR="00E253B2" w:rsidRPr="00CB2DCE" w:rsidRDefault="00E253B2" w:rsidP="007856D3">
            <w:pPr>
              <w:jc w:val="center"/>
              <w:rPr>
                <w:rFonts w:ascii="Arial" w:hAnsi="Arial" w:cs="Arial"/>
                <w:color w:val="000000"/>
                <w:sz w:val="18"/>
                <w:szCs w:val="18"/>
              </w:rPr>
            </w:pPr>
            <w:r w:rsidRPr="00CB2DCE">
              <w:rPr>
                <w:rFonts w:ascii="Arial" w:hAnsi="Arial" w:cs="Arial"/>
                <w:bCs/>
                <w:color w:val="000000"/>
                <w:sz w:val="18"/>
                <w:szCs w:val="18"/>
              </w:rPr>
              <w:t xml:space="preserve">Mr. Donald </w:t>
            </w:r>
            <w:proofErr w:type="spellStart"/>
            <w:r w:rsidRPr="00CB2DCE">
              <w:rPr>
                <w:rFonts w:ascii="Arial" w:hAnsi="Arial" w:cs="Arial"/>
                <w:bCs/>
                <w:color w:val="000000"/>
                <w:sz w:val="18"/>
                <w:szCs w:val="18"/>
              </w:rPr>
              <w:t>Willyard</w:t>
            </w:r>
            <w:proofErr w:type="spellEnd"/>
            <w:r w:rsidRPr="00CB2DCE">
              <w:rPr>
                <w:rFonts w:ascii="Arial" w:hAnsi="Arial" w:cs="Arial"/>
                <w:bCs/>
                <w:color w:val="000000"/>
                <w:sz w:val="18"/>
                <w:szCs w:val="18"/>
              </w:rPr>
              <w:t>, Chair, Student Advisory Council, Revere</w:t>
            </w:r>
          </w:p>
          <w:p w:rsidR="00712E66" w:rsidRPr="00712E66" w:rsidRDefault="00712E66" w:rsidP="007856D3">
            <w:pPr>
              <w:jc w:val="center"/>
              <w:rPr>
                <w:rFonts w:ascii="Verdana" w:hAnsi="Verdana"/>
                <w:sz w:val="18"/>
                <w:szCs w:val="18"/>
              </w:rPr>
            </w:pPr>
          </w:p>
          <w:p w:rsidR="00ED25CF" w:rsidRDefault="00ED25CF" w:rsidP="007856D3">
            <w:pPr>
              <w:pStyle w:val="BoardMembers"/>
            </w:pPr>
          </w:p>
          <w:p w:rsidR="00ED25CF" w:rsidRDefault="00ED25CF" w:rsidP="007856D3">
            <w:pPr>
              <w:pStyle w:val="BoardMembers"/>
            </w:pPr>
            <w:r>
              <w:t>Mitchell D. Chester, Ed.D., Commissioner and Secretary to the Board</w:t>
            </w:r>
          </w:p>
          <w:p w:rsidR="00AD72FC" w:rsidRDefault="00AD72FC" w:rsidP="007856D3">
            <w:pPr>
              <w:autoSpaceDE w:val="0"/>
              <w:autoSpaceDN w:val="0"/>
              <w:adjustRightInd w:val="0"/>
              <w:jc w:val="center"/>
            </w:pPr>
          </w:p>
          <w:p w:rsidR="00B61B2F" w:rsidRPr="00345DE2" w:rsidRDefault="00B61B2F" w:rsidP="007856D3">
            <w:pPr>
              <w:autoSpaceDE w:val="0"/>
              <w:autoSpaceDN w:val="0"/>
              <w:adjustRightInd w:val="0"/>
              <w:jc w:val="center"/>
            </w:pPr>
          </w:p>
          <w:p w:rsidR="00440BAB" w:rsidRDefault="00C118B2" w:rsidP="007856D3">
            <w:pPr>
              <w:pStyle w:val="BoardMembers"/>
            </w:pPr>
            <w:r>
              <w:t>The Massachusetts Department of</w:t>
            </w:r>
            <w:r w:rsidR="00440BAB">
              <w:t xml:space="preserve"> </w:t>
            </w:r>
            <w:r w:rsidR="00440BAB" w:rsidRPr="00440BAB">
              <w:t xml:space="preserve">Elementary and Secondary </w:t>
            </w:r>
            <w:r>
              <w:t xml:space="preserve">Education, an affirmative action employer, is committed to ensuring that all of its programs and facilities are accessible to all members of the public. </w:t>
            </w:r>
          </w:p>
          <w:p w:rsidR="00C118B2" w:rsidRDefault="00C118B2" w:rsidP="007856D3">
            <w:pPr>
              <w:pStyle w:val="BoardMembers"/>
            </w:pPr>
            <w:r>
              <w:t>We do not discriminate on the basis of age, color, disability, national origin, race, religion, sex</w:t>
            </w:r>
            <w:r w:rsidR="0099682E">
              <w:t>, gender identity,</w:t>
            </w:r>
            <w:r>
              <w:t xml:space="preserve"> or sexual orientation. </w:t>
            </w:r>
          </w:p>
          <w:p w:rsidR="00C118B2" w:rsidRDefault="00C118B2" w:rsidP="007856D3">
            <w:pPr>
              <w:pStyle w:val="BoardMembers"/>
            </w:pPr>
            <w:r>
              <w:t xml:space="preserve"> Inquiries regarding the Department’s compliance with Title IX and other civil rights laws may be directed to the </w:t>
            </w:r>
          </w:p>
          <w:p w:rsidR="00C118B2" w:rsidRDefault="00C118B2" w:rsidP="007856D3">
            <w:pPr>
              <w:pStyle w:val="BoardMembers"/>
            </w:pPr>
            <w:r>
              <w:t xml:space="preserve">Human Resources Director, </w:t>
            </w:r>
            <w:r w:rsidR="005152E7">
              <w:rPr>
                <w:snapToGrid w:val="0"/>
              </w:rPr>
              <w:t xml:space="preserve">75 Pleasant </w:t>
            </w:r>
            <w:r>
              <w:t>St., Malden, MA 02148</w:t>
            </w:r>
            <w:r w:rsidR="007102D5">
              <w:t>-4906. Phone:</w:t>
            </w:r>
            <w:r>
              <w:t xml:space="preserve"> 781-338-6105.</w:t>
            </w:r>
          </w:p>
          <w:p w:rsidR="00C118B2" w:rsidRDefault="00C118B2" w:rsidP="007856D3"/>
          <w:p w:rsidR="00B61B2F" w:rsidRPr="00345DE2" w:rsidRDefault="00B61B2F" w:rsidP="007856D3"/>
          <w:p w:rsidR="00C118B2" w:rsidRDefault="00C118B2" w:rsidP="007856D3">
            <w:pPr>
              <w:pStyle w:val="BoardMembers"/>
            </w:pPr>
            <w:r>
              <w:t>© 20</w:t>
            </w:r>
            <w:r w:rsidR="00E72815">
              <w:t>1</w:t>
            </w:r>
            <w:r w:rsidR="00712E66">
              <w:t>4</w:t>
            </w:r>
            <w:r>
              <w:t xml:space="preserve"> Massachusetts Department of </w:t>
            </w:r>
            <w:r w:rsidR="00440BAB" w:rsidRPr="00440BAB">
              <w:t xml:space="preserve">Elementary and Secondary </w:t>
            </w:r>
            <w:r>
              <w:t>Education</w:t>
            </w:r>
          </w:p>
          <w:p w:rsidR="00C118B2" w:rsidRDefault="00C118B2" w:rsidP="007856D3">
            <w:pPr>
              <w:pStyle w:val="Permission"/>
            </w:pPr>
            <w:r>
              <w:t>Permission is hereby granted to copy any or all parts of this document for non-commercial educational purposes. Please credit the “Massachusetts Department of</w:t>
            </w:r>
            <w:r w:rsidR="00440BAB">
              <w:t xml:space="preserve"> </w:t>
            </w:r>
            <w:r w:rsidR="00440BAB" w:rsidRPr="00440BAB">
              <w:t>Elementary and Secondary</w:t>
            </w:r>
            <w:r>
              <w:t xml:space="preserve"> Education.”</w:t>
            </w:r>
          </w:p>
          <w:p w:rsidR="00C118B2" w:rsidRPr="00345DE2" w:rsidRDefault="00C118B2" w:rsidP="007856D3"/>
          <w:p w:rsidR="00C118B2" w:rsidRDefault="00C118B2" w:rsidP="007856D3">
            <w:pPr>
              <w:pStyle w:val="Permission"/>
            </w:pPr>
            <w:r>
              <w:t>This document printed on recycled paper</w:t>
            </w:r>
          </w:p>
          <w:p w:rsidR="00C118B2" w:rsidRPr="00345DE2" w:rsidRDefault="00C118B2" w:rsidP="007856D3"/>
          <w:p w:rsidR="00C118B2" w:rsidRDefault="00C118B2" w:rsidP="007856D3">
            <w:pPr>
              <w:pStyle w:val="BoardMembers"/>
            </w:pPr>
            <w:r w:rsidRPr="00841539">
              <w:t xml:space="preserve">Massachusetts Department of </w:t>
            </w:r>
            <w:r w:rsidR="00440BAB" w:rsidRPr="00440BAB">
              <w:t xml:space="preserve">Elementary and Secondary </w:t>
            </w:r>
            <w:r w:rsidRPr="00841539">
              <w:t>Education</w:t>
            </w:r>
          </w:p>
          <w:p w:rsidR="00C118B2" w:rsidRDefault="005152E7" w:rsidP="007856D3">
            <w:pPr>
              <w:pStyle w:val="BoardMembers"/>
            </w:pPr>
            <w:r>
              <w:rPr>
                <w:snapToGrid w:val="0"/>
              </w:rPr>
              <w:t xml:space="preserve">75 Pleasant </w:t>
            </w:r>
            <w:r w:rsidR="00C118B2">
              <w:t xml:space="preserve">Street, </w:t>
            </w:r>
            <w:smartTag w:uri="urn:schemas-microsoft-com:office:smarttags" w:element="place">
              <w:smartTag w:uri="urn:schemas-microsoft-com:office:smarttags" w:element="City">
                <w:r w:rsidR="00C118B2">
                  <w:t>Malden</w:t>
                </w:r>
              </w:smartTag>
              <w:r w:rsidR="00C118B2">
                <w:t xml:space="preserve">, </w:t>
              </w:r>
              <w:smartTag w:uri="urn:schemas-microsoft-com:office:smarttags" w:element="State">
                <w:r w:rsidR="00C118B2">
                  <w:t>MA</w:t>
                </w:r>
              </w:smartTag>
              <w:r w:rsidR="00C118B2">
                <w:t xml:space="preserve"> </w:t>
              </w:r>
              <w:smartTag w:uri="urn:schemas-microsoft-com:office:smarttags" w:element="PostalCode">
                <w:r w:rsidR="00C118B2">
                  <w:t>02148</w:t>
                </w:r>
              </w:smartTag>
            </w:smartTag>
            <w:r w:rsidR="00C118B2">
              <w:t>-</w:t>
            </w:r>
            <w:r w:rsidR="00740C0D">
              <w:t>4906</w:t>
            </w:r>
          </w:p>
          <w:p w:rsidR="0020780F" w:rsidRDefault="0020780F" w:rsidP="007856D3">
            <w:pPr>
              <w:pStyle w:val="BoardMembers"/>
            </w:pPr>
            <w:r w:rsidRPr="0020780F">
              <w:t>Phone 781-338-3000TTY: N.E.T. Relay 800-439-2370</w:t>
            </w:r>
          </w:p>
          <w:p w:rsidR="00C118B2" w:rsidRPr="00345DE2" w:rsidRDefault="00C118B2" w:rsidP="007856D3">
            <w:pPr>
              <w:pStyle w:val="BoardMembers"/>
            </w:pPr>
            <w:r>
              <w:t>www.doe.mass.edu</w:t>
            </w:r>
          </w:p>
          <w:p w:rsidR="00C118B2" w:rsidRDefault="00741DF2" w:rsidP="007856D3">
            <w:pPr>
              <w:jc w:val="center"/>
              <w:rPr>
                <w:sz w:val="18"/>
              </w:rPr>
            </w:pPr>
            <w:r>
              <w:rPr>
                <w:noProof/>
                <w:lang w:eastAsia="zh-CN" w:bidi="km-KH"/>
              </w:rPr>
              <w:drawing>
                <wp:inline distT="0" distB="0" distL="0" distR="0">
                  <wp:extent cx="1028700" cy="1009650"/>
                  <wp:effectExtent l="19050" t="0" r="0" b="0"/>
                  <wp:docPr id="4"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3" cstate="print"/>
                          <a:srcRect/>
                          <a:stretch>
                            <a:fillRect/>
                          </a:stretch>
                        </pic:blipFill>
                        <pic:spPr bwMode="auto">
                          <a:xfrm>
                            <a:off x="0" y="0"/>
                            <a:ext cx="1028700" cy="1009650"/>
                          </a:xfrm>
                          <a:prstGeom prst="rect">
                            <a:avLst/>
                          </a:prstGeom>
                          <a:noFill/>
                          <a:ln w="9525">
                            <a:noFill/>
                            <a:miter lim="800000"/>
                            <a:headEnd/>
                            <a:tailEnd/>
                          </a:ln>
                        </pic:spPr>
                      </pic:pic>
                    </a:graphicData>
                  </a:graphic>
                </wp:inline>
              </w:drawing>
            </w:r>
          </w:p>
        </w:tc>
      </w:tr>
    </w:tbl>
    <w:p w:rsidR="00FA0025" w:rsidRPr="003B1D70" w:rsidRDefault="004D45D4" w:rsidP="007102D5">
      <w:pPr>
        <w:ind w:left="540" w:firstLine="720"/>
        <w:rPr>
          <w:rFonts w:ascii="Arial" w:hAnsi="Arial" w:cs="Arial"/>
        </w:rPr>
      </w:pPr>
      <w:r>
        <w:br w:type="page"/>
      </w:r>
      <w:r w:rsidR="00741DF2">
        <w:rPr>
          <w:rFonts w:ascii="Arial" w:hAnsi="Arial" w:cs="Arial"/>
          <w:i/>
          <w:noProof/>
          <w:sz w:val="40"/>
          <w:lang w:eastAsia="zh-CN" w:bidi="km-KH"/>
        </w:rPr>
        <w:lastRenderedPageBreak/>
        <w:drawing>
          <wp:anchor distT="0" distB="0" distL="114300" distR="274320" simplePos="0" relativeHeight="251658240" behindDoc="1" locked="0" layoutInCell="0" allowOverlap="1">
            <wp:simplePos x="0" y="0"/>
            <wp:positionH relativeFrom="column">
              <wp:posOffset>-502920</wp:posOffset>
            </wp:positionH>
            <wp:positionV relativeFrom="paragraph">
              <wp:posOffset>-274320</wp:posOffset>
            </wp:positionV>
            <wp:extent cx="1090930" cy="1371600"/>
            <wp:effectExtent l="19050" t="0" r="0" b="0"/>
            <wp:wrapNone/>
            <wp:docPr id="23" name="Picture 23" descr="Massachusetts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Massachusetts State Seal"/>
                    <pic:cNvPicPr>
                      <a:picLocks noChangeAspect="1" noChangeArrowheads="1"/>
                    </pic:cNvPicPr>
                  </pic:nvPicPr>
                  <pic:blipFill>
                    <a:blip r:embed="rId14" cstate="print">
                      <a:lum bright="18000"/>
                    </a:blip>
                    <a:srcRect/>
                    <a:stretch>
                      <a:fillRect/>
                    </a:stretch>
                  </pic:blipFill>
                  <pic:spPr bwMode="auto">
                    <a:xfrm>
                      <a:off x="0" y="0"/>
                      <a:ext cx="1090930" cy="1371600"/>
                    </a:xfrm>
                    <a:prstGeom prst="rect">
                      <a:avLst/>
                    </a:prstGeom>
                    <a:noFill/>
                  </pic:spPr>
                </pic:pic>
              </a:graphicData>
            </a:graphic>
          </wp:anchor>
        </w:drawing>
      </w:r>
      <w:r w:rsidR="00FA0025" w:rsidRPr="003B1D70">
        <w:rPr>
          <w:rFonts w:ascii="Arial" w:hAnsi="Arial" w:cs="Arial"/>
          <w:b/>
          <w:i/>
          <w:sz w:val="40"/>
        </w:rPr>
        <w:t>Massachusetts Department of</w:t>
      </w:r>
    </w:p>
    <w:p w:rsidR="00FA0025" w:rsidRPr="004C1FFA" w:rsidRDefault="00FA0025" w:rsidP="004C1FFA">
      <w:pPr>
        <w:ind w:left="1260"/>
        <w:rPr>
          <w:rFonts w:ascii="Century Schoolbook" w:hAnsi="Century Schoolbook"/>
        </w:rPr>
      </w:pPr>
      <w:r w:rsidRPr="003B1D70">
        <w:rPr>
          <w:rFonts w:ascii="Arial" w:hAnsi="Arial" w:cs="Arial"/>
          <w:b/>
          <w:i/>
          <w:sz w:val="40"/>
        </w:rPr>
        <w:t xml:space="preserve">Elementary </w:t>
      </w:r>
      <w:r w:rsidR="002C2113" w:rsidRPr="003B1D70">
        <w:rPr>
          <w:rFonts w:ascii="Arial" w:hAnsi="Arial" w:cs="Arial"/>
          <w:b/>
          <w:i/>
          <w:sz w:val="40"/>
        </w:rPr>
        <w:t>&amp;</w:t>
      </w:r>
      <w:r w:rsidRPr="003B1D70">
        <w:rPr>
          <w:rFonts w:ascii="Arial" w:hAnsi="Arial" w:cs="Arial"/>
          <w:b/>
          <w:i/>
          <w:sz w:val="40"/>
        </w:rPr>
        <w:t xml:space="preserve"> Secondary Education</w:t>
      </w:r>
    </w:p>
    <w:p w:rsidR="00FA0025" w:rsidRPr="00FA0025" w:rsidRDefault="00081097" w:rsidP="002C2113">
      <w:pPr>
        <w:ind w:left="1260"/>
      </w:pPr>
      <w:r>
        <w:rPr>
          <w:noProof/>
        </w:rPr>
        <w:pict>
          <v:line id="Line 25" o:spid="_x0000_s1026" alt="Horizontal line" style="position:absolute;left:0;text-align:left;z-index:251657216;visibility:visible" from="62.4pt,5.1pt" to="473.3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" o:allowincell="f" strokeweight="1pt"/>
        </w:pict>
      </w:r>
    </w:p>
    <w:p w:rsidR="00FA0025" w:rsidRPr="00FA0025" w:rsidRDefault="003B1D70" w:rsidP="002C2113">
      <w:pPr>
        <w:tabs>
          <w:tab w:val="right" w:pos="9360"/>
        </w:tabs>
        <w:ind w:left="1260"/>
        <w:rPr>
          <w:rFonts w:ascii="Arial" w:hAnsi="Arial" w:cs="Arial"/>
          <w:i/>
          <w:sz w:val="16"/>
          <w:szCs w:val="16"/>
        </w:rPr>
      </w:pPr>
      <w:r>
        <w:rPr>
          <w:rFonts w:ascii="Arial" w:hAnsi="Arial" w:cs="Arial"/>
          <w:i/>
          <w:sz w:val="16"/>
          <w:szCs w:val="16"/>
        </w:rPr>
        <w:t xml:space="preserve">75 Pleasant </w:t>
      </w:r>
      <w:proofErr w:type="gramStart"/>
      <w:r w:rsidR="002C2113">
        <w:rPr>
          <w:rFonts w:ascii="Arial" w:hAnsi="Arial" w:cs="Arial"/>
          <w:i/>
          <w:sz w:val="16"/>
          <w:szCs w:val="16"/>
        </w:rPr>
        <w:t>Street</w:t>
      </w:r>
      <w:proofErr w:type="gramEnd"/>
      <w:r>
        <w:rPr>
          <w:rFonts w:ascii="Arial" w:hAnsi="Arial" w:cs="Arial"/>
          <w:i/>
          <w:sz w:val="16"/>
          <w:szCs w:val="16"/>
        </w:rPr>
        <w:t>, Malden, Massachusetts 02148-4906</w:t>
      </w:r>
      <w:r w:rsidR="00FA0025" w:rsidRPr="00FA0025">
        <w:rPr>
          <w:rFonts w:ascii="Arial" w:hAnsi="Arial" w:cs="Arial"/>
          <w:i/>
          <w:sz w:val="16"/>
          <w:szCs w:val="16"/>
        </w:rPr>
        <w:tab/>
        <w:t>Telephone: (781) 338-3000</w:t>
      </w:r>
    </w:p>
    <w:p w:rsidR="00FA0025" w:rsidRPr="00FA0025" w:rsidRDefault="00FA0025" w:rsidP="002C2113">
      <w:pPr>
        <w:tabs>
          <w:tab w:val="right" w:pos="9360"/>
        </w:tabs>
        <w:ind w:left="1260"/>
        <w:rPr>
          <w:rFonts w:ascii="Arial" w:hAnsi="Arial" w:cs="Arial"/>
          <w:i/>
          <w:sz w:val="16"/>
          <w:szCs w:val="16"/>
        </w:rPr>
      </w:pPr>
      <w:r>
        <w:rPr>
          <w:rFonts w:ascii="Arial" w:hAnsi="Arial" w:cs="Arial"/>
          <w:i/>
          <w:sz w:val="16"/>
          <w:szCs w:val="16"/>
        </w:rPr>
        <w:tab/>
      </w:r>
      <w:r w:rsidRPr="00FA0025">
        <w:rPr>
          <w:rFonts w:ascii="Arial" w:hAnsi="Arial" w:cs="Arial"/>
          <w:i/>
          <w:sz w:val="16"/>
          <w:szCs w:val="16"/>
        </w:rPr>
        <w:t>TTY: N.E.T. Relay 1-800-439-2370</w:t>
      </w:r>
    </w:p>
    <w:p w:rsidR="00FA0025" w:rsidRPr="00C974A6" w:rsidRDefault="00FA0025" w:rsidP="00FA0025">
      <w:pPr>
        <w:ind w:left="720"/>
        <w:rPr>
          <w:rFonts w:ascii="Arial" w:hAnsi="Arial"/>
          <w:i/>
          <w:sz w:val="16"/>
          <w:szCs w:val="16"/>
        </w:rPr>
      </w:pPr>
    </w:p>
    <w:p w:rsidR="00FA0025" w:rsidRDefault="00FA0025" w:rsidP="00FA0025">
      <w:pPr>
        <w:ind w:left="720"/>
        <w:rPr>
          <w:rFonts w:ascii="Arial" w:hAnsi="Arial"/>
          <w:i/>
          <w:sz w:val="18"/>
        </w:rPr>
        <w:sectPr w:rsidR="00FA0025" w:rsidSect="00E253B2">
          <w:endnotePr>
            <w:numFmt w:val="decimal"/>
          </w:endnotePr>
          <w:pgSz w:w="12240" w:h="15840"/>
          <w:pgMar w:top="864" w:right="1080" w:bottom="1440" w:left="1800" w:header="1440" w:footer="1440" w:gutter="0"/>
          <w:cols w:space="720"/>
          <w:noEndnote/>
          <w:docGrid w:linePitch="326"/>
        </w:sectPr>
      </w:pPr>
    </w:p>
    <w:tbl>
      <w:tblPr>
        <w:tblStyle w:val="TableGrid"/>
        <w:tblpPr w:leftFromText="180" w:rightFromText="180" w:vertAnchor="text" w:horzAnchor="page" w:tblpX="523" w:tblpY="-2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640"/>
        <w:gridCol w:w="6936"/>
      </w:tblGrid>
      <w:tr w:rsidR="00E253B2" w:rsidRPr="00C974A6" w:rsidTr="00E253B2">
        <w:tc>
          <w:tcPr>
            <w:tcW w:w="2640" w:type="dxa"/>
          </w:tcPr>
          <w:p w:rsidR="00E253B2" w:rsidRPr="00FA7DF8" w:rsidRDefault="00E253B2" w:rsidP="00E253B2">
            <w:pPr>
              <w:jc w:val="center"/>
              <w:rPr>
                <w:rFonts w:ascii="Arial" w:hAnsi="Arial" w:cs="Arial"/>
                <w:sz w:val="14"/>
                <w:szCs w:val="14"/>
              </w:rPr>
            </w:pPr>
          </w:p>
          <w:p w:rsidR="00E253B2" w:rsidRDefault="00E253B2" w:rsidP="00E253B2">
            <w:pPr>
              <w:jc w:val="center"/>
              <w:rPr>
                <w:rFonts w:ascii="Arial" w:hAnsi="Arial" w:cs="Arial"/>
                <w:sz w:val="16"/>
                <w:szCs w:val="16"/>
              </w:rPr>
            </w:pPr>
            <w:r>
              <w:rPr>
                <w:rFonts w:ascii="Arial" w:hAnsi="Arial" w:cs="Arial"/>
                <w:sz w:val="16"/>
                <w:szCs w:val="16"/>
              </w:rPr>
              <w:t xml:space="preserve">Mitchell D. Chester, </w:t>
            </w:r>
            <w:r w:rsidRPr="00E90934">
              <w:rPr>
                <w:rFonts w:ascii="Arial" w:hAnsi="Arial" w:cs="Arial"/>
                <w:sz w:val="16"/>
                <w:szCs w:val="16"/>
              </w:rPr>
              <w:t>Ed.D</w:t>
            </w:r>
            <w:r>
              <w:rPr>
                <w:rFonts w:ascii="Arial" w:hAnsi="Arial" w:cs="Arial"/>
                <w:sz w:val="16"/>
                <w:szCs w:val="16"/>
              </w:rPr>
              <w:t>.</w:t>
            </w:r>
          </w:p>
          <w:p w:rsidR="00E253B2" w:rsidRPr="00E90934" w:rsidRDefault="00E253B2" w:rsidP="00E253B2">
            <w:pPr>
              <w:jc w:val="center"/>
              <w:rPr>
                <w:rFonts w:ascii="Arial" w:hAnsi="Arial"/>
                <w:i/>
                <w:sz w:val="16"/>
                <w:szCs w:val="16"/>
              </w:rPr>
            </w:pPr>
            <w:r w:rsidRPr="00E90934">
              <w:rPr>
                <w:rFonts w:ascii="Arial" w:hAnsi="Arial"/>
                <w:i/>
                <w:sz w:val="16"/>
                <w:szCs w:val="16"/>
              </w:rPr>
              <w:t>Commissioner</w:t>
            </w:r>
          </w:p>
        </w:tc>
        <w:tc>
          <w:tcPr>
            <w:tcW w:w="6936" w:type="dxa"/>
          </w:tcPr>
          <w:p w:rsidR="00E253B2" w:rsidRPr="00C974A6" w:rsidRDefault="00E253B2" w:rsidP="00E253B2">
            <w:pPr>
              <w:jc w:val="center"/>
              <w:rPr>
                <w:rFonts w:ascii="Arial" w:hAnsi="Arial"/>
                <w:i/>
                <w:sz w:val="16"/>
                <w:szCs w:val="16"/>
              </w:rPr>
            </w:pPr>
          </w:p>
        </w:tc>
      </w:tr>
    </w:tbl>
    <w:p w:rsidR="00FA0025" w:rsidRPr="00C974A6" w:rsidRDefault="00FA0025" w:rsidP="00FA0025">
      <w:pPr>
        <w:ind w:left="720"/>
        <w:jc w:val="center"/>
        <w:rPr>
          <w:rFonts w:ascii="Arial" w:hAnsi="Arial"/>
          <w:i/>
          <w:sz w:val="16"/>
          <w:szCs w:val="16"/>
        </w:rPr>
      </w:pPr>
    </w:p>
    <w:p w:rsidR="00FA0025" w:rsidRDefault="00FA0025" w:rsidP="00FA0025">
      <w:pPr>
        <w:rPr>
          <w:rFonts w:ascii="Arial" w:hAnsi="Arial"/>
          <w:i/>
          <w:sz w:val="18"/>
        </w:rPr>
      </w:pPr>
    </w:p>
    <w:p w:rsidR="00E253B2" w:rsidRDefault="00E253B2" w:rsidP="00FA0025"/>
    <w:p w:rsidR="00E253B2" w:rsidRDefault="00E253B2" w:rsidP="00FA0025"/>
    <w:p w:rsidR="00750148" w:rsidRPr="007856D3" w:rsidRDefault="0057102B" w:rsidP="00FA0025">
      <w:pPr>
        <w:rPr>
          <w:sz w:val="22"/>
        </w:rPr>
      </w:pPr>
      <w:r>
        <w:rPr>
          <w:sz w:val="22"/>
        </w:rPr>
        <w:t>December</w:t>
      </w:r>
      <w:r w:rsidR="00750148" w:rsidRPr="007856D3">
        <w:rPr>
          <w:sz w:val="22"/>
        </w:rPr>
        <w:t xml:space="preserve"> 2014</w:t>
      </w:r>
    </w:p>
    <w:p w:rsidR="00750148" w:rsidRPr="007856D3" w:rsidRDefault="00750148" w:rsidP="00FA0025">
      <w:pPr>
        <w:rPr>
          <w:sz w:val="22"/>
        </w:rPr>
      </w:pPr>
    </w:p>
    <w:p w:rsidR="00750148" w:rsidRPr="007856D3" w:rsidRDefault="00750148" w:rsidP="00FA0025">
      <w:pPr>
        <w:rPr>
          <w:sz w:val="22"/>
        </w:rPr>
      </w:pPr>
      <w:r w:rsidRPr="007856D3">
        <w:rPr>
          <w:sz w:val="22"/>
        </w:rPr>
        <w:t>Dear Members of the General Court:</w:t>
      </w:r>
    </w:p>
    <w:p w:rsidR="00750148" w:rsidRPr="007856D3" w:rsidRDefault="00750148" w:rsidP="00FA0025">
      <w:pPr>
        <w:rPr>
          <w:sz w:val="22"/>
        </w:rPr>
      </w:pPr>
    </w:p>
    <w:p w:rsidR="00750148" w:rsidRPr="007856D3" w:rsidRDefault="00750148" w:rsidP="00FA0025">
      <w:pPr>
        <w:rPr>
          <w:sz w:val="22"/>
        </w:rPr>
      </w:pPr>
      <w:r w:rsidRPr="007856D3">
        <w:rPr>
          <w:sz w:val="22"/>
        </w:rPr>
        <w:t>I am pleased to submit this Report to the Legislature: Commonwealth of Massachusetts Virtual Schools, pursuant to G.L. c. 71, §</w:t>
      </w:r>
      <w:r w:rsidR="00A6379D">
        <w:rPr>
          <w:sz w:val="22"/>
        </w:rPr>
        <w:t xml:space="preserve"> </w:t>
      </w:r>
      <w:r w:rsidRPr="007856D3">
        <w:rPr>
          <w:sz w:val="22"/>
        </w:rPr>
        <w:t>94(q).</w:t>
      </w:r>
    </w:p>
    <w:p w:rsidR="00750148" w:rsidRPr="007856D3" w:rsidRDefault="00750148" w:rsidP="00FA0025">
      <w:pPr>
        <w:rPr>
          <w:sz w:val="22"/>
        </w:rPr>
      </w:pPr>
    </w:p>
    <w:p w:rsidR="00750148" w:rsidRPr="007856D3" w:rsidRDefault="00750148" w:rsidP="00750148">
      <w:pPr>
        <w:rPr>
          <w:sz w:val="22"/>
        </w:rPr>
      </w:pPr>
      <w:r w:rsidRPr="007856D3">
        <w:rPr>
          <w:sz w:val="22"/>
        </w:rPr>
        <w:t>On January 2, 2013, Governor Patrick signed into law Chapter 379 of the Acts of 2012, “An Act Establishing Commonwealth Virtual Schools”</w:t>
      </w:r>
      <w:r w:rsidR="003B7BD8" w:rsidRPr="007856D3">
        <w:rPr>
          <w:sz w:val="22"/>
        </w:rPr>
        <w:t xml:space="preserve"> (Act)</w:t>
      </w:r>
      <w:r w:rsidRPr="007856D3">
        <w:rPr>
          <w:sz w:val="22"/>
        </w:rPr>
        <w:t xml:space="preserve">, most of which is codified as G.L. c. 71, § 94. </w:t>
      </w:r>
      <w:r w:rsidR="00A86820" w:rsidRPr="007856D3">
        <w:rPr>
          <w:sz w:val="22"/>
        </w:rPr>
        <w:t xml:space="preserve">Commonwealth of Massachusetts Virtual Schools (CMVS) are public schools operated by a board of trustees where teachers primarily teach from a remote location using the Internet or other computer-based methods, and where students are not required to be located at the physical premises of the school. </w:t>
      </w:r>
      <w:r w:rsidR="00743532" w:rsidRPr="007856D3">
        <w:rPr>
          <w:sz w:val="22"/>
        </w:rPr>
        <w:t xml:space="preserve">The law </w:t>
      </w:r>
      <w:r w:rsidRPr="007856D3">
        <w:rPr>
          <w:sz w:val="22"/>
        </w:rPr>
        <w:t xml:space="preserve">authorized the Board of Elementary and Secondary Education (Board) to adopt regulations </w:t>
      </w:r>
      <w:r w:rsidR="00A6379D">
        <w:rPr>
          <w:sz w:val="22"/>
        </w:rPr>
        <w:t xml:space="preserve">and, through the Department, </w:t>
      </w:r>
      <w:r w:rsidRPr="007856D3">
        <w:rPr>
          <w:sz w:val="22"/>
        </w:rPr>
        <w:t xml:space="preserve">oversee the establishment and operation of publicly </w:t>
      </w:r>
      <w:proofErr w:type="gramStart"/>
      <w:r w:rsidRPr="007856D3">
        <w:rPr>
          <w:sz w:val="22"/>
        </w:rPr>
        <w:t>funded,</w:t>
      </w:r>
      <w:proofErr w:type="gramEnd"/>
      <w:r w:rsidRPr="007856D3">
        <w:rPr>
          <w:sz w:val="22"/>
        </w:rPr>
        <w:t xml:space="preserve"> high quality virtual schools in the Commonwealth. </w:t>
      </w:r>
      <w:r w:rsidR="00993FF5" w:rsidRPr="007856D3">
        <w:rPr>
          <w:sz w:val="22"/>
        </w:rPr>
        <w:t>Previously</w:t>
      </w:r>
      <w:r w:rsidR="002869EC" w:rsidRPr="007856D3">
        <w:rPr>
          <w:sz w:val="22"/>
        </w:rPr>
        <w:t>,</w:t>
      </w:r>
      <w:r w:rsidR="0004160B" w:rsidRPr="007856D3">
        <w:rPr>
          <w:sz w:val="22"/>
        </w:rPr>
        <w:t xml:space="preserve"> </w:t>
      </w:r>
      <w:r w:rsidR="002869EC" w:rsidRPr="007856D3">
        <w:rPr>
          <w:sz w:val="22"/>
        </w:rPr>
        <w:t>virtual schools</w:t>
      </w:r>
      <w:r w:rsidR="0004160B" w:rsidRPr="007856D3">
        <w:rPr>
          <w:sz w:val="22"/>
        </w:rPr>
        <w:t xml:space="preserve"> </w:t>
      </w:r>
      <w:r w:rsidR="00743532" w:rsidRPr="007856D3">
        <w:rPr>
          <w:sz w:val="22"/>
        </w:rPr>
        <w:t xml:space="preserve">were governed by the innovation </w:t>
      </w:r>
      <w:r w:rsidR="00A6379D">
        <w:rPr>
          <w:sz w:val="22"/>
        </w:rPr>
        <w:t>school statue (G.L. c. 71, § 92</w:t>
      </w:r>
      <w:r w:rsidR="00743532" w:rsidRPr="007856D3">
        <w:rPr>
          <w:sz w:val="22"/>
        </w:rPr>
        <w:t xml:space="preserve">). The </w:t>
      </w:r>
      <w:r w:rsidR="0004160B" w:rsidRPr="007856D3">
        <w:rPr>
          <w:sz w:val="22"/>
        </w:rPr>
        <w:t>new law</w:t>
      </w:r>
      <w:r w:rsidR="00743532" w:rsidRPr="007856D3">
        <w:rPr>
          <w:sz w:val="22"/>
        </w:rPr>
        <w:t xml:space="preserve"> </w:t>
      </w:r>
      <w:r w:rsidR="0004160B" w:rsidRPr="007856D3">
        <w:rPr>
          <w:sz w:val="22"/>
        </w:rPr>
        <w:t>provides</w:t>
      </w:r>
      <w:r w:rsidR="00743532" w:rsidRPr="007856D3">
        <w:rPr>
          <w:sz w:val="22"/>
        </w:rPr>
        <w:t xml:space="preserve"> for </w:t>
      </w:r>
      <w:r w:rsidR="0004160B" w:rsidRPr="007856D3">
        <w:rPr>
          <w:sz w:val="22"/>
        </w:rPr>
        <w:t xml:space="preserve">a </w:t>
      </w:r>
      <w:r w:rsidR="00743532" w:rsidRPr="007856D3">
        <w:rPr>
          <w:sz w:val="22"/>
        </w:rPr>
        <w:t xml:space="preserve">stronger oversight and consumer protection role for the state than the innovation school statute. </w:t>
      </w:r>
      <w:r w:rsidRPr="007856D3">
        <w:rPr>
          <w:sz w:val="22"/>
        </w:rPr>
        <w:t xml:space="preserve">The Board memo from the January 2013 meeting highlights key components of the law: </w:t>
      </w:r>
      <w:hyperlink r:id="rId15" w:history="1">
        <w:r w:rsidR="002869EC" w:rsidRPr="007856D3">
          <w:rPr>
            <w:rStyle w:val="Hyperlink"/>
            <w:sz w:val="22"/>
          </w:rPr>
          <w:t>www.doe.mass.edu/boe/docs/2013-01/item4.html</w:t>
        </w:r>
      </w:hyperlink>
      <w:r w:rsidRPr="007856D3">
        <w:rPr>
          <w:sz w:val="22"/>
        </w:rPr>
        <w:t>.</w:t>
      </w:r>
    </w:p>
    <w:p w:rsidR="00750148" w:rsidRPr="007856D3" w:rsidRDefault="00750148" w:rsidP="00750148">
      <w:pPr>
        <w:rPr>
          <w:sz w:val="22"/>
        </w:rPr>
      </w:pPr>
    </w:p>
    <w:p w:rsidR="00A86820" w:rsidRPr="007856D3" w:rsidRDefault="0004160B" w:rsidP="00750148">
      <w:pPr>
        <w:rPr>
          <w:sz w:val="22"/>
        </w:rPr>
      </w:pPr>
      <w:r w:rsidRPr="007856D3">
        <w:rPr>
          <w:sz w:val="22"/>
        </w:rPr>
        <w:t>As</w:t>
      </w:r>
      <w:r w:rsidR="000C3E65" w:rsidRPr="007856D3">
        <w:rPr>
          <w:sz w:val="22"/>
        </w:rPr>
        <w:t xml:space="preserve"> of this writing, t</w:t>
      </w:r>
      <w:r w:rsidR="00750148" w:rsidRPr="007856D3">
        <w:rPr>
          <w:sz w:val="22"/>
        </w:rPr>
        <w:t xml:space="preserve">he Board has granted </w:t>
      </w:r>
      <w:r w:rsidR="00A86820" w:rsidRPr="007856D3">
        <w:rPr>
          <w:sz w:val="22"/>
        </w:rPr>
        <w:t xml:space="preserve">two virtual school </w:t>
      </w:r>
      <w:r w:rsidR="00750148" w:rsidRPr="007856D3">
        <w:rPr>
          <w:sz w:val="22"/>
        </w:rPr>
        <w:t>certificates</w:t>
      </w:r>
      <w:r w:rsidR="00A86820" w:rsidRPr="007856D3">
        <w:rPr>
          <w:sz w:val="22"/>
        </w:rPr>
        <w:t>: one to the Massachusetts Virtual Academy at Greenfield Commonwealth Virtual School (GCVS)</w:t>
      </w:r>
      <w:r w:rsidR="002869EC" w:rsidRPr="007856D3">
        <w:rPr>
          <w:sz w:val="22"/>
        </w:rPr>
        <w:t>,</w:t>
      </w:r>
      <w:r w:rsidR="00A86820" w:rsidRPr="007856D3">
        <w:rPr>
          <w:sz w:val="22"/>
        </w:rPr>
        <w:t xml:space="preserve"> on June 25, 2013, and one to the TEC Connections Academy Commonwealth Virtual School (TECCA)</w:t>
      </w:r>
      <w:r w:rsidR="002869EC" w:rsidRPr="007856D3">
        <w:rPr>
          <w:sz w:val="22"/>
        </w:rPr>
        <w:t>,</w:t>
      </w:r>
      <w:r w:rsidR="00A86820" w:rsidRPr="007856D3">
        <w:rPr>
          <w:sz w:val="22"/>
        </w:rPr>
        <w:t xml:space="preserve"> on February 25, 2014. </w:t>
      </w:r>
      <w:r w:rsidR="009242E6">
        <w:rPr>
          <w:sz w:val="22"/>
        </w:rPr>
        <w:t>B</w:t>
      </w:r>
      <w:r w:rsidR="000C3E65" w:rsidRPr="007856D3">
        <w:rPr>
          <w:sz w:val="22"/>
        </w:rPr>
        <w:t xml:space="preserve">oth schools </w:t>
      </w:r>
      <w:r w:rsidR="009242E6">
        <w:rPr>
          <w:sz w:val="22"/>
        </w:rPr>
        <w:t>were</w:t>
      </w:r>
      <w:r w:rsidR="002869EC" w:rsidRPr="007856D3">
        <w:rPr>
          <w:sz w:val="22"/>
        </w:rPr>
        <w:t xml:space="preserve"> grant</w:t>
      </w:r>
      <w:r w:rsidR="009242E6">
        <w:rPr>
          <w:sz w:val="22"/>
        </w:rPr>
        <w:t>ed</w:t>
      </w:r>
      <w:r w:rsidR="002869EC" w:rsidRPr="007856D3">
        <w:rPr>
          <w:sz w:val="22"/>
        </w:rPr>
        <w:t xml:space="preserve"> certificates for a three-year period instead of the five</w:t>
      </w:r>
      <w:r w:rsidR="00A86820" w:rsidRPr="007856D3">
        <w:rPr>
          <w:sz w:val="22"/>
        </w:rPr>
        <w:t xml:space="preserve"> allowed by statute. This is because the CMVS initiative is new, and I want to ensure that virtual schools provide high quality programs and that student data show their programs are academically successful.</w:t>
      </w:r>
    </w:p>
    <w:p w:rsidR="000C3E65" w:rsidRPr="007856D3" w:rsidRDefault="000C3E65" w:rsidP="00750148">
      <w:pPr>
        <w:rPr>
          <w:sz w:val="22"/>
        </w:rPr>
      </w:pPr>
    </w:p>
    <w:p w:rsidR="000C3E65" w:rsidRPr="007856D3" w:rsidRDefault="000C3E65" w:rsidP="00750148">
      <w:pPr>
        <w:rPr>
          <w:sz w:val="22"/>
        </w:rPr>
      </w:pPr>
      <w:r w:rsidRPr="007856D3">
        <w:rPr>
          <w:sz w:val="22"/>
        </w:rPr>
        <w:t xml:space="preserve">This report provides information on the implement and impact of the </w:t>
      </w:r>
      <w:r w:rsidR="006840EC" w:rsidRPr="007856D3">
        <w:rPr>
          <w:sz w:val="22"/>
        </w:rPr>
        <w:t xml:space="preserve">CMVS </w:t>
      </w:r>
      <w:r w:rsidRPr="007856D3">
        <w:rPr>
          <w:sz w:val="22"/>
        </w:rPr>
        <w:t>statute</w:t>
      </w:r>
      <w:r w:rsidR="002869EC" w:rsidRPr="007856D3">
        <w:rPr>
          <w:sz w:val="22"/>
        </w:rPr>
        <w:t>,</w:t>
      </w:r>
      <w:r w:rsidR="0004160B" w:rsidRPr="007856D3">
        <w:rPr>
          <w:sz w:val="22"/>
        </w:rPr>
        <w:t xml:space="preserve"> and incorporates </w:t>
      </w:r>
      <w:r w:rsidRPr="007856D3">
        <w:rPr>
          <w:sz w:val="22"/>
        </w:rPr>
        <w:t xml:space="preserve">the findings of the Department’s first </w:t>
      </w:r>
      <w:r w:rsidR="006840EC" w:rsidRPr="007856D3">
        <w:rPr>
          <w:sz w:val="22"/>
        </w:rPr>
        <w:t xml:space="preserve">CMVS </w:t>
      </w:r>
      <w:r w:rsidRPr="007856D3">
        <w:rPr>
          <w:sz w:val="22"/>
        </w:rPr>
        <w:t>accountability review (GCVS) on June 5, 2014.</w:t>
      </w:r>
    </w:p>
    <w:p w:rsidR="000C3E65" w:rsidRPr="007856D3" w:rsidRDefault="000C3E65" w:rsidP="00750148">
      <w:pPr>
        <w:rPr>
          <w:sz w:val="22"/>
        </w:rPr>
      </w:pPr>
    </w:p>
    <w:p w:rsidR="00750148" w:rsidRPr="007856D3" w:rsidRDefault="00750148" w:rsidP="00750148">
      <w:pPr>
        <w:rPr>
          <w:sz w:val="22"/>
        </w:rPr>
      </w:pPr>
      <w:r w:rsidRPr="007856D3">
        <w:rPr>
          <w:sz w:val="22"/>
        </w:rPr>
        <w:t xml:space="preserve">I am available if you have questions or would like to discuss this further. You may also contact Associate Commissioner Cliff W. Chuang at </w:t>
      </w:r>
      <w:hyperlink r:id="rId16" w:history="1">
        <w:r w:rsidRPr="007856D3">
          <w:rPr>
            <w:rStyle w:val="Hyperlink"/>
            <w:sz w:val="22"/>
          </w:rPr>
          <w:t>cchuang@doe.mass.edu</w:t>
        </w:r>
      </w:hyperlink>
      <w:r w:rsidRPr="007856D3">
        <w:rPr>
          <w:sz w:val="22"/>
        </w:rPr>
        <w:t>, 781-338-3222.</w:t>
      </w:r>
    </w:p>
    <w:p w:rsidR="00750148" w:rsidRPr="007856D3" w:rsidRDefault="00750148" w:rsidP="00750148">
      <w:pPr>
        <w:rPr>
          <w:sz w:val="22"/>
        </w:rPr>
      </w:pPr>
    </w:p>
    <w:p w:rsidR="00750148" w:rsidRPr="007856D3" w:rsidRDefault="00750148" w:rsidP="00750148">
      <w:pPr>
        <w:rPr>
          <w:sz w:val="22"/>
        </w:rPr>
      </w:pPr>
      <w:r w:rsidRPr="007856D3">
        <w:rPr>
          <w:sz w:val="22"/>
        </w:rPr>
        <w:t>Sincerely,</w:t>
      </w:r>
    </w:p>
    <w:p w:rsidR="00750148" w:rsidRDefault="00750148" w:rsidP="00750148">
      <w:pPr>
        <w:rPr>
          <w:sz w:val="22"/>
        </w:rPr>
      </w:pPr>
    </w:p>
    <w:p w:rsidR="00A6379D" w:rsidRDefault="00A6379D" w:rsidP="00750148">
      <w:pPr>
        <w:rPr>
          <w:sz w:val="22"/>
        </w:rPr>
      </w:pPr>
    </w:p>
    <w:p w:rsidR="00A6379D" w:rsidRPr="007856D3" w:rsidRDefault="00A6379D" w:rsidP="00750148">
      <w:pPr>
        <w:rPr>
          <w:sz w:val="22"/>
        </w:rPr>
      </w:pPr>
    </w:p>
    <w:p w:rsidR="00750148" w:rsidRPr="007856D3" w:rsidRDefault="00750148" w:rsidP="00750148">
      <w:pPr>
        <w:rPr>
          <w:sz w:val="22"/>
        </w:rPr>
      </w:pPr>
      <w:r w:rsidRPr="007856D3">
        <w:rPr>
          <w:sz w:val="22"/>
        </w:rPr>
        <w:t>Mitchell D. Chester, Ed.D.</w:t>
      </w:r>
    </w:p>
    <w:p w:rsidR="002C2113" w:rsidRDefault="00750148" w:rsidP="00FA0025">
      <w:r w:rsidRPr="007856D3">
        <w:rPr>
          <w:sz w:val="22"/>
        </w:rPr>
        <w:t>Commissioner of Elementary and Secondary Education</w:t>
      </w:r>
    </w:p>
    <w:p w:rsidR="002C2113" w:rsidRDefault="002C2113" w:rsidP="00FA0025">
      <w:pPr>
        <w:sectPr w:rsidR="002C2113" w:rsidSect="007102D5">
          <w:endnotePr>
            <w:numFmt w:val="decimal"/>
          </w:endnotePr>
          <w:type w:val="continuous"/>
          <w:pgSz w:w="12240" w:h="15840"/>
          <w:pgMar w:top="1440" w:right="1440" w:bottom="1440" w:left="1440" w:header="1440" w:footer="1440" w:gutter="0"/>
          <w:cols w:space="720"/>
          <w:noEndnote/>
          <w:docGrid w:linePitch="326"/>
        </w:sectPr>
      </w:pPr>
    </w:p>
    <w:p w:rsidR="00FA0025" w:rsidRDefault="00FA0025" w:rsidP="00FA0025"/>
    <w:p w:rsidR="003F3636" w:rsidRPr="00E951F4" w:rsidRDefault="003F3636" w:rsidP="005A367D">
      <w:pPr>
        <w:pStyle w:val="ESETOCHeading"/>
        <w:rPr>
          <w:rFonts w:ascii="Arial" w:hAnsi="Arial" w:cs="Arial"/>
          <w:sz w:val="32"/>
        </w:rPr>
      </w:pPr>
      <w:r w:rsidRPr="00E951F4">
        <w:rPr>
          <w:rFonts w:ascii="Arial" w:hAnsi="Arial" w:cs="Arial"/>
          <w:sz w:val="32"/>
        </w:rPr>
        <w:t>Table of Contents</w:t>
      </w:r>
    </w:p>
    <w:p w:rsidR="00B53FD0" w:rsidRDefault="00081097">
      <w:pPr>
        <w:pStyle w:val="TOC1"/>
        <w:rPr>
          <w:rFonts w:asciiTheme="minorHAnsi" w:eastAsiaTheme="minorEastAsia" w:hAnsiTheme="minorHAnsi" w:cstheme="minorBidi"/>
          <w:b w:val="0"/>
          <w:noProof/>
          <w:sz w:val="22"/>
          <w:szCs w:val="22"/>
        </w:rPr>
      </w:pPr>
      <w:r w:rsidRPr="00081097">
        <w:rPr>
          <w:sz w:val="14"/>
        </w:rPr>
        <w:fldChar w:fldCharType="begin"/>
      </w:r>
      <w:r w:rsidR="003F3636" w:rsidRPr="00212CA3">
        <w:rPr>
          <w:sz w:val="14"/>
        </w:rPr>
        <w:instrText xml:space="preserve"> TOC \o "1-3" \h \z \u </w:instrText>
      </w:r>
      <w:r w:rsidRPr="00081097">
        <w:rPr>
          <w:sz w:val="14"/>
        </w:rPr>
        <w:fldChar w:fldCharType="separate"/>
      </w:r>
      <w:hyperlink w:anchor="_Toc415485248" w:history="1">
        <w:r w:rsidR="00B53FD0" w:rsidRPr="007810C7">
          <w:rPr>
            <w:rStyle w:val="Hyperlink"/>
            <w:noProof/>
          </w:rPr>
          <w:t>Introduction</w:t>
        </w:r>
        <w:r w:rsidR="00B53FD0">
          <w:rPr>
            <w:noProof/>
            <w:webHidden/>
          </w:rPr>
          <w:tab/>
        </w:r>
        <w:r>
          <w:rPr>
            <w:noProof/>
            <w:webHidden/>
          </w:rPr>
          <w:fldChar w:fldCharType="begin"/>
        </w:r>
        <w:r w:rsidR="00B53FD0">
          <w:rPr>
            <w:noProof/>
            <w:webHidden/>
          </w:rPr>
          <w:instrText xml:space="preserve"> PAGEREF _Toc415485248 \h </w:instrText>
        </w:r>
        <w:r>
          <w:rPr>
            <w:noProof/>
            <w:webHidden/>
          </w:rPr>
        </w:r>
        <w:r>
          <w:rPr>
            <w:noProof/>
            <w:webHidden/>
          </w:rPr>
          <w:fldChar w:fldCharType="separate"/>
        </w:r>
        <w:r w:rsidR="00B53FD0">
          <w:rPr>
            <w:noProof/>
            <w:webHidden/>
          </w:rPr>
          <w:t>1</w:t>
        </w:r>
        <w:r>
          <w:rPr>
            <w:noProof/>
            <w:webHidden/>
          </w:rPr>
          <w:fldChar w:fldCharType="end"/>
        </w:r>
      </w:hyperlink>
    </w:p>
    <w:p w:rsidR="00B53FD0" w:rsidRDefault="00081097">
      <w:pPr>
        <w:pStyle w:val="TOC3"/>
        <w:tabs>
          <w:tab w:val="right" w:leader="dot" w:pos="9350"/>
        </w:tabs>
        <w:rPr>
          <w:rFonts w:asciiTheme="minorHAnsi" w:eastAsiaTheme="minorEastAsia" w:hAnsiTheme="minorHAnsi" w:cstheme="minorBidi"/>
          <w:noProof/>
          <w:szCs w:val="22"/>
        </w:rPr>
      </w:pPr>
      <w:hyperlink w:anchor="_Toc415485249" w:history="1">
        <w:r w:rsidR="00B53FD0" w:rsidRPr="007810C7">
          <w:rPr>
            <w:rStyle w:val="Hyperlink"/>
            <w:noProof/>
          </w:rPr>
          <w:t>Massachusetts Virtual Academy at Greenfield Commonwealth Virtual School (GCVS)</w:t>
        </w:r>
        <w:r w:rsidR="00B53FD0">
          <w:rPr>
            <w:noProof/>
            <w:webHidden/>
          </w:rPr>
          <w:tab/>
        </w:r>
        <w:r>
          <w:rPr>
            <w:noProof/>
            <w:webHidden/>
          </w:rPr>
          <w:fldChar w:fldCharType="begin"/>
        </w:r>
        <w:r w:rsidR="00B53FD0">
          <w:rPr>
            <w:noProof/>
            <w:webHidden/>
          </w:rPr>
          <w:instrText xml:space="preserve"> PAGEREF _Toc415485249 \h </w:instrText>
        </w:r>
        <w:r>
          <w:rPr>
            <w:noProof/>
            <w:webHidden/>
          </w:rPr>
        </w:r>
        <w:r>
          <w:rPr>
            <w:noProof/>
            <w:webHidden/>
          </w:rPr>
          <w:fldChar w:fldCharType="separate"/>
        </w:r>
        <w:r w:rsidR="00B53FD0">
          <w:rPr>
            <w:noProof/>
            <w:webHidden/>
          </w:rPr>
          <w:t>1</w:t>
        </w:r>
        <w:r>
          <w:rPr>
            <w:noProof/>
            <w:webHidden/>
          </w:rPr>
          <w:fldChar w:fldCharType="end"/>
        </w:r>
      </w:hyperlink>
    </w:p>
    <w:p w:rsidR="00B53FD0" w:rsidRDefault="00081097">
      <w:pPr>
        <w:pStyle w:val="TOC3"/>
        <w:tabs>
          <w:tab w:val="right" w:leader="dot" w:pos="9350"/>
        </w:tabs>
        <w:rPr>
          <w:rFonts w:asciiTheme="minorHAnsi" w:eastAsiaTheme="minorEastAsia" w:hAnsiTheme="minorHAnsi" w:cstheme="minorBidi"/>
          <w:noProof/>
          <w:szCs w:val="22"/>
        </w:rPr>
      </w:pPr>
      <w:hyperlink w:anchor="_Toc415485250" w:history="1">
        <w:r w:rsidR="00B53FD0" w:rsidRPr="007810C7">
          <w:rPr>
            <w:rStyle w:val="Hyperlink"/>
            <w:noProof/>
          </w:rPr>
          <w:t>TEC Connections Academy Commonwealth Virtual School (TECCA)</w:t>
        </w:r>
        <w:r w:rsidR="00B53FD0">
          <w:rPr>
            <w:noProof/>
            <w:webHidden/>
          </w:rPr>
          <w:tab/>
        </w:r>
        <w:r>
          <w:rPr>
            <w:noProof/>
            <w:webHidden/>
          </w:rPr>
          <w:fldChar w:fldCharType="begin"/>
        </w:r>
        <w:r w:rsidR="00B53FD0">
          <w:rPr>
            <w:noProof/>
            <w:webHidden/>
          </w:rPr>
          <w:instrText xml:space="preserve"> PAGEREF _Toc415485250 \h </w:instrText>
        </w:r>
        <w:r>
          <w:rPr>
            <w:noProof/>
            <w:webHidden/>
          </w:rPr>
        </w:r>
        <w:r>
          <w:rPr>
            <w:noProof/>
            <w:webHidden/>
          </w:rPr>
          <w:fldChar w:fldCharType="separate"/>
        </w:r>
        <w:r w:rsidR="00B53FD0">
          <w:rPr>
            <w:noProof/>
            <w:webHidden/>
          </w:rPr>
          <w:t>3</w:t>
        </w:r>
        <w:r>
          <w:rPr>
            <w:noProof/>
            <w:webHidden/>
          </w:rPr>
          <w:fldChar w:fldCharType="end"/>
        </w:r>
      </w:hyperlink>
    </w:p>
    <w:p w:rsidR="00B53FD0" w:rsidRDefault="00081097">
      <w:pPr>
        <w:pStyle w:val="TOC1"/>
        <w:rPr>
          <w:rFonts w:asciiTheme="minorHAnsi" w:eastAsiaTheme="minorEastAsia" w:hAnsiTheme="minorHAnsi" w:cstheme="minorBidi"/>
          <w:b w:val="0"/>
          <w:noProof/>
          <w:sz w:val="22"/>
          <w:szCs w:val="22"/>
        </w:rPr>
      </w:pPr>
      <w:hyperlink w:anchor="_Toc415485251" w:history="1">
        <w:r w:rsidR="00B53FD0" w:rsidRPr="007810C7">
          <w:rPr>
            <w:rStyle w:val="Hyperlink"/>
            <w:noProof/>
          </w:rPr>
          <w:t>Massachusetts Virtual Academy at Greenfield Commonwealth Virtual School (GCVS)</w:t>
        </w:r>
        <w:r w:rsidR="00B53FD0">
          <w:rPr>
            <w:noProof/>
            <w:webHidden/>
          </w:rPr>
          <w:tab/>
        </w:r>
        <w:r>
          <w:rPr>
            <w:noProof/>
            <w:webHidden/>
          </w:rPr>
          <w:fldChar w:fldCharType="begin"/>
        </w:r>
        <w:r w:rsidR="00B53FD0">
          <w:rPr>
            <w:noProof/>
            <w:webHidden/>
          </w:rPr>
          <w:instrText xml:space="preserve"> PAGEREF _Toc415485251 \h </w:instrText>
        </w:r>
        <w:r>
          <w:rPr>
            <w:noProof/>
            <w:webHidden/>
          </w:rPr>
        </w:r>
        <w:r>
          <w:rPr>
            <w:noProof/>
            <w:webHidden/>
          </w:rPr>
          <w:fldChar w:fldCharType="separate"/>
        </w:r>
        <w:r w:rsidR="00B53FD0">
          <w:rPr>
            <w:noProof/>
            <w:webHidden/>
          </w:rPr>
          <w:t>4</w:t>
        </w:r>
        <w:r>
          <w:rPr>
            <w:noProof/>
            <w:webHidden/>
          </w:rPr>
          <w:fldChar w:fldCharType="end"/>
        </w:r>
      </w:hyperlink>
    </w:p>
    <w:p w:rsidR="00B53FD0" w:rsidRDefault="00081097">
      <w:pPr>
        <w:pStyle w:val="TOC3"/>
        <w:tabs>
          <w:tab w:val="right" w:leader="dot" w:pos="9350"/>
        </w:tabs>
        <w:rPr>
          <w:rFonts w:asciiTheme="minorHAnsi" w:eastAsiaTheme="minorEastAsia" w:hAnsiTheme="minorHAnsi" w:cstheme="minorBidi"/>
          <w:noProof/>
          <w:szCs w:val="22"/>
        </w:rPr>
      </w:pPr>
      <w:hyperlink w:anchor="_Toc415485252" w:history="1">
        <w:r w:rsidR="00B53FD0" w:rsidRPr="007810C7">
          <w:rPr>
            <w:rStyle w:val="Hyperlink"/>
            <w:noProof/>
          </w:rPr>
          <w:t>Fiscal Impact on Sending Districts</w:t>
        </w:r>
        <w:r w:rsidR="00B53FD0">
          <w:rPr>
            <w:noProof/>
            <w:webHidden/>
          </w:rPr>
          <w:tab/>
        </w:r>
        <w:r>
          <w:rPr>
            <w:noProof/>
            <w:webHidden/>
          </w:rPr>
          <w:fldChar w:fldCharType="begin"/>
        </w:r>
        <w:r w:rsidR="00B53FD0">
          <w:rPr>
            <w:noProof/>
            <w:webHidden/>
          </w:rPr>
          <w:instrText xml:space="preserve"> PAGEREF _Toc415485252 \h </w:instrText>
        </w:r>
        <w:r>
          <w:rPr>
            <w:noProof/>
            <w:webHidden/>
          </w:rPr>
        </w:r>
        <w:r>
          <w:rPr>
            <w:noProof/>
            <w:webHidden/>
          </w:rPr>
          <w:fldChar w:fldCharType="separate"/>
        </w:r>
        <w:r w:rsidR="00B53FD0">
          <w:rPr>
            <w:noProof/>
            <w:webHidden/>
          </w:rPr>
          <w:t>4</w:t>
        </w:r>
        <w:r>
          <w:rPr>
            <w:noProof/>
            <w:webHidden/>
          </w:rPr>
          <w:fldChar w:fldCharType="end"/>
        </w:r>
      </w:hyperlink>
    </w:p>
    <w:p w:rsidR="00B53FD0" w:rsidRDefault="00081097">
      <w:pPr>
        <w:pStyle w:val="TOC3"/>
        <w:tabs>
          <w:tab w:val="right" w:leader="dot" w:pos="9350"/>
        </w:tabs>
        <w:rPr>
          <w:rFonts w:asciiTheme="minorHAnsi" w:eastAsiaTheme="minorEastAsia" w:hAnsiTheme="minorHAnsi" w:cstheme="minorBidi"/>
          <w:noProof/>
          <w:szCs w:val="22"/>
        </w:rPr>
      </w:pPr>
      <w:hyperlink w:anchor="_Toc415485253" w:history="1">
        <w:r w:rsidR="00B53FD0" w:rsidRPr="007810C7">
          <w:rPr>
            <w:rStyle w:val="Hyperlink"/>
            <w:noProof/>
          </w:rPr>
          <w:t>Course Completion and Student Attendance and Participation Rates</w:t>
        </w:r>
        <w:r w:rsidR="00B53FD0">
          <w:rPr>
            <w:noProof/>
            <w:webHidden/>
          </w:rPr>
          <w:tab/>
        </w:r>
        <w:r>
          <w:rPr>
            <w:noProof/>
            <w:webHidden/>
          </w:rPr>
          <w:fldChar w:fldCharType="begin"/>
        </w:r>
        <w:r w:rsidR="00B53FD0">
          <w:rPr>
            <w:noProof/>
            <w:webHidden/>
          </w:rPr>
          <w:instrText xml:space="preserve"> PAGEREF _Toc415485253 \h </w:instrText>
        </w:r>
        <w:r>
          <w:rPr>
            <w:noProof/>
            <w:webHidden/>
          </w:rPr>
        </w:r>
        <w:r>
          <w:rPr>
            <w:noProof/>
            <w:webHidden/>
          </w:rPr>
          <w:fldChar w:fldCharType="separate"/>
        </w:r>
        <w:r w:rsidR="00B53FD0">
          <w:rPr>
            <w:noProof/>
            <w:webHidden/>
          </w:rPr>
          <w:t>5</w:t>
        </w:r>
        <w:r>
          <w:rPr>
            <w:noProof/>
            <w:webHidden/>
          </w:rPr>
          <w:fldChar w:fldCharType="end"/>
        </w:r>
      </w:hyperlink>
    </w:p>
    <w:p w:rsidR="00B53FD0" w:rsidRDefault="00081097">
      <w:pPr>
        <w:pStyle w:val="TOC3"/>
        <w:tabs>
          <w:tab w:val="right" w:leader="dot" w:pos="9350"/>
        </w:tabs>
        <w:rPr>
          <w:rFonts w:asciiTheme="minorHAnsi" w:eastAsiaTheme="minorEastAsia" w:hAnsiTheme="minorHAnsi" w:cstheme="minorBidi"/>
          <w:noProof/>
          <w:szCs w:val="22"/>
        </w:rPr>
      </w:pPr>
      <w:hyperlink w:anchor="_Toc415485254" w:history="1">
        <w:r w:rsidR="00B53FD0" w:rsidRPr="007810C7">
          <w:rPr>
            <w:rStyle w:val="Hyperlink"/>
            <w:noProof/>
          </w:rPr>
          <w:t>Academic Achievement</w:t>
        </w:r>
        <w:r w:rsidR="00B53FD0">
          <w:rPr>
            <w:noProof/>
            <w:webHidden/>
          </w:rPr>
          <w:tab/>
        </w:r>
        <w:r>
          <w:rPr>
            <w:noProof/>
            <w:webHidden/>
          </w:rPr>
          <w:fldChar w:fldCharType="begin"/>
        </w:r>
        <w:r w:rsidR="00B53FD0">
          <w:rPr>
            <w:noProof/>
            <w:webHidden/>
          </w:rPr>
          <w:instrText xml:space="preserve"> PAGEREF _Toc415485254 \h </w:instrText>
        </w:r>
        <w:r>
          <w:rPr>
            <w:noProof/>
            <w:webHidden/>
          </w:rPr>
        </w:r>
        <w:r>
          <w:rPr>
            <w:noProof/>
            <w:webHidden/>
          </w:rPr>
          <w:fldChar w:fldCharType="separate"/>
        </w:r>
        <w:r w:rsidR="00B53FD0">
          <w:rPr>
            <w:noProof/>
            <w:webHidden/>
          </w:rPr>
          <w:t>6</w:t>
        </w:r>
        <w:r>
          <w:rPr>
            <w:noProof/>
            <w:webHidden/>
          </w:rPr>
          <w:fldChar w:fldCharType="end"/>
        </w:r>
      </w:hyperlink>
    </w:p>
    <w:p w:rsidR="00B53FD0" w:rsidRDefault="00081097">
      <w:pPr>
        <w:pStyle w:val="TOC3"/>
        <w:tabs>
          <w:tab w:val="right" w:leader="dot" w:pos="9350"/>
        </w:tabs>
        <w:rPr>
          <w:rFonts w:asciiTheme="minorHAnsi" w:eastAsiaTheme="minorEastAsia" w:hAnsiTheme="minorHAnsi" w:cstheme="minorBidi"/>
          <w:noProof/>
          <w:szCs w:val="22"/>
        </w:rPr>
      </w:pPr>
      <w:hyperlink w:anchor="_Toc415485255" w:history="1">
        <w:r w:rsidR="00B53FD0" w:rsidRPr="007810C7">
          <w:rPr>
            <w:rStyle w:val="Hyperlink"/>
            <w:noProof/>
          </w:rPr>
          <w:t>Supervision and Support for Students in Elementary and Middle School</w:t>
        </w:r>
        <w:r w:rsidR="00B53FD0">
          <w:rPr>
            <w:noProof/>
            <w:webHidden/>
          </w:rPr>
          <w:tab/>
        </w:r>
        <w:r>
          <w:rPr>
            <w:noProof/>
            <w:webHidden/>
          </w:rPr>
          <w:fldChar w:fldCharType="begin"/>
        </w:r>
        <w:r w:rsidR="00B53FD0">
          <w:rPr>
            <w:noProof/>
            <w:webHidden/>
          </w:rPr>
          <w:instrText xml:space="preserve"> PAGEREF _Toc415485255 \h </w:instrText>
        </w:r>
        <w:r>
          <w:rPr>
            <w:noProof/>
            <w:webHidden/>
          </w:rPr>
        </w:r>
        <w:r>
          <w:rPr>
            <w:noProof/>
            <w:webHidden/>
          </w:rPr>
          <w:fldChar w:fldCharType="separate"/>
        </w:r>
        <w:r w:rsidR="00B53FD0">
          <w:rPr>
            <w:noProof/>
            <w:webHidden/>
          </w:rPr>
          <w:t>7</w:t>
        </w:r>
        <w:r>
          <w:rPr>
            <w:noProof/>
            <w:webHidden/>
          </w:rPr>
          <w:fldChar w:fldCharType="end"/>
        </w:r>
      </w:hyperlink>
    </w:p>
    <w:p w:rsidR="00B53FD0" w:rsidRDefault="00081097">
      <w:pPr>
        <w:pStyle w:val="TOC3"/>
        <w:tabs>
          <w:tab w:val="right" w:leader="dot" w:pos="9350"/>
        </w:tabs>
        <w:rPr>
          <w:rFonts w:asciiTheme="minorHAnsi" w:eastAsiaTheme="minorEastAsia" w:hAnsiTheme="minorHAnsi" w:cstheme="minorBidi"/>
          <w:noProof/>
          <w:szCs w:val="22"/>
        </w:rPr>
      </w:pPr>
      <w:hyperlink w:anchor="_Toc415485256" w:history="1">
        <w:r w:rsidR="00B53FD0" w:rsidRPr="007810C7">
          <w:rPr>
            <w:rStyle w:val="Hyperlink"/>
            <w:noProof/>
          </w:rPr>
          <w:t>Support for Online Course Completion</w:t>
        </w:r>
        <w:r w:rsidR="00B53FD0">
          <w:rPr>
            <w:noProof/>
            <w:webHidden/>
          </w:rPr>
          <w:tab/>
        </w:r>
        <w:r>
          <w:rPr>
            <w:noProof/>
            <w:webHidden/>
          </w:rPr>
          <w:fldChar w:fldCharType="begin"/>
        </w:r>
        <w:r w:rsidR="00B53FD0">
          <w:rPr>
            <w:noProof/>
            <w:webHidden/>
          </w:rPr>
          <w:instrText xml:space="preserve"> PAGEREF _Toc415485256 \h </w:instrText>
        </w:r>
        <w:r>
          <w:rPr>
            <w:noProof/>
            <w:webHidden/>
          </w:rPr>
        </w:r>
        <w:r>
          <w:rPr>
            <w:noProof/>
            <w:webHidden/>
          </w:rPr>
          <w:fldChar w:fldCharType="separate"/>
        </w:r>
        <w:r w:rsidR="00B53FD0">
          <w:rPr>
            <w:noProof/>
            <w:webHidden/>
          </w:rPr>
          <w:t>8</w:t>
        </w:r>
        <w:r>
          <w:rPr>
            <w:noProof/>
            <w:webHidden/>
          </w:rPr>
          <w:fldChar w:fldCharType="end"/>
        </w:r>
      </w:hyperlink>
    </w:p>
    <w:p w:rsidR="00B53FD0" w:rsidRDefault="00081097">
      <w:pPr>
        <w:pStyle w:val="TOC3"/>
        <w:tabs>
          <w:tab w:val="right" w:leader="dot" w:pos="9350"/>
        </w:tabs>
        <w:rPr>
          <w:rFonts w:asciiTheme="minorHAnsi" w:eastAsiaTheme="minorEastAsia" w:hAnsiTheme="minorHAnsi" w:cstheme="minorBidi"/>
          <w:noProof/>
          <w:szCs w:val="22"/>
        </w:rPr>
      </w:pPr>
      <w:hyperlink w:anchor="_Toc415485257" w:history="1">
        <w:r w:rsidR="00B53FD0" w:rsidRPr="007810C7">
          <w:rPr>
            <w:rStyle w:val="Hyperlink"/>
            <w:noProof/>
          </w:rPr>
          <w:t>Professional Development</w:t>
        </w:r>
        <w:r w:rsidR="00B53FD0">
          <w:rPr>
            <w:noProof/>
            <w:webHidden/>
          </w:rPr>
          <w:tab/>
        </w:r>
        <w:r>
          <w:rPr>
            <w:noProof/>
            <w:webHidden/>
          </w:rPr>
          <w:fldChar w:fldCharType="begin"/>
        </w:r>
        <w:r w:rsidR="00B53FD0">
          <w:rPr>
            <w:noProof/>
            <w:webHidden/>
          </w:rPr>
          <w:instrText xml:space="preserve"> PAGEREF _Toc415485257 \h </w:instrText>
        </w:r>
        <w:r>
          <w:rPr>
            <w:noProof/>
            <w:webHidden/>
          </w:rPr>
        </w:r>
        <w:r>
          <w:rPr>
            <w:noProof/>
            <w:webHidden/>
          </w:rPr>
          <w:fldChar w:fldCharType="separate"/>
        </w:r>
        <w:r w:rsidR="00B53FD0">
          <w:rPr>
            <w:noProof/>
            <w:webHidden/>
          </w:rPr>
          <w:t>8</w:t>
        </w:r>
        <w:r>
          <w:rPr>
            <w:noProof/>
            <w:webHidden/>
          </w:rPr>
          <w:fldChar w:fldCharType="end"/>
        </w:r>
      </w:hyperlink>
    </w:p>
    <w:p w:rsidR="00B53FD0" w:rsidRDefault="00081097">
      <w:pPr>
        <w:pStyle w:val="TOC3"/>
        <w:tabs>
          <w:tab w:val="right" w:leader="dot" w:pos="9350"/>
        </w:tabs>
        <w:rPr>
          <w:rFonts w:asciiTheme="minorHAnsi" w:eastAsiaTheme="minorEastAsia" w:hAnsiTheme="minorHAnsi" w:cstheme="minorBidi"/>
          <w:noProof/>
          <w:szCs w:val="22"/>
        </w:rPr>
      </w:pPr>
      <w:hyperlink w:anchor="_Toc415485258" w:history="1">
        <w:r w:rsidR="00B53FD0" w:rsidRPr="007810C7">
          <w:rPr>
            <w:rStyle w:val="Hyperlink"/>
            <w:noProof/>
          </w:rPr>
          <w:t>Enrollment Limits and Wait Lists</w:t>
        </w:r>
        <w:r w:rsidR="00B53FD0">
          <w:rPr>
            <w:noProof/>
            <w:webHidden/>
          </w:rPr>
          <w:tab/>
        </w:r>
        <w:r>
          <w:rPr>
            <w:noProof/>
            <w:webHidden/>
          </w:rPr>
          <w:fldChar w:fldCharType="begin"/>
        </w:r>
        <w:r w:rsidR="00B53FD0">
          <w:rPr>
            <w:noProof/>
            <w:webHidden/>
          </w:rPr>
          <w:instrText xml:space="preserve"> PAGEREF _Toc415485258 \h </w:instrText>
        </w:r>
        <w:r>
          <w:rPr>
            <w:noProof/>
            <w:webHidden/>
          </w:rPr>
        </w:r>
        <w:r>
          <w:rPr>
            <w:noProof/>
            <w:webHidden/>
          </w:rPr>
          <w:fldChar w:fldCharType="separate"/>
        </w:r>
        <w:r w:rsidR="00B53FD0">
          <w:rPr>
            <w:noProof/>
            <w:webHidden/>
          </w:rPr>
          <w:t>8</w:t>
        </w:r>
        <w:r>
          <w:rPr>
            <w:noProof/>
            <w:webHidden/>
          </w:rPr>
          <w:fldChar w:fldCharType="end"/>
        </w:r>
      </w:hyperlink>
    </w:p>
    <w:p w:rsidR="00B53FD0" w:rsidRDefault="00081097">
      <w:pPr>
        <w:pStyle w:val="TOC1"/>
        <w:rPr>
          <w:rFonts w:asciiTheme="minorHAnsi" w:eastAsiaTheme="minorEastAsia" w:hAnsiTheme="minorHAnsi" w:cstheme="minorBidi"/>
          <w:b w:val="0"/>
          <w:noProof/>
          <w:sz w:val="22"/>
          <w:szCs w:val="22"/>
        </w:rPr>
      </w:pPr>
      <w:hyperlink w:anchor="_Toc415485259" w:history="1">
        <w:r w:rsidR="00B53FD0" w:rsidRPr="007810C7">
          <w:rPr>
            <w:rStyle w:val="Hyperlink"/>
            <w:noProof/>
          </w:rPr>
          <w:t>Recommended Changes to the Commonwealth Virtual School Program</w:t>
        </w:r>
        <w:r w:rsidR="00B53FD0">
          <w:rPr>
            <w:noProof/>
            <w:webHidden/>
          </w:rPr>
          <w:tab/>
        </w:r>
        <w:r>
          <w:rPr>
            <w:noProof/>
            <w:webHidden/>
          </w:rPr>
          <w:fldChar w:fldCharType="begin"/>
        </w:r>
        <w:r w:rsidR="00B53FD0">
          <w:rPr>
            <w:noProof/>
            <w:webHidden/>
          </w:rPr>
          <w:instrText xml:space="preserve"> PAGEREF _Toc415485259 \h </w:instrText>
        </w:r>
        <w:r>
          <w:rPr>
            <w:noProof/>
            <w:webHidden/>
          </w:rPr>
        </w:r>
        <w:r>
          <w:rPr>
            <w:noProof/>
            <w:webHidden/>
          </w:rPr>
          <w:fldChar w:fldCharType="separate"/>
        </w:r>
        <w:r w:rsidR="00B53FD0">
          <w:rPr>
            <w:noProof/>
            <w:webHidden/>
          </w:rPr>
          <w:t>9</w:t>
        </w:r>
        <w:r>
          <w:rPr>
            <w:noProof/>
            <w:webHidden/>
          </w:rPr>
          <w:fldChar w:fldCharType="end"/>
        </w:r>
      </w:hyperlink>
    </w:p>
    <w:p w:rsidR="00B53FD0" w:rsidRDefault="00081097">
      <w:pPr>
        <w:pStyle w:val="TOC1"/>
        <w:rPr>
          <w:rFonts w:asciiTheme="minorHAnsi" w:eastAsiaTheme="minorEastAsia" w:hAnsiTheme="minorHAnsi" w:cstheme="minorBidi"/>
          <w:b w:val="0"/>
          <w:noProof/>
          <w:sz w:val="22"/>
          <w:szCs w:val="22"/>
        </w:rPr>
      </w:pPr>
      <w:hyperlink w:anchor="_Toc415485260" w:history="1">
        <w:r w:rsidR="00B53FD0" w:rsidRPr="007810C7">
          <w:rPr>
            <w:rStyle w:val="Hyperlink"/>
            <w:noProof/>
          </w:rPr>
          <w:t>Appendix A: Commonwealth Virtual Schools (G.L. c. 71 §94)</w:t>
        </w:r>
        <w:r w:rsidR="00B53FD0">
          <w:rPr>
            <w:noProof/>
            <w:webHidden/>
          </w:rPr>
          <w:tab/>
        </w:r>
        <w:r>
          <w:rPr>
            <w:noProof/>
            <w:webHidden/>
          </w:rPr>
          <w:fldChar w:fldCharType="begin"/>
        </w:r>
        <w:r w:rsidR="00B53FD0">
          <w:rPr>
            <w:noProof/>
            <w:webHidden/>
          </w:rPr>
          <w:instrText xml:space="preserve"> PAGEREF _Toc415485260 \h </w:instrText>
        </w:r>
        <w:r>
          <w:rPr>
            <w:noProof/>
            <w:webHidden/>
          </w:rPr>
        </w:r>
        <w:r>
          <w:rPr>
            <w:noProof/>
            <w:webHidden/>
          </w:rPr>
          <w:fldChar w:fldCharType="separate"/>
        </w:r>
        <w:r w:rsidR="00B53FD0">
          <w:rPr>
            <w:noProof/>
            <w:webHidden/>
          </w:rPr>
          <w:t>10</w:t>
        </w:r>
        <w:r>
          <w:rPr>
            <w:noProof/>
            <w:webHidden/>
          </w:rPr>
          <w:fldChar w:fldCharType="end"/>
        </w:r>
      </w:hyperlink>
    </w:p>
    <w:p w:rsidR="00B53FD0" w:rsidRDefault="00081097">
      <w:pPr>
        <w:pStyle w:val="TOC1"/>
        <w:rPr>
          <w:rFonts w:asciiTheme="minorHAnsi" w:eastAsiaTheme="minorEastAsia" w:hAnsiTheme="minorHAnsi" w:cstheme="minorBidi"/>
          <w:b w:val="0"/>
          <w:noProof/>
          <w:sz w:val="22"/>
          <w:szCs w:val="22"/>
        </w:rPr>
      </w:pPr>
      <w:hyperlink w:anchor="_Toc415485261" w:history="1">
        <w:r w:rsidR="00B53FD0" w:rsidRPr="007810C7">
          <w:rPr>
            <w:rStyle w:val="Hyperlink"/>
            <w:noProof/>
          </w:rPr>
          <w:t>Appendix B: FY2014 GCVS Student FTE and Tuition by Sending District</w:t>
        </w:r>
        <w:r w:rsidR="00B53FD0">
          <w:rPr>
            <w:noProof/>
            <w:webHidden/>
          </w:rPr>
          <w:tab/>
        </w:r>
        <w:r>
          <w:rPr>
            <w:noProof/>
            <w:webHidden/>
          </w:rPr>
          <w:fldChar w:fldCharType="begin"/>
        </w:r>
        <w:r w:rsidR="00B53FD0">
          <w:rPr>
            <w:noProof/>
            <w:webHidden/>
          </w:rPr>
          <w:instrText xml:space="preserve"> PAGEREF _Toc415485261 \h </w:instrText>
        </w:r>
        <w:r>
          <w:rPr>
            <w:noProof/>
            <w:webHidden/>
          </w:rPr>
        </w:r>
        <w:r>
          <w:rPr>
            <w:noProof/>
            <w:webHidden/>
          </w:rPr>
          <w:fldChar w:fldCharType="separate"/>
        </w:r>
        <w:r w:rsidR="00B53FD0">
          <w:rPr>
            <w:noProof/>
            <w:webHidden/>
          </w:rPr>
          <w:t>17</w:t>
        </w:r>
        <w:r>
          <w:rPr>
            <w:noProof/>
            <w:webHidden/>
          </w:rPr>
          <w:fldChar w:fldCharType="end"/>
        </w:r>
      </w:hyperlink>
    </w:p>
    <w:p w:rsidR="003F3636" w:rsidRDefault="00081097">
      <w:r w:rsidRPr="00212CA3">
        <w:rPr>
          <w:sz w:val="14"/>
        </w:rPr>
        <w:fldChar w:fldCharType="end"/>
      </w:r>
    </w:p>
    <w:p w:rsidR="003F3636" w:rsidRDefault="003F3636"/>
    <w:p w:rsidR="003F3636" w:rsidRDefault="003F3636"/>
    <w:p w:rsidR="00FD2C86" w:rsidRDefault="00FD2C86">
      <w:pPr>
        <w:sectPr w:rsidR="00FD2C86" w:rsidSect="007102D5">
          <w:pgSz w:w="12240" w:h="15840"/>
          <w:pgMar w:top="1440" w:right="1440" w:bottom="1440" w:left="1440" w:header="720" w:footer="720" w:gutter="0"/>
          <w:cols w:space="720"/>
          <w:docGrid w:linePitch="326"/>
        </w:sectPr>
      </w:pPr>
    </w:p>
    <w:p w:rsidR="00144CB4" w:rsidRDefault="00144CB4" w:rsidP="005E00CC">
      <w:pPr>
        <w:pStyle w:val="Heading1"/>
        <w:spacing w:before="0" w:after="0"/>
      </w:pPr>
      <w:bookmarkStart w:id="0" w:name="_Toc415485248"/>
      <w:r>
        <w:lastRenderedPageBreak/>
        <w:t>Introduction</w:t>
      </w:r>
      <w:bookmarkEnd w:id="0"/>
    </w:p>
    <w:p w:rsidR="005E00CC" w:rsidRDefault="005E00CC" w:rsidP="005E00CC">
      <w:pPr>
        <w:rPr>
          <w:sz w:val="22"/>
        </w:rPr>
      </w:pPr>
    </w:p>
    <w:p w:rsidR="00750148" w:rsidRPr="007856D3" w:rsidRDefault="00144CB4" w:rsidP="005E00CC">
      <w:pPr>
        <w:rPr>
          <w:sz w:val="22"/>
        </w:rPr>
      </w:pPr>
      <w:r w:rsidRPr="007856D3">
        <w:rPr>
          <w:sz w:val="22"/>
        </w:rPr>
        <w:t xml:space="preserve">The Department of Elementary and Secondary Education respectfully submits this </w:t>
      </w:r>
      <w:r w:rsidR="00750148" w:rsidRPr="007856D3">
        <w:rPr>
          <w:sz w:val="22"/>
        </w:rPr>
        <w:t>Report to the Legislature: Commonwealth of Massachusetts Virtual Schools to G.L. c. 71 §</w:t>
      </w:r>
      <w:r w:rsidR="00505EB4">
        <w:rPr>
          <w:sz w:val="22"/>
        </w:rPr>
        <w:t xml:space="preserve"> </w:t>
      </w:r>
      <w:r w:rsidR="00750148" w:rsidRPr="007856D3">
        <w:rPr>
          <w:sz w:val="22"/>
        </w:rPr>
        <w:t>94(q):</w:t>
      </w:r>
    </w:p>
    <w:p w:rsidR="00750148" w:rsidRPr="007856D3" w:rsidRDefault="00750148" w:rsidP="00750148">
      <w:pPr>
        <w:rPr>
          <w:sz w:val="22"/>
        </w:rPr>
      </w:pPr>
    </w:p>
    <w:p w:rsidR="00144CB4" w:rsidRPr="007856D3" w:rsidRDefault="00750148" w:rsidP="00750148">
      <w:pPr>
        <w:ind w:left="720"/>
        <w:rPr>
          <w:sz w:val="22"/>
        </w:rPr>
      </w:pPr>
      <w:r w:rsidRPr="007856D3">
        <w:rPr>
          <w:i/>
          <w:sz w:val="22"/>
        </w:rPr>
        <w:t>“On or before September 1, the commissioner shall prepare a report on the implementation and impact of this section, including, but not limited to:(1) the fiscal impact on sending districts; (2) any necessary adjustments to tuition rates, including whether the amount should vary based on grade or type of school and the appropriate mechanism for funding virtual schools; (3) information on course completion and student attendance and participation rates; (4) the academic achievement of students attending commonwealth virtual schools; (5) the level of supervision or support needed for students in elementary and middle school; (6) the support necessary or helpful to ensure that students successfully complete online courses; (7) the professional development virtual school teachers require; (8) the appropriate enrollment limit for a virtual school, if any, including information about wait lists; and (9) the need for any changes to the commonwealth virtual school program.”</w:t>
      </w:r>
    </w:p>
    <w:p w:rsidR="00144CB4" w:rsidRPr="007856D3" w:rsidRDefault="00144CB4" w:rsidP="00144CB4">
      <w:pPr>
        <w:rPr>
          <w:sz w:val="22"/>
        </w:rPr>
      </w:pPr>
    </w:p>
    <w:p w:rsidR="00144CB4" w:rsidRPr="007856D3" w:rsidRDefault="00750148" w:rsidP="00144CB4">
      <w:pPr>
        <w:rPr>
          <w:sz w:val="22"/>
        </w:rPr>
      </w:pPr>
      <w:r w:rsidRPr="007856D3">
        <w:rPr>
          <w:sz w:val="22"/>
        </w:rPr>
        <w:t>Commonwealth of Massachusetts Virtual Schools (CMVS) are public schools operated by a board of trustees where Massachusetts-licensed teachers primarily teach from a remote location using the Internet or other computer-based methods and where students are not required to be located at the physical premises of the school. The statute permits up to ten virtual schools to operate in the Commonwealth at any time; three virtual schools are allow</w:t>
      </w:r>
      <w:r w:rsidR="006D5B45">
        <w:rPr>
          <w:sz w:val="22"/>
        </w:rPr>
        <w:t>ed to operate during the 2013-</w:t>
      </w:r>
      <w:r w:rsidRPr="007856D3">
        <w:rPr>
          <w:sz w:val="22"/>
        </w:rPr>
        <w:t>16 school years; three additional certificates will be available from</w:t>
      </w:r>
      <w:r w:rsidR="006D5B45">
        <w:rPr>
          <w:sz w:val="22"/>
        </w:rPr>
        <w:t xml:space="preserve"> 2016-</w:t>
      </w:r>
      <w:r w:rsidRPr="007856D3">
        <w:rPr>
          <w:sz w:val="22"/>
        </w:rPr>
        <w:t>19; and four additional certificates will be available starting in 2020.</w:t>
      </w:r>
    </w:p>
    <w:p w:rsidR="00750148" w:rsidRPr="007856D3" w:rsidRDefault="00750148" w:rsidP="00144CB4">
      <w:pPr>
        <w:rPr>
          <w:sz w:val="22"/>
        </w:rPr>
      </w:pPr>
    </w:p>
    <w:p w:rsidR="00750148" w:rsidRDefault="00750148" w:rsidP="00144CB4">
      <w:r w:rsidRPr="007856D3">
        <w:rPr>
          <w:sz w:val="22"/>
        </w:rPr>
        <w:t>A</w:t>
      </w:r>
      <w:r w:rsidR="0004160B" w:rsidRPr="007856D3">
        <w:rPr>
          <w:sz w:val="22"/>
        </w:rPr>
        <w:t>s of</w:t>
      </w:r>
      <w:r w:rsidRPr="007856D3">
        <w:rPr>
          <w:sz w:val="22"/>
        </w:rPr>
        <w:t xml:space="preserve"> this writing, the Board </w:t>
      </w:r>
      <w:r w:rsidR="00E9508F">
        <w:rPr>
          <w:sz w:val="22"/>
        </w:rPr>
        <w:t xml:space="preserve">of Elementary and Secondary Education </w:t>
      </w:r>
      <w:r w:rsidRPr="007856D3">
        <w:rPr>
          <w:sz w:val="22"/>
        </w:rPr>
        <w:t>has granted certificates to two virtual schools: The Massachusetts Virtual Academy at Greenfield Commonwealth Virtual School (GCVS) and the TEC Connections Academy Commonwealth Virtual School (TECCA).</w:t>
      </w:r>
    </w:p>
    <w:p w:rsidR="005E00CC" w:rsidRDefault="005E00CC" w:rsidP="005E00CC">
      <w:pPr>
        <w:pStyle w:val="Heading3"/>
        <w:spacing w:before="0" w:after="0"/>
      </w:pPr>
    </w:p>
    <w:p w:rsidR="001011CF" w:rsidRDefault="001011CF" w:rsidP="005E00CC">
      <w:pPr>
        <w:pStyle w:val="Heading3"/>
        <w:spacing w:before="0" w:after="0"/>
      </w:pPr>
      <w:bookmarkStart w:id="1" w:name="_Toc415485249"/>
      <w:r>
        <w:t>Massachusetts Virtual Academy at Greenfield Commonwealth Virtual School (GCVS)</w:t>
      </w:r>
      <w:bookmarkEnd w:id="1"/>
    </w:p>
    <w:p w:rsidR="005E00CC" w:rsidRDefault="005E00CC" w:rsidP="005E00CC">
      <w:pPr>
        <w:pStyle w:val="NormalWeb"/>
        <w:spacing w:before="0" w:beforeAutospacing="0" w:after="0" w:afterAutospacing="0"/>
        <w:rPr>
          <w:sz w:val="22"/>
        </w:rPr>
      </w:pPr>
    </w:p>
    <w:p w:rsidR="00743532" w:rsidRPr="007856D3" w:rsidRDefault="0004160B" w:rsidP="005E00CC">
      <w:pPr>
        <w:pStyle w:val="NormalWeb"/>
        <w:spacing w:before="0" w:beforeAutospacing="0" w:after="0" w:afterAutospacing="0"/>
        <w:rPr>
          <w:sz w:val="22"/>
        </w:rPr>
      </w:pPr>
      <w:r w:rsidRPr="007856D3">
        <w:rPr>
          <w:sz w:val="22"/>
        </w:rPr>
        <w:t>The Massachusetts Virtual Academy of Greenfield (MAVA) opened in 2010 under the innovati</w:t>
      </w:r>
      <w:r w:rsidR="006269E7">
        <w:rPr>
          <w:sz w:val="22"/>
        </w:rPr>
        <w:t>on school law (G.L. c. 71, § 92</w:t>
      </w:r>
      <w:r w:rsidRPr="007856D3">
        <w:rPr>
          <w:sz w:val="22"/>
        </w:rPr>
        <w:t xml:space="preserve">). </w:t>
      </w:r>
      <w:r w:rsidR="00993FF5" w:rsidRPr="007856D3">
        <w:rPr>
          <w:sz w:val="22"/>
        </w:rPr>
        <w:t xml:space="preserve">On January 2, 2013, Governor Patrick signed into law Chapter 379 of the Acts of 2012, “An Act Establishing Commonwealth Virtual Schools” (Act), most of which is codified as G.L. c. 71, § 94. </w:t>
      </w:r>
      <w:r w:rsidR="001F1CB0" w:rsidRPr="007856D3">
        <w:rPr>
          <w:sz w:val="22"/>
        </w:rPr>
        <w:t>By</w:t>
      </w:r>
      <w:r w:rsidRPr="007856D3">
        <w:rPr>
          <w:sz w:val="22"/>
        </w:rPr>
        <w:t xml:space="preserve"> statute, MAVA</w:t>
      </w:r>
      <w:r w:rsidR="001011CF" w:rsidRPr="007856D3">
        <w:rPr>
          <w:sz w:val="22"/>
        </w:rPr>
        <w:t xml:space="preserve"> ceased to exist on July 1, 2013. Section 6 of the Act required the Board to grant a certificate to operate a CMVS to Greenfield upon submission of a timely application that addressed the information specified in the virtual s</w:t>
      </w:r>
      <w:r w:rsidR="00E9508F">
        <w:rPr>
          <w:sz w:val="22"/>
        </w:rPr>
        <w:t>chools statute at G.L. c. 71, § 94.</w:t>
      </w:r>
    </w:p>
    <w:p w:rsidR="00967BD0" w:rsidRPr="007856D3" w:rsidRDefault="0004160B" w:rsidP="00967BD0">
      <w:pPr>
        <w:spacing w:before="100" w:beforeAutospacing="1" w:after="100" w:afterAutospacing="1"/>
        <w:rPr>
          <w:sz w:val="22"/>
        </w:rPr>
      </w:pPr>
      <w:r w:rsidRPr="007856D3">
        <w:rPr>
          <w:sz w:val="22"/>
        </w:rPr>
        <w:t xml:space="preserve">The Department received an application from Greenfield on April 22, 2013 to establish a new CMVS beginning in the 2013-2014 school </w:t>
      </w:r>
      <w:proofErr w:type="gramStart"/>
      <w:r w:rsidRPr="007856D3">
        <w:rPr>
          <w:sz w:val="22"/>
        </w:rPr>
        <w:t>year</w:t>
      </w:r>
      <w:proofErr w:type="gramEnd"/>
      <w:r w:rsidRPr="007856D3">
        <w:rPr>
          <w:sz w:val="22"/>
        </w:rPr>
        <w:t>.</w:t>
      </w:r>
      <w:r w:rsidR="00993FF5" w:rsidRPr="007856D3">
        <w:rPr>
          <w:sz w:val="22"/>
        </w:rPr>
        <w:t xml:space="preserve"> </w:t>
      </w:r>
      <w:r w:rsidRPr="007856D3">
        <w:rPr>
          <w:sz w:val="22"/>
        </w:rPr>
        <w:t>The Department's Office of Digital Learning conducted a multi-step review of the final applicat</w:t>
      </w:r>
      <w:r w:rsidR="00967BD0" w:rsidRPr="007856D3">
        <w:rPr>
          <w:sz w:val="22"/>
        </w:rPr>
        <w:t>ion that included</w:t>
      </w:r>
      <w:r w:rsidR="009242E6">
        <w:rPr>
          <w:sz w:val="22"/>
        </w:rPr>
        <w:t>:</w:t>
      </w:r>
      <w:r w:rsidR="00967BD0" w:rsidRPr="007856D3">
        <w:rPr>
          <w:sz w:val="22"/>
        </w:rPr>
        <w:t xml:space="preserve"> a review by an advisory panel that included both Department staff and an external reviewer; a May 6, 2013 public hearing at the Department conducted by Board member David Roach with support from fellow member </w:t>
      </w:r>
      <w:proofErr w:type="spellStart"/>
      <w:r w:rsidR="00967BD0" w:rsidRPr="007856D3">
        <w:rPr>
          <w:sz w:val="22"/>
        </w:rPr>
        <w:t>Harneen</w:t>
      </w:r>
      <w:proofErr w:type="spellEnd"/>
      <w:r w:rsidR="00967BD0" w:rsidRPr="007856D3">
        <w:rPr>
          <w:sz w:val="22"/>
        </w:rPr>
        <w:t xml:space="preserve"> </w:t>
      </w:r>
      <w:proofErr w:type="spellStart"/>
      <w:r w:rsidR="00967BD0" w:rsidRPr="007856D3">
        <w:rPr>
          <w:sz w:val="22"/>
        </w:rPr>
        <w:t>Chernow</w:t>
      </w:r>
      <w:proofErr w:type="spellEnd"/>
      <w:r w:rsidR="00967BD0" w:rsidRPr="007856D3">
        <w:rPr>
          <w:sz w:val="22"/>
        </w:rPr>
        <w:t xml:space="preserve"> and Secretary Malone's designee, Jim </w:t>
      </w:r>
      <w:proofErr w:type="spellStart"/>
      <w:r w:rsidR="00967BD0" w:rsidRPr="007856D3">
        <w:rPr>
          <w:sz w:val="22"/>
        </w:rPr>
        <w:t>DiTullio</w:t>
      </w:r>
      <w:proofErr w:type="spellEnd"/>
      <w:r w:rsidR="00967BD0" w:rsidRPr="007856D3">
        <w:rPr>
          <w:sz w:val="22"/>
        </w:rPr>
        <w:t>; solicitation of written comments through the Department's website; and an interview with members of the founding group and proposed board of trustees that focused on the concerns and questions raised in the panel review and public hearing.</w:t>
      </w:r>
      <w:r w:rsidRPr="007856D3">
        <w:rPr>
          <w:sz w:val="22"/>
        </w:rPr>
        <w:t xml:space="preserve"> </w:t>
      </w:r>
    </w:p>
    <w:p w:rsidR="00993FF5" w:rsidRPr="007856D3" w:rsidRDefault="00967BD0" w:rsidP="0004160B">
      <w:pPr>
        <w:pStyle w:val="NormalWeb"/>
        <w:rPr>
          <w:sz w:val="22"/>
        </w:rPr>
      </w:pPr>
      <w:r w:rsidRPr="007856D3">
        <w:rPr>
          <w:sz w:val="22"/>
        </w:rPr>
        <w:t>After this</w:t>
      </w:r>
      <w:r w:rsidR="0004160B" w:rsidRPr="007856D3">
        <w:rPr>
          <w:sz w:val="22"/>
        </w:rPr>
        <w:t xml:space="preserve"> thorough review, the review team rated the overall application as "weak." My recommendation to award a </w:t>
      </w:r>
      <w:r w:rsidR="006840EC" w:rsidRPr="007856D3">
        <w:rPr>
          <w:sz w:val="22"/>
        </w:rPr>
        <w:t xml:space="preserve">CMVS </w:t>
      </w:r>
      <w:r w:rsidR="0004160B" w:rsidRPr="007856D3">
        <w:rPr>
          <w:sz w:val="22"/>
        </w:rPr>
        <w:t xml:space="preserve">certificate was consistent with the requirements of section 6 of the Act, in which the </w:t>
      </w:r>
      <w:r w:rsidR="0004160B" w:rsidRPr="007856D3">
        <w:rPr>
          <w:sz w:val="22"/>
        </w:rPr>
        <w:lastRenderedPageBreak/>
        <w:t xml:space="preserve">Legislature intentionally set a unique bar for the award of an initial certificate to Greenfield. In doing so, the Legislature acknowledged Greenfield's pioneering role in establishing a virtual innovation school and expressed its intent to give Greenfield a fair opportunity to adjust to the extensive requirements of the new statute. </w:t>
      </w:r>
      <w:r w:rsidR="00993FF5" w:rsidRPr="007856D3">
        <w:rPr>
          <w:sz w:val="22"/>
        </w:rPr>
        <w:t>Allowing the school to transition t</w:t>
      </w:r>
      <w:r w:rsidR="006840EC" w:rsidRPr="007856D3">
        <w:rPr>
          <w:sz w:val="22"/>
        </w:rPr>
        <w:t>o this new status also minimized</w:t>
      </w:r>
      <w:r w:rsidR="00993FF5" w:rsidRPr="007856D3">
        <w:rPr>
          <w:sz w:val="22"/>
        </w:rPr>
        <w:t xml:space="preserve"> the disruption for currently enrolled students. To assist the school in meeting those high standards, I recommended, and the Board approved, that several conditions </w:t>
      </w:r>
      <w:proofErr w:type="gramStart"/>
      <w:r w:rsidR="00993FF5" w:rsidRPr="007856D3">
        <w:rPr>
          <w:sz w:val="22"/>
        </w:rPr>
        <w:t>be</w:t>
      </w:r>
      <w:proofErr w:type="gramEnd"/>
      <w:r w:rsidR="00993FF5" w:rsidRPr="007856D3">
        <w:rPr>
          <w:sz w:val="22"/>
        </w:rPr>
        <w:t xml:space="preserve"> placed on its operating certificate, with each of these items subject to the review and approval of the Department.</w:t>
      </w:r>
      <w:r w:rsidR="002869EC" w:rsidRPr="007856D3">
        <w:rPr>
          <w:sz w:val="22"/>
        </w:rPr>
        <w:t xml:space="preserve"> These terms are described in my June 18, 2013 memo to the Board: </w:t>
      </w:r>
      <w:hyperlink r:id="rId17" w:history="1">
        <w:r w:rsidR="002869EC" w:rsidRPr="007856D3">
          <w:rPr>
            <w:rStyle w:val="Hyperlink"/>
            <w:sz w:val="22"/>
          </w:rPr>
          <w:t>www.doe.mass.edu/boe/docs/2013-06/item3.html</w:t>
        </w:r>
      </w:hyperlink>
      <w:r w:rsidR="002869EC" w:rsidRPr="007856D3">
        <w:rPr>
          <w:sz w:val="22"/>
        </w:rPr>
        <w:t>.</w:t>
      </w:r>
    </w:p>
    <w:p w:rsidR="00993FF5" w:rsidRPr="007856D3" w:rsidRDefault="00993FF5" w:rsidP="0004160B">
      <w:pPr>
        <w:pStyle w:val="NormalWeb"/>
        <w:rPr>
          <w:sz w:val="22"/>
        </w:rPr>
      </w:pPr>
      <w:r w:rsidRPr="007856D3">
        <w:rPr>
          <w:sz w:val="22"/>
        </w:rPr>
        <w:t>On June 25, 2013, the Board granted a three-year certificate to operate the Massachusetts Virtual Academy at Greenfield Commonwealth Virtual School (GCVS) to a board of trustees</w:t>
      </w:r>
      <w:r w:rsidR="002869EC" w:rsidRPr="007856D3">
        <w:rPr>
          <w:sz w:val="22"/>
        </w:rPr>
        <w:t xml:space="preserve"> </w:t>
      </w:r>
      <w:r w:rsidRPr="007856D3">
        <w:rPr>
          <w:sz w:val="22"/>
        </w:rPr>
        <w:t>formed to assume governance of MAVA from the Greenfield Public Schools. During the transition, the Greenfield Public Schools provided services to GCVS under a memorandum of understanding</w:t>
      </w:r>
      <w:r w:rsidR="002869EC" w:rsidRPr="007856D3">
        <w:rPr>
          <w:sz w:val="22"/>
        </w:rPr>
        <w:t xml:space="preserve"> through April 1, 2014.</w:t>
      </w:r>
    </w:p>
    <w:p w:rsidR="00995C0C" w:rsidRPr="007856D3" w:rsidRDefault="0004160B" w:rsidP="00995C0C">
      <w:pPr>
        <w:pStyle w:val="NormalWeb"/>
        <w:rPr>
          <w:sz w:val="22"/>
        </w:rPr>
      </w:pPr>
      <w:r w:rsidRPr="007856D3">
        <w:rPr>
          <w:sz w:val="22"/>
        </w:rPr>
        <w:t xml:space="preserve">On June 5, 2014, the Department conducted an accountability review of GCVS in accordance with CMR 52.08. The report was completed on September 17, 2014, after the results of the </w:t>
      </w:r>
      <w:proofErr w:type="gramStart"/>
      <w:r w:rsidRPr="007856D3">
        <w:rPr>
          <w:sz w:val="22"/>
        </w:rPr>
        <w:t>Spring</w:t>
      </w:r>
      <w:proofErr w:type="gramEnd"/>
      <w:r w:rsidRPr="007856D3">
        <w:rPr>
          <w:sz w:val="22"/>
        </w:rPr>
        <w:t xml:space="preserve"> 2014 MCAS tests became official. </w:t>
      </w:r>
      <w:r w:rsidR="00995C0C" w:rsidRPr="007856D3">
        <w:rPr>
          <w:sz w:val="22"/>
        </w:rPr>
        <w:t>The resul</w:t>
      </w:r>
      <w:r w:rsidR="006840EC" w:rsidRPr="007856D3">
        <w:rPr>
          <w:sz w:val="22"/>
        </w:rPr>
        <w:t>ting site visit report documented</w:t>
      </w:r>
      <w:r w:rsidR="00995C0C" w:rsidRPr="007856D3">
        <w:rPr>
          <w:sz w:val="22"/>
        </w:rPr>
        <w:t xml:space="preserve"> concerns about GCVS's faithfulness to its certificate, the quality of the academic program, the quality and amount of supports for diverse learners, and the school's lack of compliance with regulatory requirements and Department guidance.</w:t>
      </w:r>
      <w:r w:rsidR="00764ECF">
        <w:rPr>
          <w:sz w:val="22"/>
        </w:rPr>
        <w:t xml:space="preserve"> </w:t>
      </w:r>
    </w:p>
    <w:p w:rsidR="00995C0C" w:rsidRPr="007856D3" w:rsidRDefault="00764ECF" w:rsidP="00995C0C">
      <w:pPr>
        <w:pStyle w:val="NormalWeb"/>
        <w:rPr>
          <w:sz w:val="22"/>
        </w:rPr>
      </w:pPr>
      <w:r w:rsidRPr="004620F7">
        <w:rPr>
          <w:sz w:val="22"/>
        </w:rPr>
        <w:t xml:space="preserve">Due to these concerns, pursuant </w:t>
      </w:r>
      <w:r w:rsidR="00995C0C" w:rsidRPr="004620F7">
        <w:rPr>
          <w:sz w:val="22"/>
        </w:rPr>
        <w:t xml:space="preserve">to the </w:t>
      </w:r>
      <w:r w:rsidR="008C5B47" w:rsidRPr="004620F7">
        <w:rPr>
          <w:sz w:val="22"/>
        </w:rPr>
        <w:t xml:space="preserve">CMVS </w:t>
      </w:r>
      <w:r w:rsidR="00B304E6" w:rsidRPr="004620F7">
        <w:rPr>
          <w:sz w:val="22"/>
        </w:rPr>
        <w:t xml:space="preserve">regulations </w:t>
      </w:r>
      <w:r w:rsidR="00BA08F1">
        <w:rPr>
          <w:sz w:val="22"/>
        </w:rPr>
        <w:t xml:space="preserve">at 603 CMR 52.12(2) </w:t>
      </w:r>
      <w:r w:rsidR="00995C0C" w:rsidRPr="004620F7">
        <w:rPr>
          <w:sz w:val="22"/>
        </w:rPr>
        <w:t xml:space="preserve">I </w:t>
      </w:r>
      <w:proofErr w:type="gramStart"/>
      <w:r w:rsidR="00995C0C" w:rsidRPr="004620F7">
        <w:rPr>
          <w:sz w:val="22"/>
        </w:rPr>
        <w:t>recommend</w:t>
      </w:r>
      <w:r w:rsidR="00B304E6" w:rsidRPr="004620F7">
        <w:rPr>
          <w:sz w:val="22"/>
        </w:rPr>
        <w:t>ed</w:t>
      </w:r>
      <w:r w:rsidR="00BA08F1">
        <w:rPr>
          <w:sz w:val="22"/>
        </w:rPr>
        <w:t>,</w:t>
      </w:r>
      <w:proofErr w:type="gramEnd"/>
      <w:r w:rsidR="00BA08F1">
        <w:rPr>
          <w:sz w:val="22"/>
        </w:rPr>
        <w:t xml:space="preserve"> and the Board approved, to</w:t>
      </w:r>
      <w:r w:rsidR="00995C0C" w:rsidRPr="004620F7">
        <w:rPr>
          <w:sz w:val="22"/>
        </w:rPr>
        <w:t xml:space="preserve"> place GCVS on pro</w:t>
      </w:r>
      <w:r w:rsidR="00995C0C" w:rsidRPr="007856D3">
        <w:rPr>
          <w:sz w:val="22"/>
        </w:rPr>
        <w:t>bation for the remainder of</w:t>
      </w:r>
      <w:r w:rsidR="00B304E6" w:rsidRPr="007856D3">
        <w:rPr>
          <w:sz w:val="22"/>
        </w:rPr>
        <w:t xml:space="preserve"> the school's certificate term, which </w:t>
      </w:r>
      <w:r w:rsidR="00995C0C" w:rsidRPr="007856D3">
        <w:rPr>
          <w:sz w:val="22"/>
        </w:rPr>
        <w:t>expires on June 30, 2016</w:t>
      </w:r>
      <w:r>
        <w:rPr>
          <w:sz w:val="22"/>
        </w:rPr>
        <w:t>, with the following conditions</w:t>
      </w:r>
      <w:r w:rsidR="00995C0C" w:rsidRPr="007856D3">
        <w:rPr>
          <w:sz w:val="22"/>
        </w:rPr>
        <w:t>:</w:t>
      </w:r>
    </w:p>
    <w:p w:rsidR="00995C0C" w:rsidRPr="007856D3" w:rsidRDefault="00995C0C" w:rsidP="00E951F4">
      <w:pPr>
        <w:pStyle w:val="NormalWeb"/>
        <w:numPr>
          <w:ilvl w:val="0"/>
          <w:numId w:val="7"/>
        </w:numPr>
        <w:rPr>
          <w:sz w:val="22"/>
        </w:rPr>
      </w:pPr>
      <w:r w:rsidRPr="007856D3">
        <w:rPr>
          <w:sz w:val="22"/>
        </w:rPr>
        <w:t xml:space="preserve">By October 31, 2014, GCVS will submit to the Department a final draft of a contract with K12, Inc., that addresses all issues already communicated to GCVS by the Department, for </w:t>
      </w:r>
      <w:r w:rsidR="00B304E6" w:rsidRPr="007856D3">
        <w:rPr>
          <w:sz w:val="22"/>
        </w:rPr>
        <w:t>my approval</w:t>
      </w:r>
      <w:r w:rsidRPr="007856D3">
        <w:rPr>
          <w:sz w:val="22"/>
        </w:rPr>
        <w:t xml:space="preserve">. </w:t>
      </w:r>
    </w:p>
    <w:p w:rsidR="00995C0C" w:rsidRPr="007856D3" w:rsidRDefault="00995C0C" w:rsidP="00E951F4">
      <w:pPr>
        <w:pStyle w:val="NormalWeb"/>
        <w:numPr>
          <w:ilvl w:val="0"/>
          <w:numId w:val="7"/>
        </w:numPr>
        <w:rPr>
          <w:sz w:val="22"/>
        </w:rPr>
      </w:pPr>
      <w:r w:rsidRPr="007856D3">
        <w:rPr>
          <w:sz w:val="22"/>
        </w:rPr>
        <w:t>By December 31, 2014, GCVS will provide evidence to the Department that it has completed the alignment of its curriculum to the Massachusetts curriculum frameworks.</w:t>
      </w:r>
    </w:p>
    <w:p w:rsidR="00995C0C" w:rsidRPr="007856D3" w:rsidRDefault="00995C0C" w:rsidP="00E951F4">
      <w:pPr>
        <w:pStyle w:val="NormalWeb"/>
        <w:numPr>
          <w:ilvl w:val="0"/>
          <w:numId w:val="7"/>
        </w:numPr>
        <w:rPr>
          <w:sz w:val="22"/>
        </w:rPr>
      </w:pPr>
      <w:r w:rsidRPr="007856D3">
        <w:rPr>
          <w:sz w:val="22"/>
        </w:rPr>
        <w:t>By December 31, 2014, GCVS will submit to the Department a comprehensive evaluation of the school's mathematics and English language arts programs and of the school's instructional practices, such evaluation to be conducted by one or more external consultants acceptable to the Department.</w:t>
      </w:r>
    </w:p>
    <w:p w:rsidR="00995C0C" w:rsidRPr="007856D3" w:rsidRDefault="00995C0C" w:rsidP="00E951F4">
      <w:pPr>
        <w:pStyle w:val="NormalWeb"/>
        <w:numPr>
          <w:ilvl w:val="0"/>
          <w:numId w:val="7"/>
        </w:numPr>
        <w:rPr>
          <w:sz w:val="22"/>
        </w:rPr>
      </w:pPr>
      <w:r w:rsidRPr="007856D3">
        <w:rPr>
          <w:sz w:val="22"/>
        </w:rPr>
        <w:t>By January 31, 2015, GCVS will submit an action plan to the Department for approval that specifies strategies to improve mathematics and English language arts performance. The plan must address how the school will utilize and will support instructional staff to implement the plan. The plan must include a timetable for the implementation of actions, must set deadlines for the completion of key tasks, and must set clear and specific implementation benchmarks to allow the GCVS board of trustees and the Department to monitor implementation.</w:t>
      </w:r>
    </w:p>
    <w:p w:rsidR="00995C0C" w:rsidRPr="007856D3" w:rsidRDefault="00995C0C" w:rsidP="00E951F4">
      <w:pPr>
        <w:pStyle w:val="NormalWeb"/>
        <w:numPr>
          <w:ilvl w:val="0"/>
          <w:numId w:val="7"/>
        </w:numPr>
        <w:rPr>
          <w:sz w:val="22"/>
        </w:rPr>
      </w:pPr>
      <w:r w:rsidRPr="007856D3">
        <w:rPr>
          <w:sz w:val="22"/>
        </w:rPr>
        <w:t>By December 31, 2015, GCVS must demonstrate that it is an academic success through evidence of significant academic improvement in mathematics and English language arts.</w:t>
      </w:r>
    </w:p>
    <w:p w:rsidR="00995C0C" w:rsidRPr="007856D3" w:rsidRDefault="00995C0C" w:rsidP="00E951F4">
      <w:pPr>
        <w:pStyle w:val="NormalWeb"/>
        <w:numPr>
          <w:ilvl w:val="0"/>
          <w:numId w:val="7"/>
        </w:numPr>
        <w:rPr>
          <w:sz w:val="22"/>
        </w:rPr>
      </w:pPr>
      <w:r w:rsidRPr="007856D3">
        <w:rPr>
          <w:sz w:val="22"/>
        </w:rPr>
        <w:t xml:space="preserve">Beginning immediately and until further notice, GCVS must submit to the Department, at </w:t>
      </w:r>
      <w:hyperlink r:id="rId18" w:history="1">
        <w:r w:rsidRPr="007856D3">
          <w:rPr>
            <w:rStyle w:val="Hyperlink"/>
            <w:sz w:val="22"/>
          </w:rPr>
          <w:t>jgwatkin@doe.mass.edu</w:t>
        </w:r>
      </w:hyperlink>
      <w:r w:rsidRPr="007856D3">
        <w:rPr>
          <w:sz w:val="22"/>
        </w:rPr>
        <w:t xml:space="preserve"> or 75 Ple</w:t>
      </w:r>
      <w:r w:rsidR="005E00CC">
        <w:rPr>
          <w:sz w:val="22"/>
        </w:rPr>
        <w:t xml:space="preserve">asant St., Malden, MA </w:t>
      </w:r>
      <w:r w:rsidRPr="007856D3">
        <w:rPr>
          <w:sz w:val="22"/>
        </w:rPr>
        <w:t>02148, board meeting agendas and materials, prior to each board meeting at the same time that these items are sent to GCVS board members. Further, GCVS must submit to the Department the minutes of these proceedings as soon as the GCVS board approves them. The Department reserves the right to require the submission of additional information, such as quarterly or monthly financial statements, if board materials do not already include this information, and the school must provide such additional information within two business days.</w:t>
      </w:r>
    </w:p>
    <w:p w:rsidR="00BA08F1" w:rsidRDefault="00BA08F1" w:rsidP="0004160B">
      <w:pPr>
        <w:pStyle w:val="NormalWeb"/>
        <w:rPr>
          <w:sz w:val="22"/>
        </w:rPr>
      </w:pPr>
      <w:r w:rsidRPr="007856D3">
        <w:rPr>
          <w:sz w:val="22"/>
        </w:rPr>
        <w:lastRenderedPageBreak/>
        <w:t xml:space="preserve">These </w:t>
      </w:r>
      <w:r>
        <w:rPr>
          <w:sz w:val="22"/>
        </w:rPr>
        <w:t>conditions</w:t>
      </w:r>
      <w:r w:rsidRPr="007856D3">
        <w:rPr>
          <w:sz w:val="22"/>
        </w:rPr>
        <w:t xml:space="preserve"> are described in my </w:t>
      </w:r>
      <w:r>
        <w:rPr>
          <w:sz w:val="22"/>
        </w:rPr>
        <w:t>October 10, 2014</w:t>
      </w:r>
      <w:r w:rsidRPr="007856D3">
        <w:rPr>
          <w:sz w:val="22"/>
        </w:rPr>
        <w:t xml:space="preserve"> memo to the Board: </w:t>
      </w:r>
      <w:hyperlink r:id="rId19" w:history="1">
        <w:r w:rsidRPr="007856D3">
          <w:rPr>
            <w:rStyle w:val="Hyperlink"/>
            <w:sz w:val="22"/>
          </w:rPr>
          <w:t>www.doe.mass.edu/boe/docs/2013-06/item3.html</w:t>
        </w:r>
      </w:hyperlink>
      <w:r w:rsidRPr="007856D3">
        <w:rPr>
          <w:sz w:val="22"/>
        </w:rPr>
        <w:t>.</w:t>
      </w:r>
    </w:p>
    <w:p w:rsidR="0004160B" w:rsidRPr="007856D3" w:rsidRDefault="0004160B" w:rsidP="0004160B">
      <w:pPr>
        <w:pStyle w:val="NormalWeb"/>
        <w:rPr>
          <w:sz w:val="22"/>
        </w:rPr>
      </w:pPr>
      <w:r w:rsidRPr="007856D3">
        <w:rPr>
          <w:sz w:val="22"/>
        </w:rPr>
        <w:t>P</w:t>
      </w:r>
      <w:r w:rsidR="00995C0C" w:rsidRPr="007856D3">
        <w:rPr>
          <w:sz w:val="22"/>
        </w:rPr>
        <w:t>lacing GCVS on probation signaled my</w:t>
      </w:r>
      <w:r w:rsidRPr="007856D3">
        <w:rPr>
          <w:sz w:val="22"/>
        </w:rPr>
        <w:t xml:space="preserve"> clear concern about </w:t>
      </w:r>
      <w:r w:rsidR="008C5B47" w:rsidRPr="007856D3">
        <w:rPr>
          <w:sz w:val="22"/>
        </w:rPr>
        <w:t>GCVS</w:t>
      </w:r>
      <w:r w:rsidRPr="007856D3">
        <w:rPr>
          <w:sz w:val="22"/>
        </w:rPr>
        <w:t xml:space="preserve"> and the hope that </w:t>
      </w:r>
      <w:r w:rsidR="008C5B47" w:rsidRPr="007856D3">
        <w:rPr>
          <w:sz w:val="22"/>
        </w:rPr>
        <w:t>it</w:t>
      </w:r>
      <w:r w:rsidRPr="007856D3">
        <w:rPr>
          <w:sz w:val="22"/>
        </w:rPr>
        <w:t xml:space="preserve"> can fulfill the probationary conditions and offer a successful educational program to the students it serves. Based upon the success, or lack thereof, of GCVS in meeting the conditions imposed and in alleviating the causes of its probation, I will recommend further action as appropriate.</w:t>
      </w:r>
    </w:p>
    <w:p w:rsidR="00447AC3" w:rsidRDefault="00447AC3" w:rsidP="005E00CC">
      <w:pPr>
        <w:pStyle w:val="Heading3"/>
        <w:spacing w:before="0" w:after="0"/>
      </w:pPr>
      <w:bookmarkStart w:id="2" w:name="_Toc415485250"/>
      <w:r w:rsidRPr="00A37E9A">
        <w:t>TEC Connections Academy Commonwealth Virtual School (TECCA)</w:t>
      </w:r>
      <w:bookmarkEnd w:id="2"/>
    </w:p>
    <w:p w:rsidR="005E00CC" w:rsidRDefault="005E00CC" w:rsidP="005E00CC">
      <w:pPr>
        <w:pStyle w:val="NormalWeb"/>
        <w:spacing w:before="0" w:beforeAutospacing="0" w:after="0" w:afterAutospacing="0"/>
        <w:rPr>
          <w:sz w:val="22"/>
        </w:rPr>
      </w:pPr>
    </w:p>
    <w:p w:rsidR="00B304E6" w:rsidRPr="007856D3" w:rsidRDefault="00B304E6" w:rsidP="005E00CC">
      <w:pPr>
        <w:pStyle w:val="NormalWeb"/>
        <w:spacing w:before="0" w:beforeAutospacing="0" w:after="0" w:afterAutospacing="0"/>
        <w:rPr>
          <w:sz w:val="22"/>
        </w:rPr>
      </w:pPr>
      <w:r w:rsidRPr="007856D3">
        <w:rPr>
          <w:sz w:val="22"/>
        </w:rPr>
        <w:t xml:space="preserve">In August 2013, the Department received six letters of intent for new </w:t>
      </w:r>
      <w:r w:rsidR="008C5B47" w:rsidRPr="007856D3">
        <w:rPr>
          <w:sz w:val="22"/>
        </w:rPr>
        <w:t>virtual schools</w:t>
      </w:r>
      <w:r w:rsidRPr="007856D3">
        <w:rPr>
          <w:sz w:val="22"/>
        </w:rPr>
        <w:t>. In November</w:t>
      </w:r>
      <w:r w:rsidR="00C34618" w:rsidRPr="007856D3">
        <w:rPr>
          <w:sz w:val="22"/>
        </w:rPr>
        <w:t xml:space="preserve"> 2014</w:t>
      </w:r>
      <w:r w:rsidRPr="007856D3">
        <w:rPr>
          <w:sz w:val="22"/>
        </w:rPr>
        <w:t xml:space="preserve">, </w:t>
      </w:r>
      <w:r w:rsidR="00C34618" w:rsidRPr="007856D3">
        <w:rPr>
          <w:sz w:val="22"/>
        </w:rPr>
        <w:t>the Department</w:t>
      </w:r>
      <w:r w:rsidRPr="007856D3">
        <w:rPr>
          <w:sz w:val="22"/>
        </w:rPr>
        <w:t xml:space="preserve"> received a single application, which was submitted by The Education Cooperative (TEC).</w:t>
      </w:r>
    </w:p>
    <w:p w:rsidR="008C5B47" w:rsidRPr="007856D3" w:rsidRDefault="00B304E6" w:rsidP="00B304E6">
      <w:pPr>
        <w:pStyle w:val="NormalWeb"/>
        <w:rPr>
          <w:sz w:val="22"/>
        </w:rPr>
      </w:pPr>
      <w:r w:rsidRPr="007856D3">
        <w:rPr>
          <w:sz w:val="22"/>
        </w:rPr>
        <w:t>The Department's Office of Digital Learning conducted a multi-step r</w:t>
      </w:r>
      <w:r w:rsidR="00134D7B" w:rsidRPr="007856D3">
        <w:rPr>
          <w:sz w:val="22"/>
        </w:rPr>
        <w:t>eview of the final application that included</w:t>
      </w:r>
      <w:r w:rsidR="009242E6">
        <w:rPr>
          <w:sz w:val="22"/>
        </w:rPr>
        <w:t>:</w:t>
      </w:r>
      <w:r w:rsidR="00134D7B" w:rsidRPr="007856D3">
        <w:rPr>
          <w:sz w:val="22"/>
        </w:rPr>
        <w:t xml:space="preserve"> an advisory panel review; a public hearing at the Department that was conducted by Board members Maura Banta and David Roach; the solicitation of w</w:t>
      </w:r>
      <w:r w:rsidRPr="007856D3">
        <w:rPr>
          <w:sz w:val="22"/>
        </w:rPr>
        <w:t>ritten comments from the public th</w:t>
      </w:r>
      <w:r w:rsidR="00134D7B" w:rsidRPr="007856D3">
        <w:rPr>
          <w:sz w:val="22"/>
        </w:rPr>
        <w:t xml:space="preserve">rough the Department's website; an </w:t>
      </w:r>
      <w:r w:rsidRPr="007856D3">
        <w:rPr>
          <w:sz w:val="22"/>
        </w:rPr>
        <w:t xml:space="preserve">interview with members of the founding group and proposed board of trustees that focused on the concerns and questions raised in the panel review and public </w:t>
      </w:r>
      <w:r w:rsidR="00134D7B" w:rsidRPr="007856D3">
        <w:rPr>
          <w:sz w:val="22"/>
        </w:rPr>
        <w:t xml:space="preserve">hearing; </w:t>
      </w:r>
      <w:r w:rsidR="00F024ED">
        <w:rPr>
          <w:sz w:val="22"/>
        </w:rPr>
        <w:t>and a review of the school’s learning management system (LMS)</w:t>
      </w:r>
      <w:r w:rsidR="00134D7B" w:rsidRPr="007856D3">
        <w:rPr>
          <w:sz w:val="22"/>
        </w:rPr>
        <w:t>. D</w:t>
      </w:r>
      <w:r w:rsidRPr="007856D3">
        <w:rPr>
          <w:sz w:val="22"/>
        </w:rPr>
        <w:t>epartment staff prepared a comprehensive, criteria-based summary of the primary strengths and weaknesses of the application</w:t>
      </w:r>
      <w:r w:rsidR="00134D7B" w:rsidRPr="007856D3">
        <w:rPr>
          <w:sz w:val="22"/>
        </w:rPr>
        <w:t xml:space="preserve">. </w:t>
      </w:r>
    </w:p>
    <w:p w:rsidR="00B304E6" w:rsidRPr="007856D3" w:rsidRDefault="008C5B47" w:rsidP="008C5B47">
      <w:pPr>
        <w:rPr>
          <w:sz w:val="22"/>
        </w:rPr>
      </w:pPr>
      <w:r w:rsidRPr="007856D3">
        <w:rPr>
          <w:sz w:val="22"/>
        </w:rPr>
        <w:t xml:space="preserve">Although the application submitted by TEC addresses the elements specified in the CMVS statute, the application had some areas that needed further development. I recommended that the Board grant a certificate to the board of trustees of the TEC Connections Academy Commonwealth Virtual School (TECCA), but I also recommended that the Board impose on the certificate a number of conditions related to areas where improvement is needed, </w:t>
      </w:r>
      <w:r w:rsidR="00B304E6" w:rsidRPr="007856D3">
        <w:rPr>
          <w:sz w:val="22"/>
        </w:rPr>
        <w:t>with each of these items subject to the review and approval of the Department. These cond</w:t>
      </w:r>
      <w:r w:rsidR="00134D7B" w:rsidRPr="007856D3">
        <w:rPr>
          <w:sz w:val="22"/>
        </w:rPr>
        <w:t xml:space="preserve">itions are provided in my February 14, 2014 memorandum to the Board: </w:t>
      </w:r>
      <w:hyperlink r:id="rId20" w:history="1">
        <w:r w:rsidR="00134D7B" w:rsidRPr="007856D3">
          <w:rPr>
            <w:rStyle w:val="Hyperlink"/>
            <w:sz w:val="22"/>
          </w:rPr>
          <w:t>www.doe.mass.edu/boe/docs/2014-02/item4.html</w:t>
        </w:r>
      </w:hyperlink>
      <w:r w:rsidR="00134D7B" w:rsidRPr="007856D3">
        <w:rPr>
          <w:sz w:val="22"/>
        </w:rPr>
        <w:t>.</w:t>
      </w:r>
    </w:p>
    <w:p w:rsidR="00F25708" w:rsidRPr="007856D3" w:rsidRDefault="00134D7B" w:rsidP="00F25708">
      <w:pPr>
        <w:pStyle w:val="NormalWeb"/>
        <w:rPr>
          <w:sz w:val="22"/>
        </w:rPr>
      </w:pPr>
      <w:r w:rsidRPr="007856D3">
        <w:rPr>
          <w:sz w:val="22"/>
        </w:rPr>
        <w:t>I</w:t>
      </w:r>
      <w:r w:rsidR="00B304E6" w:rsidRPr="007856D3">
        <w:rPr>
          <w:sz w:val="22"/>
        </w:rPr>
        <w:t>n addition to these conditions, I recommend</w:t>
      </w:r>
      <w:r w:rsidR="006D5B45">
        <w:rPr>
          <w:sz w:val="22"/>
        </w:rPr>
        <w:t>ed</w:t>
      </w:r>
      <w:r w:rsidR="00B304E6" w:rsidRPr="007856D3">
        <w:rPr>
          <w:sz w:val="22"/>
        </w:rPr>
        <w:t xml:space="preserve"> that some terms of the certificate vary from the application submitted to the Department. </w:t>
      </w:r>
      <w:r w:rsidR="008C5B47" w:rsidRPr="007856D3">
        <w:rPr>
          <w:sz w:val="22"/>
        </w:rPr>
        <w:t>The TECCA</w:t>
      </w:r>
      <w:r w:rsidRPr="007856D3">
        <w:rPr>
          <w:sz w:val="22"/>
        </w:rPr>
        <w:t xml:space="preserve"> </w:t>
      </w:r>
      <w:r w:rsidR="008C5B47" w:rsidRPr="007856D3">
        <w:rPr>
          <w:sz w:val="22"/>
        </w:rPr>
        <w:t xml:space="preserve">board </w:t>
      </w:r>
      <w:r w:rsidRPr="007856D3">
        <w:rPr>
          <w:sz w:val="22"/>
        </w:rPr>
        <w:t>requested a five</w:t>
      </w:r>
      <w:r w:rsidR="00B304E6" w:rsidRPr="007856D3">
        <w:rPr>
          <w:sz w:val="22"/>
        </w:rPr>
        <w:t>-year certific</w:t>
      </w:r>
      <w:r w:rsidRPr="007856D3">
        <w:rPr>
          <w:sz w:val="22"/>
        </w:rPr>
        <w:t>ate;</w:t>
      </w:r>
      <w:r w:rsidR="00B304E6" w:rsidRPr="007856D3">
        <w:rPr>
          <w:sz w:val="22"/>
        </w:rPr>
        <w:t xml:space="preserve"> I recommend</w:t>
      </w:r>
      <w:r w:rsidR="006D5B45">
        <w:rPr>
          <w:sz w:val="22"/>
        </w:rPr>
        <w:t>ed</w:t>
      </w:r>
      <w:r w:rsidR="00B304E6" w:rsidRPr="007856D3">
        <w:rPr>
          <w:sz w:val="22"/>
        </w:rPr>
        <w:t xml:space="preserve"> that the B</w:t>
      </w:r>
      <w:r w:rsidRPr="007856D3">
        <w:rPr>
          <w:sz w:val="22"/>
        </w:rPr>
        <w:t>oard grant the certificate for three</w:t>
      </w:r>
      <w:r w:rsidR="00B304E6" w:rsidRPr="007856D3">
        <w:rPr>
          <w:sz w:val="22"/>
        </w:rPr>
        <w:t xml:space="preserve"> years, from July 1, 2014 through June 30, 2017. The </w:t>
      </w:r>
      <w:r w:rsidRPr="007856D3">
        <w:rPr>
          <w:sz w:val="22"/>
        </w:rPr>
        <w:t>TECCA board</w:t>
      </w:r>
      <w:r w:rsidR="00B304E6" w:rsidRPr="007856D3">
        <w:rPr>
          <w:sz w:val="22"/>
        </w:rPr>
        <w:t xml:space="preserve"> will need to apply to renew the school's certif</w:t>
      </w:r>
      <w:r w:rsidRPr="007856D3">
        <w:rPr>
          <w:sz w:val="22"/>
        </w:rPr>
        <w:t xml:space="preserve">icate prior to the end of this three-year period. As with GCVS, my recommendation was based on the premise that the </w:t>
      </w:r>
      <w:r w:rsidR="00B304E6" w:rsidRPr="007856D3">
        <w:rPr>
          <w:sz w:val="22"/>
        </w:rPr>
        <w:t>CMVS initiative is still very new, and we want to ensure virtual schools provide high quality programs and that student data shows their programs are academically successful.</w:t>
      </w:r>
      <w:r w:rsidR="00F25708" w:rsidRPr="007856D3">
        <w:rPr>
          <w:sz w:val="22"/>
        </w:rPr>
        <w:t xml:space="preserve"> </w:t>
      </w:r>
    </w:p>
    <w:p w:rsidR="00F25708" w:rsidRPr="007856D3" w:rsidRDefault="00F25708" w:rsidP="00F25708">
      <w:pPr>
        <w:pStyle w:val="NormalWeb"/>
        <w:rPr>
          <w:sz w:val="22"/>
        </w:rPr>
      </w:pPr>
      <w:r w:rsidRPr="007856D3">
        <w:rPr>
          <w:sz w:val="22"/>
        </w:rPr>
        <w:t xml:space="preserve">The TECCA board </w:t>
      </w:r>
      <w:r w:rsidR="00B304E6" w:rsidRPr="007856D3">
        <w:rPr>
          <w:sz w:val="22"/>
        </w:rPr>
        <w:t>requested a maximum student enrollment of 6,000. I recommend</w:t>
      </w:r>
      <w:r w:rsidRPr="007856D3">
        <w:rPr>
          <w:sz w:val="22"/>
        </w:rPr>
        <w:t>ed</w:t>
      </w:r>
      <w:r w:rsidR="00B304E6" w:rsidRPr="007856D3">
        <w:rPr>
          <w:sz w:val="22"/>
        </w:rPr>
        <w:t xml:space="preserve"> that the Board set the school's maximum enrollment at 2,000 students, with enrollment limited to 1,000 and 1,500 students respectively during </w:t>
      </w:r>
      <w:r w:rsidRPr="007856D3">
        <w:rPr>
          <w:sz w:val="22"/>
        </w:rPr>
        <w:t>its</w:t>
      </w:r>
      <w:r w:rsidR="00B304E6" w:rsidRPr="007856D3">
        <w:rPr>
          <w:sz w:val="22"/>
        </w:rPr>
        <w:t xml:space="preserve"> first two years of operation. Because the </w:t>
      </w:r>
      <w:r w:rsidR="008C5B47" w:rsidRPr="007856D3">
        <w:rPr>
          <w:sz w:val="22"/>
        </w:rPr>
        <w:t xml:space="preserve">CMVS </w:t>
      </w:r>
      <w:r w:rsidR="00B304E6" w:rsidRPr="007856D3">
        <w:rPr>
          <w:sz w:val="22"/>
        </w:rPr>
        <w:t xml:space="preserve">statute caps virtual school enrollment at 2 </w:t>
      </w:r>
      <w:r w:rsidR="006D5B45">
        <w:rPr>
          <w:sz w:val="22"/>
        </w:rPr>
        <w:t>percent</w:t>
      </w:r>
      <w:r w:rsidR="00B304E6" w:rsidRPr="007856D3">
        <w:rPr>
          <w:sz w:val="22"/>
        </w:rPr>
        <w:t xml:space="preserve"> of the total number of students attending public schools in the Commonwealth, it would </w:t>
      </w:r>
      <w:r w:rsidRPr="007856D3">
        <w:rPr>
          <w:sz w:val="22"/>
        </w:rPr>
        <w:t>have been</w:t>
      </w:r>
      <w:r w:rsidR="00B304E6" w:rsidRPr="007856D3">
        <w:rPr>
          <w:sz w:val="22"/>
        </w:rPr>
        <w:t xml:space="preserve"> unwise to allow a single school to enroll s</w:t>
      </w:r>
      <w:r w:rsidRPr="007856D3">
        <w:rPr>
          <w:sz w:val="22"/>
        </w:rPr>
        <w:t xml:space="preserve">uch a large number of students. </w:t>
      </w:r>
    </w:p>
    <w:p w:rsidR="00B304E6" w:rsidRPr="007856D3" w:rsidRDefault="00F25708" w:rsidP="00F25708">
      <w:pPr>
        <w:pStyle w:val="NormalWeb"/>
        <w:rPr>
          <w:sz w:val="22"/>
        </w:rPr>
      </w:pPr>
      <w:r w:rsidRPr="007856D3">
        <w:rPr>
          <w:sz w:val="22"/>
        </w:rPr>
        <w:t xml:space="preserve">The TECCA board </w:t>
      </w:r>
      <w:r w:rsidR="00B304E6" w:rsidRPr="007856D3">
        <w:rPr>
          <w:sz w:val="22"/>
        </w:rPr>
        <w:t>requested a per pupil tuition rate of $7,000. I recommend</w:t>
      </w:r>
      <w:r w:rsidRPr="007856D3">
        <w:rPr>
          <w:sz w:val="22"/>
        </w:rPr>
        <w:t>ed</w:t>
      </w:r>
      <w:r w:rsidR="00B304E6" w:rsidRPr="007856D3">
        <w:rPr>
          <w:sz w:val="22"/>
        </w:rPr>
        <w:t xml:space="preserve"> that the Board stipulate a per pupil tuition rate of $6,700, with $75 per pupil retained by the Department for administration of the </w:t>
      </w:r>
      <w:r w:rsidR="008C5B47" w:rsidRPr="007856D3">
        <w:rPr>
          <w:sz w:val="22"/>
        </w:rPr>
        <w:t xml:space="preserve">CMVS </w:t>
      </w:r>
      <w:r w:rsidR="00B304E6" w:rsidRPr="007856D3">
        <w:rPr>
          <w:sz w:val="22"/>
        </w:rPr>
        <w:t xml:space="preserve">program as provided for by the </w:t>
      </w:r>
      <w:r w:rsidR="008C5B47" w:rsidRPr="007856D3">
        <w:rPr>
          <w:sz w:val="22"/>
        </w:rPr>
        <w:t>CMVS</w:t>
      </w:r>
      <w:r w:rsidR="00B304E6" w:rsidRPr="007856D3">
        <w:rPr>
          <w:sz w:val="22"/>
        </w:rPr>
        <w:t xml:space="preserve"> stat</w:t>
      </w:r>
      <w:r w:rsidRPr="007856D3">
        <w:rPr>
          <w:sz w:val="22"/>
        </w:rPr>
        <w:t xml:space="preserve">ute. This recommendation aligned </w:t>
      </w:r>
      <w:r w:rsidR="00B304E6" w:rsidRPr="007856D3">
        <w:rPr>
          <w:sz w:val="22"/>
        </w:rPr>
        <w:t xml:space="preserve">with the per pupil tuition rate the Board granted to </w:t>
      </w:r>
      <w:r w:rsidRPr="007856D3">
        <w:rPr>
          <w:sz w:val="22"/>
        </w:rPr>
        <w:t>GCVS.</w:t>
      </w:r>
    </w:p>
    <w:p w:rsidR="00B304E6" w:rsidRPr="007856D3" w:rsidRDefault="00F25708" w:rsidP="00F25708">
      <w:pPr>
        <w:pStyle w:val="NormalWeb"/>
        <w:rPr>
          <w:sz w:val="22"/>
        </w:rPr>
      </w:pPr>
      <w:r w:rsidRPr="007856D3">
        <w:rPr>
          <w:sz w:val="22"/>
        </w:rPr>
        <w:t>TECCA was approved</w:t>
      </w:r>
      <w:r w:rsidR="00B304E6" w:rsidRPr="007856D3">
        <w:rPr>
          <w:sz w:val="22"/>
        </w:rPr>
        <w:t xml:space="preserve"> </w:t>
      </w:r>
      <w:r w:rsidR="00FE5DD3" w:rsidRPr="007856D3">
        <w:rPr>
          <w:sz w:val="22"/>
        </w:rPr>
        <w:t xml:space="preserve">to </w:t>
      </w:r>
      <w:r w:rsidR="00B304E6" w:rsidRPr="007856D3">
        <w:rPr>
          <w:sz w:val="22"/>
        </w:rPr>
        <w:t xml:space="preserve">offer individual courses and charge districts or schools for those courses, provided </w:t>
      </w:r>
      <w:r w:rsidRPr="007856D3">
        <w:rPr>
          <w:sz w:val="22"/>
        </w:rPr>
        <w:t>that it</w:t>
      </w:r>
      <w:r w:rsidR="00B304E6" w:rsidRPr="007856D3">
        <w:rPr>
          <w:sz w:val="22"/>
        </w:rPr>
        <w:t xml:space="preserve"> reaches an agreement with the district or school. In order to preserve the autonomy of the </w:t>
      </w:r>
      <w:r w:rsidRPr="007856D3">
        <w:rPr>
          <w:sz w:val="22"/>
        </w:rPr>
        <w:lastRenderedPageBreak/>
        <w:t>virtual school</w:t>
      </w:r>
      <w:r w:rsidR="00B304E6" w:rsidRPr="007856D3">
        <w:rPr>
          <w:sz w:val="22"/>
        </w:rPr>
        <w:t xml:space="preserve"> while at the same time motivating </w:t>
      </w:r>
      <w:proofErr w:type="spellStart"/>
      <w:r w:rsidR="00B304E6" w:rsidRPr="007856D3">
        <w:rPr>
          <w:sz w:val="22"/>
        </w:rPr>
        <w:t>collaboratives</w:t>
      </w:r>
      <w:proofErr w:type="spellEnd"/>
      <w:r w:rsidR="00B304E6" w:rsidRPr="007856D3">
        <w:rPr>
          <w:sz w:val="22"/>
        </w:rPr>
        <w:t xml:space="preserve"> and districts to apply for certificates, </w:t>
      </w:r>
      <w:r w:rsidRPr="007856D3">
        <w:rPr>
          <w:sz w:val="22"/>
        </w:rPr>
        <w:t>TECCA was approved</w:t>
      </w:r>
      <w:r w:rsidR="00B304E6" w:rsidRPr="007856D3">
        <w:rPr>
          <w:sz w:val="22"/>
        </w:rPr>
        <w:t xml:space="preserve"> </w:t>
      </w:r>
      <w:r w:rsidR="008B4A05">
        <w:rPr>
          <w:sz w:val="22"/>
        </w:rPr>
        <w:t xml:space="preserve">to </w:t>
      </w:r>
      <w:r w:rsidR="00B304E6" w:rsidRPr="007856D3">
        <w:rPr>
          <w:sz w:val="22"/>
        </w:rPr>
        <w:t xml:space="preserve">offer full time and </w:t>
      </w:r>
      <w:r w:rsidRPr="007856D3">
        <w:rPr>
          <w:sz w:val="22"/>
        </w:rPr>
        <w:t xml:space="preserve">individual courses to TEC member districts </w:t>
      </w:r>
      <w:r w:rsidR="00B304E6" w:rsidRPr="007856D3">
        <w:rPr>
          <w:sz w:val="22"/>
        </w:rPr>
        <w:t>a</w:t>
      </w:r>
      <w:r w:rsidR="00F024ED">
        <w:rPr>
          <w:sz w:val="22"/>
        </w:rPr>
        <w:t>t a discount of no more than 50 percent</w:t>
      </w:r>
      <w:r w:rsidR="00B304E6" w:rsidRPr="007856D3">
        <w:rPr>
          <w:sz w:val="22"/>
        </w:rPr>
        <w:t xml:space="preserve"> of what other districts or schools are charged.</w:t>
      </w:r>
    </w:p>
    <w:p w:rsidR="00B304E6" w:rsidRDefault="00F25708" w:rsidP="00B304E6">
      <w:pPr>
        <w:pStyle w:val="NormalWeb"/>
        <w:rPr>
          <w:sz w:val="22"/>
        </w:rPr>
      </w:pPr>
      <w:r w:rsidRPr="007856D3">
        <w:rPr>
          <w:sz w:val="22"/>
        </w:rPr>
        <w:t>TECCA’s three-year certificate was granted by the Board o</w:t>
      </w:r>
      <w:r w:rsidR="0004160B" w:rsidRPr="007856D3">
        <w:rPr>
          <w:sz w:val="22"/>
        </w:rPr>
        <w:t>n February 25, 2014</w:t>
      </w:r>
      <w:r w:rsidRPr="007856D3">
        <w:rPr>
          <w:sz w:val="22"/>
        </w:rPr>
        <w:t>.</w:t>
      </w:r>
      <w:r w:rsidR="0004160B" w:rsidRPr="007856D3">
        <w:rPr>
          <w:sz w:val="22"/>
        </w:rPr>
        <w:t xml:space="preserve"> </w:t>
      </w:r>
      <w:r w:rsidRPr="007856D3">
        <w:rPr>
          <w:sz w:val="22"/>
        </w:rPr>
        <w:t>TECCA</w:t>
      </w:r>
      <w:r w:rsidR="0004160B" w:rsidRPr="007856D3">
        <w:rPr>
          <w:sz w:val="22"/>
        </w:rPr>
        <w:t xml:space="preserve"> opened in the fall </w:t>
      </w:r>
      <w:r w:rsidRPr="007856D3">
        <w:rPr>
          <w:sz w:val="22"/>
        </w:rPr>
        <w:t>of 2014; a</w:t>
      </w:r>
      <w:r w:rsidR="00B304E6" w:rsidRPr="007856D3">
        <w:rPr>
          <w:sz w:val="22"/>
        </w:rPr>
        <w:t>s of October 24, 2014, TECCA enrolled 449 students.</w:t>
      </w:r>
    </w:p>
    <w:p w:rsidR="000158C2" w:rsidRDefault="000158C2" w:rsidP="005E00CC">
      <w:pPr>
        <w:pStyle w:val="Heading1"/>
        <w:spacing w:before="0" w:after="0"/>
      </w:pPr>
      <w:bookmarkStart w:id="3" w:name="_Toc415485251"/>
      <w:r>
        <w:t>Massachusetts Virtual Academy at Greenfield Commonwealth Virtual School (GCVS)</w:t>
      </w:r>
      <w:bookmarkEnd w:id="3"/>
    </w:p>
    <w:p w:rsidR="005E00CC" w:rsidRDefault="005E00CC" w:rsidP="005E00CC">
      <w:pPr>
        <w:rPr>
          <w:sz w:val="22"/>
        </w:rPr>
      </w:pPr>
    </w:p>
    <w:p w:rsidR="000158C2" w:rsidRDefault="000158C2" w:rsidP="005E00CC">
      <w:pPr>
        <w:rPr>
          <w:sz w:val="22"/>
        </w:rPr>
      </w:pPr>
      <w:r>
        <w:rPr>
          <w:sz w:val="22"/>
        </w:rPr>
        <w:t xml:space="preserve">As the Commonwealth’s only operational virtual school during the 2013-14 school </w:t>
      </w:r>
      <w:proofErr w:type="gramStart"/>
      <w:r>
        <w:rPr>
          <w:sz w:val="22"/>
        </w:rPr>
        <w:t>year</w:t>
      </w:r>
      <w:proofErr w:type="gramEnd"/>
      <w:r>
        <w:rPr>
          <w:sz w:val="22"/>
        </w:rPr>
        <w:t xml:space="preserve">, the </w:t>
      </w:r>
      <w:r w:rsidR="00E26BCC">
        <w:rPr>
          <w:sz w:val="22"/>
        </w:rPr>
        <w:t>next seven sections of this report provide information relative to GCVS.</w:t>
      </w:r>
    </w:p>
    <w:p w:rsidR="005E00CC" w:rsidRPr="008A2608" w:rsidRDefault="005E00CC" w:rsidP="005E00CC">
      <w:pPr>
        <w:rPr>
          <w:sz w:val="22"/>
          <w:szCs w:val="22"/>
        </w:rPr>
      </w:pPr>
    </w:p>
    <w:p w:rsidR="00F25708" w:rsidRDefault="00F25708" w:rsidP="005E00CC">
      <w:pPr>
        <w:pStyle w:val="Heading3"/>
        <w:spacing w:before="0" w:after="0"/>
      </w:pPr>
      <w:bookmarkStart w:id="4" w:name="_Toc415485252"/>
      <w:r>
        <w:t>Fiscal Impact on Sending Districts</w:t>
      </w:r>
      <w:bookmarkEnd w:id="4"/>
    </w:p>
    <w:p w:rsidR="005E00CC" w:rsidRPr="008A2608" w:rsidRDefault="005E00CC" w:rsidP="005E00CC">
      <w:pPr>
        <w:rPr>
          <w:sz w:val="22"/>
          <w:szCs w:val="22"/>
        </w:rPr>
      </w:pPr>
    </w:p>
    <w:p w:rsidR="00FE5DD3" w:rsidRPr="007856D3" w:rsidRDefault="008C5B47" w:rsidP="005E00CC">
      <w:pPr>
        <w:rPr>
          <w:sz w:val="22"/>
        </w:rPr>
      </w:pPr>
      <w:r w:rsidRPr="007856D3">
        <w:rPr>
          <w:sz w:val="22"/>
        </w:rPr>
        <w:t xml:space="preserve">Virtual schools are funded through payments from sending districts at a per pupil tuition rate set by the Board. </w:t>
      </w:r>
      <w:r w:rsidR="006840EC" w:rsidRPr="007856D3">
        <w:rPr>
          <w:sz w:val="22"/>
        </w:rPr>
        <w:t xml:space="preserve">Under the </w:t>
      </w:r>
      <w:r w:rsidRPr="007856D3">
        <w:rPr>
          <w:sz w:val="22"/>
        </w:rPr>
        <w:t>CMVS legislation [G.L. c. 71, §94(k)]</w:t>
      </w:r>
      <w:r w:rsidR="006840EC" w:rsidRPr="007856D3">
        <w:rPr>
          <w:sz w:val="22"/>
        </w:rPr>
        <w:t xml:space="preserve"> the </w:t>
      </w:r>
      <w:r w:rsidRPr="007856D3">
        <w:rPr>
          <w:sz w:val="22"/>
        </w:rPr>
        <w:t xml:space="preserve">per pupil </w:t>
      </w:r>
      <w:r w:rsidR="006840EC" w:rsidRPr="007856D3">
        <w:rPr>
          <w:sz w:val="22"/>
        </w:rPr>
        <w:t xml:space="preserve">tuition a school district pays for students residing in the district enrolled in a CMVS is paid through the school choice mechanism (G.L. c. 76, §12B). For students who attend </w:t>
      </w:r>
      <w:r w:rsidRPr="007856D3">
        <w:rPr>
          <w:sz w:val="22"/>
        </w:rPr>
        <w:t>a CMVS</w:t>
      </w:r>
      <w:r w:rsidR="006840EC" w:rsidRPr="007856D3">
        <w:rPr>
          <w:sz w:val="22"/>
        </w:rPr>
        <w:t xml:space="preserve"> for less than the full year, the tuition payment is based upon the number of days of enrollment. The Department notifies both the virtual school and sending districts of the amount of these payments and corresponding reductions in local aid under G.L. c. 70.</w:t>
      </w:r>
      <w:r w:rsidR="00FE5DD3" w:rsidRPr="007856D3">
        <w:rPr>
          <w:rStyle w:val="FootnoteReference"/>
          <w:sz w:val="22"/>
        </w:rPr>
        <w:footnoteReference w:id="1"/>
      </w:r>
    </w:p>
    <w:p w:rsidR="00FE5DD3" w:rsidRPr="007856D3" w:rsidRDefault="00FE5DD3" w:rsidP="006840EC">
      <w:pPr>
        <w:rPr>
          <w:sz w:val="22"/>
        </w:rPr>
      </w:pPr>
    </w:p>
    <w:p w:rsidR="006840EC" w:rsidRPr="007856D3" w:rsidRDefault="006840EC" w:rsidP="006840EC">
      <w:pPr>
        <w:rPr>
          <w:sz w:val="22"/>
        </w:rPr>
      </w:pPr>
      <w:r w:rsidRPr="007856D3">
        <w:rPr>
          <w:sz w:val="22"/>
        </w:rPr>
        <w:t>The first five monthly payments in each fiscal year are based on the virtual school's pre-enrollment report; remaining monthly payments for the fiscal year are based on Student Information Manageme</w:t>
      </w:r>
      <w:r w:rsidR="008C5B47" w:rsidRPr="007856D3">
        <w:rPr>
          <w:sz w:val="22"/>
        </w:rPr>
        <w:t>nt System (SIMS) data collected</w:t>
      </w:r>
      <w:r w:rsidRPr="007856D3">
        <w:rPr>
          <w:sz w:val="22"/>
        </w:rPr>
        <w:t xml:space="preserve"> from the </w:t>
      </w:r>
      <w:r w:rsidR="008C5B47" w:rsidRPr="007856D3">
        <w:rPr>
          <w:sz w:val="22"/>
        </w:rPr>
        <w:t>CMVS in October</w:t>
      </w:r>
      <w:r w:rsidRPr="007856D3">
        <w:rPr>
          <w:sz w:val="22"/>
        </w:rPr>
        <w:t>. Although each monthly payment is intended to equal appro</w:t>
      </w:r>
      <w:r w:rsidR="00F024ED">
        <w:rPr>
          <w:sz w:val="22"/>
        </w:rPr>
        <w:t>ximately one twelfth</w:t>
      </w:r>
      <w:r w:rsidRPr="007856D3">
        <w:rPr>
          <w:sz w:val="22"/>
        </w:rPr>
        <w:t xml:space="preserve"> of the projected annual amount, payments in the later months of each fiscal year (from December through June) include adjustments to correct any over- or under-payments in earlier months, including adjustments fo</w:t>
      </w:r>
      <w:r w:rsidR="00FE5DD3" w:rsidRPr="007856D3">
        <w:rPr>
          <w:sz w:val="22"/>
        </w:rPr>
        <w:t>r special education increments.</w:t>
      </w:r>
    </w:p>
    <w:p w:rsidR="00FE5DD3" w:rsidRPr="007856D3" w:rsidRDefault="00FE5DD3" w:rsidP="006840EC">
      <w:pPr>
        <w:rPr>
          <w:sz w:val="22"/>
        </w:rPr>
      </w:pPr>
    </w:p>
    <w:p w:rsidR="003D6F34" w:rsidRPr="007856D3" w:rsidRDefault="00FE5DD3" w:rsidP="006840EC">
      <w:pPr>
        <w:rPr>
          <w:sz w:val="22"/>
        </w:rPr>
      </w:pPr>
      <w:r w:rsidRPr="007856D3">
        <w:rPr>
          <w:sz w:val="22"/>
        </w:rPr>
        <w:t>The cost of special education services is calculated in accordance with 603 CMR 10.07(3). The virtual school is responsible for providing special education services to students in accordance with their Individualized Education Program (IEP). Sending school districts remain fiscally responsible for such students as if the CMVS were a receiving district pursuant to school choice under G.L. c. 76, §12B.</w:t>
      </w:r>
      <w:r w:rsidR="003D6F34" w:rsidRPr="007856D3">
        <w:rPr>
          <w:sz w:val="22"/>
        </w:rPr>
        <w:t xml:space="preserve"> </w:t>
      </w:r>
      <w:r w:rsidR="008C5B47" w:rsidRPr="007856D3">
        <w:rPr>
          <w:sz w:val="22"/>
        </w:rPr>
        <w:t xml:space="preserve">For both </w:t>
      </w:r>
      <w:r w:rsidRPr="007856D3">
        <w:rPr>
          <w:sz w:val="22"/>
        </w:rPr>
        <w:t>virtual schools</w:t>
      </w:r>
      <w:r w:rsidR="008C5B47" w:rsidRPr="007856D3">
        <w:rPr>
          <w:sz w:val="22"/>
        </w:rPr>
        <w:t>, the</w:t>
      </w:r>
      <w:r w:rsidR="006840EC" w:rsidRPr="007856D3">
        <w:rPr>
          <w:sz w:val="22"/>
        </w:rPr>
        <w:t xml:space="preserve"> Board approved a per pupil tuition rate of $6,700, of which the Department retained $75 per pupil for the administration of the program.</w:t>
      </w:r>
      <w:r w:rsidR="008C5B47" w:rsidRPr="007856D3">
        <w:rPr>
          <w:sz w:val="22"/>
        </w:rPr>
        <w:t xml:space="preserve"> </w:t>
      </w:r>
    </w:p>
    <w:p w:rsidR="003D6F34" w:rsidRPr="007856D3" w:rsidRDefault="003D6F34" w:rsidP="006840EC">
      <w:pPr>
        <w:rPr>
          <w:sz w:val="22"/>
        </w:rPr>
      </w:pPr>
    </w:p>
    <w:p w:rsidR="00394ADD" w:rsidRPr="007856D3" w:rsidRDefault="00394ADD" w:rsidP="00394ADD">
      <w:pPr>
        <w:rPr>
          <w:sz w:val="22"/>
        </w:rPr>
      </w:pPr>
      <w:r w:rsidRPr="007856D3">
        <w:rPr>
          <w:sz w:val="22"/>
        </w:rPr>
        <w:t xml:space="preserve">In </w:t>
      </w:r>
      <w:r>
        <w:rPr>
          <w:sz w:val="22"/>
        </w:rPr>
        <w:t xml:space="preserve">fiscal year </w:t>
      </w:r>
      <w:r w:rsidRPr="007856D3">
        <w:rPr>
          <w:sz w:val="22"/>
        </w:rPr>
        <w:t>2014 (</w:t>
      </w:r>
      <w:r>
        <w:rPr>
          <w:sz w:val="22"/>
        </w:rPr>
        <w:t>FY2014</w:t>
      </w:r>
      <w:r w:rsidRPr="007856D3">
        <w:rPr>
          <w:sz w:val="22"/>
        </w:rPr>
        <w:t>), GCVS received a total of $</w:t>
      </w:r>
      <w:r w:rsidRPr="00531B05">
        <w:rPr>
          <w:sz w:val="22"/>
        </w:rPr>
        <w:t>3</w:t>
      </w:r>
      <w:r>
        <w:rPr>
          <w:sz w:val="22"/>
        </w:rPr>
        <w:t>,</w:t>
      </w:r>
      <w:r w:rsidRPr="00531B05">
        <w:rPr>
          <w:sz w:val="22"/>
        </w:rPr>
        <w:t>374</w:t>
      </w:r>
      <w:r>
        <w:rPr>
          <w:sz w:val="22"/>
        </w:rPr>
        <w:t>,</w:t>
      </w:r>
      <w:r w:rsidRPr="00531B05">
        <w:rPr>
          <w:sz w:val="22"/>
        </w:rPr>
        <w:t>280</w:t>
      </w:r>
      <w:r>
        <w:rPr>
          <w:sz w:val="22"/>
        </w:rPr>
        <w:t xml:space="preserve"> </w:t>
      </w:r>
      <w:r w:rsidRPr="007856D3">
        <w:rPr>
          <w:sz w:val="22"/>
        </w:rPr>
        <w:t>in tuition payments</w:t>
      </w:r>
      <w:r>
        <w:rPr>
          <w:sz w:val="22"/>
        </w:rPr>
        <w:t xml:space="preserve"> as provided in Appendix B</w:t>
      </w:r>
      <w:r w:rsidRPr="007856D3">
        <w:rPr>
          <w:sz w:val="22"/>
        </w:rPr>
        <w:t>.</w:t>
      </w:r>
      <w:r>
        <w:rPr>
          <w:rStyle w:val="FootnoteReference"/>
          <w:sz w:val="22"/>
        </w:rPr>
        <w:footnoteReference w:id="2"/>
      </w:r>
    </w:p>
    <w:p w:rsidR="00394ADD" w:rsidRDefault="00394ADD" w:rsidP="00394ADD"/>
    <w:p w:rsidR="00394ADD" w:rsidRPr="001B2D46" w:rsidRDefault="00394ADD" w:rsidP="00394ADD">
      <w:pPr>
        <w:rPr>
          <w:sz w:val="22"/>
          <w:szCs w:val="22"/>
        </w:rPr>
      </w:pPr>
      <w:r w:rsidRPr="007856D3">
        <w:rPr>
          <w:sz w:val="22"/>
        </w:rPr>
        <w:t xml:space="preserve">In </w:t>
      </w:r>
      <w:r>
        <w:rPr>
          <w:sz w:val="22"/>
        </w:rPr>
        <w:t>FY</w:t>
      </w:r>
      <w:r w:rsidRPr="007856D3">
        <w:rPr>
          <w:sz w:val="22"/>
        </w:rPr>
        <w:t>2014, GCVS enrolled students from 1</w:t>
      </w:r>
      <w:r>
        <w:rPr>
          <w:sz w:val="22"/>
        </w:rPr>
        <w:t xml:space="preserve">66 school districts, the majority of whom </w:t>
      </w:r>
      <w:r w:rsidRPr="007856D3">
        <w:rPr>
          <w:sz w:val="22"/>
        </w:rPr>
        <w:t>resided in the districts of Springfield, Boston, Worcester Brockton, Greenfield,</w:t>
      </w:r>
      <w:r>
        <w:rPr>
          <w:sz w:val="22"/>
        </w:rPr>
        <w:t xml:space="preserve"> New Bedford, Chicopee, and North Middlesex</w:t>
      </w:r>
      <w:r w:rsidRPr="005C4FC9">
        <w:rPr>
          <w:sz w:val="22"/>
          <w:szCs w:val="22"/>
        </w:rPr>
        <w:t>. A complete breakdown of sending districts and tuition fi</w:t>
      </w:r>
      <w:r>
        <w:rPr>
          <w:sz w:val="22"/>
          <w:szCs w:val="22"/>
        </w:rPr>
        <w:t>gures between December 2013 and June 2014 is provided in Appendix B.</w:t>
      </w:r>
    </w:p>
    <w:p w:rsidR="003D6F34" w:rsidRDefault="003D6F34" w:rsidP="005E00CC">
      <w:pPr>
        <w:pStyle w:val="Heading3"/>
        <w:spacing w:before="0" w:after="0"/>
      </w:pPr>
      <w:bookmarkStart w:id="5" w:name="_Toc415485253"/>
      <w:r>
        <w:lastRenderedPageBreak/>
        <w:t>Course Completion and Student Attendance and Participation Rates</w:t>
      </w:r>
      <w:bookmarkEnd w:id="5"/>
    </w:p>
    <w:p w:rsidR="005E00CC" w:rsidRPr="005E00CC" w:rsidRDefault="005E00CC" w:rsidP="005E00CC"/>
    <w:p w:rsidR="007320F6" w:rsidRDefault="005C4FC9" w:rsidP="005E00CC">
      <w:pPr>
        <w:rPr>
          <w:sz w:val="22"/>
        </w:rPr>
      </w:pPr>
      <w:r>
        <w:rPr>
          <w:sz w:val="22"/>
        </w:rPr>
        <w:t>Course completion rates for GCVS</w:t>
      </w:r>
      <w:r w:rsidR="00F41324">
        <w:rPr>
          <w:sz w:val="22"/>
        </w:rPr>
        <w:t xml:space="preserve"> elementary courses (PK-8)</w:t>
      </w:r>
      <w:r>
        <w:rPr>
          <w:sz w:val="22"/>
        </w:rPr>
        <w:t>, as compared to the state, are provided in the table below.</w:t>
      </w:r>
    </w:p>
    <w:p w:rsidR="0048631E" w:rsidRDefault="0048631E" w:rsidP="005E00CC">
      <w:pPr>
        <w:rPr>
          <w:sz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69"/>
        <w:gridCol w:w="1107"/>
        <w:gridCol w:w="2601"/>
        <w:gridCol w:w="2599"/>
      </w:tblGrid>
      <w:tr w:rsidR="0048631E" w:rsidRPr="00697CB2" w:rsidTr="0048631E">
        <w:trPr>
          <w:trHeight w:val="64"/>
          <w:tblHeader/>
          <w:jc w:val="center"/>
        </w:trPr>
        <w:tc>
          <w:tcPr>
            <w:tcW w:w="5000" w:type="pct"/>
            <w:gridSpan w:val="4"/>
            <w:shd w:val="clear" w:color="auto" w:fill="auto"/>
            <w:noWrap/>
            <w:vAlign w:val="bottom"/>
            <w:hideMark/>
          </w:tcPr>
          <w:p w:rsidR="0048631E" w:rsidRPr="00697CB2" w:rsidRDefault="0048631E" w:rsidP="00B53FD0">
            <w:pPr>
              <w:spacing w:before="40" w:after="40"/>
              <w:jc w:val="center"/>
              <w:rPr>
                <w:color w:val="000000"/>
                <w:sz w:val="20"/>
                <w:szCs w:val="20"/>
              </w:rPr>
            </w:pPr>
            <w:r w:rsidRPr="00697CB2">
              <w:rPr>
                <w:color w:val="000000"/>
                <w:sz w:val="20"/>
                <w:szCs w:val="20"/>
              </w:rPr>
              <w:t>GCVS Elementary Course Completion as Compared to State, 2013-14 School Year</w:t>
            </w:r>
            <w:r>
              <w:rPr>
                <w:rStyle w:val="FootnoteReference"/>
                <w:sz w:val="20"/>
                <w:szCs w:val="20"/>
              </w:rPr>
              <w:footnoteReference w:id="3"/>
            </w:r>
            <w:r>
              <w:rPr>
                <w:rStyle w:val="FootnoteReference"/>
                <w:sz w:val="20"/>
                <w:szCs w:val="20"/>
              </w:rPr>
              <w:footnoteReference w:id="4"/>
            </w:r>
            <w:r>
              <w:rPr>
                <w:rStyle w:val="FootnoteReference"/>
                <w:sz w:val="20"/>
                <w:szCs w:val="20"/>
              </w:rPr>
              <w:footnoteReference w:id="5"/>
            </w:r>
          </w:p>
        </w:tc>
      </w:tr>
      <w:tr w:rsidR="0048631E" w:rsidRPr="00697CB2" w:rsidTr="0048631E">
        <w:trPr>
          <w:trHeight w:val="330"/>
          <w:tblHeader/>
          <w:jc w:val="center"/>
        </w:trPr>
        <w:tc>
          <w:tcPr>
            <w:tcW w:w="1707" w:type="pct"/>
            <w:shd w:val="clear" w:color="auto" w:fill="auto"/>
            <w:noWrap/>
            <w:vAlign w:val="bottom"/>
            <w:hideMark/>
          </w:tcPr>
          <w:p w:rsidR="0048631E" w:rsidRPr="00697CB2" w:rsidRDefault="0048631E" w:rsidP="00B53FD0">
            <w:pPr>
              <w:spacing w:before="40" w:after="40"/>
              <w:rPr>
                <w:b/>
                <w:sz w:val="20"/>
                <w:szCs w:val="20"/>
              </w:rPr>
            </w:pPr>
            <w:r w:rsidRPr="00697CB2">
              <w:rPr>
                <w:b/>
                <w:sz w:val="20"/>
                <w:szCs w:val="20"/>
              </w:rPr>
              <w:t>Grade</w:t>
            </w:r>
          </w:p>
        </w:tc>
        <w:tc>
          <w:tcPr>
            <w:tcW w:w="578" w:type="pct"/>
            <w:shd w:val="clear" w:color="auto" w:fill="auto"/>
            <w:vAlign w:val="bottom"/>
          </w:tcPr>
          <w:p w:rsidR="0048631E" w:rsidRPr="00697CB2" w:rsidRDefault="0048631E" w:rsidP="00B53FD0">
            <w:pPr>
              <w:spacing w:before="40" w:after="40"/>
              <w:rPr>
                <w:b/>
                <w:sz w:val="20"/>
                <w:szCs w:val="20"/>
              </w:rPr>
            </w:pPr>
          </w:p>
        </w:tc>
        <w:tc>
          <w:tcPr>
            <w:tcW w:w="1358" w:type="pct"/>
            <w:shd w:val="clear" w:color="auto" w:fill="auto"/>
            <w:noWrap/>
            <w:hideMark/>
          </w:tcPr>
          <w:p w:rsidR="0048631E" w:rsidRPr="00697CB2" w:rsidRDefault="0048631E" w:rsidP="00B53FD0">
            <w:pPr>
              <w:spacing w:before="40" w:after="40"/>
              <w:jc w:val="right"/>
              <w:rPr>
                <w:b/>
                <w:color w:val="000000"/>
                <w:sz w:val="20"/>
                <w:szCs w:val="20"/>
              </w:rPr>
            </w:pPr>
            <w:r>
              <w:rPr>
                <w:b/>
                <w:color w:val="000000"/>
                <w:sz w:val="20"/>
                <w:szCs w:val="20"/>
              </w:rPr>
              <w:t xml:space="preserve">Students </w:t>
            </w:r>
            <w:r w:rsidRPr="00697CB2">
              <w:rPr>
                <w:b/>
                <w:color w:val="000000"/>
                <w:sz w:val="20"/>
                <w:szCs w:val="20"/>
              </w:rPr>
              <w:t>Completed</w:t>
            </w:r>
          </w:p>
        </w:tc>
        <w:tc>
          <w:tcPr>
            <w:tcW w:w="1357" w:type="pct"/>
            <w:shd w:val="clear" w:color="auto" w:fill="auto"/>
            <w:noWrap/>
            <w:hideMark/>
          </w:tcPr>
          <w:p w:rsidR="0048631E" w:rsidRPr="00697CB2" w:rsidRDefault="0048631E" w:rsidP="00B53FD0">
            <w:pPr>
              <w:spacing w:before="40" w:after="40"/>
              <w:jc w:val="right"/>
              <w:rPr>
                <w:b/>
                <w:color w:val="000000"/>
                <w:sz w:val="20"/>
                <w:szCs w:val="20"/>
              </w:rPr>
            </w:pPr>
            <w:r>
              <w:rPr>
                <w:b/>
                <w:color w:val="000000"/>
                <w:sz w:val="20"/>
                <w:szCs w:val="20"/>
              </w:rPr>
              <w:t xml:space="preserve">Students </w:t>
            </w:r>
            <w:r w:rsidRPr="00697CB2">
              <w:rPr>
                <w:b/>
                <w:color w:val="000000"/>
                <w:sz w:val="20"/>
                <w:szCs w:val="20"/>
              </w:rPr>
              <w:t>Withdrawn</w:t>
            </w:r>
            <w:r w:rsidRPr="00697CB2">
              <w:rPr>
                <w:rStyle w:val="FootnoteReference"/>
                <w:b/>
                <w:sz w:val="20"/>
                <w:szCs w:val="20"/>
              </w:rPr>
              <w:footnoteReference w:id="6"/>
            </w:r>
          </w:p>
        </w:tc>
      </w:tr>
      <w:tr w:rsidR="0048631E" w:rsidRPr="00697CB2" w:rsidTr="0048631E">
        <w:trPr>
          <w:trHeight w:val="330"/>
          <w:jc w:val="center"/>
        </w:trPr>
        <w:tc>
          <w:tcPr>
            <w:tcW w:w="1707" w:type="pct"/>
            <w:vMerge w:val="restart"/>
            <w:shd w:val="clear" w:color="auto" w:fill="auto"/>
            <w:noWrap/>
            <w:hideMark/>
          </w:tcPr>
          <w:p w:rsidR="0048631E" w:rsidRPr="00697CB2" w:rsidRDefault="0048631E" w:rsidP="00B53FD0">
            <w:pPr>
              <w:spacing w:before="40" w:after="40"/>
              <w:rPr>
                <w:color w:val="000000"/>
                <w:sz w:val="20"/>
                <w:szCs w:val="20"/>
              </w:rPr>
            </w:pPr>
            <w:r w:rsidRPr="00697CB2">
              <w:rPr>
                <w:color w:val="000000"/>
                <w:sz w:val="20"/>
                <w:szCs w:val="20"/>
              </w:rPr>
              <w:t>Part-time Kindergarten</w:t>
            </w:r>
          </w:p>
        </w:tc>
        <w:tc>
          <w:tcPr>
            <w:tcW w:w="578" w:type="pct"/>
            <w:shd w:val="clear" w:color="auto" w:fill="D9D9D9" w:themeFill="background1" w:themeFillShade="D9"/>
            <w:noWrap/>
            <w:vAlign w:val="bottom"/>
            <w:hideMark/>
          </w:tcPr>
          <w:p w:rsidR="0048631E" w:rsidRPr="00697CB2" w:rsidRDefault="0048631E" w:rsidP="00B53FD0">
            <w:pPr>
              <w:spacing w:before="40" w:after="40"/>
              <w:rPr>
                <w:color w:val="000000"/>
                <w:sz w:val="20"/>
                <w:szCs w:val="20"/>
              </w:rPr>
            </w:pPr>
            <w:r w:rsidRPr="00697CB2">
              <w:rPr>
                <w:color w:val="000000"/>
                <w:sz w:val="20"/>
                <w:szCs w:val="20"/>
              </w:rPr>
              <w:t>GCVS</w:t>
            </w:r>
          </w:p>
        </w:tc>
        <w:tc>
          <w:tcPr>
            <w:tcW w:w="1358" w:type="pct"/>
            <w:shd w:val="clear" w:color="auto" w:fill="D9D9D9" w:themeFill="background1" w:themeFillShade="D9"/>
            <w:noWrap/>
            <w:hideMark/>
          </w:tcPr>
          <w:p w:rsidR="0048631E" w:rsidRPr="00697CB2" w:rsidRDefault="0048631E" w:rsidP="00B53FD0">
            <w:pPr>
              <w:spacing w:before="40" w:after="40"/>
              <w:jc w:val="right"/>
              <w:rPr>
                <w:color w:val="000000"/>
                <w:sz w:val="20"/>
                <w:szCs w:val="20"/>
              </w:rPr>
            </w:pPr>
            <w:r w:rsidRPr="00697CB2">
              <w:rPr>
                <w:color w:val="000000"/>
                <w:sz w:val="20"/>
                <w:szCs w:val="20"/>
              </w:rPr>
              <w:t>0 (0%)</w:t>
            </w:r>
          </w:p>
        </w:tc>
        <w:tc>
          <w:tcPr>
            <w:tcW w:w="1357" w:type="pct"/>
            <w:shd w:val="clear" w:color="auto" w:fill="D9D9D9" w:themeFill="background1" w:themeFillShade="D9"/>
            <w:noWrap/>
            <w:hideMark/>
          </w:tcPr>
          <w:p w:rsidR="0048631E" w:rsidRPr="00697CB2" w:rsidRDefault="0048631E" w:rsidP="00B53FD0">
            <w:pPr>
              <w:spacing w:before="40" w:after="40"/>
              <w:jc w:val="right"/>
              <w:rPr>
                <w:color w:val="000000"/>
                <w:sz w:val="20"/>
                <w:szCs w:val="20"/>
              </w:rPr>
            </w:pPr>
            <w:r w:rsidRPr="00697CB2">
              <w:rPr>
                <w:color w:val="000000"/>
                <w:sz w:val="20"/>
                <w:szCs w:val="20"/>
              </w:rPr>
              <w:t>1 (1%)</w:t>
            </w:r>
          </w:p>
        </w:tc>
      </w:tr>
      <w:tr w:rsidR="0048631E" w:rsidRPr="00697CB2" w:rsidTr="0048631E">
        <w:trPr>
          <w:trHeight w:val="64"/>
          <w:jc w:val="center"/>
        </w:trPr>
        <w:tc>
          <w:tcPr>
            <w:tcW w:w="1707" w:type="pct"/>
            <w:vMerge/>
            <w:shd w:val="clear" w:color="auto" w:fill="auto"/>
            <w:noWrap/>
            <w:hideMark/>
          </w:tcPr>
          <w:p w:rsidR="0048631E" w:rsidRPr="00697CB2" w:rsidRDefault="0048631E" w:rsidP="00B53FD0">
            <w:pPr>
              <w:spacing w:before="40" w:after="40"/>
              <w:rPr>
                <w:color w:val="000000"/>
                <w:sz w:val="20"/>
                <w:szCs w:val="20"/>
              </w:rPr>
            </w:pPr>
          </w:p>
        </w:tc>
        <w:tc>
          <w:tcPr>
            <w:tcW w:w="578" w:type="pct"/>
            <w:shd w:val="clear" w:color="auto" w:fill="auto"/>
            <w:noWrap/>
            <w:vAlign w:val="bottom"/>
            <w:hideMark/>
          </w:tcPr>
          <w:p w:rsidR="0048631E" w:rsidRPr="00697CB2" w:rsidRDefault="0048631E" w:rsidP="00B53FD0">
            <w:pPr>
              <w:spacing w:before="40" w:after="40"/>
              <w:rPr>
                <w:color w:val="000000"/>
                <w:sz w:val="20"/>
                <w:szCs w:val="20"/>
              </w:rPr>
            </w:pPr>
            <w:r w:rsidRPr="00697CB2">
              <w:rPr>
                <w:color w:val="000000"/>
                <w:sz w:val="20"/>
                <w:szCs w:val="20"/>
              </w:rPr>
              <w:t>State</w:t>
            </w:r>
          </w:p>
        </w:tc>
        <w:tc>
          <w:tcPr>
            <w:tcW w:w="1358" w:type="pct"/>
            <w:shd w:val="clear" w:color="auto" w:fill="auto"/>
            <w:noWrap/>
            <w:hideMark/>
          </w:tcPr>
          <w:p w:rsidR="0048631E" w:rsidRPr="00697CB2" w:rsidRDefault="0048631E" w:rsidP="00B53FD0">
            <w:pPr>
              <w:spacing w:before="40" w:after="40"/>
              <w:jc w:val="right"/>
              <w:rPr>
                <w:color w:val="000000"/>
                <w:sz w:val="20"/>
                <w:szCs w:val="20"/>
              </w:rPr>
            </w:pPr>
            <w:r w:rsidRPr="00944380">
              <w:rPr>
                <w:color w:val="000000"/>
                <w:sz w:val="20"/>
                <w:szCs w:val="20"/>
              </w:rPr>
              <w:t>4785 (95.1%)</w:t>
            </w:r>
          </w:p>
        </w:tc>
        <w:tc>
          <w:tcPr>
            <w:tcW w:w="1357" w:type="pct"/>
            <w:shd w:val="clear" w:color="auto" w:fill="auto"/>
            <w:noWrap/>
            <w:hideMark/>
          </w:tcPr>
          <w:p w:rsidR="0048631E" w:rsidRPr="00697CB2" w:rsidRDefault="0048631E" w:rsidP="00B53FD0">
            <w:pPr>
              <w:spacing w:before="40" w:after="40"/>
              <w:jc w:val="right"/>
              <w:rPr>
                <w:color w:val="000000"/>
                <w:sz w:val="20"/>
                <w:szCs w:val="20"/>
              </w:rPr>
            </w:pPr>
            <w:r w:rsidRPr="005F1083">
              <w:rPr>
                <w:color w:val="000000"/>
                <w:sz w:val="20"/>
                <w:szCs w:val="20"/>
              </w:rPr>
              <w:t>248 (4.9%)</w:t>
            </w:r>
          </w:p>
        </w:tc>
      </w:tr>
      <w:tr w:rsidR="0048631E" w:rsidRPr="00697CB2" w:rsidTr="0048631E">
        <w:trPr>
          <w:trHeight w:val="315"/>
          <w:jc w:val="center"/>
        </w:trPr>
        <w:tc>
          <w:tcPr>
            <w:tcW w:w="1707" w:type="pct"/>
            <w:vMerge w:val="restart"/>
            <w:shd w:val="clear" w:color="auto" w:fill="auto"/>
            <w:noWrap/>
            <w:hideMark/>
          </w:tcPr>
          <w:p w:rsidR="0048631E" w:rsidRPr="00697CB2" w:rsidRDefault="0048631E" w:rsidP="00B53FD0">
            <w:pPr>
              <w:spacing w:before="40" w:after="40"/>
              <w:rPr>
                <w:color w:val="000000"/>
                <w:sz w:val="20"/>
                <w:szCs w:val="20"/>
              </w:rPr>
            </w:pPr>
            <w:r w:rsidRPr="00697CB2">
              <w:rPr>
                <w:color w:val="000000"/>
                <w:sz w:val="20"/>
                <w:szCs w:val="20"/>
              </w:rPr>
              <w:t>Full-time Kindergarten</w:t>
            </w:r>
          </w:p>
        </w:tc>
        <w:tc>
          <w:tcPr>
            <w:tcW w:w="578" w:type="pct"/>
            <w:shd w:val="clear" w:color="auto" w:fill="D9D9D9" w:themeFill="background1" w:themeFillShade="D9"/>
            <w:noWrap/>
            <w:vAlign w:val="bottom"/>
            <w:hideMark/>
          </w:tcPr>
          <w:p w:rsidR="0048631E" w:rsidRPr="00697CB2" w:rsidRDefault="0048631E" w:rsidP="00B53FD0">
            <w:pPr>
              <w:spacing w:before="40" w:after="40"/>
              <w:rPr>
                <w:color w:val="000000"/>
                <w:sz w:val="20"/>
                <w:szCs w:val="20"/>
              </w:rPr>
            </w:pPr>
            <w:r w:rsidRPr="00697CB2">
              <w:rPr>
                <w:color w:val="000000"/>
                <w:sz w:val="20"/>
                <w:szCs w:val="20"/>
              </w:rPr>
              <w:t>GCVS</w:t>
            </w:r>
          </w:p>
        </w:tc>
        <w:tc>
          <w:tcPr>
            <w:tcW w:w="1358" w:type="pct"/>
            <w:shd w:val="clear" w:color="auto" w:fill="D9D9D9" w:themeFill="background1" w:themeFillShade="D9"/>
            <w:noWrap/>
            <w:hideMark/>
          </w:tcPr>
          <w:p w:rsidR="0048631E" w:rsidRPr="00697CB2" w:rsidRDefault="0048631E" w:rsidP="00B53FD0">
            <w:pPr>
              <w:spacing w:before="40" w:after="40"/>
              <w:jc w:val="right"/>
              <w:rPr>
                <w:color w:val="000000"/>
                <w:sz w:val="20"/>
                <w:szCs w:val="20"/>
              </w:rPr>
            </w:pPr>
            <w:r w:rsidRPr="00697CB2">
              <w:rPr>
                <w:color w:val="000000"/>
                <w:sz w:val="20"/>
                <w:szCs w:val="20"/>
              </w:rPr>
              <w:t>34 (81%)</w:t>
            </w:r>
          </w:p>
        </w:tc>
        <w:tc>
          <w:tcPr>
            <w:tcW w:w="1357" w:type="pct"/>
            <w:shd w:val="clear" w:color="auto" w:fill="D9D9D9" w:themeFill="background1" w:themeFillShade="D9"/>
            <w:noWrap/>
            <w:hideMark/>
          </w:tcPr>
          <w:p w:rsidR="0048631E" w:rsidRPr="00697CB2" w:rsidRDefault="0048631E" w:rsidP="00B53FD0">
            <w:pPr>
              <w:spacing w:before="40" w:after="40"/>
              <w:jc w:val="right"/>
              <w:rPr>
                <w:color w:val="000000"/>
                <w:sz w:val="20"/>
                <w:szCs w:val="20"/>
              </w:rPr>
            </w:pPr>
            <w:r w:rsidRPr="00697CB2">
              <w:rPr>
                <w:color w:val="000000"/>
                <w:sz w:val="20"/>
                <w:szCs w:val="20"/>
              </w:rPr>
              <w:t>8 (19%)</w:t>
            </w:r>
          </w:p>
        </w:tc>
      </w:tr>
      <w:tr w:rsidR="0048631E" w:rsidRPr="00697CB2" w:rsidTr="0048631E">
        <w:trPr>
          <w:trHeight w:val="315"/>
          <w:jc w:val="center"/>
        </w:trPr>
        <w:tc>
          <w:tcPr>
            <w:tcW w:w="1707" w:type="pct"/>
            <w:vMerge/>
            <w:shd w:val="clear" w:color="auto" w:fill="auto"/>
            <w:noWrap/>
            <w:hideMark/>
          </w:tcPr>
          <w:p w:rsidR="0048631E" w:rsidRPr="00697CB2" w:rsidRDefault="0048631E" w:rsidP="00B53FD0">
            <w:pPr>
              <w:spacing w:before="40" w:after="40"/>
              <w:rPr>
                <w:color w:val="000000"/>
                <w:sz w:val="20"/>
                <w:szCs w:val="20"/>
              </w:rPr>
            </w:pPr>
          </w:p>
        </w:tc>
        <w:tc>
          <w:tcPr>
            <w:tcW w:w="578" w:type="pct"/>
            <w:shd w:val="clear" w:color="auto" w:fill="auto"/>
            <w:noWrap/>
            <w:vAlign w:val="bottom"/>
            <w:hideMark/>
          </w:tcPr>
          <w:p w:rsidR="0048631E" w:rsidRPr="00697CB2" w:rsidRDefault="0048631E" w:rsidP="00B53FD0">
            <w:pPr>
              <w:spacing w:before="40" w:after="40"/>
              <w:rPr>
                <w:color w:val="000000"/>
                <w:sz w:val="20"/>
                <w:szCs w:val="20"/>
              </w:rPr>
            </w:pPr>
            <w:r w:rsidRPr="00697CB2">
              <w:rPr>
                <w:color w:val="000000"/>
                <w:sz w:val="20"/>
                <w:szCs w:val="20"/>
              </w:rPr>
              <w:t>State</w:t>
            </w:r>
          </w:p>
        </w:tc>
        <w:tc>
          <w:tcPr>
            <w:tcW w:w="1358" w:type="pct"/>
            <w:shd w:val="clear" w:color="auto" w:fill="auto"/>
            <w:noWrap/>
            <w:hideMark/>
          </w:tcPr>
          <w:p w:rsidR="0048631E" w:rsidRPr="00697CB2" w:rsidRDefault="0048631E" w:rsidP="00B53FD0">
            <w:pPr>
              <w:spacing w:before="40" w:after="40"/>
              <w:jc w:val="right"/>
              <w:rPr>
                <w:color w:val="000000"/>
                <w:sz w:val="20"/>
                <w:szCs w:val="20"/>
              </w:rPr>
            </w:pPr>
            <w:r w:rsidRPr="00944380">
              <w:rPr>
                <w:color w:val="000000"/>
                <w:sz w:val="20"/>
                <w:szCs w:val="20"/>
              </w:rPr>
              <w:t>31797 (91.9%)</w:t>
            </w:r>
          </w:p>
        </w:tc>
        <w:tc>
          <w:tcPr>
            <w:tcW w:w="1357" w:type="pct"/>
            <w:shd w:val="clear" w:color="auto" w:fill="auto"/>
            <w:noWrap/>
            <w:hideMark/>
          </w:tcPr>
          <w:p w:rsidR="0048631E" w:rsidRPr="00697CB2" w:rsidRDefault="0048631E" w:rsidP="00B53FD0">
            <w:pPr>
              <w:spacing w:before="40" w:after="40"/>
              <w:jc w:val="right"/>
              <w:rPr>
                <w:color w:val="000000"/>
                <w:sz w:val="20"/>
                <w:szCs w:val="20"/>
              </w:rPr>
            </w:pPr>
            <w:r w:rsidRPr="005F1083">
              <w:rPr>
                <w:color w:val="000000"/>
                <w:sz w:val="20"/>
                <w:szCs w:val="20"/>
              </w:rPr>
              <w:t>2801 (8.1%)</w:t>
            </w:r>
          </w:p>
        </w:tc>
      </w:tr>
      <w:tr w:rsidR="0048631E" w:rsidRPr="00697CB2" w:rsidTr="0048631E">
        <w:trPr>
          <w:trHeight w:val="315"/>
          <w:jc w:val="center"/>
        </w:trPr>
        <w:tc>
          <w:tcPr>
            <w:tcW w:w="1707" w:type="pct"/>
            <w:vMerge w:val="restart"/>
            <w:shd w:val="clear" w:color="auto" w:fill="auto"/>
            <w:noWrap/>
            <w:hideMark/>
          </w:tcPr>
          <w:p w:rsidR="0048631E" w:rsidRPr="00697CB2" w:rsidRDefault="0048631E" w:rsidP="00B53FD0">
            <w:pPr>
              <w:spacing w:before="40" w:after="40"/>
              <w:rPr>
                <w:color w:val="000000"/>
                <w:sz w:val="20"/>
                <w:szCs w:val="20"/>
              </w:rPr>
            </w:pPr>
            <w:r w:rsidRPr="00697CB2">
              <w:rPr>
                <w:color w:val="000000"/>
                <w:sz w:val="20"/>
                <w:szCs w:val="20"/>
              </w:rPr>
              <w:t>Grade 1</w:t>
            </w:r>
          </w:p>
        </w:tc>
        <w:tc>
          <w:tcPr>
            <w:tcW w:w="578" w:type="pct"/>
            <w:shd w:val="clear" w:color="auto" w:fill="D9D9D9" w:themeFill="background1" w:themeFillShade="D9"/>
            <w:noWrap/>
            <w:vAlign w:val="bottom"/>
            <w:hideMark/>
          </w:tcPr>
          <w:p w:rsidR="0048631E" w:rsidRPr="00697CB2" w:rsidRDefault="0048631E" w:rsidP="00B53FD0">
            <w:pPr>
              <w:spacing w:before="40" w:after="40"/>
              <w:rPr>
                <w:color w:val="000000"/>
                <w:sz w:val="20"/>
                <w:szCs w:val="20"/>
              </w:rPr>
            </w:pPr>
            <w:r w:rsidRPr="00697CB2">
              <w:rPr>
                <w:color w:val="000000"/>
                <w:sz w:val="20"/>
                <w:szCs w:val="20"/>
              </w:rPr>
              <w:t>GCVS</w:t>
            </w:r>
          </w:p>
        </w:tc>
        <w:tc>
          <w:tcPr>
            <w:tcW w:w="1358" w:type="pct"/>
            <w:shd w:val="clear" w:color="auto" w:fill="D9D9D9" w:themeFill="background1" w:themeFillShade="D9"/>
            <w:noWrap/>
            <w:hideMark/>
          </w:tcPr>
          <w:p w:rsidR="0048631E" w:rsidRPr="00697CB2" w:rsidRDefault="0048631E" w:rsidP="00B53FD0">
            <w:pPr>
              <w:spacing w:before="40" w:after="40"/>
              <w:jc w:val="right"/>
              <w:rPr>
                <w:color w:val="000000"/>
                <w:sz w:val="20"/>
                <w:szCs w:val="20"/>
              </w:rPr>
            </w:pPr>
            <w:r w:rsidRPr="00697CB2">
              <w:rPr>
                <w:color w:val="000000"/>
                <w:sz w:val="20"/>
                <w:szCs w:val="20"/>
              </w:rPr>
              <w:t>35 (79.5%)</w:t>
            </w:r>
          </w:p>
        </w:tc>
        <w:tc>
          <w:tcPr>
            <w:tcW w:w="1357" w:type="pct"/>
            <w:shd w:val="clear" w:color="auto" w:fill="D9D9D9" w:themeFill="background1" w:themeFillShade="D9"/>
            <w:noWrap/>
            <w:hideMark/>
          </w:tcPr>
          <w:p w:rsidR="0048631E" w:rsidRPr="00697CB2" w:rsidRDefault="0048631E" w:rsidP="00B53FD0">
            <w:pPr>
              <w:spacing w:before="40" w:after="40"/>
              <w:jc w:val="right"/>
              <w:rPr>
                <w:color w:val="000000"/>
                <w:sz w:val="20"/>
                <w:szCs w:val="20"/>
              </w:rPr>
            </w:pPr>
            <w:r w:rsidRPr="00697CB2">
              <w:rPr>
                <w:color w:val="000000"/>
                <w:sz w:val="20"/>
                <w:szCs w:val="20"/>
              </w:rPr>
              <w:t>9 (20.5%)</w:t>
            </w:r>
          </w:p>
        </w:tc>
      </w:tr>
      <w:tr w:rsidR="0048631E" w:rsidRPr="00697CB2" w:rsidTr="0048631E">
        <w:trPr>
          <w:trHeight w:val="315"/>
          <w:jc w:val="center"/>
        </w:trPr>
        <w:tc>
          <w:tcPr>
            <w:tcW w:w="1707" w:type="pct"/>
            <w:vMerge/>
            <w:shd w:val="clear" w:color="auto" w:fill="auto"/>
            <w:noWrap/>
            <w:hideMark/>
          </w:tcPr>
          <w:p w:rsidR="0048631E" w:rsidRPr="00697CB2" w:rsidRDefault="0048631E" w:rsidP="00B53FD0">
            <w:pPr>
              <w:spacing w:before="40" w:after="40"/>
              <w:rPr>
                <w:color w:val="000000"/>
                <w:sz w:val="20"/>
                <w:szCs w:val="20"/>
              </w:rPr>
            </w:pPr>
          </w:p>
        </w:tc>
        <w:tc>
          <w:tcPr>
            <w:tcW w:w="578" w:type="pct"/>
            <w:shd w:val="clear" w:color="auto" w:fill="auto"/>
            <w:noWrap/>
            <w:vAlign w:val="bottom"/>
            <w:hideMark/>
          </w:tcPr>
          <w:p w:rsidR="0048631E" w:rsidRPr="00697CB2" w:rsidRDefault="0048631E" w:rsidP="00B53FD0">
            <w:pPr>
              <w:spacing w:before="40" w:after="40"/>
              <w:rPr>
                <w:color w:val="000000"/>
                <w:sz w:val="20"/>
                <w:szCs w:val="20"/>
              </w:rPr>
            </w:pPr>
            <w:r w:rsidRPr="00697CB2">
              <w:rPr>
                <w:color w:val="000000"/>
                <w:sz w:val="20"/>
                <w:szCs w:val="20"/>
              </w:rPr>
              <w:t>State</w:t>
            </w:r>
          </w:p>
        </w:tc>
        <w:tc>
          <w:tcPr>
            <w:tcW w:w="1358" w:type="pct"/>
            <w:shd w:val="clear" w:color="auto" w:fill="auto"/>
            <w:noWrap/>
            <w:hideMark/>
          </w:tcPr>
          <w:p w:rsidR="0048631E" w:rsidRPr="00697CB2" w:rsidRDefault="0048631E" w:rsidP="00B53FD0">
            <w:pPr>
              <w:spacing w:before="40" w:after="40"/>
              <w:jc w:val="right"/>
              <w:rPr>
                <w:color w:val="000000"/>
                <w:sz w:val="20"/>
                <w:szCs w:val="20"/>
              </w:rPr>
            </w:pPr>
            <w:r w:rsidRPr="00944380">
              <w:rPr>
                <w:color w:val="000000"/>
                <w:sz w:val="20"/>
                <w:szCs w:val="20"/>
              </w:rPr>
              <w:t>38473 (93.8%)</w:t>
            </w:r>
          </w:p>
        </w:tc>
        <w:tc>
          <w:tcPr>
            <w:tcW w:w="1357" w:type="pct"/>
            <w:shd w:val="clear" w:color="auto" w:fill="auto"/>
            <w:noWrap/>
            <w:hideMark/>
          </w:tcPr>
          <w:p w:rsidR="0048631E" w:rsidRPr="00697CB2" w:rsidRDefault="0048631E" w:rsidP="00B53FD0">
            <w:pPr>
              <w:spacing w:before="40" w:after="40"/>
              <w:jc w:val="right"/>
              <w:rPr>
                <w:color w:val="000000"/>
                <w:sz w:val="20"/>
                <w:szCs w:val="20"/>
              </w:rPr>
            </w:pPr>
            <w:r w:rsidRPr="005F1083">
              <w:rPr>
                <w:color w:val="000000"/>
                <w:sz w:val="20"/>
                <w:szCs w:val="20"/>
              </w:rPr>
              <w:t>2538 (6.2%)</w:t>
            </w:r>
          </w:p>
        </w:tc>
      </w:tr>
      <w:tr w:rsidR="0048631E" w:rsidRPr="00697CB2" w:rsidTr="0048631E">
        <w:trPr>
          <w:trHeight w:val="315"/>
          <w:jc w:val="center"/>
        </w:trPr>
        <w:tc>
          <w:tcPr>
            <w:tcW w:w="1707" w:type="pct"/>
            <w:vMerge w:val="restart"/>
            <w:shd w:val="clear" w:color="auto" w:fill="auto"/>
            <w:noWrap/>
            <w:hideMark/>
          </w:tcPr>
          <w:p w:rsidR="0048631E" w:rsidRPr="00697CB2" w:rsidRDefault="0048631E" w:rsidP="00B53FD0">
            <w:pPr>
              <w:spacing w:before="40" w:after="40"/>
              <w:rPr>
                <w:color w:val="000000"/>
                <w:sz w:val="20"/>
                <w:szCs w:val="20"/>
              </w:rPr>
            </w:pPr>
            <w:r w:rsidRPr="00697CB2">
              <w:rPr>
                <w:color w:val="000000"/>
                <w:sz w:val="20"/>
                <w:szCs w:val="20"/>
              </w:rPr>
              <w:t>Grade 2</w:t>
            </w:r>
          </w:p>
        </w:tc>
        <w:tc>
          <w:tcPr>
            <w:tcW w:w="578" w:type="pct"/>
            <w:shd w:val="clear" w:color="auto" w:fill="D9D9D9" w:themeFill="background1" w:themeFillShade="D9"/>
            <w:noWrap/>
            <w:vAlign w:val="bottom"/>
            <w:hideMark/>
          </w:tcPr>
          <w:p w:rsidR="0048631E" w:rsidRPr="00697CB2" w:rsidRDefault="0048631E" w:rsidP="00B53FD0">
            <w:pPr>
              <w:spacing w:before="40" w:after="40"/>
              <w:rPr>
                <w:color w:val="000000"/>
                <w:sz w:val="20"/>
                <w:szCs w:val="20"/>
              </w:rPr>
            </w:pPr>
            <w:r w:rsidRPr="00697CB2">
              <w:rPr>
                <w:color w:val="000000"/>
                <w:sz w:val="20"/>
                <w:szCs w:val="20"/>
              </w:rPr>
              <w:t>GCVS</w:t>
            </w:r>
          </w:p>
        </w:tc>
        <w:tc>
          <w:tcPr>
            <w:tcW w:w="1358" w:type="pct"/>
            <w:shd w:val="clear" w:color="auto" w:fill="D9D9D9" w:themeFill="background1" w:themeFillShade="D9"/>
            <w:noWrap/>
            <w:hideMark/>
          </w:tcPr>
          <w:p w:rsidR="0048631E" w:rsidRPr="00697CB2" w:rsidRDefault="0048631E" w:rsidP="00B53FD0">
            <w:pPr>
              <w:spacing w:before="40" w:after="40"/>
              <w:jc w:val="right"/>
              <w:rPr>
                <w:color w:val="000000"/>
                <w:sz w:val="20"/>
                <w:szCs w:val="20"/>
              </w:rPr>
            </w:pPr>
            <w:r w:rsidRPr="00697CB2">
              <w:rPr>
                <w:color w:val="000000"/>
                <w:sz w:val="20"/>
                <w:szCs w:val="20"/>
              </w:rPr>
              <w:t>36 (81.8%)</w:t>
            </w:r>
          </w:p>
        </w:tc>
        <w:tc>
          <w:tcPr>
            <w:tcW w:w="1357" w:type="pct"/>
            <w:shd w:val="clear" w:color="auto" w:fill="D9D9D9" w:themeFill="background1" w:themeFillShade="D9"/>
            <w:noWrap/>
            <w:hideMark/>
          </w:tcPr>
          <w:p w:rsidR="0048631E" w:rsidRPr="00697CB2" w:rsidRDefault="0048631E" w:rsidP="00B53FD0">
            <w:pPr>
              <w:spacing w:before="40" w:after="40"/>
              <w:jc w:val="right"/>
              <w:rPr>
                <w:color w:val="000000"/>
                <w:sz w:val="20"/>
                <w:szCs w:val="20"/>
              </w:rPr>
            </w:pPr>
            <w:r w:rsidRPr="00697CB2">
              <w:rPr>
                <w:color w:val="000000"/>
                <w:sz w:val="20"/>
                <w:szCs w:val="20"/>
              </w:rPr>
              <w:t>8 (18.2%)</w:t>
            </w:r>
          </w:p>
        </w:tc>
      </w:tr>
      <w:tr w:rsidR="0048631E" w:rsidRPr="00697CB2" w:rsidTr="0048631E">
        <w:trPr>
          <w:trHeight w:val="315"/>
          <w:jc w:val="center"/>
        </w:trPr>
        <w:tc>
          <w:tcPr>
            <w:tcW w:w="1707" w:type="pct"/>
            <w:vMerge/>
            <w:shd w:val="clear" w:color="auto" w:fill="auto"/>
            <w:noWrap/>
            <w:hideMark/>
          </w:tcPr>
          <w:p w:rsidR="0048631E" w:rsidRPr="00697CB2" w:rsidRDefault="0048631E" w:rsidP="00B53FD0">
            <w:pPr>
              <w:spacing w:before="40" w:after="40"/>
              <w:rPr>
                <w:color w:val="000000"/>
                <w:sz w:val="20"/>
                <w:szCs w:val="20"/>
              </w:rPr>
            </w:pPr>
          </w:p>
        </w:tc>
        <w:tc>
          <w:tcPr>
            <w:tcW w:w="578" w:type="pct"/>
            <w:shd w:val="clear" w:color="auto" w:fill="auto"/>
            <w:noWrap/>
            <w:vAlign w:val="bottom"/>
            <w:hideMark/>
          </w:tcPr>
          <w:p w:rsidR="0048631E" w:rsidRPr="00697CB2" w:rsidRDefault="0048631E" w:rsidP="00B53FD0">
            <w:pPr>
              <w:spacing w:before="40" w:after="40"/>
              <w:rPr>
                <w:color w:val="000000"/>
                <w:sz w:val="20"/>
                <w:szCs w:val="20"/>
              </w:rPr>
            </w:pPr>
            <w:r w:rsidRPr="00697CB2">
              <w:rPr>
                <w:color w:val="000000"/>
                <w:sz w:val="20"/>
                <w:szCs w:val="20"/>
              </w:rPr>
              <w:t>State</w:t>
            </w:r>
          </w:p>
        </w:tc>
        <w:tc>
          <w:tcPr>
            <w:tcW w:w="1358" w:type="pct"/>
            <w:shd w:val="clear" w:color="auto" w:fill="auto"/>
            <w:noWrap/>
            <w:hideMark/>
          </w:tcPr>
          <w:p w:rsidR="0048631E" w:rsidRPr="00697CB2" w:rsidRDefault="0048631E" w:rsidP="00B53FD0">
            <w:pPr>
              <w:spacing w:before="40" w:after="40"/>
              <w:jc w:val="right"/>
              <w:rPr>
                <w:color w:val="000000"/>
                <w:sz w:val="20"/>
                <w:szCs w:val="20"/>
              </w:rPr>
            </w:pPr>
            <w:r w:rsidRPr="00944380">
              <w:rPr>
                <w:color w:val="000000"/>
                <w:sz w:val="20"/>
                <w:szCs w:val="20"/>
              </w:rPr>
              <w:t>37641 (94.9%)</w:t>
            </w:r>
          </w:p>
        </w:tc>
        <w:tc>
          <w:tcPr>
            <w:tcW w:w="1357" w:type="pct"/>
            <w:shd w:val="clear" w:color="auto" w:fill="auto"/>
            <w:noWrap/>
            <w:hideMark/>
          </w:tcPr>
          <w:p w:rsidR="0048631E" w:rsidRPr="00697CB2" w:rsidRDefault="0048631E" w:rsidP="00B53FD0">
            <w:pPr>
              <w:spacing w:before="40" w:after="40"/>
              <w:jc w:val="right"/>
              <w:rPr>
                <w:color w:val="000000"/>
                <w:sz w:val="20"/>
                <w:szCs w:val="20"/>
              </w:rPr>
            </w:pPr>
            <w:r w:rsidRPr="005F1083">
              <w:rPr>
                <w:color w:val="000000"/>
                <w:sz w:val="20"/>
                <w:szCs w:val="20"/>
              </w:rPr>
              <w:t>2029 (5.1%)</w:t>
            </w:r>
          </w:p>
        </w:tc>
      </w:tr>
      <w:tr w:rsidR="0048631E" w:rsidRPr="00697CB2" w:rsidTr="0048631E">
        <w:trPr>
          <w:trHeight w:val="315"/>
          <w:jc w:val="center"/>
        </w:trPr>
        <w:tc>
          <w:tcPr>
            <w:tcW w:w="1707" w:type="pct"/>
            <w:vMerge w:val="restart"/>
            <w:shd w:val="clear" w:color="auto" w:fill="auto"/>
            <w:noWrap/>
            <w:hideMark/>
          </w:tcPr>
          <w:p w:rsidR="0048631E" w:rsidRPr="00697CB2" w:rsidRDefault="0048631E" w:rsidP="00B53FD0">
            <w:pPr>
              <w:spacing w:before="40" w:after="40"/>
              <w:rPr>
                <w:color w:val="000000"/>
                <w:sz w:val="20"/>
                <w:szCs w:val="20"/>
              </w:rPr>
            </w:pPr>
            <w:r w:rsidRPr="00697CB2">
              <w:rPr>
                <w:color w:val="000000"/>
                <w:sz w:val="20"/>
                <w:szCs w:val="20"/>
              </w:rPr>
              <w:t>Grade 3</w:t>
            </w:r>
          </w:p>
        </w:tc>
        <w:tc>
          <w:tcPr>
            <w:tcW w:w="578" w:type="pct"/>
            <w:shd w:val="clear" w:color="auto" w:fill="D9D9D9" w:themeFill="background1" w:themeFillShade="D9"/>
            <w:noWrap/>
            <w:vAlign w:val="bottom"/>
            <w:hideMark/>
          </w:tcPr>
          <w:p w:rsidR="0048631E" w:rsidRPr="00697CB2" w:rsidRDefault="0048631E" w:rsidP="00B53FD0">
            <w:pPr>
              <w:spacing w:before="40" w:after="40"/>
              <w:rPr>
                <w:color w:val="000000"/>
                <w:sz w:val="20"/>
                <w:szCs w:val="20"/>
              </w:rPr>
            </w:pPr>
            <w:r w:rsidRPr="00697CB2">
              <w:rPr>
                <w:color w:val="000000"/>
                <w:sz w:val="20"/>
                <w:szCs w:val="20"/>
              </w:rPr>
              <w:t>GCVS</w:t>
            </w:r>
          </w:p>
        </w:tc>
        <w:tc>
          <w:tcPr>
            <w:tcW w:w="1358" w:type="pct"/>
            <w:shd w:val="clear" w:color="auto" w:fill="D9D9D9" w:themeFill="background1" w:themeFillShade="D9"/>
            <w:noWrap/>
            <w:hideMark/>
          </w:tcPr>
          <w:p w:rsidR="0048631E" w:rsidRPr="00697CB2" w:rsidRDefault="0048631E" w:rsidP="00B53FD0">
            <w:pPr>
              <w:spacing w:before="40" w:after="40"/>
              <w:jc w:val="right"/>
              <w:rPr>
                <w:color w:val="000000"/>
                <w:sz w:val="20"/>
                <w:szCs w:val="20"/>
              </w:rPr>
            </w:pPr>
            <w:r w:rsidRPr="00697CB2">
              <w:rPr>
                <w:color w:val="000000"/>
                <w:sz w:val="20"/>
                <w:szCs w:val="20"/>
              </w:rPr>
              <w:t>32 (78%)</w:t>
            </w:r>
          </w:p>
        </w:tc>
        <w:tc>
          <w:tcPr>
            <w:tcW w:w="1357" w:type="pct"/>
            <w:shd w:val="clear" w:color="auto" w:fill="D9D9D9" w:themeFill="background1" w:themeFillShade="D9"/>
            <w:noWrap/>
            <w:hideMark/>
          </w:tcPr>
          <w:p w:rsidR="0048631E" w:rsidRPr="00697CB2" w:rsidRDefault="0048631E" w:rsidP="00B53FD0">
            <w:pPr>
              <w:spacing w:before="40" w:after="40"/>
              <w:jc w:val="right"/>
              <w:rPr>
                <w:color w:val="000000"/>
                <w:sz w:val="20"/>
                <w:szCs w:val="20"/>
              </w:rPr>
            </w:pPr>
            <w:r w:rsidRPr="00697CB2">
              <w:rPr>
                <w:color w:val="000000"/>
                <w:sz w:val="20"/>
                <w:szCs w:val="20"/>
              </w:rPr>
              <w:t>9 (22%)</w:t>
            </w:r>
          </w:p>
        </w:tc>
      </w:tr>
      <w:tr w:rsidR="0048631E" w:rsidRPr="00697CB2" w:rsidTr="0048631E">
        <w:trPr>
          <w:trHeight w:val="315"/>
          <w:jc w:val="center"/>
        </w:trPr>
        <w:tc>
          <w:tcPr>
            <w:tcW w:w="1707" w:type="pct"/>
            <w:vMerge/>
            <w:shd w:val="clear" w:color="auto" w:fill="auto"/>
            <w:noWrap/>
            <w:hideMark/>
          </w:tcPr>
          <w:p w:rsidR="0048631E" w:rsidRPr="00697CB2" w:rsidRDefault="0048631E" w:rsidP="00B53FD0">
            <w:pPr>
              <w:spacing w:before="40" w:after="40"/>
              <w:rPr>
                <w:color w:val="000000"/>
                <w:sz w:val="20"/>
                <w:szCs w:val="20"/>
              </w:rPr>
            </w:pPr>
          </w:p>
        </w:tc>
        <w:tc>
          <w:tcPr>
            <w:tcW w:w="578" w:type="pct"/>
            <w:shd w:val="clear" w:color="auto" w:fill="auto"/>
            <w:noWrap/>
            <w:vAlign w:val="bottom"/>
            <w:hideMark/>
          </w:tcPr>
          <w:p w:rsidR="0048631E" w:rsidRPr="00697CB2" w:rsidRDefault="0048631E" w:rsidP="00B53FD0">
            <w:pPr>
              <w:spacing w:before="40" w:after="40"/>
              <w:rPr>
                <w:color w:val="000000"/>
                <w:sz w:val="20"/>
                <w:szCs w:val="20"/>
              </w:rPr>
            </w:pPr>
            <w:r w:rsidRPr="00697CB2">
              <w:rPr>
                <w:color w:val="000000"/>
                <w:sz w:val="20"/>
                <w:szCs w:val="20"/>
              </w:rPr>
              <w:t>State</w:t>
            </w:r>
          </w:p>
        </w:tc>
        <w:tc>
          <w:tcPr>
            <w:tcW w:w="1358" w:type="pct"/>
            <w:shd w:val="clear" w:color="auto" w:fill="auto"/>
            <w:noWrap/>
            <w:hideMark/>
          </w:tcPr>
          <w:p w:rsidR="0048631E" w:rsidRPr="00697CB2" w:rsidRDefault="0048631E" w:rsidP="00B53FD0">
            <w:pPr>
              <w:spacing w:before="40" w:after="40"/>
              <w:jc w:val="right"/>
              <w:rPr>
                <w:color w:val="000000"/>
                <w:sz w:val="20"/>
                <w:szCs w:val="20"/>
              </w:rPr>
            </w:pPr>
            <w:r w:rsidRPr="00944380">
              <w:rPr>
                <w:color w:val="000000"/>
                <w:sz w:val="20"/>
                <w:szCs w:val="20"/>
              </w:rPr>
              <w:t>34062 (95.7%)</w:t>
            </w:r>
          </w:p>
        </w:tc>
        <w:tc>
          <w:tcPr>
            <w:tcW w:w="1357" w:type="pct"/>
            <w:shd w:val="clear" w:color="auto" w:fill="auto"/>
            <w:noWrap/>
            <w:hideMark/>
          </w:tcPr>
          <w:p w:rsidR="0048631E" w:rsidRPr="00697CB2" w:rsidRDefault="0048631E" w:rsidP="00B53FD0">
            <w:pPr>
              <w:spacing w:before="40" w:after="40"/>
              <w:jc w:val="right"/>
              <w:rPr>
                <w:color w:val="000000"/>
                <w:sz w:val="20"/>
                <w:szCs w:val="20"/>
              </w:rPr>
            </w:pPr>
            <w:r w:rsidRPr="005F1083">
              <w:rPr>
                <w:color w:val="000000"/>
                <w:sz w:val="20"/>
                <w:szCs w:val="20"/>
              </w:rPr>
              <w:t>1516 (4.3%)</w:t>
            </w:r>
          </w:p>
        </w:tc>
      </w:tr>
      <w:tr w:rsidR="0048631E" w:rsidRPr="00697CB2" w:rsidTr="0048631E">
        <w:trPr>
          <w:trHeight w:val="315"/>
          <w:jc w:val="center"/>
        </w:trPr>
        <w:tc>
          <w:tcPr>
            <w:tcW w:w="1707" w:type="pct"/>
            <w:vMerge w:val="restart"/>
            <w:shd w:val="clear" w:color="auto" w:fill="auto"/>
            <w:noWrap/>
            <w:hideMark/>
          </w:tcPr>
          <w:p w:rsidR="0048631E" w:rsidRPr="00697CB2" w:rsidRDefault="0048631E" w:rsidP="00B53FD0">
            <w:pPr>
              <w:spacing w:before="40" w:after="40"/>
              <w:rPr>
                <w:color w:val="000000"/>
                <w:sz w:val="20"/>
                <w:szCs w:val="20"/>
              </w:rPr>
            </w:pPr>
            <w:r w:rsidRPr="00697CB2">
              <w:rPr>
                <w:color w:val="000000"/>
                <w:sz w:val="20"/>
                <w:szCs w:val="20"/>
              </w:rPr>
              <w:t>Grade 4</w:t>
            </w:r>
          </w:p>
        </w:tc>
        <w:tc>
          <w:tcPr>
            <w:tcW w:w="578" w:type="pct"/>
            <w:shd w:val="clear" w:color="auto" w:fill="D9D9D9" w:themeFill="background1" w:themeFillShade="D9"/>
            <w:noWrap/>
            <w:vAlign w:val="bottom"/>
            <w:hideMark/>
          </w:tcPr>
          <w:p w:rsidR="0048631E" w:rsidRPr="00697CB2" w:rsidRDefault="0048631E" w:rsidP="00B53FD0">
            <w:pPr>
              <w:spacing w:before="40" w:after="40"/>
              <w:rPr>
                <w:color w:val="000000"/>
                <w:sz w:val="20"/>
                <w:szCs w:val="20"/>
              </w:rPr>
            </w:pPr>
            <w:r w:rsidRPr="00697CB2">
              <w:rPr>
                <w:color w:val="000000"/>
                <w:sz w:val="20"/>
                <w:szCs w:val="20"/>
              </w:rPr>
              <w:t>GCVS</w:t>
            </w:r>
          </w:p>
        </w:tc>
        <w:tc>
          <w:tcPr>
            <w:tcW w:w="1358" w:type="pct"/>
            <w:shd w:val="clear" w:color="auto" w:fill="D9D9D9" w:themeFill="background1" w:themeFillShade="D9"/>
            <w:noWrap/>
            <w:hideMark/>
          </w:tcPr>
          <w:p w:rsidR="0048631E" w:rsidRPr="00697CB2" w:rsidRDefault="0048631E" w:rsidP="00B53FD0">
            <w:pPr>
              <w:spacing w:before="40" w:after="40"/>
              <w:jc w:val="right"/>
              <w:rPr>
                <w:color w:val="000000"/>
                <w:sz w:val="20"/>
                <w:szCs w:val="20"/>
              </w:rPr>
            </w:pPr>
            <w:r w:rsidRPr="00697CB2">
              <w:rPr>
                <w:color w:val="000000"/>
                <w:sz w:val="20"/>
                <w:szCs w:val="20"/>
              </w:rPr>
              <w:t>44 (75.9%)</w:t>
            </w:r>
          </w:p>
        </w:tc>
        <w:tc>
          <w:tcPr>
            <w:tcW w:w="1357" w:type="pct"/>
            <w:shd w:val="clear" w:color="auto" w:fill="D9D9D9" w:themeFill="background1" w:themeFillShade="D9"/>
            <w:noWrap/>
            <w:hideMark/>
          </w:tcPr>
          <w:p w:rsidR="0048631E" w:rsidRPr="00697CB2" w:rsidRDefault="0048631E" w:rsidP="00B53FD0">
            <w:pPr>
              <w:spacing w:before="40" w:after="40"/>
              <w:jc w:val="right"/>
              <w:rPr>
                <w:color w:val="000000"/>
                <w:sz w:val="20"/>
                <w:szCs w:val="20"/>
              </w:rPr>
            </w:pPr>
            <w:r w:rsidRPr="00697CB2">
              <w:rPr>
                <w:color w:val="000000"/>
                <w:sz w:val="20"/>
                <w:szCs w:val="20"/>
              </w:rPr>
              <w:t>14 (24.1%)</w:t>
            </w:r>
          </w:p>
        </w:tc>
      </w:tr>
      <w:tr w:rsidR="0048631E" w:rsidRPr="00697CB2" w:rsidTr="0048631E">
        <w:trPr>
          <w:trHeight w:val="315"/>
          <w:jc w:val="center"/>
        </w:trPr>
        <w:tc>
          <w:tcPr>
            <w:tcW w:w="1707" w:type="pct"/>
            <w:vMerge/>
            <w:shd w:val="clear" w:color="auto" w:fill="auto"/>
            <w:noWrap/>
            <w:hideMark/>
          </w:tcPr>
          <w:p w:rsidR="0048631E" w:rsidRPr="00697CB2" w:rsidRDefault="0048631E" w:rsidP="00B53FD0">
            <w:pPr>
              <w:spacing w:before="40" w:after="40"/>
              <w:rPr>
                <w:color w:val="000000"/>
                <w:sz w:val="20"/>
                <w:szCs w:val="20"/>
              </w:rPr>
            </w:pPr>
          </w:p>
        </w:tc>
        <w:tc>
          <w:tcPr>
            <w:tcW w:w="578" w:type="pct"/>
            <w:shd w:val="clear" w:color="auto" w:fill="auto"/>
            <w:noWrap/>
            <w:vAlign w:val="bottom"/>
            <w:hideMark/>
          </w:tcPr>
          <w:p w:rsidR="0048631E" w:rsidRPr="00697CB2" w:rsidRDefault="0048631E" w:rsidP="00B53FD0">
            <w:pPr>
              <w:spacing w:before="40" w:after="40"/>
              <w:rPr>
                <w:color w:val="000000"/>
                <w:sz w:val="20"/>
                <w:szCs w:val="20"/>
              </w:rPr>
            </w:pPr>
            <w:r w:rsidRPr="00697CB2">
              <w:rPr>
                <w:color w:val="000000"/>
                <w:sz w:val="20"/>
                <w:szCs w:val="20"/>
              </w:rPr>
              <w:t>State</w:t>
            </w:r>
          </w:p>
        </w:tc>
        <w:tc>
          <w:tcPr>
            <w:tcW w:w="1358" w:type="pct"/>
            <w:shd w:val="clear" w:color="auto" w:fill="auto"/>
            <w:noWrap/>
            <w:hideMark/>
          </w:tcPr>
          <w:p w:rsidR="0048631E" w:rsidRPr="00697CB2" w:rsidRDefault="0048631E" w:rsidP="00B53FD0">
            <w:pPr>
              <w:spacing w:before="40" w:after="40"/>
              <w:jc w:val="right"/>
              <w:rPr>
                <w:color w:val="000000"/>
                <w:sz w:val="20"/>
                <w:szCs w:val="20"/>
              </w:rPr>
            </w:pPr>
            <w:r w:rsidRPr="00944380">
              <w:rPr>
                <w:color w:val="000000"/>
                <w:sz w:val="20"/>
                <w:szCs w:val="20"/>
              </w:rPr>
              <w:t>33854 (95.8%)</w:t>
            </w:r>
          </w:p>
        </w:tc>
        <w:tc>
          <w:tcPr>
            <w:tcW w:w="1357" w:type="pct"/>
            <w:shd w:val="clear" w:color="auto" w:fill="auto"/>
            <w:noWrap/>
            <w:hideMark/>
          </w:tcPr>
          <w:p w:rsidR="0048631E" w:rsidRPr="00697CB2" w:rsidRDefault="0048631E" w:rsidP="00B53FD0">
            <w:pPr>
              <w:spacing w:before="40" w:after="40"/>
              <w:jc w:val="right"/>
              <w:rPr>
                <w:color w:val="000000"/>
                <w:sz w:val="20"/>
                <w:szCs w:val="20"/>
              </w:rPr>
            </w:pPr>
            <w:r w:rsidRPr="005F1083">
              <w:rPr>
                <w:color w:val="000000"/>
                <w:sz w:val="20"/>
                <w:szCs w:val="20"/>
              </w:rPr>
              <w:t>1488 (4.2%)</w:t>
            </w:r>
          </w:p>
        </w:tc>
      </w:tr>
      <w:tr w:rsidR="0048631E" w:rsidRPr="00697CB2" w:rsidTr="0048631E">
        <w:trPr>
          <w:trHeight w:val="315"/>
          <w:jc w:val="center"/>
        </w:trPr>
        <w:tc>
          <w:tcPr>
            <w:tcW w:w="1707" w:type="pct"/>
            <w:vMerge w:val="restart"/>
            <w:shd w:val="clear" w:color="auto" w:fill="auto"/>
            <w:noWrap/>
            <w:hideMark/>
          </w:tcPr>
          <w:p w:rsidR="0048631E" w:rsidRPr="00697CB2" w:rsidRDefault="0048631E" w:rsidP="00B53FD0">
            <w:pPr>
              <w:spacing w:before="40" w:after="40"/>
              <w:rPr>
                <w:color w:val="000000"/>
                <w:sz w:val="20"/>
                <w:szCs w:val="20"/>
              </w:rPr>
            </w:pPr>
            <w:r w:rsidRPr="00697CB2">
              <w:rPr>
                <w:color w:val="000000"/>
                <w:sz w:val="20"/>
                <w:szCs w:val="20"/>
              </w:rPr>
              <w:t>Grade 5</w:t>
            </w:r>
          </w:p>
        </w:tc>
        <w:tc>
          <w:tcPr>
            <w:tcW w:w="578" w:type="pct"/>
            <w:shd w:val="clear" w:color="auto" w:fill="D9D9D9" w:themeFill="background1" w:themeFillShade="D9"/>
            <w:noWrap/>
            <w:vAlign w:val="bottom"/>
            <w:hideMark/>
          </w:tcPr>
          <w:p w:rsidR="0048631E" w:rsidRPr="00697CB2" w:rsidRDefault="0048631E" w:rsidP="00B53FD0">
            <w:pPr>
              <w:spacing w:before="40" w:after="40"/>
              <w:rPr>
                <w:color w:val="000000"/>
                <w:sz w:val="20"/>
                <w:szCs w:val="20"/>
              </w:rPr>
            </w:pPr>
            <w:r w:rsidRPr="00697CB2">
              <w:rPr>
                <w:color w:val="000000"/>
                <w:sz w:val="20"/>
                <w:szCs w:val="20"/>
              </w:rPr>
              <w:t>GCVS</w:t>
            </w:r>
          </w:p>
        </w:tc>
        <w:tc>
          <w:tcPr>
            <w:tcW w:w="1358" w:type="pct"/>
            <w:shd w:val="clear" w:color="auto" w:fill="D9D9D9" w:themeFill="background1" w:themeFillShade="D9"/>
            <w:noWrap/>
            <w:hideMark/>
          </w:tcPr>
          <w:p w:rsidR="0048631E" w:rsidRPr="00697CB2" w:rsidRDefault="0048631E" w:rsidP="00B53FD0">
            <w:pPr>
              <w:spacing w:before="40" w:after="40"/>
              <w:jc w:val="right"/>
              <w:rPr>
                <w:color w:val="000000"/>
                <w:sz w:val="20"/>
                <w:szCs w:val="20"/>
              </w:rPr>
            </w:pPr>
            <w:r w:rsidRPr="00697CB2">
              <w:rPr>
                <w:color w:val="000000"/>
                <w:sz w:val="20"/>
                <w:szCs w:val="20"/>
              </w:rPr>
              <w:t>36 (85.7%)</w:t>
            </w:r>
          </w:p>
        </w:tc>
        <w:tc>
          <w:tcPr>
            <w:tcW w:w="1357" w:type="pct"/>
            <w:shd w:val="clear" w:color="auto" w:fill="D9D9D9" w:themeFill="background1" w:themeFillShade="D9"/>
            <w:noWrap/>
            <w:hideMark/>
          </w:tcPr>
          <w:p w:rsidR="0048631E" w:rsidRPr="00697CB2" w:rsidRDefault="0048631E" w:rsidP="00B53FD0">
            <w:pPr>
              <w:spacing w:before="40" w:after="40"/>
              <w:jc w:val="right"/>
              <w:rPr>
                <w:color w:val="000000"/>
                <w:sz w:val="20"/>
                <w:szCs w:val="20"/>
              </w:rPr>
            </w:pPr>
            <w:r w:rsidRPr="00697CB2">
              <w:rPr>
                <w:color w:val="000000"/>
                <w:sz w:val="20"/>
                <w:szCs w:val="20"/>
              </w:rPr>
              <w:t>6 (14.3%)</w:t>
            </w:r>
          </w:p>
        </w:tc>
      </w:tr>
      <w:tr w:rsidR="0048631E" w:rsidRPr="00697CB2" w:rsidTr="0048631E">
        <w:trPr>
          <w:trHeight w:val="315"/>
          <w:jc w:val="center"/>
        </w:trPr>
        <w:tc>
          <w:tcPr>
            <w:tcW w:w="1707" w:type="pct"/>
            <w:vMerge/>
            <w:shd w:val="clear" w:color="auto" w:fill="auto"/>
            <w:noWrap/>
            <w:hideMark/>
          </w:tcPr>
          <w:p w:rsidR="0048631E" w:rsidRPr="00697CB2" w:rsidRDefault="0048631E" w:rsidP="00B53FD0">
            <w:pPr>
              <w:spacing w:before="40" w:after="40"/>
              <w:rPr>
                <w:color w:val="000000"/>
                <w:sz w:val="20"/>
                <w:szCs w:val="20"/>
              </w:rPr>
            </w:pPr>
          </w:p>
        </w:tc>
        <w:tc>
          <w:tcPr>
            <w:tcW w:w="578" w:type="pct"/>
            <w:shd w:val="clear" w:color="auto" w:fill="auto"/>
            <w:noWrap/>
            <w:vAlign w:val="bottom"/>
            <w:hideMark/>
          </w:tcPr>
          <w:p w:rsidR="0048631E" w:rsidRPr="00697CB2" w:rsidRDefault="0048631E" w:rsidP="00B53FD0">
            <w:pPr>
              <w:spacing w:before="40" w:after="40"/>
              <w:rPr>
                <w:color w:val="000000"/>
                <w:sz w:val="20"/>
                <w:szCs w:val="20"/>
              </w:rPr>
            </w:pPr>
            <w:r w:rsidRPr="00697CB2">
              <w:rPr>
                <w:color w:val="000000"/>
                <w:sz w:val="20"/>
                <w:szCs w:val="20"/>
              </w:rPr>
              <w:t>State</w:t>
            </w:r>
          </w:p>
        </w:tc>
        <w:tc>
          <w:tcPr>
            <w:tcW w:w="1358" w:type="pct"/>
            <w:shd w:val="clear" w:color="auto" w:fill="auto"/>
            <w:noWrap/>
            <w:hideMark/>
          </w:tcPr>
          <w:p w:rsidR="0048631E" w:rsidRPr="00697CB2" w:rsidRDefault="0048631E" w:rsidP="00B53FD0">
            <w:pPr>
              <w:spacing w:before="40" w:after="40"/>
              <w:jc w:val="right"/>
              <w:rPr>
                <w:color w:val="000000"/>
                <w:sz w:val="20"/>
                <w:szCs w:val="20"/>
              </w:rPr>
            </w:pPr>
            <w:r w:rsidRPr="00944380">
              <w:rPr>
                <w:color w:val="000000"/>
                <w:sz w:val="20"/>
                <w:szCs w:val="20"/>
              </w:rPr>
              <w:t>25602 (95.8%)</w:t>
            </w:r>
          </w:p>
        </w:tc>
        <w:tc>
          <w:tcPr>
            <w:tcW w:w="1357" w:type="pct"/>
            <w:shd w:val="clear" w:color="auto" w:fill="auto"/>
            <w:noWrap/>
            <w:hideMark/>
          </w:tcPr>
          <w:p w:rsidR="0048631E" w:rsidRPr="00697CB2" w:rsidRDefault="0048631E" w:rsidP="00B53FD0">
            <w:pPr>
              <w:spacing w:before="40" w:after="40"/>
              <w:jc w:val="right"/>
              <w:rPr>
                <w:color w:val="000000"/>
                <w:sz w:val="20"/>
                <w:szCs w:val="20"/>
              </w:rPr>
            </w:pPr>
            <w:r w:rsidRPr="005F1083">
              <w:rPr>
                <w:color w:val="000000"/>
                <w:sz w:val="20"/>
                <w:szCs w:val="20"/>
              </w:rPr>
              <w:t>1118 (4.0%)</w:t>
            </w:r>
          </w:p>
        </w:tc>
      </w:tr>
      <w:tr w:rsidR="0048631E" w:rsidRPr="00697CB2" w:rsidTr="0048631E">
        <w:trPr>
          <w:trHeight w:val="315"/>
          <w:jc w:val="center"/>
        </w:trPr>
        <w:tc>
          <w:tcPr>
            <w:tcW w:w="1707" w:type="pct"/>
            <w:vMerge w:val="restart"/>
            <w:shd w:val="clear" w:color="auto" w:fill="auto"/>
            <w:noWrap/>
            <w:hideMark/>
          </w:tcPr>
          <w:p w:rsidR="0048631E" w:rsidRPr="00697CB2" w:rsidRDefault="0048631E" w:rsidP="00B53FD0">
            <w:pPr>
              <w:spacing w:before="40" w:after="40"/>
              <w:rPr>
                <w:color w:val="000000"/>
                <w:sz w:val="20"/>
                <w:szCs w:val="20"/>
              </w:rPr>
            </w:pPr>
            <w:r w:rsidRPr="00697CB2">
              <w:rPr>
                <w:color w:val="000000"/>
                <w:sz w:val="20"/>
                <w:szCs w:val="20"/>
              </w:rPr>
              <w:t>Grade 6</w:t>
            </w:r>
          </w:p>
        </w:tc>
        <w:tc>
          <w:tcPr>
            <w:tcW w:w="578" w:type="pct"/>
            <w:shd w:val="clear" w:color="auto" w:fill="D9D9D9" w:themeFill="background1" w:themeFillShade="D9"/>
            <w:noWrap/>
            <w:vAlign w:val="bottom"/>
            <w:hideMark/>
          </w:tcPr>
          <w:p w:rsidR="0048631E" w:rsidRPr="00697CB2" w:rsidRDefault="0048631E" w:rsidP="00B53FD0">
            <w:pPr>
              <w:spacing w:before="40" w:after="40"/>
              <w:rPr>
                <w:color w:val="000000"/>
                <w:sz w:val="20"/>
                <w:szCs w:val="20"/>
              </w:rPr>
            </w:pPr>
            <w:r w:rsidRPr="00697CB2">
              <w:rPr>
                <w:color w:val="000000"/>
                <w:sz w:val="20"/>
                <w:szCs w:val="20"/>
              </w:rPr>
              <w:t>GCVS</w:t>
            </w:r>
          </w:p>
        </w:tc>
        <w:tc>
          <w:tcPr>
            <w:tcW w:w="1358" w:type="pct"/>
            <w:shd w:val="clear" w:color="auto" w:fill="D9D9D9" w:themeFill="background1" w:themeFillShade="D9"/>
            <w:noWrap/>
            <w:hideMark/>
          </w:tcPr>
          <w:p w:rsidR="0048631E" w:rsidRPr="00697CB2" w:rsidRDefault="0048631E" w:rsidP="00B53FD0">
            <w:pPr>
              <w:spacing w:before="40" w:after="40"/>
              <w:jc w:val="right"/>
              <w:rPr>
                <w:color w:val="000000"/>
                <w:sz w:val="20"/>
                <w:szCs w:val="20"/>
              </w:rPr>
            </w:pPr>
            <w:r w:rsidRPr="00697CB2">
              <w:rPr>
                <w:color w:val="000000"/>
                <w:sz w:val="20"/>
                <w:szCs w:val="20"/>
              </w:rPr>
              <w:t>37 (71.2%)</w:t>
            </w:r>
          </w:p>
        </w:tc>
        <w:tc>
          <w:tcPr>
            <w:tcW w:w="1357" w:type="pct"/>
            <w:shd w:val="clear" w:color="auto" w:fill="D9D9D9" w:themeFill="background1" w:themeFillShade="D9"/>
            <w:noWrap/>
            <w:hideMark/>
          </w:tcPr>
          <w:p w:rsidR="0048631E" w:rsidRPr="00697CB2" w:rsidRDefault="0048631E" w:rsidP="00B53FD0">
            <w:pPr>
              <w:spacing w:before="40" w:after="40"/>
              <w:jc w:val="right"/>
              <w:rPr>
                <w:color w:val="000000"/>
                <w:sz w:val="20"/>
                <w:szCs w:val="20"/>
              </w:rPr>
            </w:pPr>
            <w:r w:rsidRPr="00697CB2">
              <w:rPr>
                <w:color w:val="000000"/>
                <w:sz w:val="20"/>
                <w:szCs w:val="20"/>
              </w:rPr>
              <w:t>15 (28.8%)</w:t>
            </w:r>
          </w:p>
        </w:tc>
      </w:tr>
      <w:tr w:rsidR="0048631E" w:rsidRPr="00697CB2" w:rsidTr="0048631E">
        <w:trPr>
          <w:trHeight w:val="315"/>
          <w:jc w:val="center"/>
        </w:trPr>
        <w:tc>
          <w:tcPr>
            <w:tcW w:w="1707" w:type="pct"/>
            <w:vMerge/>
            <w:shd w:val="clear" w:color="auto" w:fill="auto"/>
            <w:noWrap/>
            <w:hideMark/>
          </w:tcPr>
          <w:p w:rsidR="0048631E" w:rsidRPr="00697CB2" w:rsidRDefault="0048631E" w:rsidP="00B53FD0">
            <w:pPr>
              <w:spacing w:before="40" w:after="40"/>
              <w:rPr>
                <w:color w:val="000000"/>
                <w:sz w:val="20"/>
                <w:szCs w:val="20"/>
              </w:rPr>
            </w:pPr>
          </w:p>
        </w:tc>
        <w:tc>
          <w:tcPr>
            <w:tcW w:w="578" w:type="pct"/>
            <w:shd w:val="clear" w:color="auto" w:fill="auto"/>
            <w:noWrap/>
            <w:vAlign w:val="bottom"/>
            <w:hideMark/>
          </w:tcPr>
          <w:p w:rsidR="0048631E" w:rsidRPr="00697CB2" w:rsidRDefault="0048631E" w:rsidP="00B53FD0">
            <w:pPr>
              <w:spacing w:before="40" w:after="40"/>
              <w:rPr>
                <w:color w:val="000000"/>
                <w:sz w:val="20"/>
                <w:szCs w:val="20"/>
              </w:rPr>
            </w:pPr>
            <w:r w:rsidRPr="00697CB2">
              <w:rPr>
                <w:color w:val="000000"/>
                <w:sz w:val="20"/>
                <w:szCs w:val="20"/>
              </w:rPr>
              <w:t>State</w:t>
            </w:r>
          </w:p>
        </w:tc>
        <w:tc>
          <w:tcPr>
            <w:tcW w:w="1358" w:type="pct"/>
            <w:shd w:val="clear" w:color="auto" w:fill="auto"/>
            <w:noWrap/>
            <w:hideMark/>
          </w:tcPr>
          <w:p w:rsidR="0048631E" w:rsidRPr="00697CB2" w:rsidRDefault="0048631E" w:rsidP="00B53FD0">
            <w:pPr>
              <w:spacing w:before="40" w:after="40"/>
              <w:jc w:val="right"/>
              <w:rPr>
                <w:color w:val="000000"/>
                <w:sz w:val="20"/>
                <w:szCs w:val="20"/>
              </w:rPr>
            </w:pPr>
            <w:r w:rsidRPr="00944380">
              <w:rPr>
                <w:color w:val="000000"/>
                <w:sz w:val="20"/>
                <w:szCs w:val="20"/>
              </w:rPr>
              <w:t>7021 (93.3%)</w:t>
            </w:r>
          </w:p>
        </w:tc>
        <w:tc>
          <w:tcPr>
            <w:tcW w:w="1357" w:type="pct"/>
            <w:shd w:val="clear" w:color="auto" w:fill="auto"/>
            <w:noWrap/>
            <w:hideMark/>
          </w:tcPr>
          <w:p w:rsidR="0048631E" w:rsidRPr="00697CB2" w:rsidRDefault="0048631E" w:rsidP="00B53FD0">
            <w:pPr>
              <w:spacing w:before="40" w:after="40"/>
              <w:jc w:val="right"/>
              <w:rPr>
                <w:color w:val="000000"/>
                <w:sz w:val="20"/>
                <w:szCs w:val="20"/>
              </w:rPr>
            </w:pPr>
            <w:r w:rsidRPr="005F1083">
              <w:rPr>
                <w:color w:val="000000"/>
                <w:sz w:val="20"/>
                <w:szCs w:val="20"/>
              </w:rPr>
              <w:t>502 (6.7%)</w:t>
            </w:r>
          </w:p>
        </w:tc>
      </w:tr>
      <w:tr w:rsidR="0048631E" w:rsidRPr="00697CB2" w:rsidTr="0048631E">
        <w:trPr>
          <w:trHeight w:val="315"/>
          <w:jc w:val="center"/>
        </w:trPr>
        <w:tc>
          <w:tcPr>
            <w:tcW w:w="1707" w:type="pct"/>
            <w:vMerge w:val="restart"/>
            <w:shd w:val="clear" w:color="auto" w:fill="auto"/>
            <w:noWrap/>
            <w:hideMark/>
          </w:tcPr>
          <w:p w:rsidR="0048631E" w:rsidRPr="00697CB2" w:rsidRDefault="0048631E" w:rsidP="00B53FD0">
            <w:pPr>
              <w:spacing w:before="40" w:after="40"/>
              <w:rPr>
                <w:color w:val="000000"/>
                <w:sz w:val="20"/>
                <w:szCs w:val="20"/>
              </w:rPr>
            </w:pPr>
            <w:r w:rsidRPr="00697CB2">
              <w:rPr>
                <w:color w:val="000000"/>
                <w:sz w:val="20"/>
                <w:szCs w:val="20"/>
              </w:rPr>
              <w:t>Grade 7</w:t>
            </w:r>
          </w:p>
        </w:tc>
        <w:tc>
          <w:tcPr>
            <w:tcW w:w="578" w:type="pct"/>
            <w:shd w:val="clear" w:color="auto" w:fill="D9D9D9" w:themeFill="background1" w:themeFillShade="D9"/>
            <w:noWrap/>
            <w:vAlign w:val="bottom"/>
            <w:hideMark/>
          </w:tcPr>
          <w:p w:rsidR="0048631E" w:rsidRPr="00697CB2" w:rsidRDefault="0048631E" w:rsidP="00B53FD0">
            <w:pPr>
              <w:spacing w:before="40" w:after="40"/>
              <w:rPr>
                <w:color w:val="000000"/>
                <w:sz w:val="20"/>
                <w:szCs w:val="20"/>
              </w:rPr>
            </w:pPr>
            <w:r w:rsidRPr="00697CB2">
              <w:rPr>
                <w:color w:val="000000"/>
                <w:sz w:val="20"/>
                <w:szCs w:val="20"/>
              </w:rPr>
              <w:t>GCVS</w:t>
            </w:r>
          </w:p>
        </w:tc>
        <w:tc>
          <w:tcPr>
            <w:tcW w:w="1358" w:type="pct"/>
            <w:shd w:val="clear" w:color="auto" w:fill="D9D9D9" w:themeFill="background1" w:themeFillShade="D9"/>
            <w:noWrap/>
            <w:hideMark/>
          </w:tcPr>
          <w:p w:rsidR="0048631E" w:rsidRPr="00697CB2" w:rsidRDefault="0048631E" w:rsidP="00B53FD0">
            <w:pPr>
              <w:spacing w:before="40" w:after="40"/>
              <w:jc w:val="right"/>
              <w:rPr>
                <w:color w:val="000000"/>
                <w:sz w:val="20"/>
                <w:szCs w:val="20"/>
              </w:rPr>
            </w:pPr>
            <w:r w:rsidRPr="00697CB2">
              <w:rPr>
                <w:color w:val="000000"/>
                <w:sz w:val="20"/>
                <w:szCs w:val="20"/>
              </w:rPr>
              <w:t>54 (84.4%)</w:t>
            </w:r>
          </w:p>
        </w:tc>
        <w:tc>
          <w:tcPr>
            <w:tcW w:w="1357" w:type="pct"/>
            <w:shd w:val="clear" w:color="auto" w:fill="D9D9D9" w:themeFill="background1" w:themeFillShade="D9"/>
            <w:noWrap/>
            <w:hideMark/>
          </w:tcPr>
          <w:p w:rsidR="0048631E" w:rsidRPr="00697CB2" w:rsidRDefault="0048631E" w:rsidP="00B53FD0">
            <w:pPr>
              <w:spacing w:before="40" w:after="40"/>
              <w:jc w:val="right"/>
              <w:rPr>
                <w:color w:val="000000"/>
                <w:sz w:val="20"/>
                <w:szCs w:val="20"/>
              </w:rPr>
            </w:pPr>
            <w:r w:rsidRPr="00697CB2">
              <w:rPr>
                <w:color w:val="000000"/>
                <w:sz w:val="20"/>
                <w:szCs w:val="20"/>
              </w:rPr>
              <w:t>10 (15.6%)</w:t>
            </w:r>
          </w:p>
        </w:tc>
      </w:tr>
      <w:tr w:rsidR="0048631E" w:rsidRPr="00697CB2" w:rsidTr="0048631E">
        <w:trPr>
          <w:trHeight w:val="315"/>
          <w:jc w:val="center"/>
        </w:trPr>
        <w:tc>
          <w:tcPr>
            <w:tcW w:w="1707" w:type="pct"/>
            <w:vMerge/>
            <w:shd w:val="clear" w:color="auto" w:fill="auto"/>
            <w:noWrap/>
            <w:hideMark/>
          </w:tcPr>
          <w:p w:rsidR="0048631E" w:rsidRPr="00697CB2" w:rsidRDefault="0048631E" w:rsidP="00B53FD0">
            <w:pPr>
              <w:spacing w:before="40" w:after="40"/>
              <w:rPr>
                <w:color w:val="000000"/>
                <w:sz w:val="20"/>
                <w:szCs w:val="20"/>
              </w:rPr>
            </w:pPr>
          </w:p>
        </w:tc>
        <w:tc>
          <w:tcPr>
            <w:tcW w:w="578" w:type="pct"/>
            <w:shd w:val="clear" w:color="auto" w:fill="auto"/>
            <w:noWrap/>
            <w:vAlign w:val="bottom"/>
            <w:hideMark/>
          </w:tcPr>
          <w:p w:rsidR="0048631E" w:rsidRPr="00697CB2" w:rsidRDefault="0048631E" w:rsidP="00B53FD0">
            <w:pPr>
              <w:spacing w:before="40" w:after="40"/>
              <w:rPr>
                <w:color w:val="000000"/>
                <w:sz w:val="20"/>
                <w:szCs w:val="20"/>
              </w:rPr>
            </w:pPr>
            <w:r w:rsidRPr="00697CB2">
              <w:rPr>
                <w:color w:val="000000"/>
                <w:sz w:val="20"/>
                <w:szCs w:val="20"/>
              </w:rPr>
              <w:t>State</w:t>
            </w:r>
          </w:p>
        </w:tc>
        <w:tc>
          <w:tcPr>
            <w:tcW w:w="1358" w:type="pct"/>
            <w:shd w:val="clear" w:color="auto" w:fill="auto"/>
            <w:noWrap/>
            <w:hideMark/>
          </w:tcPr>
          <w:p w:rsidR="0048631E" w:rsidRPr="00697CB2" w:rsidRDefault="0048631E" w:rsidP="00B53FD0">
            <w:pPr>
              <w:spacing w:before="40" w:after="40"/>
              <w:jc w:val="right"/>
              <w:rPr>
                <w:color w:val="000000"/>
                <w:sz w:val="20"/>
                <w:szCs w:val="20"/>
              </w:rPr>
            </w:pPr>
            <w:r w:rsidRPr="00944380">
              <w:rPr>
                <w:color w:val="000000"/>
                <w:sz w:val="20"/>
                <w:szCs w:val="20"/>
              </w:rPr>
              <w:t>2720 (81.1%)</w:t>
            </w:r>
          </w:p>
        </w:tc>
        <w:tc>
          <w:tcPr>
            <w:tcW w:w="1357" w:type="pct"/>
            <w:shd w:val="clear" w:color="auto" w:fill="auto"/>
            <w:noWrap/>
            <w:hideMark/>
          </w:tcPr>
          <w:p w:rsidR="0048631E" w:rsidRPr="00697CB2" w:rsidRDefault="0048631E" w:rsidP="00B53FD0">
            <w:pPr>
              <w:spacing w:before="40" w:after="40"/>
              <w:jc w:val="right"/>
              <w:rPr>
                <w:color w:val="000000"/>
                <w:sz w:val="20"/>
                <w:szCs w:val="20"/>
              </w:rPr>
            </w:pPr>
            <w:r w:rsidRPr="005F1083">
              <w:rPr>
                <w:color w:val="000000"/>
                <w:sz w:val="20"/>
                <w:szCs w:val="20"/>
              </w:rPr>
              <w:t>633 (18.9%)</w:t>
            </w:r>
          </w:p>
        </w:tc>
      </w:tr>
      <w:tr w:rsidR="0048631E" w:rsidRPr="00697CB2" w:rsidTr="0048631E">
        <w:trPr>
          <w:trHeight w:val="315"/>
          <w:jc w:val="center"/>
        </w:trPr>
        <w:tc>
          <w:tcPr>
            <w:tcW w:w="1707" w:type="pct"/>
            <w:vMerge w:val="restart"/>
            <w:shd w:val="clear" w:color="auto" w:fill="auto"/>
            <w:noWrap/>
            <w:hideMark/>
          </w:tcPr>
          <w:p w:rsidR="0048631E" w:rsidRPr="00697CB2" w:rsidRDefault="0048631E" w:rsidP="00B53FD0">
            <w:pPr>
              <w:spacing w:before="40" w:after="40"/>
              <w:rPr>
                <w:color w:val="000000"/>
                <w:sz w:val="20"/>
                <w:szCs w:val="20"/>
              </w:rPr>
            </w:pPr>
            <w:r w:rsidRPr="00697CB2">
              <w:rPr>
                <w:color w:val="000000"/>
                <w:sz w:val="20"/>
                <w:szCs w:val="20"/>
              </w:rPr>
              <w:t>Grade 8</w:t>
            </w:r>
          </w:p>
        </w:tc>
        <w:tc>
          <w:tcPr>
            <w:tcW w:w="578" w:type="pct"/>
            <w:shd w:val="clear" w:color="auto" w:fill="D9D9D9" w:themeFill="background1" w:themeFillShade="D9"/>
            <w:noWrap/>
            <w:vAlign w:val="bottom"/>
            <w:hideMark/>
          </w:tcPr>
          <w:p w:rsidR="0048631E" w:rsidRPr="00697CB2" w:rsidRDefault="0048631E" w:rsidP="00B53FD0">
            <w:pPr>
              <w:spacing w:before="40" w:after="40"/>
              <w:rPr>
                <w:color w:val="000000"/>
                <w:sz w:val="20"/>
                <w:szCs w:val="20"/>
              </w:rPr>
            </w:pPr>
            <w:r w:rsidRPr="00697CB2">
              <w:rPr>
                <w:color w:val="000000"/>
                <w:sz w:val="20"/>
                <w:szCs w:val="20"/>
              </w:rPr>
              <w:t>GCVS</w:t>
            </w:r>
          </w:p>
        </w:tc>
        <w:tc>
          <w:tcPr>
            <w:tcW w:w="1358" w:type="pct"/>
            <w:shd w:val="clear" w:color="auto" w:fill="D9D9D9" w:themeFill="background1" w:themeFillShade="D9"/>
            <w:noWrap/>
            <w:hideMark/>
          </w:tcPr>
          <w:p w:rsidR="0048631E" w:rsidRPr="00697CB2" w:rsidRDefault="0048631E" w:rsidP="00B53FD0">
            <w:pPr>
              <w:spacing w:before="40" w:after="40"/>
              <w:jc w:val="right"/>
              <w:rPr>
                <w:color w:val="000000"/>
                <w:sz w:val="20"/>
                <w:szCs w:val="20"/>
              </w:rPr>
            </w:pPr>
            <w:r w:rsidRPr="00697CB2">
              <w:rPr>
                <w:color w:val="000000"/>
                <w:sz w:val="20"/>
                <w:szCs w:val="20"/>
              </w:rPr>
              <w:t>72 (76.6%)</w:t>
            </w:r>
          </w:p>
        </w:tc>
        <w:tc>
          <w:tcPr>
            <w:tcW w:w="1357" w:type="pct"/>
            <w:shd w:val="clear" w:color="auto" w:fill="D9D9D9" w:themeFill="background1" w:themeFillShade="D9"/>
            <w:noWrap/>
            <w:hideMark/>
          </w:tcPr>
          <w:p w:rsidR="0048631E" w:rsidRPr="00697CB2" w:rsidRDefault="0048631E" w:rsidP="00B53FD0">
            <w:pPr>
              <w:spacing w:before="40" w:after="40"/>
              <w:jc w:val="right"/>
              <w:rPr>
                <w:color w:val="000000"/>
                <w:sz w:val="20"/>
                <w:szCs w:val="20"/>
              </w:rPr>
            </w:pPr>
            <w:r w:rsidRPr="00697CB2">
              <w:rPr>
                <w:color w:val="000000"/>
                <w:sz w:val="20"/>
                <w:szCs w:val="20"/>
              </w:rPr>
              <w:t>22 (23.4%)</w:t>
            </w:r>
          </w:p>
        </w:tc>
      </w:tr>
      <w:tr w:rsidR="0048631E" w:rsidRPr="00697CB2" w:rsidTr="0048631E">
        <w:trPr>
          <w:trHeight w:val="315"/>
          <w:jc w:val="center"/>
        </w:trPr>
        <w:tc>
          <w:tcPr>
            <w:tcW w:w="1707" w:type="pct"/>
            <w:vMerge/>
            <w:shd w:val="clear" w:color="auto" w:fill="auto"/>
            <w:noWrap/>
            <w:vAlign w:val="bottom"/>
            <w:hideMark/>
          </w:tcPr>
          <w:p w:rsidR="0048631E" w:rsidRPr="00697CB2" w:rsidRDefault="0048631E" w:rsidP="00B53FD0">
            <w:pPr>
              <w:spacing w:before="40" w:after="40"/>
              <w:rPr>
                <w:color w:val="000000"/>
                <w:sz w:val="20"/>
                <w:szCs w:val="20"/>
              </w:rPr>
            </w:pPr>
          </w:p>
        </w:tc>
        <w:tc>
          <w:tcPr>
            <w:tcW w:w="578" w:type="pct"/>
            <w:shd w:val="clear" w:color="auto" w:fill="auto"/>
            <w:noWrap/>
            <w:vAlign w:val="bottom"/>
            <w:hideMark/>
          </w:tcPr>
          <w:p w:rsidR="0048631E" w:rsidRPr="00697CB2" w:rsidRDefault="0048631E" w:rsidP="00B53FD0">
            <w:pPr>
              <w:spacing w:before="40" w:after="40"/>
              <w:rPr>
                <w:color w:val="000000"/>
                <w:sz w:val="20"/>
                <w:szCs w:val="20"/>
              </w:rPr>
            </w:pPr>
            <w:r w:rsidRPr="00697CB2">
              <w:rPr>
                <w:color w:val="000000"/>
                <w:sz w:val="20"/>
                <w:szCs w:val="20"/>
              </w:rPr>
              <w:t>State</w:t>
            </w:r>
          </w:p>
        </w:tc>
        <w:tc>
          <w:tcPr>
            <w:tcW w:w="1358" w:type="pct"/>
            <w:shd w:val="clear" w:color="auto" w:fill="auto"/>
            <w:noWrap/>
            <w:hideMark/>
          </w:tcPr>
          <w:p w:rsidR="0048631E" w:rsidRPr="00697CB2" w:rsidRDefault="0048631E" w:rsidP="00B53FD0">
            <w:pPr>
              <w:spacing w:before="40" w:after="40"/>
              <w:jc w:val="right"/>
              <w:rPr>
                <w:color w:val="000000"/>
                <w:sz w:val="20"/>
                <w:szCs w:val="20"/>
              </w:rPr>
            </w:pPr>
            <w:r w:rsidRPr="00944380">
              <w:rPr>
                <w:color w:val="000000"/>
                <w:sz w:val="20"/>
                <w:szCs w:val="20"/>
              </w:rPr>
              <w:t>2112 (77.9%)</w:t>
            </w:r>
          </w:p>
        </w:tc>
        <w:tc>
          <w:tcPr>
            <w:tcW w:w="1357" w:type="pct"/>
            <w:shd w:val="clear" w:color="auto" w:fill="auto"/>
            <w:noWrap/>
            <w:hideMark/>
          </w:tcPr>
          <w:p w:rsidR="0048631E" w:rsidRPr="00697CB2" w:rsidRDefault="0048631E" w:rsidP="00B53FD0">
            <w:pPr>
              <w:spacing w:before="40" w:after="40"/>
              <w:jc w:val="right"/>
              <w:rPr>
                <w:color w:val="000000"/>
                <w:sz w:val="20"/>
                <w:szCs w:val="20"/>
              </w:rPr>
            </w:pPr>
            <w:r w:rsidRPr="005F1083">
              <w:rPr>
                <w:color w:val="000000"/>
                <w:sz w:val="20"/>
                <w:szCs w:val="20"/>
              </w:rPr>
              <w:t>598 (22.1%)</w:t>
            </w:r>
          </w:p>
        </w:tc>
      </w:tr>
    </w:tbl>
    <w:p w:rsidR="0048631E" w:rsidRDefault="0048631E" w:rsidP="005E00CC">
      <w:pPr>
        <w:rPr>
          <w:sz w:val="22"/>
        </w:rPr>
      </w:pPr>
    </w:p>
    <w:p w:rsidR="00652D27" w:rsidRDefault="00652D27" w:rsidP="003D6F34">
      <w:pPr>
        <w:rPr>
          <w:sz w:val="22"/>
        </w:rPr>
      </w:pPr>
    </w:p>
    <w:p w:rsidR="00652D27" w:rsidRDefault="00652D27" w:rsidP="003D6F34">
      <w:pPr>
        <w:rPr>
          <w:sz w:val="22"/>
        </w:rPr>
      </w:pPr>
    </w:p>
    <w:p w:rsidR="00652D27" w:rsidRDefault="00652D27" w:rsidP="003D6F34">
      <w:pPr>
        <w:rPr>
          <w:sz w:val="22"/>
        </w:rPr>
      </w:pPr>
    </w:p>
    <w:p w:rsidR="00652D27" w:rsidRDefault="00652D27" w:rsidP="003D6F34">
      <w:pPr>
        <w:rPr>
          <w:sz w:val="22"/>
        </w:rPr>
      </w:pPr>
    </w:p>
    <w:p w:rsidR="00652D27" w:rsidRDefault="00652D27" w:rsidP="003D6F34">
      <w:pPr>
        <w:rPr>
          <w:sz w:val="22"/>
        </w:rPr>
      </w:pPr>
    </w:p>
    <w:p w:rsidR="00652D27" w:rsidRDefault="00652D27" w:rsidP="003D6F34">
      <w:pPr>
        <w:rPr>
          <w:sz w:val="22"/>
        </w:rPr>
      </w:pPr>
    </w:p>
    <w:p w:rsidR="00652D27" w:rsidRDefault="00652D27" w:rsidP="003D6F34">
      <w:pPr>
        <w:rPr>
          <w:sz w:val="22"/>
        </w:rPr>
      </w:pPr>
    </w:p>
    <w:p w:rsidR="004E73AC" w:rsidRDefault="00F41324" w:rsidP="003D6F34">
      <w:pPr>
        <w:rPr>
          <w:sz w:val="22"/>
        </w:rPr>
      </w:pPr>
      <w:r>
        <w:rPr>
          <w:sz w:val="22"/>
        </w:rPr>
        <w:lastRenderedPageBreak/>
        <w:t>Course completion rates for GCVS high school courses, as compared to the state, are provided in the table below.</w:t>
      </w:r>
    </w:p>
    <w:p w:rsidR="001627C6" w:rsidRDefault="001627C6" w:rsidP="003D6F34">
      <w:pPr>
        <w:rPr>
          <w:sz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69"/>
        <w:gridCol w:w="1107"/>
        <w:gridCol w:w="2601"/>
        <w:gridCol w:w="2599"/>
      </w:tblGrid>
      <w:tr w:rsidR="00697CB2" w:rsidRPr="00697CB2" w:rsidTr="0048631E">
        <w:trPr>
          <w:trHeight w:val="330"/>
          <w:tblHeader/>
          <w:jc w:val="center"/>
        </w:trPr>
        <w:tc>
          <w:tcPr>
            <w:tcW w:w="5000" w:type="pct"/>
            <w:gridSpan w:val="4"/>
            <w:shd w:val="clear" w:color="auto" w:fill="auto"/>
            <w:noWrap/>
            <w:vAlign w:val="bottom"/>
          </w:tcPr>
          <w:p w:rsidR="00697CB2" w:rsidRPr="00697CB2" w:rsidRDefault="00697CB2" w:rsidP="00697CB2">
            <w:pPr>
              <w:spacing w:before="40" w:after="40"/>
              <w:jc w:val="center"/>
              <w:rPr>
                <w:b/>
                <w:color w:val="000000"/>
                <w:sz w:val="20"/>
                <w:szCs w:val="20"/>
              </w:rPr>
            </w:pPr>
            <w:r w:rsidRPr="0016793B">
              <w:rPr>
                <w:sz w:val="20"/>
                <w:szCs w:val="20"/>
              </w:rPr>
              <w:t xml:space="preserve">GCVS </w:t>
            </w:r>
            <w:r>
              <w:rPr>
                <w:sz w:val="20"/>
                <w:szCs w:val="20"/>
              </w:rPr>
              <w:t xml:space="preserve">High School </w:t>
            </w:r>
            <w:r w:rsidRPr="0016793B">
              <w:rPr>
                <w:sz w:val="20"/>
                <w:szCs w:val="20"/>
              </w:rPr>
              <w:t>Course Completion as Compared to State</w:t>
            </w:r>
            <w:r>
              <w:rPr>
                <w:sz w:val="20"/>
                <w:szCs w:val="20"/>
              </w:rPr>
              <w:t>, 2013-14 School Year</w:t>
            </w:r>
            <w:r>
              <w:rPr>
                <w:rStyle w:val="FootnoteReference"/>
                <w:sz w:val="20"/>
                <w:szCs w:val="20"/>
              </w:rPr>
              <w:footnoteReference w:id="7"/>
            </w:r>
          </w:p>
        </w:tc>
      </w:tr>
      <w:tr w:rsidR="00697CB2" w:rsidRPr="00697CB2" w:rsidTr="0048631E">
        <w:trPr>
          <w:trHeight w:val="330"/>
          <w:tblHeader/>
          <w:jc w:val="center"/>
        </w:trPr>
        <w:tc>
          <w:tcPr>
            <w:tcW w:w="1707" w:type="pct"/>
            <w:shd w:val="clear" w:color="auto" w:fill="auto"/>
            <w:noWrap/>
            <w:vAlign w:val="bottom"/>
            <w:hideMark/>
          </w:tcPr>
          <w:p w:rsidR="00697CB2" w:rsidRPr="00697CB2" w:rsidRDefault="00697CB2" w:rsidP="00697CB2">
            <w:pPr>
              <w:spacing w:before="40" w:after="40"/>
              <w:rPr>
                <w:b/>
                <w:sz w:val="20"/>
                <w:szCs w:val="20"/>
              </w:rPr>
            </w:pPr>
            <w:r w:rsidRPr="00697CB2">
              <w:rPr>
                <w:b/>
                <w:sz w:val="20"/>
                <w:szCs w:val="20"/>
              </w:rPr>
              <w:t>Grade</w:t>
            </w:r>
          </w:p>
        </w:tc>
        <w:tc>
          <w:tcPr>
            <w:tcW w:w="578" w:type="pct"/>
            <w:shd w:val="clear" w:color="auto" w:fill="auto"/>
            <w:vAlign w:val="bottom"/>
          </w:tcPr>
          <w:p w:rsidR="00697CB2" w:rsidRPr="00697CB2" w:rsidRDefault="00697CB2" w:rsidP="00697CB2">
            <w:pPr>
              <w:spacing w:before="40" w:after="40"/>
              <w:rPr>
                <w:b/>
                <w:sz w:val="20"/>
                <w:szCs w:val="20"/>
              </w:rPr>
            </w:pPr>
          </w:p>
        </w:tc>
        <w:tc>
          <w:tcPr>
            <w:tcW w:w="1358" w:type="pct"/>
            <w:shd w:val="clear" w:color="auto" w:fill="auto"/>
            <w:noWrap/>
            <w:hideMark/>
          </w:tcPr>
          <w:p w:rsidR="00697CB2" w:rsidRPr="00697CB2" w:rsidRDefault="00697CB2" w:rsidP="00697CB2">
            <w:pPr>
              <w:spacing w:before="40" w:after="40"/>
              <w:jc w:val="right"/>
              <w:rPr>
                <w:b/>
                <w:color w:val="000000"/>
                <w:sz w:val="20"/>
                <w:szCs w:val="20"/>
              </w:rPr>
            </w:pPr>
            <w:r>
              <w:rPr>
                <w:b/>
                <w:color w:val="000000"/>
                <w:sz w:val="20"/>
                <w:szCs w:val="20"/>
              </w:rPr>
              <w:t>Course Completions</w:t>
            </w:r>
          </w:p>
        </w:tc>
        <w:tc>
          <w:tcPr>
            <w:tcW w:w="1357" w:type="pct"/>
            <w:shd w:val="clear" w:color="auto" w:fill="auto"/>
            <w:noWrap/>
            <w:hideMark/>
          </w:tcPr>
          <w:p w:rsidR="00697CB2" w:rsidRPr="00697CB2" w:rsidRDefault="00697CB2" w:rsidP="00697CB2">
            <w:pPr>
              <w:spacing w:before="40" w:after="40"/>
              <w:jc w:val="right"/>
              <w:rPr>
                <w:b/>
                <w:color w:val="000000"/>
                <w:sz w:val="20"/>
                <w:szCs w:val="20"/>
              </w:rPr>
            </w:pPr>
            <w:r>
              <w:rPr>
                <w:b/>
                <w:color w:val="000000"/>
                <w:sz w:val="20"/>
                <w:szCs w:val="20"/>
              </w:rPr>
              <w:t>Courses Withdrawals</w:t>
            </w:r>
            <w:r>
              <w:rPr>
                <w:rStyle w:val="FootnoteReference"/>
                <w:b/>
                <w:sz w:val="20"/>
                <w:szCs w:val="20"/>
              </w:rPr>
              <w:footnoteReference w:id="8"/>
            </w:r>
          </w:p>
        </w:tc>
      </w:tr>
      <w:tr w:rsidR="00697CB2" w:rsidRPr="00697CB2" w:rsidTr="0048631E">
        <w:trPr>
          <w:trHeight w:val="330"/>
          <w:jc w:val="center"/>
        </w:trPr>
        <w:tc>
          <w:tcPr>
            <w:tcW w:w="1707" w:type="pct"/>
            <w:vMerge w:val="restart"/>
            <w:shd w:val="clear" w:color="auto" w:fill="auto"/>
            <w:noWrap/>
            <w:hideMark/>
          </w:tcPr>
          <w:p w:rsidR="00697CB2" w:rsidRPr="00697CB2" w:rsidRDefault="00697CB2" w:rsidP="00697CB2">
            <w:pPr>
              <w:spacing w:before="40" w:after="40"/>
              <w:rPr>
                <w:color w:val="000000"/>
                <w:sz w:val="20"/>
                <w:szCs w:val="20"/>
              </w:rPr>
            </w:pPr>
            <w:r>
              <w:rPr>
                <w:color w:val="000000"/>
                <w:sz w:val="20"/>
                <w:szCs w:val="20"/>
              </w:rPr>
              <w:t>Grade 9</w:t>
            </w:r>
          </w:p>
        </w:tc>
        <w:tc>
          <w:tcPr>
            <w:tcW w:w="578" w:type="pct"/>
            <w:shd w:val="clear" w:color="auto" w:fill="D9D9D9" w:themeFill="background1" w:themeFillShade="D9"/>
            <w:noWrap/>
            <w:vAlign w:val="bottom"/>
            <w:hideMark/>
          </w:tcPr>
          <w:p w:rsidR="00697CB2" w:rsidRPr="00697CB2" w:rsidRDefault="00697CB2" w:rsidP="00697CB2">
            <w:pPr>
              <w:spacing w:before="40" w:after="40"/>
              <w:rPr>
                <w:color w:val="000000"/>
                <w:sz w:val="20"/>
                <w:szCs w:val="20"/>
              </w:rPr>
            </w:pPr>
            <w:r w:rsidRPr="00697CB2">
              <w:rPr>
                <w:color w:val="000000"/>
                <w:sz w:val="20"/>
                <w:szCs w:val="20"/>
              </w:rPr>
              <w:t>GCVS</w:t>
            </w:r>
          </w:p>
        </w:tc>
        <w:tc>
          <w:tcPr>
            <w:tcW w:w="1358" w:type="pct"/>
            <w:shd w:val="clear" w:color="auto" w:fill="D9D9D9" w:themeFill="background1" w:themeFillShade="D9"/>
            <w:noWrap/>
          </w:tcPr>
          <w:p w:rsidR="00697CB2" w:rsidRPr="00697CB2" w:rsidRDefault="00697CB2" w:rsidP="00697CB2">
            <w:pPr>
              <w:spacing w:before="40" w:after="40"/>
              <w:jc w:val="right"/>
              <w:rPr>
                <w:color w:val="000000"/>
                <w:sz w:val="20"/>
                <w:szCs w:val="20"/>
              </w:rPr>
            </w:pPr>
            <w:r>
              <w:rPr>
                <w:color w:val="000000"/>
                <w:sz w:val="20"/>
                <w:szCs w:val="20"/>
              </w:rPr>
              <w:t>398 (83.3%)</w:t>
            </w:r>
          </w:p>
        </w:tc>
        <w:tc>
          <w:tcPr>
            <w:tcW w:w="1357" w:type="pct"/>
            <w:shd w:val="clear" w:color="auto" w:fill="D9D9D9" w:themeFill="background1" w:themeFillShade="D9"/>
            <w:noWrap/>
          </w:tcPr>
          <w:p w:rsidR="00697CB2" w:rsidRPr="00697CB2" w:rsidRDefault="00C90D18" w:rsidP="00697CB2">
            <w:pPr>
              <w:spacing w:before="40" w:after="40"/>
              <w:jc w:val="right"/>
              <w:rPr>
                <w:color w:val="000000"/>
                <w:sz w:val="20"/>
                <w:szCs w:val="20"/>
              </w:rPr>
            </w:pPr>
            <w:r>
              <w:rPr>
                <w:color w:val="000000"/>
                <w:sz w:val="20"/>
                <w:szCs w:val="20"/>
              </w:rPr>
              <w:t>80 (16.7%)</w:t>
            </w:r>
          </w:p>
        </w:tc>
      </w:tr>
      <w:tr w:rsidR="00697CB2" w:rsidRPr="00697CB2" w:rsidTr="0048631E">
        <w:trPr>
          <w:trHeight w:val="64"/>
          <w:jc w:val="center"/>
        </w:trPr>
        <w:tc>
          <w:tcPr>
            <w:tcW w:w="1707" w:type="pct"/>
            <w:vMerge/>
            <w:shd w:val="clear" w:color="auto" w:fill="auto"/>
            <w:noWrap/>
            <w:hideMark/>
          </w:tcPr>
          <w:p w:rsidR="00697CB2" w:rsidRPr="00697CB2" w:rsidRDefault="00697CB2" w:rsidP="00697CB2">
            <w:pPr>
              <w:spacing w:before="40" w:after="40"/>
              <w:rPr>
                <w:color w:val="000000"/>
                <w:sz w:val="20"/>
                <w:szCs w:val="20"/>
              </w:rPr>
            </w:pPr>
          </w:p>
        </w:tc>
        <w:tc>
          <w:tcPr>
            <w:tcW w:w="578" w:type="pct"/>
            <w:shd w:val="clear" w:color="auto" w:fill="auto"/>
            <w:noWrap/>
            <w:vAlign w:val="bottom"/>
            <w:hideMark/>
          </w:tcPr>
          <w:p w:rsidR="00697CB2" w:rsidRPr="00697CB2" w:rsidRDefault="00697CB2" w:rsidP="00697CB2">
            <w:pPr>
              <w:spacing w:before="40" w:after="40"/>
              <w:rPr>
                <w:color w:val="000000"/>
                <w:sz w:val="20"/>
                <w:szCs w:val="20"/>
              </w:rPr>
            </w:pPr>
            <w:r w:rsidRPr="00697CB2">
              <w:rPr>
                <w:color w:val="000000"/>
                <w:sz w:val="20"/>
                <w:szCs w:val="20"/>
              </w:rPr>
              <w:t>State</w:t>
            </w:r>
          </w:p>
        </w:tc>
        <w:tc>
          <w:tcPr>
            <w:tcW w:w="1358" w:type="pct"/>
            <w:shd w:val="clear" w:color="auto" w:fill="auto"/>
            <w:noWrap/>
          </w:tcPr>
          <w:p w:rsidR="00697CB2" w:rsidRPr="00697CB2" w:rsidRDefault="00C90D18" w:rsidP="00697CB2">
            <w:pPr>
              <w:spacing w:before="40" w:after="40"/>
              <w:jc w:val="right"/>
              <w:rPr>
                <w:color w:val="000000"/>
                <w:sz w:val="20"/>
                <w:szCs w:val="20"/>
              </w:rPr>
            </w:pPr>
            <w:r w:rsidRPr="004E73AC">
              <w:rPr>
                <w:color w:val="000000"/>
                <w:sz w:val="20"/>
                <w:szCs w:val="20"/>
              </w:rPr>
              <w:t>716,459</w:t>
            </w:r>
            <w:r>
              <w:rPr>
                <w:color w:val="000000"/>
                <w:sz w:val="20"/>
                <w:szCs w:val="20"/>
              </w:rPr>
              <w:t xml:space="preserve"> (</w:t>
            </w:r>
            <w:r w:rsidRPr="004E73AC">
              <w:rPr>
                <w:color w:val="000000"/>
                <w:sz w:val="20"/>
                <w:szCs w:val="20"/>
              </w:rPr>
              <w:t>90.0%</w:t>
            </w:r>
            <w:r>
              <w:rPr>
                <w:color w:val="000000"/>
                <w:sz w:val="20"/>
                <w:szCs w:val="20"/>
              </w:rPr>
              <w:t>)</w:t>
            </w:r>
          </w:p>
        </w:tc>
        <w:tc>
          <w:tcPr>
            <w:tcW w:w="1357" w:type="pct"/>
            <w:shd w:val="clear" w:color="auto" w:fill="auto"/>
            <w:noWrap/>
          </w:tcPr>
          <w:p w:rsidR="00697CB2" w:rsidRPr="00697CB2" w:rsidRDefault="00C90D18" w:rsidP="00697CB2">
            <w:pPr>
              <w:spacing w:before="40" w:after="40"/>
              <w:jc w:val="right"/>
              <w:rPr>
                <w:color w:val="000000"/>
                <w:sz w:val="20"/>
                <w:szCs w:val="20"/>
              </w:rPr>
            </w:pPr>
            <w:r w:rsidRPr="004E73AC">
              <w:rPr>
                <w:color w:val="000000"/>
                <w:sz w:val="20"/>
                <w:szCs w:val="20"/>
              </w:rPr>
              <w:t>74,651</w:t>
            </w:r>
            <w:r>
              <w:rPr>
                <w:color w:val="000000"/>
                <w:sz w:val="20"/>
                <w:szCs w:val="20"/>
              </w:rPr>
              <w:t xml:space="preserve"> (</w:t>
            </w:r>
            <w:r w:rsidRPr="004E73AC">
              <w:rPr>
                <w:color w:val="000000"/>
                <w:sz w:val="20"/>
                <w:szCs w:val="20"/>
              </w:rPr>
              <w:t>9.4%</w:t>
            </w:r>
            <w:r>
              <w:rPr>
                <w:color w:val="000000"/>
                <w:sz w:val="20"/>
                <w:szCs w:val="20"/>
              </w:rPr>
              <w:t>)</w:t>
            </w:r>
          </w:p>
        </w:tc>
      </w:tr>
      <w:tr w:rsidR="00697CB2" w:rsidRPr="00697CB2" w:rsidTr="0048631E">
        <w:trPr>
          <w:trHeight w:val="315"/>
          <w:jc w:val="center"/>
        </w:trPr>
        <w:tc>
          <w:tcPr>
            <w:tcW w:w="1707" w:type="pct"/>
            <w:vMerge w:val="restart"/>
            <w:shd w:val="clear" w:color="auto" w:fill="auto"/>
            <w:noWrap/>
            <w:hideMark/>
          </w:tcPr>
          <w:p w:rsidR="00697CB2" w:rsidRPr="00697CB2" w:rsidRDefault="00697CB2" w:rsidP="00697CB2">
            <w:pPr>
              <w:spacing w:before="40" w:after="40"/>
              <w:rPr>
                <w:color w:val="000000"/>
                <w:sz w:val="20"/>
                <w:szCs w:val="20"/>
              </w:rPr>
            </w:pPr>
            <w:r>
              <w:rPr>
                <w:color w:val="000000"/>
                <w:sz w:val="20"/>
                <w:szCs w:val="20"/>
              </w:rPr>
              <w:t>Grade 10</w:t>
            </w:r>
          </w:p>
        </w:tc>
        <w:tc>
          <w:tcPr>
            <w:tcW w:w="578" w:type="pct"/>
            <w:shd w:val="clear" w:color="auto" w:fill="D9D9D9" w:themeFill="background1" w:themeFillShade="D9"/>
            <w:noWrap/>
            <w:vAlign w:val="bottom"/>
            <w:hideMark/>
          </w:tcPr>
          <w:p w:rsidR="00697CB2" w:rsidRPr="00697CB2" w:rsidRDefault="00697CB2" w:rsidP="00697CB2">
            <w:pPr>
              <w:spacing w:before="40" w:after="40"/>
              <w:rPr>
                <w:color w:val="000000"/>
                <w:sz w:val="20"/>
                <w:szCs w:val="20"/>
              </w:rPr>
            </w:pPr>
            <w:r w:rsidRPr="00697CB2">
              <w:rPr>
                <w:color w:val="000000"/>
                <w:sz w:val="20"/>
                <w:szCs w:val="20"/>
              </w:rPr>
              <w:t>GCVS</w:t>
            </w:r>
          </w:p>
        </w:tc>
        <w:tc>
          <w:tcPr>
            <w:tcW w:w="1358" w:type="pct"/>
            <w:shd w:val="clear" w:color="auto" w:fill="D9D9D9" w:themeFill="background1" w:themeFillShade="D9"/>
            <w:noWrap/>
          </w:tcPr>
          <w:p w:rsidR="00697CB2" w:rsidRPr="00697CB2" w:rsidRDefault="00C90D18" w:rsidP="00697CB2">
            <w:pPr>
              <w:spacing w:before="40" w:after="40"/>
              <w:jc w:val="right"/>
              <w:rPr>
                <w:color w:val="000000"/>
                <w:sz w:val="20"/>
                <w:szCs w:val="20"/>
              </w:rPr>
            </w:pPr>
            <w:r w:rsidRPr="004E73AC">
              <w:rPr>
                <w:sz w:val="20"/>
                <w:szCs w:val="20"/>
              </w:rPr>
              <w:t>273</w:t>
            </w:r>
            <w:r>
              <w:rPr>
                <w:sz w:val="20"/>
                <w:szCs w:val="20"/>
              </w:rPr>
              <w:t xml:space="preserve"> (</w:t>
            </w:r>
            <w:r w:rsidRPr="004E73AC">
              <w:rPr>
                <w:sz w:val="20"/>
                <w:szCs w:val="20"/>
              </w:rPr>
              <w:t>83.2%</w:t>
            </w:r>
            <w:r>
              <w:rPr>
                <w:sz w:val="20"/>
                <w:szCs w:val="20"/>
              </w:rPr>
              <w:t>)</w:t>
            </w:r>
          </w:p>
        </w:tc>
        <w:tc>
          <w:tcPr>
            <w:tcW w:w="1357" w:type="pct"/>
            <w:shd w:val="clear" w:color="auto" w:fill="D9D9D9" w:themeFill="background1" w:themeFillShade="D9"/>
            <w:noWrap/>
          </w:tcPr>
          <w:p w:rsidR="00697CB2" w:rsidRPr="00697CB2" w:rsidRDefault="00C90D18" w:rsidP="00697CB2">
            <w:pPr>
              <w:spacing w:before="40" w:after="40"/>
              <w:jc w:val="right"/>
              <w:rPr>
                <w:color w:val="000000"/>
                <w:sz w:val="20"/>
                <w:szCs w:val="20"/>
              </w:rPr>
            </w:pPr>
            <w:r w:rsidRPr="004E73AC">
              <w:rPr>
                <w:sz w:val="20"/>
                <w:szCs w:val="20"/>
              </w:rPr>
              <w:t>53</w:t>
            </w:r>
            <w:r>
              <w:rPr>
                <w:sz w:val="20"/>
                <w:szCs w:val="20"/>
              </w:rPr>
              <w:t xml:space="preserve"> (</w:t>
            </w:r>
            <w:r w:rsidRPr="004E73AC">
              <w:rPr>
                <w:sz w:val="20"/>
                <w:szCs w:val="20"/>
              </w:rPr>
              <w:t>16.2%</w:t>
            </w:r>
            <w:r>
              <w:rPr>
                <w:sz w:val="20"/>
                <w:szCs w:val="20"/>
              </w:rPr>
              <w:t>)</w:t>
            </w:r>
          </w:p>
        </w:tc>
      </w:tr>
      <w:tr w:rsidR="00697CB2" w:rsidRPr="00697CB2" w:rsidTr="0048631E">
        <w:trPr>
          <w:trHeight w:val="315"/>
          <w:jc w:val="center"/>
        </w:trPr>
        <w:tc>
          <w:tcPr>
            <w:tcW w:w="1707" w:type="pct"/>
            <w:vMerge/>
            <w:shd w:val="clear" w:color="auto" w:fill="auto"/>
            <w:noWrap/>
            <w:hideMark/>
          </w:tcPr>
          <w:p w:rsidR="00697CB2" w:rsidRPr="00697CB2" w:rsidRDefault="00697CB2" w:rsidP="00697CB2">
            <w:pPr>
              <w:spacing w:before="40" w:after="40"/>
              <w:rPr>
                <w:color w:val="000000"/>
                <w:sz w:val="20"/>
                <w:szCs w:val="20"/>
              </w:rPr>
            </w:pPr>
          </w:p>
        </w:tc>
        <w:tc>
          <w:tcPr>
            <w:tcW w:w="578" w:type="pct"/>
            <w:shd w:val="clear" w:color="auto" w:fill="auto"/>
            <w:noWrap/>
            <w:vAlign w:val="bottom"/>
            <w:hideMark/>
          </w:tcPr>
          <w:p w:rsidR="00697CB2" w:rsidRPr="00697CB2" w:rsidRDefault="00697CB2" w:rsidP="00697CB2">
            <w:pPr>
              <w:spacing w:before="40" w:after="40"/>
              <w:rPr>
                <w:color w:val="000000"/>
                <w:sz w:val="20"/>
                <w:szCs w:val="20"/>
              </w:rPr>
            </w:pPr>
            <w:r w:rsidRPr="00697CB2">
              <w:rPr>
                <w:color w:val="000000"/>
                <w:sz w:val="20"/>
                <w:szCs w:val="20"/>
              </w:rPr>
              <w:t>State</w:t>
            </w:r>
          </w:p>
        </w:tc>
        <w:tc>
          <w:tcPr>
            <w:tcW w:w="1358" w:type="pct"/>
            <w:shd w:val="clear" w:color="auto" w:fill="auto"/>
            <w:noWrap/>
          </w:tcPr>
          <w:p w:rsidR="00697CB2" w:rsidRPr="00697CB2" w:rsidRDefault="00C90D18" w:rsidP="00697CB2">
            <w:pPr>
              <w:spacing w:before="40" w:after="40"/>
              <w:jc w:val="right"/>
              <w:rPr>
                <w:color w:val="000000"/>
                <w:sz w:val="20"/>
                <w:szCs w:val="20"/>
              </w:rPr>
            </w:pPr>
            <w:r w:rsidRPr="004E73AC">
              <w:rPr>
                <w:color w:val="000000"/>
                <w:sz w:val="20"/>
                <w:szCs w:val="20"/>
              </w:rPr>
              <w:t>624,272</w:t>
            </w:r>
            <w:r>
              <w:rPr>
                <w:color w:val="000000"/>
                <w:sz w:val="20"/>
                <w:szCs w:val="20"/>
              </w:rPr>
              <w:t xml:space="preserve"> (</w:t>
            </w:r>
            <w:r w:rsidRPr="004E73AC">
              <w:rPr>
                <w:color w:val="000000"/>
                <w:sz w:val="20"/>
                <w:szCs w:val="20"/>
              </w:rPr>
              <w:t>91.2%</w:t>
            </w:r>
            <w:r>
              <w:rPr>
                <w:color w:val="000000"/>
                <w:sz w:val="20"/>
                <w:szCs w:val="20"/>
              </w:rPr>
              <w:t>)</w:t>
            </w:r>
          </w:p>
        </w:tc>
        <w:tc>
          <w:tcPr>
            <w:tcW w:w="1357" w:type="pct"/>
            <w:shd w:val="clear" w:color="auto" w:fill="auto"/>
            <w:noWrap/>
          </w:tcPr>
          <w:p w:rsidR="00697CB2" w:rsidRPr="00697CB2" w:rsidRDefault="00C90D18" w:rsidP="00697CB2">
            <w:pPr>
              <w:spacing w:before="40" w:after="40"/>
              <w:jc w:val="right"/>
              <w:rPr>
                <w:color w:val="000000"/>
                <w:sz w:val="20"/>
                <w:szCs w:val="20"/>
              </w:rPr>
            </w:pPr>
            <w:r w:rsidRPr="004E73AC">
              <w:rPr>
                <w:color w:val="000000"/>
                <w:sz w:val="20"/>
                <w:szCs w:val="20"/>
              </w:rPr>
              <w:t>56,154</w:t>
            </w:r>
            <w:r>
              <w:rPr>
                <w:color w:val="000000"/>
                <w:sz w:val="20"/>
                <w:szCs w:val="20"/>
              </w:rPr>
              <w:t xml:space="preserve"> (</w:t>
            </w:r>
            <w:r w:rsidRPr="004E73AC">
              <w:rPr>
                <w:color w:val="000000"/>
                <w:sz w:val="20"/>
                <w:szCs w:val="20"/>
              </w:rPr>
              <w:t>8.2%</w:t>
            </w:r>
            <w:r>
              <w:rPr>
                <w:color w:val="000000"/>
                <w:sz w:val="20"/>
                <w:szCs w:val="20"/>
              </w:rPr>
              <w:t>)</w:t>
            </w:r>
          </w:p>
        </w:tc>
      </w:tr>
      <w:tr w:rsidR="00697CB2" w:rsidRPr="00697CB2" w:rsidTr="0048631E">
        <w:trPr>
          <w:trHeight w:val="315"/>
          <w:jc w:val="center"/>
        </w:trPr>
        <w:tc>
          <w:tcPr>
            <w:tcW w:w="1707" w:type="pct"/>
            <w:vMerge w:val="restart"/>
            <w:shd w:val="clear" w:color="auto" w:fill="auto"/>
            <w:noWrap/>
            <w:hideMark/>
          </w:tcPr>
          <w:p w:rsidR="00697CB2" w:rsidRPr="00697CB2" w:rsidRDefault="00697CB2" w:rsidP="00697CB2">
            <w:pPr>
              <w:spacing w:before="40" w:after="40"/>
              <w:rPr>
                <w:color w:val="000000"/>
                <w:sz w:val="20"/>
                <w:szCs w:val="20"/>
              </w:rPr>
            </w:pPr>
            <w:r>
              <w:rPr>
                <w:color w:val="000000"/>
                <w:sz w:val="20"/>
                <w:szCs w:val="20"/>
              </w:rPr>
              <w:t>Grade 11</w:t>
            </w:r>
          </w:p>
        </w:tc>
        <w:tc>
          <w:tcPr>
            <w:tcW w:w="578" w:type="pct"/>
            <w:shd w:val="clear" w:color="auto" w:fill="D9D9D9" w:themeFill="background1" w:themeFillShade="D9"/>
            <w:noWrap/>
            <w:vAlign w:val="bottom"/>
            <w:hideMark/>
          </w:tcPr>
          <w:p w:rsidR="00697CB2" w:rsidRPr="00697CB2" w:rsidRDefault="00697CB2" w:rsidP="00697CB2">
            <w:pPr>
              <w:spacing w:before="40" w:after="40"/>
              <w:rPr>
                <w:color w:val="000000"/>
                <w:sz w:val="20"/>
                <w:szCs w:val="20"/>
              </w:rPr>
            </w:pPr>
            <w:r w:rsidRPr="00697CB2">
              <w:rPr>
                <w:color w:val="000000"/>
                <w:sz w:val="20"/>
                <w:szCs w:val="20"/>
              </w:rPr>
              <w:t>GCVS</w:t>
            </w:r>
          </w:p>
        </w:tc>
        <w:tc>
          <w:tcPr>
            <w:tcW w:w="1358" w:type="pct"/>
            <w:shd w:val="clear" w:color="auto" w:fill="D9D9D9" w:themeFill="background1" w:themeFillShade="D9"/>
            <w:noWrap/>
          </w:tcPr>
          <w:p w:rsidR="00697CB2" w:rsidRPr="00697CB2" w:rsidRDefault="00C90D18" w:rsidP="00697CB2">
            <w:pPr>
              <w:spacing w:before="40" w:after="40"/>
              <w:jc w:val="right"/>
              <w:rPr>
                <w:color w:val="000000"/>
                <w:sz w:val="20"/>
                <w:szCs w:val="20"/>
              </w:rPr>
            </w:pPr>
            <w:r w:rsidRPr="004E73AC">
              <w:rPr>
                <w:sz w:val="20"/>
                <w:szCs w:val="20"/>
              </w:rPr>
              <w:t>122</w:t>
            </w:r>
            <w:r>
              <w:rPr>
                <w:sz w:val="20"/>
                <w:szCs w:val="20"/>
              </w:rPr>
              <w:t xml:space="preserve"> (</w:t>
            </w:r>
            <w:r w:rsidRPr="004E73AC">
              <w:rPr>
                <w:sz w:val="20"/>
                <w:szCs w:val="20"/>
              </w:rPr>
              <w:t>87.1%</w:t>
            </w:r>
            <w:r>
              <w:rPr>
                <w:sz w:val="20"/>
                <w:szCs w:val="20"/>
              </w:rPr>
              <w:t>)</w:t>
            </w:r>
          </w:p>
        </w:tc>
        <w:tc>
          <w:tcPr>
            <w:tcW w:w="1357" w:type="pct"/>
            <w:shd w:val="clear" w:color="auto" w:fill="D9D9D9" w:themeFill="background1" w:themeFillShade="D9"/>
            <w:noWrap/>
          </w:tcPr>
          <w:p w:rsidR="00697CB2" w:rsidRPr="00697CB2" w:rsidRDefault="00C90D18" w:rsidP="00697CB2">
            <w:pPr>
              <w:spacing w:before="40" w:after="40"/>
              <w:jc w:val="right"/>
              <w:rPr>
                <w:color w:val="000000"/>
                <w:sz w:val="20"/>
                <w:szCs w:val="20"/>
              </w:rPr>
            </w:pPr>
            <w:r w:rsidRPr="004E73AC">
              <w:rPr>
                <w:sz w:val="20"/>
                <w:szCs w:val="20"/>
              </w:rPr>
              <w:t>16</w:t>
            </w:r>
            <w:r>
              <w:rPr>
                <w:sz w:val="20"/>
                <w:szCs w:val="20"/>
              </w:rPr>
              <w:t xml:space="preserve"> (</w:t>
            </w:r>
            <w:r w:rsidRPr="004E73AC">
              <w:rPr>
                <w:sz w:val="20"/>
                <w:szCs w:val="20"/>
              </w:rPr>
              <w:t>11.4%</w:t>
            </w:r>
            <w:r>
              <w:rPr>
                <w:sz w:val="20"/>
                <w:szCs w:val="20"/>
              </w:rPr>
              <w:t>)</w:t>
            </w:r>
          </w:p>
        </w:tc>
      </w:tr>
      <w:tr w:rsidR="00697CB2" w:rsidRPr="00697CB2" w:rsidTr="0048631E">
        <w:trPr>
          <w:trHeight w:val="315"/>
          <w:jc w:val="center"/>
        </w:trPr>
        <w:tc>
          <w:tcPr>
            <w:tcW w:w="1707" w:type="pct"/>
            <w:vMerge/>
            <w:shd w:val="clear" w:color="auto" w:fill="auto"/>
            <w:noWrap/>
            <w:hideMark/>
          </w:tcPr>
          <w:p w:rsidR="00697CB2" w:rsidRPr="00697CB2" w:rsidRDefault="00697CB2" w:rsidP="00697CB2">
            <w:pPr>
              <w:spacing w:before="40" w:after="40"/>
              <w:rPr>
                <w:color w:val="000000"/>
                <w:sz w:val="20"/>
                <w:szCs w:val="20"/>
              </w:rPr>
            </w:pPr>
          </w:p>
        </w:tc>
        <w:tc>
          <w:tcPr>
            <w:tcW w:w="578" w:type="pct"/>
            <w:shd w:val="clear" w:color="auto" w:fill="auto"/>
            <w:noWrap/>
            <w:vAlign w:val="bottom"/>
            <w:hideMark/>
          </w:tcPr>
          <w:p w:rsidR="00697CB2" w:rsidRPr="00697CB2" w:rsidRDefault="00697CB2" w:rsidP="00697CB2">
            <w:pPr>
              <w:spacing w:before="40" w:after="40"/>
              <w:rPr>
                <w:color w:val="000000"/>
                <w:sz w:val="20"/>
                <w:szCs w:val="20"/>
              </w:rPr>
            </w:pPr>
            <w:r w:rsidRPr="00697CB2">
              <w:rPr>
                <w:color w:val="000000"/>
                <w:sz w:val="20"/>
                <w:szCs w:val="20"/>
              </w:rPr>
              <w:t>State</w:t>
            </w:r>
          </w:p>
        </w:tc>
        <w:tc>
          <w:tcPr>
            <w:tcW w:w="1358" w:type="pct"/>
            <w:shd w:val="clear" w:color="auto" w:fill="auto"/>
            <w:noWrap/>
          </w:tcPr>
          <w:p w:rsidR="00697CB2" w:rsidRPr="00697CB2" w:rsidRDefault="00C90D18" w:rsidP="00697CB2">
            <w:pPr>
              <w:spacing w:before="40" w:after="40"/>
              <w:jc w:val="right"/>
              <w:rPr>
                <w:color w:val="000000"/>
                <w:sz w:val="20"/>
                <w:szCs w:val="20"/>
              </w:rPr>
            </w:pPr>
            <w:r w:rsidRPr="004E73AC">
              <w:rPr>
                <w:color w:val="000000"/>
                <w:sz w:val="20"/>
                <w:szCs w:val="20"/>
              </w:rPr>
              <w:t>579,035</w:t>
            </w:r>
            <w:r>
              <w:rPr>
                <w:color w:val="000000"/>
                <w:sz w:val="20"/>
                <w:szCs w:val="20"/>
              </w:rPr>
              <w:t xml:space="preserve"> (</w:t>
            </w:r>
            <w:r w:rsidRPr="004E73AC">
              <w:rPr>
                <w:color w:val="000000"/>
                <w:sz w:val="20"/>
                <w:szCs w:val="20"/>
              </w:rPr>
              <w:t>91.4%</w:t>
            </w:r>
            <w:r>
              <w:rPr>
                <w:color w:val="000000"/>
                <w:sz w:val="20"/>
                <w:szCs w:val="20"/>
              </w:rPr>
              <w:t>)</w:t>
            </w:r>
          </w:p>
        </w:tc>
        <w:tc>
          <w:tcPr>
            <w:tcW w:w="1357" w:type="pct"/>
            <w:shd w:val="clear" w:color="auto" w:fill="auto"/>
            <w:noWrap/>
          </w:tcPr>
          <w:p w:rsidR="00697CB2" w:rsidRPr="00697CB2" w:rsidRDefault="00C90D18" w:rsidP="00697CB2">
            <w:pPr>
              <w:spacing w:before="40" w:after="40"/>
              <w:jc w:val="right"/>
              <w:rPr>
                <w:color w:val="000000"/>
                <w:sz w:val="20"/>
                <w:szCs w:val="20"/>
              </w:rPr>
            </w:pPr>
            <w:r w:rsidRPr="004E73AC">
              <w:rPr>
                <w:color w:val="000000"/>
                <w:sz w:val="20"/>
                <w:szCs w:val="20"/>
              </w:rPr>
              <w:t>51,001</w:t>
            </w:r>
            <w:r>
              <w:rPr>
                <w:color w:val="000000"/>
                <w:sz w:val="20"/>
                <w:szCs w:val="20"/>
              </w:rPr>
              <w:t xml:space="preserve"> (</w:t>
            </w:r>
            <w:r w:rsidRPr="004E73AC">
              <w:rPr>
                <w:color w:val="000000"/>
                <w:sz w:val="20"/>
                <w:szCs w:val="20"/>
              </w:rPr>
              <w:t>8.1%</w:t>
            </w:r>
            <w:r>
              <w:rPr>
                <w:color w:val="000000"/>
                <w:sz w:val="20"/>
                <w:szCs w:val="20"/>
              </w:rPr>
              <w:t>)</w:t>
            </w:r>
          </w:p>
        </w:tc>
      </w:tr>
      <w:tr w:rsidR="00697CB2" w:rsidRPr="00697CB2" w:rsidTr="0048631E">
        <w:trPr>
          <w:trHeight w:val="315"/>
          <w:jc w:val="center"/>
        </w:trPr>
        <w:tc>
          <w:tcPr>
            <w:tcW w:w="1707" w:type="pct"/>
            <w:vMerge w:val="restart"/>
            <w:shd w:val="clear" w:color="auto" w:fill="auto"/>
            <w:noWrap/>
            <w:hideMark/>
          </w:tcPr>
          <w:p w:rsidR="00697CB2" w:rsidRPr="00697CB2" w:rsidRDefault="00697CB2" w:rsidP="00697CB2">
            <w:pPr>
              <w:spacing w:before="40" w:after="40"/>
              <w:rPr>
                <w:color w:val="000000"/>
                <w:sz w:val="20"/>
                <w:szCs w:val="20"/>
              </w:rPr>
            </w:pPr>
            <w:r>
              <w:rPr>
                <w:color w:val="000000"/>
                <w:sz w:val="20"/>
                <w:szCs w:val="20"/>
              </w:rPr>
              <w:t>Grade 12</w:t>
            </w:r>
          </w:p>
        </w:tc>
        <w:tc>
          <w:tcPr>
            <w:tcW w:w="578" w:type="pct"/>
            <w:shd w:val="clear" w:color="auto" w:fill="D9D9D9" w:themeFill="background1" w:themeFillShade="D9"/>
            <w:noWrap/>
            <w:vAlign w:val="bottom"/>
            <w:hideMark/>
          </w:tcPr>
          <w:p w:rsidR="00697CB2" w:rsidRPr="00697CB2" w:rsidRDefault="00697CB2" w:rsidP="00697CB2">
            <w:pPr>
              <w:spacing w:before="40" w:after="40"/>
              <w:rPr>
                <w:color w:val="000000"/>
                <w:sz w:val="20"/>
                <w:szCs w:val="20"/>
              </w:rPr>
            </w:pPr>
            <w:r w:rsidRPr="00697CB2">
              <w:rPr>
                <w:color w:val="000000"/>
                <w:sz w:val="20"/>
                <w:szCs w:val="20"/>
              </w:rPr>
              <w:t>GCVS</w:t>
            </w:r>
          </w:p>
        </w:tc>
        <w:tc>
          <w:tcPr>
            <w:tcW w:w="1358" w:type="pct"/>
            <w:shd w:val="clear" w:color="auto" w:fill="D9D9D9" w:themeFill="background1" w:themeFillShade="D9"/>
            <w:noWrap/>
          </w:tcPr>
          <w:p w:rsidR="00697CB2" w:rsidRPr="00697CB2" w:rsidRDefault="00C90D18" w:rsidP="00697CB2">
            <w:pPr>
              <w:spacing w:before="40" w:after="40"/>
              <w:jc w:val="right"/>
              <w:rPr>
                <w:color w:val="000000"/>
                <w:sz w:val="20"/>
                <w:szCs w:val="20"/>
              </w:rPr>
            </w:pPr>
            <w:r w:rsidRPr="004E73AC">
              <w:rPr>
                <w:sz w:val="20"/>
                <w:szCs w:val="20"/>
              </w:rPr>
              <w:t>5</w:t>
            </w:r>
            <w:r>
              <w:rPr>
                <w:sz w:val="20"/>
                <w:szCs w:val="20"/>
              </w:rPr>
              <w:t xml:space="preserve"> (</w:t>
            </w:r>
            <w:r w:rsidRPr="004E73AC">
              <w:rPr>
                <w:sz w:val="20"/>
                <w:szCs w:val="20"/>
              </w:rPr>
              <w:t>55.6%</w:t>
            </w:r>
            <w:r>
              <w:rPr>
                <w:sz w:val="20"/>
                <w:szCs w:val="20"/>
              </w:rPr>
              <w:t>)</w:t>
            </w:r>
          </w:p>
        </w:tc>
        <w:tc>
          <w:tcPr>
            <w:tcW w:w="1357" w:type="pct"/>
            <w:shd w:val="clear" w:color="auto" w:fill="D9D9D9" w:themeFill="background1" w:themeFillShade="D9"/>
            <w:noWrap/>
          </w:tcPr>
          <w:p w:rsidR="00697CB2" w:rsidRPr="00697CB2" w:rsidRDefault="00C90D18" w:rsidP="00697CB2">
            <w:pPr>
              <w:spacing w:before="40" w:after="40"/>
              <w:jc w:val="right"/>
              <w:rPr>
                <w:color w:val="000000"/>
                <w:sz w:val="20"/>
                <w:szCs w:val="20"/>
              </w:rPr>
            </w:pPr>
            <w:r w:rsidRPr="004E73AC">
              <w:rPr>
                <w:sz w:val="20"/>
                <w:szCs w:val="20"/>
              </w:rPr>
              <w:t>4</w:t>
            </w:r>
            <w:r>
              <w:rPr>
                <w:sz w:val="20"/>
                <w:szCs w:val="20"/>
              </w:rPr>
              <w:t xml:space="preserve"> (</w:t>
            </w:r>
            <w:r w:rsidRPr="004E73AC">
              <w:rPr>
                <w:sz w:val="20"/>
                <w:szCs w:val="20"/>
              </w:rPr>
              <w:t>44.4%</w:t>
            </w:r>
            <w:r>
              <w:rPr>
                <w:sz w:val="20"/>
                <w:szCs w:val="20"/>
              </w:rPr>
              <w:t>)</w:t>
            </w:r>
          </w:p>
        </w:tc>
      </w:tr>
      <w:tr w:rsidR="00697CB2" w:rsidRPr="00697CB2" w:rsidTr="0048631E">
        <w:trPr>
          <w:trHeight w:val="315"/>
          <w:jc w:val="center"/>
        </w:trPr>
        <w:tc>
          <w:tcPr>
            <w:tcW w:w="1707" w:type="pct"/>
            <w:vMerge/>
            <w:shd w:val="clear" w:color="auto" w:fill="auto"/>
            <w:noWrap/>
            <w:hideMark/>
          </w:tcPr>
          <w:p w:rsidR="00697CB2" w:rsidRPr="00697CB2" w:rsidRDefault="00697CB2" w:rsidP="00697CB2">
            <w:pPr>
              <w:spacing w:before="40" w:after="40"/>
              <w:rPr>
                <w:color w:val="000000"/>
                <w:sz w:val="20"/>
                <w:szCs w:val="20"/>
              </w:rPr>
            </w:pPr>
          </w:p>
        </w:tc>
        <w:tc>
          <w:tcPr>
            <w:tcW w:w="578" w:type="pct"/>
            <w:shd w:val="clear" w:color="auto" w:fill="auto"/>
            <w:noWrap/>
            <w:vAlign w:val="bottom"/>
            <w:hideMark/>
          </w:tcPr>
          <w:p w:rsidR="00697CB2" w:rsidRPr="00697CB2" w:rsidRDefault="00697CB2" w:rsidP="00697CB2">
            <w:pPr>
              <w:spacing w:before="40" w:after="40"/>
              <w:rPr>
                <w:color w:val="000000"/>
                <w:sz w:val="20"/>
                <w:szCs w:val="20"/>
              </w:rPr>
            </w:pPr>
            <w:r w:rsidRPr="00697CB2">
              <w:rPr>
                <w:color w:val="000000"/>
                <w:sz w:val="20"/>
                <w:szCs w:val="20"/>
              </w:rPr>
              <w:t>State</w:t>
            </w:r>
          </w:p>
        </w:tc>
        <w:tc>
          <w:tcPr>
            <w:tcW w:w="1358" w:type="pct"/>
            <w:shd w:val="clear" w:color="auto" w:fill="auto"/>
            <w:noWrap/>
          </w:tcPr>
          <w:p w:rsidR="00697CB2" w:rsidRPr="00697CB2" w:rsidRDefault="00C90D18" w:rsidP="00697CB2">
            <w:pPr>
              <w:spacing w:before="40" w:after="40"/>
              <w:jc w:val="right"/>
              <w:rPr>
                <w:color w:val="000000"/>
                <w:sz w:val="20"/>
                <w:szCs w:val="20"/>
              </w:rPr>
            </w:pPr>
            <w:r w:rsidRPr="004E73AC">
              <w:rPr>
                <w:color w:val="000000"/>
                <w:sz w:val="20"/>
                <w:szCs w:val="20"/>
              </w:rPr>
              <w:t>548,863</w:t>
            </w:r>
            <w:r>
              <w:rPr>
                <w:color w:val="000000"/>
                <w:sz w:val="20"/>
                <w:szCs w:val="20"/>
              </w:rPr>
              <w:t xml:space="preserve"> (</w:t>
            </w:r>
            <w:r w:rsidRPr="004E73AC">
              <w:rPr>
                <w:color w:val="000000"/>
                <w:sz w:val="20"/>
                <w:szCs w:val="20"/>
              </w:rPr>
              <w:t>87.7%</w:t>
            </w:r>
            <w:r>
              <w:rPr>
                <w:color w:val="000000"/>
                <w:sz w:val="20"/>
                <w:szCs w:val="20"/>
              </w:rPr>
              <w:t>)</w:t>
            </w:r>
          </w:p>
        </w:tc>
        <w:tc>
          <w:tcPr>
            <w:tcW w:w="1357" w:type="pct"/>
            <w:shd w:val="clear" w:color="auto" w:fill="auto"/>
            <w:noWrap/>
          </w:tcPr>
          <w:p w:rsidR="00697CB2" w:rsidRPr="00697CB2" w:rsidRDefault="00C90D18" w:rsidP="00697CB2">
            <w:pPr>
              <w:spacing w:before="40" w:after="40"/>
              <w:jc w:val="right"/>
              <w:rPr>
                <w:color w:val="000000"/>
                <w:sz w:val="20"/>
                <w:szCs w:val="20"/>
              </w:rPr>
            </w:pPr>
            <w:r w:rsidRPr="004E73AC">
              <w:rPr>
                <w:color w:val="000000"/>
                <w:sz w:val="20"/>
                <w:szCs w:val="20"/>
              </w:rPr>
              <w:t>75,035</w:t>
            </w:r>
            <w:r>
              <w:rPr>
                <w:color w:val="000000"/>
                <w:sz w:val="20"/>
                <w:szCs w:val="20"/>
              </w:rPr>
              <w:t xml:space="preserve"> (</w:t>
            </w:r>
            <w:r w:rsidRPr="004E73AC">
              <w:rPr>
                <w:color w:val="000000"/>
                <w:sz w:val="20"/>
                <w:szCs w:val="20"/>
              </w:rPr>
              <w:t>12.0%</w:t>
            </w:r>
            <w:r>
              <w:rPr>
                <w:color w:val="000000"/>
                <w:sz w:val="20"/>
                <w:szCs w:val="20"/>
              </w:rPr>
              <w:t>)</w:t>
            </w:r>
          </w:p>
        </w:tc>
      </w:tr>
    </w:tbl>
    <w:p w:rsidR="00F41324" w:rsidRDefault="00F41324" w:rsidP="003D6F34">
      <w:pPr>
        <w:rPr>
          <w:sz w:val="22"/>
        </w:rPr>
      </w:pPr>
    </w:p>
    <w:p w:rsidR="001627C6" w:rsidRDefault="001627C6" w:rsidP="003D6F34">
      <w:pPr>
        <w:rPr>
          <w:sz w:val="22"/>
        </w:rPr>
      </w:pPr>
      <w:r>
        <w:rPr>
          <w:sz w:val="22"/>
        </w:rPr>
        <w:t xml:space="preserve">The Department believes that these figures are an incomplete measure of a student’s progress through his or her virtual school program. For FY2015 and beyond, the Department will ask the virtual schools to report </w:t>
      </w:r>
      <w:r w:rsidR="001A5482">
        <w:rPr>
          <w:sz w:val="22"/>
        </w:rPr>
        <w:t>student-level data on progress toward goals established for each student by the school.</w:t>
      </w:r>
      <w:bookmarkStart w:id="6" w:name="_GoBack"/>
      <w:bookmarkEnd w:id="6"/>
    </w:p>
    <w:p w:rsidR="00697CB2" w:rsidRDefault="00697CB2" w:rsidP="003D6F34">
      <w:pPr>
        <w:rPr>
          <w:sz w:val="22"/>
        </w:rPr>
      </w:pPr>
    </w:p>
    <w:p w:rsidR="004B1FCF" w:rsidRPr="009242E6" w:rsidRDefault="000F6FD3" w:rsidP="003D6F34">
      <w:pPr>
        <w:rPr>
          <w:sz w:val="22"/>
        </w:rPr>
      </w:pPr>
      <w:r w:rsidRPr="009242E6">
        <w:rPr>
          <w:sz w:val="22"/>
        </w:rPr>
        <w:t>The school provides 425 inst</w:t>
      </w:r>
      <w:r w:rsidR="004B1FCF" w:rsidRPr="009242E6">
        <w:rPr>
          <w:sz w:val="22"/>
        </w:rPr>
        <w:t>ructional hours in kindergarten, 900 hours for grades 1-8, and 990 hours for grades 9-12 in accordance with state regulations.</w:t>
      </w:r>
    </w:p>
    <w:p w:rsidR="004B1FCF" w:rsidRPr="009242E6" w:rsidRDefault="004B1FCF" w:rsidP="003D6F34">
      <w:pPr>
        <w:rPr>
          <w:sz w:val="22"/>
        </w:rPr>
      </w:pPr>
    </w:p>
    <w:p w:rsidR="00803501" w:rsidRPr="009242E6" w:rsidRDefault="000F6FD3" w:rsidP="003D6F34">
      <w:pPr>
        <w:rPr>
          <w:sz w:val="22"/>
        </w:rPr>
      </w:pPr>
      <w:r w:rsidRPr="009242E6">
        <w:rPr>
          <w:sz w:val="22"/>
        </w:rPr>
        <w:t>There is flexibility in terms of the time of day when students participate; however, teachers take daily attendance and coordinate the hours of school work completed with the student and learning coach. The school’s expectation is that students will complete their coursework at the end of the semester</w:t>
      </w:r>
      <w:r w:rsidR="00803501" w:rsidRPr="009242E6">
        <w:rPr>
          <w:sz w:val="22"/>
        </w:rPr>
        <w:t xml:space="preserve"> or school year, as applicable.</w:t>
      </w:r>
      <w:r w:rsidR="008B4A05" w:rsidRPr="008B4A05">
        <w:rPr>
          <w:sz w:val="22"/>
        </w:rPr>
        <w:t xml:space="preserve"> </w:t>
      </w:r>
      <w:r w:rsidR="008B4A05">
        <w:rPr>
          <w:sz w:val="22"/>
        </w:rPr>
        <w:t>Because a</w:t>
      </w:r>
      <w:r w:rsidR="008B4A05" w:rsidRPr="009242E6">
        <w:rPr>
          <w:sz w:val="22"/>
        </w:rPr>
        <w:t>ttendance in the program is based on course</w:t>
      </w:r>
      <w:r w:rsidR="008B4A05">
        <w:rPr>
          <w:sz w:val="22"/>
        </w:rPr>
        <w:t xml:space="preserve"> completion and not seat time,</w:t>
      </w:r>
      <w:r w:rsidR="008B4A05" w:rsidRPr="009242E6">
        <w:rPr>
          <w:sz w:val="22"/>
        </w:rPr>
        <w:t xml:space="preserve"> GCVS reported a 100</w:t>
      </w:r>
      <w:r w:rsidR="00F024ED">
        <w:rPr>
          <w:sz w:val="22"/>
        </w:rPr>
        <w:t xml:space="preserve"> percent</w:t>
      </w:r>
      <w:r w:rsidR="008B4A05" w:rsidRPr="009242E6">
        <w:rPr>
          <w:sz w:val="22"/>
        </w:rPr>
        <w:t xml:space="preserve"> student attendance rate to the state in 2013-14.</w:t>
      </w:r>
    </w:p>
    <w:p w:rsidR="00803501" w:rsidRPr="009242E6" w:rsidRDefault="00803501" w:rsidP="003D6F34">
      <w:pPr>
        <w:rPr>
          <w:sz w:val="22"/>
        </w:rPr>
      </w:pPr>
    </w:p>
    <w:p w:rsidR="008B4A05" w:rsidRDefault="000F6FD3" w:rsidP="003D6F34">
      <w:pPr>
        <w:rPr>
          <w:sz w:val="22"/>
        </w:rPr>
      </w:pPr>
      <w:r w:rsidRPr="009242E6">
        <w:rPr>
          <w:sz w:val="22"/>
        </w:rPr>
        <w:t xml:space="preserve">The school </w:t>
      </w:r>
      <w:r w:rsidR="00803501" w:rsidRPr="009242E6">
        <w:rPr>
          <w:sz w:val="22"/>
        </w:rPr>
        <w:t>calendar provides for school holidays and vacation times during which teachers are not available; however, students may continue to do school work and access the online learning management system at a</w:t>
      </w:r>
      <w:r w:rsidR="008B4A05">
        <w:rPr>
          <w:sz w:val="22"/>
        </w:rPr>
        <w:t>ny time during the school year.</w:t>
      </w:r>
    </w:p>
    <w:p w:rsidR="008B4A05" w:rsidRDefault="008B4A05" w:rsidP="003D6F34">
      <w:pPr>
        <w:rPr>
          <w:sz w:val="22"/>
        </w:rPr>
      </w:pPr>
    </w:p>
    <w:p w:rsidR="007376FB" w:rsidRDefault="0028399C" w:rsidP="003D6F34">
      <w:pPr>
        <w:rPr>
          <w:sz w:val="22"/>
        </w:rPr>
      </w:pPr>
      <w:r w:rsidRPr="009242E6">
        <w:rPr>
          <w:sz w:val="22"/>
        </w:rPr>
        <w:t>According to data provided by the school at the time of the June 5, 2014 accountability review, withdrawal statistics indicated that 47 students (29</w:t>
      </w:r>
      <w:r w:rsidR="00F024ED">
        <w:rPr>
          <w:sz w:val="22"/>
        </w:rPr>
        <w:t xml:space="preserve"> percent</w:t>
      </w:r>
      <w:r w:rsidRPr="009242E6">
        <w:rPr>
          <w:sz w:val="22"/>
        </w:rPr>
        <w:t xml:space="preserve"> of all withdrawals) never attended the school; 29 students withdrew because their learning coach (</w:t>
      </w:r>
      <w:r w:rsidR="00786A1E" w:rsidRPr="009242E6">
        <w:rPr>
          <w:sz w:val="22"/>
        </w:rPr>
        <w:t>responsible</w:t>
      </w:r>
      <w:r w:rsidR="008B4A05">
        <w:rPr>
          <w:sz w:val="22"/>
        </w:rPr>
        <w:t xml:space="preserve"> adu</w:t>
      </w:r>
      <w:r w:rsidR="00F024ED">
        <w:rPr>
          <w:sz w:val="22"/>
        </w:rPr>
        <w:t>lt in the home) was unavailable</w:t>
      </w:r>
      <w:r w:rsidR="008B4A05">
        <w:rPr>
          <w:sz w:val="22"/>
        </w:rPr>
        <w:t xml:space="preserve"> </w:t>
      </w:r>
      <w:r w:rsidR="00786A1E" w:rsidRPr="009242E6">
        <w:rPr>
          <w:sz w:val="22"/>
        </w:rPr>
        <w:t>(18</w:t>
      </w:r>
      <w:r w:rsidR="00F024ED">
        <w:rPr>
          <w:sz w:val="22"/>
        </w:rPr>
        <w:t xml:space="preserve"> percent</w:t>
      </w:r>
      <w:r w:rsidR="00786A1E" w:rsidRPr="009242E6">
        <w:rPr>
          <w:sz w:val="22"/>
        </w:rPr>
        <w:t>); 22 student</w:t>
      </w:r>
      <w:r w:rsidR="008B4A05">
        <w:rPr>
          <w:sz w:val="22"/>
        </w:rPr>
        <w:t xml:space="preserve">s withdrew due to the school’s </w:t>
      </w:r>
      <w:r w:rsidR="00786A1E" w:rsidRPr="009242E6">
        <w:rPr>
          <w:sz w:val="22"/>
        </w:rPr>
        <w:t>attendance/progress policy (14</w:t>
      </w:r>
      <w:r w:rsidR="00F024ED">
        <w:rPr>
          <w:sz w:val="22"/>
        </w:rPr>
        <w:t xml:space="preserve"> percent</w:t>
      </w:r>
      <w:r w:rsidR="00786A1E" w:rsidRPr="009242E6">
        <w:rPr>
          <w:sz w:val="22"/>
        </w:rPr>
        <w:t>); and 1 studen</w:t>
      </w:r>
      <w:r w:rsidR="008B4A05">
        <w:rPr>
          <w:sz w:val="22"/>
        </w:rPr>
        <w:t>t withdrew for non-attendance.</w:t>
      </w:r>
    </w:p>
    <w:p w:rsidR="005E00CC" w:rsidRPr="009242E6" w:rsidRDefault="005E00CC" w:rsidP="003D6F34">
      <w:pPr>
        <w:rPr>
          <w:sz w:val="22"/>
        </w:rPr>
      </w:pPr>
    </w:p>
    <w:p w:rsidR="003D6F34" w:rsidRDefault="003D6F34" w:rsidP="005E00CC">
      <w:pPr>
        <w:pStyle w:val="Heading3"/>
        <w:spacing w:before="0" w:after="0"/>
      </w:pPr>
      <w:bookmarkStart w:id="7" w:name="_Toc391236903"/>
      <w:bookmarkStart w:id="8" w:name="_Toc415485254"/>
      <w:r>
        <w:t>Academic Achievement</w:t>
      </w:r>
      <w:bookmarkEnd w:id="7"/>
      <w:bookmarkEnd w:id="8"/>
    </w:p>
    <w:p w:rsidR="005E00CC" w:rsidRPr="008A2608" w:rsidRDefault="005E00CC" w:rsidP="005E00CC">
      <w:pPr>
        <w:rPr>
          <w:sz w:val="22"/>
          <w:szCs w:val="22"/>
        </w:rPr>
      </w:pPr>
    </w:p>
    <w:p w:rsidR="007376FB" w:rsidRPr="009242E6" w:rsidRDefault="007376FB" w:rsidP="005E00CC">
      <w:pPr>
        <w:rPr>
          <w:sz w:val="22"/>
        </w:rPr>
      </w:pPr>
      <w:r w:rsidRPr="009242E6">
        <w:rPr>
          <w:sz w:val="22"/>
        </w:rPr>
        <w:t xml:space="preserve">GCVS received an annual progress and performance </w:t>
      </w:r>
      <w:r w:rsidR="00697CB2">
        <w:rPr>
          <w:sz w:val="22"/>
        </w:rPr>
        <w:t xml:space="preserve">index </w:t>
      </w:r>
      <w:r w:rsidRPr="009242E6">
        <w:rPr>
          <w:sz w:val="22"/>
        </w:rPr>
        <w:t>(PPI) score based on the improvement it made toward its own targets over the following two-year periods: 2011-12, 2012-13, and 2013-14. Based on 2014 accountability data, the school’s annual PPI has declined over each period: 90 (2012), 80 (2013), and 38 (2014).</w:t>
      </w:r>
    </w:p>
    <w:p w:rsidR="007376FB" w:rsidRPr="009242E6" w:rsidRDefault="007376FB" w:rsidP="007376FB">
      <w:pPr>
        <w:rPr>
          <w:sz w:val="22"/>
        </w:rPr>
      </w:pPr>
    </w:p>
    <w:p w:rsidR="007376FB" w:rsidRPr="009242E6" w:rsidRDefault="007376FB" w:rsidP="007376FB">
      <w:pPr>
        <w:rPr>
          <w:sz w:val="22"/>
        </w:rPr>
      </w:pPr>
      <w:r w:rsidRPr="009242E6">
        <w:rPr>
          <w:sz w:val="22"/>
        </w:rPr>
        <w:lastRenderedPageBreak/>
        <w:t xml:space="preserve">In English language arts, GCVS earned an “On Target” rating for narrowing proficiency gaps in 2012 and 2013; however, in 2014 the school earned a rating of “No Change.” In 2012 and 2013, GCVS earned ratings of “Improved </w:t>
      </w:r>
      <w:proofErr w:type="gramStart"/>
      <w:r w:rsidRPr="009242E6">
        <w:rPr>
          <w:sz w:val="22"/>
        </w:rPr>
        <w:t>Below</w:t>
      </w:r>
      <w:proofErr w:type="gramEnd"/>
      <w:r w:rsidRPr="009242E6">
        <w:rPr>
          <w:sz w:val="22"/>
        </w:rPr>
        <w:t xml:space="preserve"> Target” and “On Target</w:t>
      </w:r>
      <w:r w:rsidR="00F024ED">
        <w:rPr>
          <w:sz w:val="22"/>
        </w:rPr>
        <w:t>,”</w:t>
      </w:r>
      <w:r w:rsidRPr="009242E6">
        <w:rPr>
          <w:sz w:val="22"/>
        </w:rPr>
        <w:t xml:space="preserve"> respectively, for growth; however, in 2014 the school earned a rating of “No Change” for growth. In 2012 and 2013, GCVS earned extra credit toward its annual PPI calculation for decreasing the percentage of students scoring at the Warning/Failing level on the ELA MCAS test by 10 percent or more; in 2014 the school did not earn extra credit. GCVS did, however, earn extra credit for increasing the percentage of students scoring at the Advanced level on MCAS by 10 percent or more in 2012 and 2013.</w:t>
      </w:r>
    </w:p>
    <w:p w:rsidR="007376FB" w:rsidRPr="009242E6" w:rsidRDefault="007376FB" w:rsidP="007376FB">
      <w:pPr>
        <w:rPr>
          <w:sz w:val="22"/>
        </w:rPr>
      </w:pPr>
    </w:p>
    <w:p w:rsidR="007376FB" w:rsidRPr="009242E6" w:rsidRDefault="007376FB" w:rsidP="007376FB">
      <w:pPr>
        <w:rPr>
          <w:sz w:val="22"/>
        </w:rPr>
      </w:pPr>
      <w:r w:rsidRPr="009242E6">
        <w:rPr>
          <w:sz w:val="22"/>
        </w:rPr>
        <w:t xml:space="preserve">In mathematics, GCVS earned an “On Target” rating for narrowing proficiency gaps in 2012; however, in 2013 the school earned a rating of “Improved </w:t>
      </w:r>
      <w:proofErr w:type="gramStart"/>
      <w:r w:rsidRPr="009242E6">
        <w:rPr>
          <w:sz w:val="22"/>
        </w:rPr>
        <w:t>Below</w:t>
      </w:r>
      <w:proofErr w:type="gramEnd"/>
      <w:r w:rsidRPr="009242E6">
        <w:rPr>
          <w:sz w:val="22"/>
        </w:rPr>
        <w:t xml:space="preserve"> Target,” and in 2014 GCVS earned a rating of “No Change.” Across all three periods, GCVS earned a rating of “Improved </w:t>
      </w:r>
      <w:proofErr w:type="gramStart"/>
      <w:r w:rsidRPr="009242E6">
        <w:rPr>
          <w:sz w:val="22"/>
        </w:rPr>
        <w:t>Below</w:t>
      </w:r>
      <w:proofErr w:type="gramEnd"/>
      <w:r w:rsidRPr="009242E6">
        <w:rPr>
          <w:sz w:val="22"/>
        </w:rPr>
        <w:t xml:space="preserve"> Target” for growth. In none of the three periods under review did the school extra credit for decreasing the percentage of students scoring at the Warning/Failing level on the mathematics MCAS test by 10 percent or more. GCVS earned extra credit for increasing the percentage of students scoring at the Advanced level on MCAS by 10 percent or more in 2012 and 2013 but did not earn extra credit for this indicator in 2014. </w:t>
      </w:r>
    </w:p>
    <w:p w:rsidR="007376FB" w:rsidRPr="009242E6" w:rsidRDefault="007376FB" w:rsidP="007376FB">
      <w:pPr>
        <w:rPr>
          <w:sz w:val="22"/>
        </w:rPr>
      </w:pPr>
    </w:p>
    <w:p w:rsidR="007376FB" w:rsidRPr="009242E6" w:rsidRDefault="007376FB" w:rsidP="007376FB">
      <w:pPr>
        <w:rPr>
          <w:sz w:val="22"/>
        </w:rPr>
      </w:pPr>
      <w:r w:rsidRPr="009242E6">
        <w:rPr>
          <w:sz w:val="22"/>
        </w:rPr>
        <w:t>In science, GCVS earned a rating of “Above Target” in 2012 and a rating of “On Target” in 2013 for narrowing proficiency gaps; however, in 2014 the school earned a rating of “No Change.” Across the three periods under review, GCVS earned extra credit for decreasing the percentage of students scoring at the Warning/Failing level on the science MCAS test by 10 percent or more in 2013. The school earned extra credit for increasing the percentage of students scoring at the Advanced level on MCAS by 10 percent or more in 2012 and 2014 but did not earn extra credit for this indicator in 2013.</w:t>
      </w:r>
    </w:p>
    <w:p w:rsidR="007376FB" w:rsidRPr="009242E6" w:rsidRDefault="007376FB" w:rsidP="007376FB">
      <w:pPr>
        <w:rPr>
          <w:sz w:val="22"/>
        </w:rPr>
      </w:pPr>
    </w:p>
    <w:p w:rsidR="007376FB" w:rsidRPr="009242E6" w:rsidRDefault="004B1FCF" w:rsidP="007376FB">
      <w:pPr>
        <w:rPr>
          <w:sz w:val="22"/>
        </w:rPr>
      </w:pPr>
      <w:r w:rsidRPr="009242E6">
        <w:rPr>
          <w:sz w:val="22"/>
        </w:rPr>
        <w:t xml:space="preserve">These </w:t>
      </w:r>
      <w:r w:rsidR="007376FB" w:rsidRPr="009242E6">
        <w:rPr>
          <w:sz w:val="22"/>
        </w:rPr>
        <w:t xml:space="preserve">data were used by the Department to calculate the school’s cumulative PPI, which is the average of the school’s annual PPIs over the most recent four year period, weighting later years the most (1-2-3-4). Until 2014, GCVS did not have sufficient data to calculate a cumulative PPI. For a school to be considered to be making progress toward narrowing proficiency gaps, its cumulative PPI must be 75 or higher. The school’s 2014 cumulative PPI of 63, in addition to the low assessment participation and subgroup performance described above, </w:t>
      </w:r>
      <w:r w:rsidR="00F024ED">
        <w:rPr>
          <w:sz w:val="22"/>
        </w:rPr>
        <w:t xml:space="preserve">places </w:t>
      </w:r>
      <w:r w:rsidR="007376FB" w:rsidRPr="009242E6">
        <w:rPr>
          <w:sz w:val="22"/>
        </w:rPr>
        <w:t>the school in Level 3 of the state’s five-level accountability and assistance system.</w:t>
      </w:r>
    </w:p>
    <w:p w:rsidR="00D551BC" w:rsidRPr="009242E6" w:rsidRDefault="00D551BC" w:rsidP="007376FB">
      <w:pPr>
        <w:rPr>
          <w:sz w:val="22"/>
        </w:rPr>
      </w:pPr>
    </w:p>
    <w:p w:rsidR="003D6F34" w:rsidRDefault="007376FB" w:rsidP="007376FB">
      <w:pPr>
        <w:rPr>
          <w:sz w:val="22"/>
        </w:rPr>
      </w:pPr>
      <w:r w:rsidRPr="009242E6">
        <w:rPr>
          <w:sz w:val="22"/>
        </w:rPr>
        <w:t>In addition to the PPI, which measures a school’s performance toward its own targets over a number of years, these data were also used to calculate a school percentile, an indication of the school's overall performance relative to other schools that serve the same or similar grades. In 2014 GCVS placed at the 7th percentile (on a 1-99 scale) of all middle/high schools and K-12 schools in the Commonwealth, and the school’s White subgroup placed among the lowest 20 percent of subgroups statewide.</w:t>
      </w:r>
    </w:p>
    <w:p w:rsidR="008B4A05" w:rsidRDefault="008B4A05" w:rsidP="007376FB">
      <w:pPr>
        <w:rPr>
          <w:sz w:val="22"/>
        </w:rPr>
      </w:pPr>
    </w:p>
    <w:p w:rsidR="008B4A05" w:rsidRDefault="008B4A05" w:rsidP="007376FB">
      <w:pPr>
        <w:rPr>
          <w:sz w:val="22"/>
        </w:rPr>
      </w:pPr>
      <w:r w:rsidRPr="009242E6">
        <w:rPr>
          <w:sz w:val="22"/>
        </w:rPr>
        <w:t xml:space="preserve">In 2014 the school’s high needs subgroup did not meet the 95 percent threshold required for participation in state assessments in mathematics </w:t>
      </w:r>
      <w:r w:rsidR="00B40F0C">
        <w:rPr>
          <w:sz w:val="22"/>
        </w:rPr>
        <w:t xml:space="preserve">and science (94 </w:t>
      </w:r>
      <w:r w:rsidRPr="009242E6">
        <w:rPr>
          <w:sz w:val="22"/>
        </w:rPr>
        <w:t>percent</w:t>
      </w:r>
      <w:r w:rsidR="00B40F0C">
        <w:rPr>
          <w:sz w:val="22"/>
        </w:rPr>
        <w:t>, respectively</w:t>
      </w:r>
      <w:r w:rsidRPr="009242E6">
        <w:rPr>
          <w:sz w:val="22"/>
        </w:rPr>
        <w:t>).</w:t>
      </w:r>
    </w:p>
    <w:p w:rsidR="005E00CC" w:rsidRPr="009242E6" w:rsidRDefault="005E00CC" w:rsidP="007376FB">
      <w:pPr>
        <w:rPr>
          <w:sz w:val="22"/>
        </w:rPr>
      </w:pPr>
    </w:p>
    <w:p w:rsidR="003D6F34" w:rsidRDefault="003D6F34" w:rsidP="005E00CC">
      <w:pPr>
        <w:pStyle w:val="Heading3"/>
        <w:spacing w:before="0" w:after="0"/>
      </w:pPr>
      <w:bookmarkStart w:id="9" w:name="_Toc391236904"/>
      <w:bookmarkStart w:id="10" w:name="_Toc415485255"/>
      <w:r>
        <w:t>Supervision and Support for Students in Elementary and Middle School</w:t>
      </w:r>
      <w:bookmarkEnd w:id="9"/>
      <w:bookmarkEnd w:id="10"/>
    </w:p>
    <w:p w:rsidR="005E00CC" w:rsidRPr="008A2608" w:rsidRDefault="005E00CC" w:rsidP="005E00CC">
      <w:pPr>
        <w:rPr>
          <w:sz w:val="22"/>
          <w:szCs w:val="22"/>
        </w:rPr>
      </w:pPr>
    </w:p>
    <w:p w:rsidR="00803501" w:rsidRPr="009242E6" w:rsidRDefault="00803501" w:rsidP="005E00CC">
      <w:pPr>
        <w:rPr>
          <w:sz w:val="22"/>
        </w:rPr>
      </w:pPr>
      <w:r w:rsidRPr="009242E6">
        <w:rPr>
          <w:sz w:val="22"/>
        </w:rPr>
        <w:t xml:space="preserve">According to GCVS, learning coaches facilitate student progress through daily lessons, with flexibility in terms of pace and scheduling. The school expects learning coaches to spend </w:t>
      </w:r>
      <w:r w:rsidR="006D5B45">
        <w:rPr>
          <w:sz w:val="22"/>
        </w:rPr>
        <w:t>three to five</w:t>
      </w:r>
      <w:r w:rsidRPr="009242E6">
        <w:rPr>
          <w:sz w:val="22"/>
        </w:rPr>
        <w:t xml:space="preserve"> hours daily supporting students and students to spend </w:t>
      </w:r>
      <w:r w:rsidR="006D5B45">
        <w:rPr>
          <w:sz w:val="22"/>
        </w:rPr>
        <w:t>five to six</w:t>
      </w:r>
      <w:r w:rsidRPr="009242E6">
        <w:rPr>
          <w:sz w:val="22"/>
        </w:rPr>
        <w:t xml:space="preserve"> hours daily on coursework and homework. Teachers manage all facets of the student’s instructional experience and are expected </w:t>
      </w:r>
      <w:r w:rsidR="00F024ED">
        <w:rPr>
          <w:sz w:val="22"/>
        </w:rPr>
        <w:t xml:space="preserve">to </w:t>
      </w:r>
      <w:r w:rsidRPr="009242E6">
        <w:rPr>
          <w:sz w:val="22"/>
        </w:rPr>
        <w:t xml:space="preserve">engage in regular communication with learning coaches and students via e-mail, telephone, and online meetings. </w:t>
      </w:r>
    </w:p>
    <w:p w:rsidR="00803501" w:rsidRPr="009242E6" w:rsidRDefault="00803501" w:rsidP="007376FB">
      <w:pPr>
        <w:rPr>
          <w:sz w:val="22"/>
        </w:rPr>
      </w:pPr>
    </w:p>
    <w:p w:rsidR="003D6F34" w:rsidRDefault="00D551BC" w:rsidP="007376FB">
      <w:pPr>
        <w:rPr>
          <w:sz w:val="22"/>
        </w:rPr>
      </w:pPr>
      <w:r w:rsidRPr="009242E6">
        <w:rPr>
          <w:sz w:val="22"/>
        </w:rPr>
        <w:t xml:space="preserve">The </w:t>
      </w:r>
      <w:r w:rsidR="004B1FCF" w:rsidRPr="009242E6">
        <w:rPr>
          <w:sz w:val="22"/>
        </w:rPr>
        <w:t>June 5, 2014 accountability review</w:t>
      </w:r>
      <w:r w:rsidRPr="009242E6">
        <w:rPr>
          <w:sz w:val="22"/>
        </w:rPr>
        <w:t xml:space="preserve"> found </w:t>
      </w:r>
      <w:r w:rsidR="008B4A05">
        <w:rPr>
          <w:sz w:val="22"/>
        </w:rPr>
        <w:t>the distinction between the role</w:t>
      </w:r>
      <w:r w:rsidR="007376FB" w:rsidRPr="009242E6">
        <w:rPr>
          <w:sz w:val="22"/>
        </w:rPr>
        <w:t xml:space="preserve"> of the teacher and the learning coach unclear, notably in the early grades. </w:t>
      </w:r>
      <w:r w:rsidR="008B4A05">
        <w:rPr>
          <w:sz w:val="22"/>
        </w:rPr>
        <w:t>F</w:t>
      </w:r>
      <w:r w:rsidR="007376FB" w:rsidRPr="009242E6">
        <w:rPr>
          <w:sz w:val="22"/>
        </w:rPr>
        <w:t xml:space="preserve">ocus groups </w:t>
      </w:r>
      <w:r w:rsidR="008B4A05">
        <w:rPr>
          <w:sz w:val="22"/>
        </w:rPr>
        <w:t xml:space="preserve">of elementary and middle school </w:t>
      </w:r>
      <w:r w:rsidR="007376FB" w:rsidRPr="009242E6">
        <w:rPr>
          <w:sz w:val="22"/>
        </w:rPr>
        <w:lastRenderedPageBreak/>
        <w:t>acknowledged that reaching all learners by incorporating multiple learning styles was an ongoing challenge. According to both school leadership and K12, Inc., every student has an individualized learning plan. However, it was not clear to the review team how it is used on a day-to-day basis, how frequently it is reviewed and revised, or which party (the teacher or the learning coac</w:t>
      </w:r>
      <w:r w:rsidRPr="009242E6">
        <w:rPr>
          <w:sz w:val="22"/>
        </w:rPr>
        <w:t xml:space="preserve">h) takes ownership for the </w:t>
      </w:r>
      <w:r w:rsidR="008B4A05">
        <w:rPr>
          <w:sz w:val="22"/>
        </w:rPr>
        <w:t>plan</w:t>
      </w:r>
      <w:r w:rsidRPr="009242E6">
        <w:rPr>
          <w:sz w:val="22"/>
        </w:rPr>
        <w:t>.</w:t>
      </w:r>
    </w:p>
    <w:p w:rsidR="005E00CC" w:rsidRPr="009242E6" w:rsidRDefault="005E00CC" w:rsidP="007376FB">
      <w:pPr>
        <w:rPr>
          <w:sz w:val="22"/>
        </w:rPr>
      </w:pPr>
    </w:p>
    <w:p w:rsidR="003D6F34" w:rsidRDefault="003D6F34" w:rsidP="005E00CC">
      <w:pPr>
        <w:pStyle w:val="Heading3"/>
        <w:spacing w:before="0" w:after="0"/>
      </w:pPr>
      <w:bookmarkStart w:id="11" w:name="_Toc391236905"/>
      <w:bookmarkStart w:id="12" w:name="_Toc415485256"/>
      <w:r>
        <w:t>Support for Online Course Completion</w:t>
      </w:r>
      <w:bookmarkEnd w:id="11"/>
      <w:bookmarkEnd w:id="12"/>
    </w:p>
    <w:p w:rsidR="005E00CC" w:rsidRPr="008A2608" w:rsidRDefault="005E00CC" w:rsidP="005E00CC">
      <w:pPr>
        <w:rPr>
          <w:sz w:val="22"/>
          <w:szCs w:val="22"/>
        </w:rPr>
      </w:pPr>
    </w:p>
    <w:p w:rsidR="003D6F34" w:rsidRDefault="00D551BC" w:rsidP="005E00CC">
      <w:pPr>
        <w:rPr>
          <w:sz w:val="22"/>
        </w:rPr>
      </w:pPr>
      <w:r w:rsidRPr="009242E6">
        <w:rPr>
          <w:sz w:val="22"/>
        </w:rPr>
        <w:t xml:space="preserve">The accountability review concluded that the teacher focus groups </w:t>
      </w:r>
      <w:r w:rsidR="009217E0" w:rsidRPr="009242E6">
        <w:rPr>
          <w:sz w:val="22"/>
        </w:rPr>
        <w:t>seemed</w:t>
      </w:r>
      <w:r w:rsidRPr="009242E6">
        <w:rPr>
          <w:sz w:val="22"/>
        </w:rPr>
        <w:t xml:space="preserve"> divided on whether overall responsibility for learning lies with the teacher, the learning coach, or the student. In the early grades, much of the responsibility for student learning was placed on the learning coach, because they are expected to deliver some instruction and supervise most learning activities. It was unclear to the review team how learning coaches are supported and how the school ensures </w:t>
      </w:r>
      <w:r w:rsidR="009217E0" w:rsidRPr="009242E6">
        <w:rPr>
          <w:sz w:val="22"/>
        </w:rPr>
        <w:t xml:space="preserve">that </w:t>
      </w:r>
      <w:r w:rsidRPr="009242E6">
        <w:rPr>
          <w:sz w:val="22"/>
        </w:rPr>
        <w:t>teachers</w:t>
      </w:r>
      <w:r w:rsidR="009217E0" w:rsidRPr="009242E6">
        <w:rPr>
          <w:sz w:val="22"/>
        </w:rPr>
        <w:t>, not learning coaches,</w:t>
      </w:r>
      <w:r w:rsidRPr="009242E6">
        <w:rPr>
          <w:sz w:val="22"/>
        </w:rPr>
        <w:t xml:space="preserve"> are ultimately held accountable for student learning.</w:t>
      </w:r>
    </w:p>
    <w:p w:rsidR="000C368E" w:rsidRPr="009242E6" w:rsidRDefault="000C368E" w:rsidP="005E00CC">
      <w:pPr>
        <w:rPr>
          <w:sz w:val="22"/>
        </w:rPr>
      </w:pPr>
    </w:p>
    <w:p w:rsidR="003D6F34" w:rsidRDefault="003D6F34" w:rsidP="008A2608">
      <w:pPr>
        <w:pStyle w:val="Heading3"/>
        <w:spacing w:before="0" w:after="0"/>
      </w:pPr>
      <w:bookmarkStart w:id="13" w:name="_Toc391236906"/>
      <w:bookmarkStart w:id="14" w:name="_Toc415485257"/>
      <w:r>
        <w:t>Professional Development</w:t>
      </w:r>
      <w:bookmarkEnd w:id="13"/>
      <w:bookmarkEnd w:id="14"/>
    </w:p>
    <w:p w:rsidR="008A2608" w:rsidRPr="00364D32" w:rsidRDefault="008A2608" w:rsidP="008A2608">
      <w:pPr>
        <w:rPr>
          <w:sz w:val="22"/>
          <w:szCs w:val="22"/>
        </w:rPr>
      </w:pPr>
    </w:p>
    <w:p w:rsidR="00D551BC" w:rsidRPr="009242E6" w:rsidRDefault="00D551BC" w:rsidP="008A2608">
      <w:pPr>
        <w:rPr>
          <w:sz w:val="22"/>
        </w:rPr>
      </w:pPr>
      <w:r w:rsidRPr="009242E6">
        <w:rPr>
          <w:sz w:val="22"/>
        </w:rPr>
        <w:t>The accou</w:t>
      </w:r>
      <w:r w:rsidR="000158C2">
        <w:rPr>
          <w:sz w:val="22"/>
        </w:rPr>
        <w:t xml:space="preserve">ntability review found that GCVS </w:t>
      </w:r>
      <w:r w:rsidRPr="009242E6">
        <w:rPr>
          <w:sz w:val="22"/>
        </w:rPr>
        <w:t>had not established clear expectations for effective instructional practice. Teachers were provided with technical training related to the LMS platform, but the breadth and depth of professional development was unclear. The review team found no clear evidence of regular, frequent collaboration and professional development to improve implementation of the curriculum and instructional practice. Moreover, the school did not fully implement an educator evaluation system in all grades in accordance with 603 CMR 35.00.</w:t>
      </w:r>
    </w:p>
    <w:p w:rsidR="00D551BC" w:rsidRPr="009242E6" w:rsidRDefault="00D551BC" w:rsidP="00D551BC">
      <w:pPr>
        <w:rPr>
          <w:sz w:val="22"/>
        </w:rPr>
      </w:pPr>
    </w:p>
    <w:p w:rsidR="00B40F0C" w:rsidRDefault="00D551BC" w:rsidP="00D551BC">
      <w:pPr>
        <w:rPr>
          <w:sz w:val="22"/>
        </w:rPr>
      </w:pPr>
      <w:r w:rsidRPr="009242E6">
        <w:rPr>
          <w:sz w:val="22"/>
        </w:rPr>
        <w:t xml:space="preserve">According to the school leadership team and K12, Inc., both </w:t>
      </w:r>
      <w:r w:rsidR="008B4A05">
        <w:rPr>
          <w:sz w:val="22"/>
        </w:rPr>
        <w:t>entities share</w:t>
      </w:r>
      <w:r w:rsidRPr="009242E6">
        <w:rPr>
          <w:sz w:val="22"/>
        </w:rPr>
        <w:t xml:space="preserve"> responsi</w:t>
      </w:r>
      <w:r w:rsidR="008B4A05">
        <w:rPr>
          <w:sz w:val="22"/>
        </w:rPr>
        <w:t>bility</w:t>
      </w:r>
      <w:r w:rsidRPr="009242E6">
        <w:rPr>
          <w:sz w:val="22"/>
        </w:rPr>
        <w:t xml:space="preserve"> for professional development, although it is unclear how the work was shared and whether this arrangement was deliberate and strategic, or just a division of responsibilities. The leadership team acknowledged that the school needed to “develop a set of standards for what we expect to see” in the delivery of instruction. </w:t>
      </w:r>
      <w:r w:rsidR="008B4A05">
        <w:rPr>
          <w:sz w:val="22"/>
        </w:rPr>
        <w:t>T</w:t>
      </w:r>
      <w:r w:rsidRPr="009242E6">
        <w:rPr>
          <w:sz w:val="22"/>
        </w:rPr>
        <w:t xml:space="preserve">he leadership team noted that they had not been </w:t>
      </w:r>
      <w:r w:rsidR="008B4A05">
        <w:rPr>
          <w:sz w:val="22"/>
        </w:rPr>
        <w:t>providing professional development</w:t>
      </w:r>
      <w:r w:rsidRPr="009242E6">
        <w:rPr>
          <w:sz w:val="22"/>
        </w:rPr>
        <w:t xml:space="preserve"> </w:t>
      </w:r>
      <w:r w:rsidR="008B4A05">
        <w:rPr>
          <w:sz w:val="22"/>
        </w:rPr>
        <w:t>to</w:t>
      </w:r>
      <w:r w:rsidRPr="009242E6">
        <w:rPr>
          <w:sz w:val="22"/>
        </w:rPr>
        <w:t xml:space="preserve"> the high school teachers in as much depth as the elementa</w:t>
      </w:r>
      <w:r w:rsidR="008B4A05">
        <w:rPr>
          <w:sz w:val="22"/>
        </w:rPr>
        <w:t xml:space="preserve">ry and middle school teachers. </w:t>
      </w:r>
      <w:r w:rsidR="00E951F4" w:rsidRPr="009242E6">
        <w:rPr>
          <w:sz w:val="22"/>
        </w:rPr>
        <w:t>High school teachers had</w:t>
      </w:r>
      <w:r w:rsidRPr="009242E6">
        <w:rPr>
          <w:sz w:val="22"/>
        </w:rPr>
        <w:t xml:space="preserve"> weekly meetings described as a free exchange of ideas, but aside from the requirement that they meet weekly, these meetings </w:t>
      </w:r>
      <w:r w:rsidR="00E951F4" w:rsidRPr="009242E6">
        <w:rPr>
          <w:sz w:val="22"/>
        </w:rPr>
        <w:t>did</w:t>
      </w:r>
      <w:r w:rsidRPr="009242E6">
        <w:rPr>
          <w:sz w:val="22"/>
        </w:rPr>
        <w:t xml:space="preserve"> not appear to follow a formal structure, nor </w:t>
      </w:r>
      <w:r w:rsidR="00E951F4" w:rsidRPr="009242E6">
        <w:rPr>
          <w:sz w:val="22"/>
        </w:rPr>
        <w:t>did</w:t>
      </w:r>
      <w:r w:rsidRPr="009242E6">
        <w:rPr>
          <w:sz w:val="22"/>
        </w:rPr>
        <w:t xml:space="preserve"> they appear to be designed to address/improve specific instructional practices in a systematic way. </w:t>
      </w:r>
      <w:r w:rsidR="00E951F4" w:rsidRPr="009242E6">
        <w:rPr>
          <w:sz w:val="22"/>
        </w:rPr>
        <w:t>The</w:t>
      </w:r>
      <w:r w:rsidRPr="009242E6">
        <w:rPr>
          <w:sz w:val="22"/>
        </w:rPr>
        <w:t xml:space="preserve"> teacher focus groups reported that much o</w:t>
      </w:r>
      <w:r w:rsidR="008B4A05">
        <w:rPr>
          <w:sz w:val="22"/>
        </w:rPr>
        <w:t xml:space="preserve">f the professional development, while extensive </w:t>
      </w:r>
      <w:r w:rsidR="00E951F4" w:rsidRPr="009242E6">
        <w:rPr>
          <w:sz w:val="22"/>
        </w:rPr>
        <w:t>occurred</w:t>
      </w:r>
      <w:r w:rsidRPr="009242E6">
        <w:rPr>
          <w:sz w:val="22"/>
        </w:rPr>
        <w:t xml:space="preserve"> at the beginning of the school year and </w:t>
      </w:r>
      <w:r w:rsidR="008B4A05">
        <w:rPr>
          <w:sz w:val="22"/>
        </w:rPr>
        <w:t>focused on technical training in addition to content and instruction</w:t>
      </w:r>
      <w:r w:rsidRPr="009242E6">
        <w:rPr>
          <w:sz w:val="22"/>
        </w:rPr>
        <w:t xml:space="preserve">. </w:t>
      </w:r>
    </w:p>
    <w:p w:rsidR="00B40F0C" w:rsidRDefault="00B40F0C" w:rsidP="00D551BC">
      <w:pPr>
        <w:rPr>
          <w:sz w:val="22"/>
        </w:rPr>
      </w:pPr>
    </w:p>
    <w:p w:rsidR="003D6F34" w:rsidRDefault="00E951F4" w:rsidP="00D551BC">
      <w:pPr>
        <w:rPr>
          <w:sz w:val="22"/>
        </w:rPr>
      </w:pPr>
      <w:r w:rsidRPr="009242E6">
        <w:rPr>
          <w:sz w:val="22"/>
        </w:rPr>
        <w:t>T</w:t>
      </w:r>
      <w:r w:rsidR="00D551BC" w:rsidRPr="009242E6">
        <w:rPr>
          <w:sz w:val="22"/>
        </w:rPr>
        <w:t xml:space="preserve">he teacher focus groups </w:t>
      </w:r>
      <w:r w:rsidR="00B40F0C">
        <w:rPr>
          <w:sz w:val="22"/>
        </w:rPr>
        <w:t xml:space="preserve">also </w:t>
      </w:r>
      <w:r w:rsidR="00D551BC" w:rsidRPr="009242E6">
        <w:rPr>
          <w:sz w:val="22"/>
        </w:rPr>
        <w:t xml:space="preserve">referenced evaluations, but it was unclear whether the school and K12, Inc. </w:t>
      </w:r>
      <w:r w:rsidRPr="009242E6">
        <w:rPr>
          <w:sz w:val="22"/>
        </w:rPr>
        <w:t>were</w:t>
      </w:r>
      <w:r w:rsidR="00D551BC" w:rsidRPr="009242E6">
        <w:rPr>
          <w:sz w:val="22"/>
        </w:rPr>
        <w:t xml:space="preserve"> using the same or different</w:t>
      </w:r>
      <w:r w:rsidRPr="009242E6">
        <w:rPr>
          <w:sz w:val="22"/>
        </w:rPr>
        <w:t xml:space="preserve"> instruments. </w:t>
      </w:r>
      <w:r w:rsidR="00D551BC" w:rsidRPr="009242E6">
        <w:rPr>
          <w:sz w:val="22"/>
        </w:rPr>
        <w:t>The team reviewed both the school’s personnel policies and the K12, Inc. employee handbook; neit</w:t>
      </w:r>
      <w:r w:rsidRPr="009242E6">
        <w:rPr>
          <w:sz w:val="22"/>
        </w:rPr>
        <w:t>her document referenced</w:t>
      </w:r>
      <w:r w:rsidR="00D551BC" w:rsidRPr="009242E6">
        <w:rPr>
          <w:sz w:val="22"/>
        </w:rPr>
        <w:t xml:space="preserve"> the Massachusetts educator evaluation system. The elementary/middle school teacher focus group referenced evaluation but the high school group did not. While the high school teachers mentioned meetings with the leadership team, the review team did not find evidence that they had been formally evaluated. The board and leadership focus group</w:t>
      </w:r>
      <w:r w:rsidRPr="009242E6">
        <w:rPr>
          <w:sz w:val="22"/>
        </w:rPr>
        <w:t>s</w:t>
      </w:r>
      <w:r w:rsidR="00D551BC" w:rsidRPr="009242E6">
        <w:rPr>
          <w:sz w:val="22"/>
        </w:rPr>
        <w:t xml:space="preserve"> cited plans to align the school’s evaluation process to state law, a process that reportedly will involve modification of the </w:t>
      </w:r>
      <w:r w:rsidR="00A77EB2">
        <w:rPr>
          <w:sz w:val="22"/>
        </w:rPr>
        <w:t>state’s model</w:t>
      </w:r>
      <w:r w:rsidR="00D551BC" w:rsidRPr="009242E6">
        <w:rPr>
          <w:sz w:val="22"/>
        </w:rPr>
        <w:t xml:space="preserve"> rubric to reflect the virtual school classroom. The board had not yet evaluated the school leader</w:t>
      </w:r>
      <w:r w:rsidRPr="009242E6">
        <w:rPr>
          <w:sz w:val="22"/>
        </w:rPr>
        <w:t>.</w:t>
      </w:r>
    </w:p>
    <w:p w:rsidR="008A2608" w:rsidRPr="009242E6" w:rsidRDefault="008A2608" w:rsidP="00D551BC">
      <w:pPr>
        <w:rPr>
          <w:sz w:val="22"/>
        </w:rPr>
      </w:pPr>
    </w:p>
    <w:p w:rsidR="003D6F34" w:rsidRDefault="003D6F34" w:rsidP="008A2608">
      <w:pPr>
        <w:pStyle w:val="Heading3"/>
        <w:spacing w:before="0" w:after="0"/>
      </w:pPr>
      <w:bookmarkStart w:id="15" w:name="_Toc391236907"/>
      <w:bookmarkStart w:id="16" w:name="_Toc415485258"/>
      <w:r>
        <w:t>Enrollment Limits and Wait Lists</w:t>
      </w:r>
      <w:bookmarkEnd w:id="15"/>
      <w:bookmarkEnd w:id="16"/>
    </w:p>
    <w:p w:rsidR="008A2608" w:rsidRPr="00D40D78" w:rsidRDefault="008A2608" w:rsidP="008A2608">
      <w:pPr>
        <w:rPr>
          <w:sz w:val="22"/>
          <w:szCs w:val="22"/>
        </w:rPr>
      </w:pPr>
    </w:p>
    <w:p w:rsidR="00792253" w:rsidRPr="009242E6" w:rsidRDefault="00792253" w:rsidP="008A2608">
      <w:pPr>
        <w:rPr>
          <w:sz w:val="22"/>
        </w:rPr>
      </w:pPr>
      <w:r w:rsidRPr="009242E6">
        <w:rPr>
          <w:sz w:val="22"/>
        </w:rPr>
        <w:t xml:space="preserve">The CMVS statute caps the total number of full-time students attending virtual schools at </w:t>
      </w:r>
      <w:r w:rsidR="006D5B45">
        <w:rPr>
          <w:sz w:val="22"/>
        </w:rPr>
        <w:t>two</w:t>
      </w:r>
      <w:r w:rsidR="00F17F04">
        <w:rPr>
          <w:sz w:val="22"/>
        </w:rPr>
        <w:t xml:space="preserve"> percent</w:t>
      </w:r>
      <w:r w:rsidRPr="009242E6">
        <w:rPr>
          <w:sz w:val="22"/>
        </w:rPr>
        <w:t xml:space="preserve"> of the total number of students attending public schools in the Commonwealth. In the case of a CMVS </w:t>
      </w:r>
      <w:r w:rsidRPr="009242E6">
        <w:rPr>
          <w:sz w:val="22"/>
        </w:rPr>
        <w:lastRenderedPageBreak/>
        <w:t xml:space="preserve">established </w:t>
      </w:r>
      <w:r w:rsidR="006D5B45">
        <w:rPr>
          <w:sz w:val="22"/>
        </w:rPr>
        <w:t>by a school district, at least five</w:t>
      </w:r>
      <w:r w:rsidR="00F17F04">
        <w:rPr>
          <w:sz w:val="22"/>
        </w:rPr>
        <w:t xml:space="preserve"> percent</w:t>
      </w:r>
      <w:r w:rsidRPr="009242E6">
        <w:rPr>
          <w:sz w:val="22"/>
        </w:rPr>
        <w:t xml:space="preserve"> of the students enrolled in the CMVS must be from the school district that established the school.</w:t>
      </w:r>
      <w:r w:rsidR="00A91469" w:rsidRPr="009242E6">
        <w:rPr>
          <w:rStyle w:val="FootnoteReference"/>
          <w:sz w:val="22"/>
        </w:rPr>
        <w:footnoteReference w:id="9"/>
      </w:r>
      <w:r w:rsidRPr="009242E6">
        <w:rPr>
          <w:sz w:val="22"/>
        </w:rPr>
        <w:t xml:space="preserve"> In the case of a CMVS that is established by more than one school district or by an edu</w:t>
      </w:r>
      <w:r w:rsidR="006D5B45">
        <w:rPr>
          <w:sz w:val="22"/>
        </w:rPr>
        <w:t>cation collaborative, at least five</w:t>
      </w:r>
      <w:r w:rsidR="00F17F04">
        <w:rPr>
          <w:sz w:val="22"/>
        </w:rPr>
        <w:t xml:space="preserve"> percent</w:t>
      </w:r>
      <w:r w:rsidRPr="009242E6">
        <w:rPr>
          <w:sz w:val="22"/>
        </w:rPr>
        <w:t xml:space="preserve"> of the students enrolled in the school must be from the combined enrollment of the districts that established the school or the districts that are members of the collaborative. Finally, local school committees may vote to restrict enrollment of district students in a CMVS if the total enrollment of its students in such schools exceeds one percent of the total enrollment in its district (students already enrolled in a CMVS may remain in the school).</w:t>
      </w:r>
    </w:p>
    <w:p w:rsidR="00792253" w:rsidRPr="009242E6" w:rsidRDefault="00792253" w:rsidP="00792253">
      <w:pPr>
        <w:rPr>
          <w:sz w:val="22"/>
        </w:rPr>
      </w:pPr>
    </w:p>
    <w:p w:rsidR="007320F6" w:rsidRPr="009242E6" w:rsidRDefault="00792253" w:rsidP="00792253">
      <w:pPr>
        <w:rPr>
          <w:sz w:val="22"/>
        </w:rPr>
      </w:pPr>
      <w:r w:rsidRPr="009242E6">
        <w:rPr>
          <w:sz w:val="22"/>
        </w:rPr>
        <w:t>In the 2013-14 school year, 955,739 students attended public schools in the Commonwealth, of which .05 percent, or 454 students, were enrolled in a CMVS (GCVS).</w:t>
      </w:r>
      <w:r w:rsidR="00A91469" w:rsidRPr="009242E6">
        <w:rPr>
          <w:sz w:val="22"/>
        </w:rPr>
        <w:t xml:space="preserve"> GCVS was approved to enroll 750 students (250 of which may be high school students) in 2013-14. GCVS may enroll up to 1,000 students in 2014-15 and 1,250 students in 2015-16.</w:t>
      </w:r>
      <w:r w:rsidR="003073EF" w:rsidRPr="009242E6">
        <w:rPr>
          <w:rStyle w:val="FootnoteReference"/>
          <w:sz w:val="22"/>
        </w:rPr>
        <w:footnoteReference w:id="10"/>
      </w:r>
      <w:r w:rsidR="00A91469" w:rsidRPr="009242E6">
        <w:rPr>
          <w:sz w:val="22"/>
        </w:rPr>
        <w:t xml:space="preserve"> </w:t>
      </w:r>
      <w:r w:rsidR="007320F6" w:rsidRPr="009242E6">
        <w:rPr>
          <w:sz w:val="22"/>
        </w:rPr>
        <w:t xml:space="preserve">Prior to the 2014-15 school year, the school’s Board of Trustees capped enrollment at 850 students (550 students in grades K-8, 150 in grades 7-8, and 250 in grades 9-12). </w:t>
      </w:r>
    </w:p>
    <w:p w:rsidR="007320F6" w:rsidRPr="009242E6" w:rsidRDefault="007320F6" w:rsidP="00792253">
      <w:pPr>
        <w:rPr>
          <w:sz w:val="22"/>
        </w:rPr>
      </w:pPr>
    </w:p>
    <w:p w:rsidR="00A91469" w:rsidRPr="009242E6" w:rsidRDefault="00A91469" w:rsidP="00792253">
      <w:pPr>
        <w:rPr>
          <w:sz w:val="22"/>
        </w:rPr>
      </w:pPr>
      <w:r w:rsidRPr="009242E6">
        <w:rPr>
          <w:sz w:val="22"/>
        </w:rPr>
        <w:t xml:space="preserve">The school’s </w:t>
      </w:r>
      <w:r w:rsidR="007E763D">
        <w:rPr>
          <w:sz w:val="22"/>
        </w:rPr>
        <w:t>FY</w:t>
      </w:r>
      <w:r w:rsidR="006D5B45" w:rsidRPr="007856D3">
        <w:rPr>
          <w:sz w:val="22"/>
        </w:rPr>
        <w:t>2014</w:t>
      </w:r>
      <w:r w:rsidRPr="009242E6">
        <w:rPr>
          <w:sz w:val="22"/>
        </w:rPr>
        <w:t xml:space="preserve"> enrollment is provided in the table below.</w:t>
      </w:r>
    </w:p>
    <w:p w:rsidR="00792253" w:rsidRPr="00717695" w:rsidRDefault="00792253" w:rsidP="00792253">
      <w:pPr>
        <w:rPr>
          <w:sz w:val="22"/>
          <w:szCs w:val="22"/>
        </w:rPr>
      </w:pPr>
    </w:p>
    <w:tbl>
      <w:tblPr>
        <w:tblStyle w:val="ESETablesGridStyle"/>
        <w:tblW w:w="8926" w:type="dxa"/>
        <w:tblLayout w:type="fixed"/>
        <w:tblLook w:val="04A0"/>
      </w:tblPr>
      <w:tblGrid>
        <w:gridCol w:w="578"/>
        <w:gridCol w:w="578"/>
        <w:gridCol w:w="578"/>
        <w:gridCol w:w="578"/>
        <w:gridCol w:w="579"/>
        <w:gridCol w:w="578"/>
        <w:gridCol w:w="578"/>
        <w:gridCol w:w="578"/>
        <w:gridCol w:w="578"/>
        <w:gridCol w:w="579"/>
        <w:gridCol w:w="578"/>
        <w:gridCol w:w="578"/>
        <w:gridCol w:w="578"/>
        <w:gridCol w:w="579"/>
        <w:gridCol w:w="831"/>
      </w:tblGrid>
      <w:tr w:rsidR="00792253" w:rsidRPr="00792253" w:rsidTr="00A91469">
        <w:trPr>
          <w:cnfStyle w:val="100000000000"/>
        </w:trPr>
        <w:tc>
          <w:tcPr>
            <w:cnfStyle w:val="001000000000"/>
            <w:tcW w:w="8926" w:type="dxa"/>
            <w:gridSpan w:val="15"/>
            <w:hideMark/>
          </w:tcPr>
          <w:p w:rsidR="00792253" w:rsidRPr="00792253" w:rsidRDefault="00A91469" w:rsidP="007E763D">
            <w:pPr>
              <w:jc w:val="center"/>
              <w:rPr>
                <w:rFonts w:ascii="Times New Roman" w:hAnsi="Times New Roman"/>
                <w:bCs/>
                <w:sz w:val="20"/>
                <w:szCs w:val="20"/>
              </w:rPr>
            </w:pPr>
            <w:bookmarkStart w:id="17" w:name="_Toc391236908"/>
            <w:r>
              <w:rPr>
                <w:rFonts w:ascii="Times New Roman" w:hAnsi="Times New Roman"/>
                <w:b w:val="0"/>
                <w:bCs/>
                <w:sz w:val="20"/>
                <w:szCs w:val="20"/>
              </w:rPr>
              <w:t xml:space="preserve">GCVS </w:t>
            </w:r>
            <w:r w:rsidR="00792253" w:rsidRPr="00792253">
              <w:rPr>
                <w:rFonts w:ascii="Times New Roman" w:hAnsi="Times New Roman"/>
                <w:b w:val="0"/>
                <w:bCs/>
                <w:sz w:val="20"/>
                <w:szCs w:val="20"/>
              </w:rPr>
              <w:t>Enrollment by Grade</w:t>
            </w:r>
            <w:r w:rsidR="006D5B45">
              <w:rPr>
                <w:rFonts w:ascii="Times New Roman" w:hAnsi="Times New Roman"/>
                <w:b w:val="0"/>
                <w:bCs/>
                <w:sz w:val="20"/>
                <w:szCs w:val="20"/>
              </w:rPr>
              <w:t xml:space="preserve">, </w:t>
            </w:r>
            <w:r w:rsidR="007E763D">
              <w:rPr>
                <w:rFonts w:ascii="Times New Roman" w:hAnsi="Times New Roman"/>
                <w:b w:val="0"/>
                <w:bCs/>
                <w:sz w:val="20"/>
                <w:szCs w:val="20"/>
              </w:rPr>
              <w:t>FY</w:t>
            </w:r>
            <w:r w:rsidR="006D5B45">
              <w:rPr>
                <w:rFonts w:ascii="Times New Roman" w:hAnsi="Times New Roman"/>
                <w:b w:val="0"/>
                <w:bCs/>
                <w:sz w:val="20"/>
                <w:szCs w:val="20"/>
              </w:rPr>
              <w:t>2014</w:t>
            </w:r>
          </w:p>
        </w:tc>
      </w:tr>
      <w:tr w:rsidR="00A91469" w:rsidRPr="00792253" w:rsidTr="00A91469">
        <w:tc>
          <w:tcPr>
            <w:cnfStyle w:val="001000000000"/>
            <w:tcW w:w="578" w:type="dxa"/>
          </w:tcPr>
          <w:p w:rsidR="00A91469" w:rsidRPr="00A91469" w:rsidRDefault="00A91469">
            <w:pPr>
              <w:rPr>
                <w:rFonts w:ascii="Times New Roman" w:hAnsi="Times New Roman"/>
                <w:b/>
                <w:sz w:val="20"/>
                <w:szCs w:val="20"/>
              </w:rPr>
            </w:pPr>
            <w:r w:rsidRPr="00A91469">
              <w:rPr>
                <w:rFonts w:ascii="Times New Roman" w:hAnsi="Times New Roman"/>
                <w:b/>
                <w:sz w:val="20"/>
                <w:szCs w:val="20"/>
              </w:rPr>
              <w:t>PK</w:t>
            </w:r>
          </w:p>
        </w:tc>
        <w:tc>
          <w:tcPr>
            <w:tcW w:w="578" w:type="dxa"/>
            <w:hideMark/>
          </w:tcPr>
          <w:p w:rsidR="00A91469" w:rsidRPr="00A91469" w:rsidRDefault="00A91469">
            <w:pPr>
              <w:cnfStyle w:val="000000000000"/>
              <w:rPr>
                <w:rFonts w:ascii="Times New Roman" w:hAnsi="Times New Roman"/>
                <w:b/>
                <w:sz w:val="20"/>
                <w:szCs w:val="20"/>
              </w:rPr>
            </w:pPr>
            <w:r w:rsidRPr="00A91469">
              <w:rPr>
                <w:rFonts w:ascii="Times New Roman" w:hAnsi="Times New Roman"/>
                <w:b/>
                <w:sz w:val="20"/>
                <w:szCs w:val="20"/>
              </w:rPr>
              <w:t>K</w:t>
            </w:r>
          </w:p>
        </w:tc>
        <w:tc>
          <w:tcPr>
            <w:tcW w:w="578" w:type="dxa"/>
            <w:hideMark/>
          </w:tcPr>
          <w:p w:rsidR="00A91469" w:rsidRPr="00A91469" w:rsidRDefault="00A91469">
            <w:pPr>
              <w:cnfStyle w:val="000000000000"/>
              <w:rPr>
                <w:rFonts w:ascii="Times New Roman" w:hAnsi="Times New Roman"/>
                <w:b/>
                <w:sz w:val="20"/>
                <w:szCs w:val="20"/>
              </w:rPr>
            </w:pPr>
            <w:r w:rsidRPr="00A91469">
              <w:rPr>
                <w:rFonts w:ascii="Times New Roman" w:hAnsi="Times New Roman"/>
                <w:b/>
                <w:sz w:val="20"/>
                <w:szCs w:val="20"/>
              </w:rPr>
              <w:t>1</w:t>
            </w:r>
          </w:p>
        </w:tc>
        <w:tc>
          <w:tcPr>
            <w:tcW w:w="578" w:type="dxa"/>
            <w:hideMark/>
          </w:tcPr>
          <w:p w:rsidR="00A91469" w:rsidRPr="00A91469" w:rsidRDefault="00A91469">
            <w:pPr>
              <w:cnfStyle w:val="000000000000"/>
              <w:rPr>
                <w:rFonts w:ascii="Times New Roman" w:hAnsi="Times New Roman"/>
                <w:b/>
                <w:sz w:val="20"/>
                <w:szCs w:val="20"/>
              </w:rPr>
            </w:pPr>
            <w:r w:rsidRPr="00A91469">
              <w:rPr>
                <w:rFonts w:ascii="Times New Roman" w:hAnsi="Times New Roman"/>
                <w:b/>
                <w:sz w:val="20"/>
                <w:szCs w:val="20"/>
              </w:rPr>
              <w:t>2</w:t>
            </w:r>
          </w:p>
        </w:tc>
        <w:tc>
          <w:tcPr>
            <w:tcW w:w="579" w:type="dxa"/>
            <w:hideMark/>
          </w:tcPr>
          <w:p w:rsidR="00A91469" w:rsidRPr="00A91469" w:rsidRDefault="00A91469">
            <w:pPr>
              <w:cnfStyle w:val="000000000000"/>
              <w:rPr>
                <w:rFonts w:ascii="Times New Roman" w:hAnsi="Times New Roman"/>
                <w:b/>
                <w:sz w:val="20"/>
                <w:szCs w:val="20"/>
              </w:rPr>
            </w:pPr>
            <w:r w:rsidRPr="00A91469">
              <w:rPr>
                <w:rFonts w:ascii="Times New Roman" w:hAnsi="Times New Roman"/>
                <w:b/>
                <w:sz w:val="20"/>
                <w:szCs w:val="20"/>
              </w:rPr>
              <w:t>3</w:t>
            </w:r>
          </w:p>
        </w:tc>
        <w:tc>
          <w:tcPr>
            <w:tcW w:w="578" w:type="dxa"/>
            <w:hideMark/>
          </w:tcPr>
          <w:p w:rsidR="00A91469" w:rsidRPr="00A91469" w:rsidRDefault="00A91469">
            <w:pPr>
              <w:cnfStyle w:val="000000000000"/>
              <w:rPr>
                <w:rFonts w:ascii="Times New Roman" w:hAnsi="Times New Roman"/>
                <w:b/>
                <w:sz w:val="20"/>
                <w:szCs w:val="20"/>
              </w:rPr>
            </w:pPr>
            <w:r w:rsidRPr="00A91469">
              <w:rPr>
                <w:rFonts w:ascii="Times New Roman" w:hAnsi="Times New Roman"/>
                <w:b/>
                <w:sz w:val="20"/>
                <w:szCs w:val="20"/>
              </w:rPr>
              <w:t>4</w:t>
            </w:r>
          </w:p>
        </w:tc>
        <w:tc>
          <w:tcPr>
            <w:tcW w:w="578" w:type="dxa"/>
            <w:hideMark/>
          </w:tcPr>
          <w:p w:rsidR="00A91469" w:rsidRPr="00A91469" w:rsidRDefault="00A91469">
            <w:pPr>
              <w:cnfStyle w:val="000000000000"/>
              <w:rPr>
                <w:rFonts w:ascii="Times New Roman" w:hAnsi="Times New Roman"/>
                <w:b/>
                <w:sz w:val="20"/>
                <w:szCs w:val="20"/>
              </w:rPr>
            </w:pPr>
            <w:r w:rsidRPr="00A91469">
              <w:rPr>
                <w:rFonts w:ascii="Times New Roman" w:hAnsi="Times New Roman"/>
                <w:b/>
                <w:sz w:val="20"/>
                <w:szCs w:val="20"/>
              </w:rPr>
              <w:t>5</w:t>
            </w:r>
          </w:p>
        </w:tc>
        <w:tc>
          <w:tcPr>
            <w:tcW w:w="578" w:type="dxa"/>
            <w:hideMark/>
          </w:tcPr>
          <w:p w:rsidR="00A91469" w:rsidRPr="00A91469" w:rsidRDefault="00A91469">
            <w:pPr>
              <w:cnfStyle w:val="000000000000"/>
              <w:rPr>
                <w:rFonts w:ascii="Times New Roman" w:hAnsi="Times New Roman"/>
                <w:b/>
                <w:sz w:val="20"/>
                <w:szCs w:val="20"/>
              </w:rPr>
            </w:pPr>
            <w:r w:rsidRPr="00A91469">
              <w:rPr>
                <w:rFonts w:ascii="Times New Roman" w:hAnsi="Times New Roman"/>
                <w:b/>
                <w:sz w:val="20"/>
                <w:szCs w:val="20"/>
              </w:rPr>
              <w:t>6</w:t>
            </w:r>
          </w:p>
        </w:tc>
        <w:tc>
          <w:tcPr>
            <w:tcW w:w="578" w:type="dxa"/>
            <w:hideMark/>
          </w:tcPr>
          <w:p w:rsidR="00A91469" w:rsidRPr="00A91469" w:rsidRDefault="00A91469">
            <w:pPr>
              <w:cnfStyle w:val="000000000000"/>
              <w:rPr>
                <w:rFonts w:ascii="Times New Roman" w:hAnsi="Times New Roman"/>
                <w:b/>
                <w:sz w:val="20"/>
                <w:szCs w:val="20"/>
              </w:rPr>
            </w:pPr>
            <w:r w:rsidRPr="00A91469">
              <w:rPr>
                <w:rFonts w:ascii="Times New Roman" w:hAnsi="Times New Roman"/>
                <w:b/>
                <w:sz w:val="20"/>
                <w:szCs w:val="20"/>
              </w:rPr>
              <w:t>7</w:t>
            </w:r>
          </w:p>
        </w:tc>
        <w:tc>
          <w:tcPr>
            <w:tcW w:w="579" w:type="dxa"/>
            <w:hideMark/>
          </w:tcPr>
          <w:p w:rsidR="00A91469" w:rsidRPr="00A91469" w:rsidRDefault="00A91469">
            <w:pPr>
              <w:cnfStyle w:val="000000000000"/>
              <w:rPr>
                <w:rFonts w:ascii="Times New Roman" w:hAnsi="Times New Roman"/>
                <w:b/>
                <w:sz w:val="20"/>
                <w:szCs w:val="20"/>
              </w:rPr>
            </w:pPr>
            <w:r w:rsidRPr="00A91469">
              <w:rPr>
                <w:rFonts w:ascii="Times New Roman" w:hAnsi="Times New Roman"/>
                <w:b/>
                <w:sz w:val="20"/>
                <w:szCs w:val="20"/>
              </w:rPr>
              <w:t>8</w:t>
            </w:r>
          </w:p>
        </w:tc>
        <w:tc>
          <w:tcPr>
            <w:tcW w:w="578" w:type="dxa"/>
            <w:hideMark/>
          </w:tcPr>
          <w:p w:rsidR="00A91469" w:rsidRPr="00A91469" w:rsidRDefault="00A91469">
            <w:pPr>
              <w:cnfStyle w:val="000000000000"/>
              <w:rPr>
                <w:rFonts w:ascii="Times New Roman" w:hAnsi="Times New Roman"/>
                <w:b/>
                <w:sz w:val="20"/>
                <w:szCs w:val="20"/>
              </w:rPr>
            </w:pPr>
            <w:r w:rsidRPr="00A91469">
              <w:rPr>
                <w:rFonts w:ascii="Times New Roman" w:hAnsi="Times New Roman"/>
                <w:b/>
                <w:sz w:val="20"/>
                <w:szCs w:val="20"/>
              </w:rPr>
              <w:t>9</w:t>
            </w:r>
          </w:p>
        </w:tc>
        <w:tc>
          <w:tcPr>
            <w:tcW w:w="578" w:type="dxa"/>
            <w:hideMark/>
          </w:tcPr>
          <w:p w:rsidR="00A91469" w:rsidRPr="00A91469" w:rsidRDefault="00A91469">
            <w:pPr>
              <w:cnfStyle w:val="000000000000"/>
              <w:rPr>
                <w:rFonts w:ascii="Times New Roman" w:hAnsi="Times New Roman"/>
                <w:b/>
                <w:sz w:val="20"/>
                <w:szCs w:val="20"/>
              </w:rPr>
            </w:pPr>
            <w:r w:rsidRPr="00A91469">
              <w:rPr>
                <w:rFonts w:ascii="Times New Roman" w:hAnsi="Times New Roman"/>
                <w:b/>
                <w:sz w:val="20"/>
                <w:szCs w:val="20"/>
              </w:rPr>
              <w:t>10</w:t>
            </w:r>
          </w:p>
        </w:tc>
        <w:tc>
          <w:tcPr>
            <w:tcW w:w="578" w:type="dxa"/>
            <w:hideMark/>
          </w:tcPr>
          <w:p w:rsidR="00A91469" w:rsidRPr="00A91469" w:rsidRDefault="00A91469">
            <w:pPr>
              <w:cnfStyle w:val="000000000000"/>
              <w:rPr>
                <w:rFonts w:ascii="Times New Roman" w:hAnsi="Times New Roman"/>
                <w:b/>
                <w:sz w:val="20"/>
                <w:szCs w:val="20"/>
              </w:rPr>
            </w:pPr>
            <w:r w:rsidRPr="00A91469">
              <w:rPr>
                <w:rFonts w:ascii="Times New Roman" w:hAnsi="Times New Roman"/>
                <w:b/>
                <w:sz w:val="20"/>
                <w:szCs w:val="20"/>
              </w:rPr>
              <w:t>11</w:t>
            </w:r>
          </w:p>
        </w:tc>
        <w:tc>
          <w:tcPr>
            <w:tcW w:w="579" w:type="dxa"/>
            <w:hideMark/>
          </w:tcPr>
          <w:p w:rsidR="00A91469" w:rsidRPr="00A91469" w:rsidRDefault="00A91469">
            <w:pPr>
              <w:cnfStyle w:val="000000000000"/>
              <w:rPr>
                <w:rFonts w:ascii="Times New Roman" w:hAnsi="Times New Roman"/>
                <w:b/>
                <w:sz w:val="20"/>
                <w:szCs w:val="20"/>
              </w:rPr>
            </w:pPr>
            <w:r w:rsidRPr="00A91469">
              <w:rPr>
                <w:rFonts w:ascii="Times New Roman" w:hAnsi="Times New Roman"/>
                <w:b/>
                <w:sz w:val="20"/>
                <w:szCs w:val="20"/>
              </w:rPr>
              <w:t>12</w:t>
            </w:r>
          </w:p>
        </w:tc>
        <w:tc>
          <w:tcPr>
            <w:tcW w:w="831" w:type="dxa"/>
          </w:tcPr>
          <w:p w:rsidR="00A91469" w:rsidRPr="00A91469" w:rsidRDefault="00A91469">
            <w:pPr>
              <w:cnfStyle w:val="000000000000"/>
              <w:rPr>
                <w:rFonts w:ascii="Times New Roman" w:hAnsi="Times New Roman"/>
                <w:b/>
                <w:sz w:val="20"/>
                <w:szCs w:val="20"/>
              </w:rPr>
            </w:pPr>
            <w:r w:rsidRPr="00A91469">
              <w:rPr>
                <w:rFonts w:ascii="Times New Roman" w:hAnsi="Times New Roman"/>
                <w:b/>
                <w:sz w:val="20"/>
                <w:szCs w:val="20"/>
              </w:rPr>
              <w:t>Total</w:t>
            </w:r>
          </w:p>
        </w:tc>
      </w:tr>
      <w:tr w:rsidR="00A91469" w:rsidRPr="00792253" w:rsidTr="00A91469">
        <w:tc>
          <w:tcPr>
            <w:cnfStyle w:val="001000000000"/>
            <w:tcW w:w="578" w:type="dxa"/>
          </w:tcPr>
          <w:p w:rsidR="00A91469" w:rsidRPr="00792253" w:rsidRDefault="00A91469">
            <w:pPr>
              <w:rPr>
                <w:rFonts w:ascii="Times New Roman" w:hAnsi="Times New Roman"/>
                <w:sz w:val="20"/>
                <w:szCs w:val="20"/>
              </w:rPr>
            </w:pPr>
            <w:r w:rsidRPr="00792253">
              <w:rPr>
                <w:rFonts w:ascii="Times New Roman" w:hAnsi="Times New Roman"/>
                <w:sz w:val="20"/>
                <w:szCs w:val="20"/>
              </w:rPr>
              <w:t>0</w:t>
            </w:r>
          </w:p>
        </w:tc>
        <w:tc>
          <w:tcPr>
            <w:tcW w:w="578" w:type="dxa"/>
            <w:hideMark/>
          </w:tcPr>
          <w:p w:rsidR="00A91469" w:rsidRPr="00792253" w:rsidRDefault="00A91469">
            <w:pPr>
              <w:cnfStyle w:val="000000000000"/>
              <w:rPr>
                <w:rFonts w:ascii="Times New Roman" w:hAnsi="Times New Roman"/>
                <w:sz w:val="20"/>
                <w:szCs w:val="20"/>
              </w:rPr>
            </w:pPr>
            <w:r w:rsidRPr="00792253">
              <w:rPr>
                <w:rFonts w:ascii="Times New Roman" w:hAnsi="Times New Roman"/>
                <w:sz w:val="20"/>
                <w:szCs w:val="20"/>
              </w:rPr>
              <w:t>24</w:t>
            </w:r>
          </w:p>
        </w:tc>
        <w:tc>
          <w:tcPr>
            <w:tcW w:w="578" w:type="dxa"/>
            <w:hideMark/>
          </w:tcPr>
          <w:p w:rsidR="00A91469" w:rsidRPr="00792253" w:rsidRDefault="00A91469">
            <w:pPr>
              <w:cnfStyle w:val="000000000000"/>
              <w:rPr>
                <w:rFonts w:ascii="Times New Roman" w:hAnsi="Times New Roman"/>
                <w:sz w:val="20"/>
                <w:szCs w:val="20"/>
              </w:rPr>
            </w:pPr>
            <w:r w:rsidRPr="00792253">
              <w:rPr>
                <w:rFonts w:ascii="Times New Roman" w:hAnsi="Times New Roman"/>
                <w:sz w:val="20"/>
                <w:szCs w:val="20"/>
              </w:rPr>
              <w:t>33</w:t>
            </w:r>
          </w:p>
        </w:tc>
        <w:tc>
          <w:tcPr>
            <w:tcW w:w="578" w:type="dxa"/>
            <w:hideMark/>
          </w:tcPr>
          <w:p w:rsidR="00A91469" w:rsidRPr="00792253" w:rsidRDefault="00A91469">
            <w:pPr>
              <w:cnfStyle w:val="000000000000"/>
              <w:rPr>
                <w:rFonts w:ascii="Times New Roman" w:hAnsi="Times New Roman"/>
                <w:sz w:val="20"/>
                <w:szCs w:val="20"/>
              </w:rPr>
            </w:pPr>
            <w:r w:rsidRPr="00792253">
              <w:rPr>
                <w:rFonts w:ascii="Times New Roman" w:hAnsi="Times New Roman"/>
                <w:sz w:val="20"/>
                <w:szCs w:val="20"/>
              </w:rPr>
              <w:t>34</w:t>
            </w:r>
          </w:p>
        </w:tc>
        <w:tc>
          <w:tcPr>
            <w:tcW w:w="579" w:type="dxa"/>
            <w:hideMark/>
          </w:tcPr>
          <w:p w:rsidR="00A91469" w:rsidRPr="00792253" w:rsidRDefault="00A91469">
            <w:pPr>
              <w:cnfStyle w:val="000000000000"/>
              <w:rPr>
                <w:rFonts w:ascii="Times New Roman" w:hAnsi="Times New Roman"/>
                <w:sz w:val="20"/>
                <w:szCs w:val="20"/>
              </w:rPr>
            </w:pPr>
            <w:r w:rsidRPr="00792253">
              <w:rPr>
                <w:rFonts w:ascii="Times New Roman" w:hAnsi="Times New Roman"/>
                <w:sz w:val="20"/>
                <w:szCs w:val="20"/>
              </w:rPr>
              <w:t>33</w:t>
            </w:r>
          </w:p>
        </w:tc>
        <w:tc>
          <w:tcPr>
            <w:tcW w:w="578" w:type="dxa"/>
            <w:hideMark/>
          </w:tcPr>
          <w:p w:rsidR="00A91469" w:rsidRPr="00792253" w:rsidRDefault="00A91469">
            <w:pPr>
              <w:cnfStyle w:val="000000000000"/>
              <w:rPr>
                <w:rFonts w:ascii="Times New Roman" w:hAnsi="Times New Roman"/>
                <w:sz w:val="20"/>
                <w:szCs w:val="20"/>
              </w:rPr>
            </w:pPr>
            <w:r w:rsidRPr="00792253">
              <w:rPr>
                <w:rFonts w:ascii="Times New Roman" w:hAnsi="Times New Roman"/>
                <w:sz w:val="20"/>
                <w:szCs w:val="20"/>
              </w:rPr>
              <w:t>52</w:t>
            </w:r>
          </w:p>
        </w:tc>
        <w:tc>
          <w:tcPr>
            <w:tcW w:w="578" w:type="dxa"/>
            <w:hideMark/>
          </w:tcPr>
          <w:p w:rsidR="00A91469" w:rsidRPr="00792253" w:rsidRDefault="00A91469">
            <w:pPr>
              <w:cnfStyle w:val="000000000000"/>
              <w:rPr>
                <w:rFonts w:ascii="Times New Roman" w:hAnsi="Times New Roman"/>
                <w:sz w:val="20"/>
                <w:szCs w:val="20"/>
              </w:rPr>
            </w:pPr>
            <w:r w:rsidRPr="00792253">
              <w:rPr>
                <w:rFonts w:ascii="Times New Roman" w:hAnsi="Times New Roman"/>
                <w:sz w:val="20"/>
                <w:szCs w:val="20"/>
              </w:rPr>
              <w:t>35</w:t>
            </w:r>
          </w:p>
        </w:tc>
        <w:tc>
          <w:tcPr>
            <w:tcW w:w="578" w:type="dxa"/>
            <w:hideMark/>
          </w:tcPr>
          <w:p w:rsidR="00A91469" w:rsidRPr="00792253" w:rsidRDefault="00A91469">
            <w:pPr>
              <w:cnfStyle w:val="000000000000"/>
              <w:rPr>
                <w:rFonts w:ascii="Times New Roman" w:hAnsi="Times New Roman"/>
                <w:sz w:val="20"/>
                <w:szCs w:val="20"/>
              </w:rPr>
            </w:pPr>
            <w:r w:rsidRPr="00792253">
              <w:rPr>
                <w:rFonts w:ascii="Times New Roman" w:hAnsi="Times New Roman"/>
                <w:sz w:val="20"/>
                <w:szCs w:val="20"/>
              </w:rPr>
              <w:t>37</w:t>
            </w:r>
          </w:p>
        </w:tc>
        <w:tc>
          <w:tcPr>
            <w:tcW w:w="578" w:type="dxa"/>
            <w:hideMark/>
          </w:tcPr>
          <w:p w:rsidR="00A91469" w:rsidRPr="00792253" w:rsidRDefault="00A91469">
            <w:pPr>
              <w:cnfStyle w:val="000000000000"/>
              <w:rPr>
                <w:rFonts w:ascii="Times New Roman" w:hAnsi="Times New Roman"/>
                <w:sz w:val="20"/>
                <w:szCs w:val="20"/>
              </w:rPr>
            </w:pPr>
            <w:r w:rsidRPr="00792253">
              <w:rPr>
                <w:rFonts w:ascii="Times New Roman" w:hAnsi="Times New Roman"/>
                <w:sz w:val="20"/>
                <w:szCs w:val="20"/>
              </w:rPr>
              <w:t>48</w:t>
            </w:r>
          </w:p>
        </w:tc>
        <w:tc>
          <w:tcPr>
            <w:tcW w:w="579" w:type="dxa"/>
            <w:hideMark/>
          </w:tcPr>
          <w:p w:rsidR="00A91469" w:rsidRPr="00792253" w:rsidRDefault="00A91469">
            <w:pPr>
              <w:cnfStyle w:val="000000000000"/>
              <w:rPr>
                <w:rFonts w:ascii="Times New Roman" w:hAnsi="Times New Roman"/>
                <w:sz w:val="20"/>
                <w:szCs w:val="20"/>
              </w:rPr>
            </w:pPr>
            <w:r w:rsidRPr="00792253">
              <w:rPr>
                <w:rFonts w:ascii="Times New Roman" w:hAnsi="Times New Roman"/>
                <w:sz w:val="20"/>
                <w:szCs w:val="20"/>
              </w:rPr>
              <w:t>69</w:t>
            </w:r>
          </w:p>
        </w:tc>
        <w:tc>
          <w:tcPr>
            <w:tcW w:w="578" w:type="dxa"/>
            <w:hideMark/>
          </w:tcPr>
          <w:p w:rsidR="00A91469" w:rsidRPr="00792253" w:rsidRDefault="00A91469">
            <w:pPr>
              <w:cnfStyle w:val="000000000000"/>
              <w:rPr>
                <w:rFonts w:ascii="Times New Roman" w:hAnsi="Times New Roman"/>
                <w:sz w:val="20"/>
                <w:szCs w:val="20"/>
              </w:rPr>
            </w:pPr>
            <w:r w:rsidRPr="00792253">
              <w:rPr>
                <w:rFonts w:ascii="Times New Roman" w:hAnsi="Times New Roman"/>
                <w:sz w:val="20"/>
                <w:szCs w:val="20"/>
              </w:rPr>
              <w:t>42</w:t>
            </w:r>
          </w:p>
        </w:tc>
        <w:tc>
          <w:tcPr>
            <w:tcW w:w="578" w:type="dxa"/>
            <w:hideMark/>
          </w:tcPr>
          <w:p w:rsidR="00A91469" w:rsidRPr="00792253" w:rsidRDefault="00A91469">
            <w:pPr>
              <w:cnfStyle w:val="000000000000"/>
              <w:rPr>
                <w:rFonts w:ascii="Times New Roman" w:hAnsi="Times New Roman"/>
                <w:sz w:val="20"/>
                <w:szCs w:val="20"/>
              </w:rPr>
            </w:pPr>
            <w:r w:rsidRPr="00792253">
              <w:rPr>
                <w:rFonts w:ascii="Times New Roman" w:hAnsi="Times New Roman"/>
                <w:sz w:val="20"/>
                <w:szCs w:val="20"/>
              </w:rPr>
              <w:t>30</w:t>
            </w:r>
          </w:p>
        </w:tc>
        <w:tc>
          <w:tcPr>
            <w:tcW w:w="578" w:type="dxa"/>
            <w:hideMark/>
          </w:tcPr>
          <w:p w:rsidR="00A91469" w:rsidRPr="00792253" w:rsidRDefault="00A91469">
            <w:pPr>
              <w:cnfStyle w:val="000000000000"/>
              <w:rPr>
                <w:rFonts w:ascii="Times New Roman" w:hAnsi="Times New Roman"/>
                <w:sz w:val="20"/>
                <w:szCs w:val="20"/>
              </w:rPr>
            </w:pPr>
            <w:r w:rsidRPr="00792253">
              <w:rPr>
                <w:rFonts w:ascii="Times New Roman" w:hAnsi="Times New Roman"/>
                <w:sz w:val="20"/>
                <w:szCs w:val="20"/>
              </w:rPr>
              <w:t>14</w:t>
            </w:r>
          </w:p>
        </w:tc>
        <w:tc>
          <w:tcPr>
            <w:tcW w:w="579" w:type="dxa"/>
            <w:hideMark/>
          </w:tcPr>
          <w:p w:rsidR="00A91469" w:rsidRPr="00792253" w:rsidRDefault="00A91469">
            <w:pPr>
              <w:cnfStyle w:val="000000000000"/>
              <w:rPr>
                <w:rFonts w:ascii="Times New Roman" w:hAnsi="Times New Roman"/>
                <w:sz w:val="20"/>
                <w:szCs w:val="20"/>
              </w:rPr>
            </w:pPr>
            <w:r w:rsidRPr="00792253">
              <w:rPr>
                <w:rFonts w:ascii="Times New Roman" w:hAnsi="Times New Roman"/>
                <w:sz w:val="20"/>
                <w:szCs w:val="20"/>
              </w:rPr>
              <w:t>3</w:t>
            </w:r>
          </w:p>
        </w:tc>
        <w:tc>
          <w:tcPr>
            <w:tcW w:w="831" w:type="dxa"/>
          </w:tcPr>
          <w:p w:rsidR="00A91469" w:rsidRPr="00792253" w:rsidRDefault="00A91469">
            <w:pPr>
              <w:cnfStyle w:val="000000000000"/>
              <w:rPr>
                <w:rFonts w:ascii="Times New Roman" w:hAnsi="Times New Roman"/>
                <w:sz w:val="20"/>
                <w:szCs w:val="20"/>
              </w:rPr>
            </w:pPr>
            <w:r w:rsidRPr="00792253">
              <w:rPr>
                <w:rFonts w:ascii="Times New Roman" w:hAnsi="Times New Roman"/>
                <w:sz w:val="20"/>
                <w:szCs w:val="20"/>
              </w:rPr>
              <w:t>454</w:t>
            </w:r>
          </w:p>
        </w:tc>
      </w:tr>
    </w:tbl>
    <w:p w:rsidR="00A91469" w:rsidRPr="00717695" w:rsidRDefault="00A91469" w:rsidP="00A91469">
      <w:pPr>
        <w:rPr>
          <w:sz w:val="22"/>
          <w:szCs w:val="22"/>
        </w:rPr>
      </w:pPr>
    </w:p>
    <w:p w:rsidR="00A91469" w:rsidRDefault="001627C6" w:rsidP="00A91469">
      <w:pPr>
        <w:rPr>
          <w:sz w:val="22"/>
        </w:rPr>
      </w:pPr>
      <w:r>
        <w:rPr>
          <w:sz w:val="22"/>
        </w:rPr>
        <w:t>As of FY2014, GCVS reported 172 students on waitlists.</w:t>
      </w:r>
    </w:p>
    <w:p w:rsidR="00A77EB2" w:rsidRPr="009242E6" w:rsidRDefault="00A77EB2" w:rsidP="00A91469">
      <w:pPr>
        <w:rPr>
          <w:sz w:val="22"/>
        </w:rPr>
      </w:pPr>
    </w:p>
    <w:p w:rsidR="007320F6" w:rsidRDefault="007320F6" w:rsidP="00A91469">
      <w:pPr>
        <w:rPr>
          <w:sz w:val="22"/>
        </w:rPr>
      </w:pPr>
      <w:r w:rsidRPr="009242E6">
        <w:rPr>
          <w:sz w:val="22"/>
        </w:rPr>
        <w:t>According to the GCVS enrollment policy, eligibility for enrollment in a specific grade requires a student to have successfully completed the preceding grade. The school reviews academic documentation to ensure accurate grade level assignments and course placements.</w:t>
      </w:r>
    </w:p>
    <w:p w:rsidR="008A2608" w:rsidRPr="009242E6" w:rsidRDefault="008A2608" w:rsidP="00A91469">
      <w:pPr>
        <w:rPr>
          <w:sz w:val="22"/>
        </w:rPr>
      </w:pPr>
    </w:p>
    <w:p w:rsidR="003D6F34" w:rsidRDefault="003D6F34" w:rsidP="008A2608">
      <w:pPr>
        <w:pStyle w:val="Heading1"/>
        <w:spacing w:before="0" w:after="0"/>
      </w:pPr>
      <w:bookmarkStart w:id="18" w:name="_Toc415485259"/>
      <w:r>
        <w:t>Recommended Changes to the Commonwealth Virtual School Program</w:t>
      </w:r>
      <w:bookmarkEnd w:id="17"/>
      <w:bookmarkEnd w:id="18"/>
    </w:p>
    <w:p w:rsidR="008A2608" w:rsidRPr="00717695" w:rsidRDefault="008A2608" w:rsidP="008A2608">
      <w:pPr>
        <w:rPr>
          <w:sz w:val="22"/>
          <w:szCs w:val="22"/>
        </w:rPr>
      </w:pPr>
    </w:p>
    <w:p w:rsidR="00FA1313" w:rsidRPr="009242E6" w:rsidRDefault="003073EF" w:rsidP="008A2608">
      <w:pPr>
        <w:pStyle w:val="NormalWeb"/>
        <w:spacing w:before="0" w:beforeAutospacing="0" w:after="0" w:afterAutospacing="0"/>
        <w:rPr>
          <w:sz w:val="22"/>
        </w:rPr>
      </w:pPr>
      <w:r w:rsidRPr="009242E6">
        <w:rPr>
          <w:sz w:val="22"/>
        </w:rPr>
        <w:t>As the CMVS program is still relatively new, the Department continues to collect data and other information on the implementation of the program through accountability reviews, site visits, and reporting requirements as per the statute and regulations.</w:t>
      </w:r>
      <w:r w:rsidR="00E40CE7" w:rsidRPr="009242E6">
        <w:rPr>
          <w:sz w:val="22"/>
        </w:rPr>
        <w:t xml:space="preserve"> </w:t>
      </w:r>
    </w:p>
    <w:p w:rsidR="003073EF" w:rsidRPr="009242E6" w:rsidRDefault="003073EF">
      <w:pPr>
        <w:rPr>
          <w:rFonts w:ascii="Arial" w:hAnsi="Arial" w:cs="Arial"/>
          <w:b/>
          <w:bCs/>
          <w:kern w:val="32"/>
          <w:sz w:val="28"/>
          <w:szCs w:val="32"/>
        </w:rPr>
      </w:pPr>
      <w:bookmarkStart w:id="19" w:name="_Toc377137338"/>
      <w:bookmarkStart w:id="20" w:name="_Toc391236909"/>
      <w:r w:rsidRPr="009242E6">
        <w:rPr>
          <w:sz w:val="22"/>
        </w:rPr>
        <w:br w:type="page"/>
      </w:r>
    </w:p>
    <w:p w:rsidR="00FA1313" w:rsidRPr="00721CE3" w:rsidRDefault="00FA1313" w:rsidP="00717695">
      <w:pPr>
        <w:pStyle w:val="Heading1"/>
        <w:spacing w:before="0" w:after="0"/>
      </w:pPr>
      <w:bookmarkStart w:id="21" w:name="_Toc415485260"/>
      <w:r>
        <w:lastRenderedPageBreak/>
        <w:t>Appendix A</w:t>
      </w:r>
      <w:r w:rsidRPr="00642872">
        <w:t xml:space="preserve">: </w:t>
      </w:r>
      <w:bookmarkEnd w:id="19"/>
      <w:r>
        <w:t>Commonwealth Virtual Schools (</w:t>
      </w:r>
      <w:r w:rsidRPr="00824D97">
        <w:t>G.L. c. 71 §94</w:t>
      </w:r>
      <w:r>
        <w:t>)</w:t>
      </w:r>
      <w:bookmarkEnd w:id="20"/>
      <w:bookmarkEnd w:id="21"/>
    </w:p>
    <w:p w:rsidR="00717695" w:rsidRDefault="00717695" w:rsidP="00717695">
      <w:pPr>
        <w:pStyle w:val="HWMLineItem"/>
      </w:pPr>
    </w:p>
    <w:p w:rsidR="00FA1313" w:rsidRPr="003B1439" w:rsidRDefault="00FA1313" w:rsidP="00717695">
      <w:pPr>
        <w:pStyle w:val="HWMLineItem"/>
      </w:pPr>
      <w:proofErr w:type="gramStart"/>
      <w:r w:rsidRPr="003B1439">
        <w:t>Section 94.</w:t>
      </w:r>
      <w:proofErr w:type="gramEnd"/>
      <w:r w:rsidRPr="003B1439">
        <w:t xml:space="preserve"> (a) As used in this section the following words shall, unless the context clearly requires otherwise, have the following meanings:— </w:t>
      </w:r>
    </w:p>
    <w:p w:rsidR="00FA1313" w:rsidRPr="003B1439" w:rsidRDefault="00FA1313" w:rsidP="00FA1313">
      <w:pPr>
        <w:pStyle w:val="HWMLineItem"/>
      </w:pPr>
      <w:proofErr w:type="gramStart"/>
      <w:r w:rsidRPr="003B1439">
        <w:t>“Board</w:t>
      </w:r>
      <w:r w:rsidR="00F17F04">
        <w:t>,”</w:t>
      </w:r>
      <w:r w:rsidRPr="003B1439">
        <w:t xml:space="preserve"> the board of elementary and secondary education.</w:t>
      </w:r>
      <w:proofErr w:type="gramEnd"/>
      <w:r w:rsidRPr="003B1439">
        <w:t xml:space="preserve"> </w:t>
      </w:r>
    </w:p>
    <w:p w:rsidR="00FA1313" w:rsidRPr="003B1439" w:rsidRDefault="00FA1313" w:rsidP="00FA1313">
      <w:pPr>
        <w:pStyle w:val="HWMLineItem"/>
      </w:pPr>
      <w:proofErr w:type="gramStart"/>
      <w:r w:rsidRPr="003B1439">
        <w:t>“Commissioner</w:t>
      </w:r>
      <w:r w:rsidR="00F17F04">
        <w:t>”</w:t>
      </w:r>
      <w:r w:rsidR="006D5B45">
        <w:t>,</w:t>
      </w:r>
      <w:r w:rsidRPr="003B1439">
        <w:t xml:space="preserve"> the commissioner of elementary and secondary education.</w:t>
      </w:r>
      <w:proofErr w:type="gramEnd"/>
      <w:r w:rsidRPr="003B1439">
        <w:t xml:space="preserve"> </w:t>
      </w:r>
    </w:p>
    <w:p w:rsidR="00FA1313" w:rsidRPr="003B1439" w:rsidRDefault="00FA1313" w:rsidP="00FA1313">
      <w:pPr>
        <w:pStyle w:val="HWMLineItem"/>
      </w:pPr>
      <w:r w:rsidRPr="003B1439">
        <w:t>“Commonwealth virtual school</w:t>
      </w:r>
      <w:r w:rsidR="006D5B45">
        <w:t>”,</w:t>
      </w:r>
      <w:r w:rsidRPr="003B1439">
        <w:t xml:space="preserve"> a public school operated by a board of trustees whose teachers primarily teach from a remote location using the internet or other computer-based methods and whose students are not required to be located at the physical premises of the school. </w:t>
      </w:r>
    </w:p>
    <w:p w:rsidR="00FA1313" w:rsidRPr="003B1439" w:rsidRDefault="00FA1313" w:rsidP="00FA1313">
      <w:pPr>
        <w:pStyle w:val="HWMLineItem"/>
      </w:pPr>
      <w:proofErr w:type="gramStart"/>
      <w:r w:rsidRPr="003B1439">
        <w:t>“Certificate</w:t>
      </w:r>
      <w:r w:rsidR="006D5B45">
        <w:t>”,</w:t>
      </w:r>
      <w:r w:rsidRPr="003B1439">
        <w:t xml:space="preserve"> a certificate of organization issued by the board to a commonwealth virtual school’s board of trustees which governs the operations of the commonwealth virtual school.</w:t>
      </w:r>
      <w:proofErr w:type="gramEnd"/>
      <w:r w:rsidRPr="003B1439">
        <w:t xml:space="preserve"> </w:t>
      </w:r>
    </w:p>
    <w:p w:rsidR="00FA1313" w:rsidRPr="003B1439" w:rsidRDefault="00FA1313" w:rsidP="00FA1313">
      <w:pPr>
        <w:pStyle w:val="HWMLineItem"/>
      </w:pPr>
      <w:proofErr w:type="gramStart"/>
      <w:r w:rsidRPr="003B1439">
        <w:t>“Department</w:t>
      </w:r>
      <w:r w:rsidR="006D5B45">
        <w:t>”,</w:t>
      </w:r>
      <w:r w:rsidRPr="003B1439">
        <w:t xml:space="preserve"> the department of elementary and secondary education.</w:t>
      </w:r>
      <w:proofErr w:type="gramEnd"/>
      <w:r w:rsidRPr="003B1439">
        <w:t xml:space="preserve"> </w:t>
      </w:r>
    </w:p>
    <w:p w:rsidR="00FA1313" w:rsidRPr="003B1439" w:rsidRDefault="00FA1313" w:rsidP="00FA1313">
      <w:pPr>
        <w:pStyle w:val="HWMLineItem"/>
      </w:pPr>
      <w:proofErr w:type="gramStart"/>
      <w:r w:rsidRPr="003B1439">
        <w:t>“District” or “school district</w:t>
      </w:r>
      <w:r w:rsidR="006D5B45">
        <w:t>”,</w:t>
      </w:r>
      <w:r w:rsidRPr="003B1439">
        <w:t xml:space="preserve"> the school department of a city, town, regional school district or county agricultural school.</w:t>
      </w:r>
      <w:proofErr w:type="gramEnd"/>
      <w:r w:rsidRPr="003B1439">
        <w:t xml:space="preserve"> </w:t>
      </w:r>
    </w:p>
    <w:p w:rsidR="00FA1313" w:rsidRPr="003B1439" w:rsidRDefault="00FA1313" w:rsidP="00FA1313">
      <w:pPr>
        <w:pStyle w:val="HWMLineItem"/>
      </w:pPr>
      <w:proofErr w:type="gramStart"/>
      <w:r w:rsidRPr="003B1439">
        <w:t>“Education collaborative</w:t>
      </w:r>
      <w:r w:rsidR="00F17F04">
        <w:t>,”</w:t>
      </w:r>
      <w:r w:rsidRPr="003B1439">
        <w:t xml:space="preserve"> an association of 2 or more school committees or boards of trustees of charter schools established pursuant to section 4E of chapter 40.</w:t>
      </w:r>
      <w:proofErr w:type="gramEnd"/>
      <w:r w:rsidRPr="003B1439">
        <w:t xml:space="preserve"> </w:t>
      </w:r>
    </w:p>
    <w:p w:rsidR="00FA1313" w:rsidRPr="003B1439" w:rsidRDefault="00FA1313" w:rsidP="00FA1313">
      <w:pPr>
        <w:pStyle w:val="HWMLineItem"/>
      </w:pPr>
      <w:r w:rsidRPr="003B1439">
        <w:t>(b) On or before October 1, the board shall issue a request for proposals to establish 1 or more commonwealth virtual schools; provided, however, that the board shall not be required to issue a request for proposals for any school year for which a certificate is not available to be awarded. The request for proposals shall be published on the department’s website. Persons or entities eligible to submit a proposal to establish a commonwealth virtual school shall include, but not be limited to: (</w:t>
      </w:r>
      <w:proofErr w:type="spellStart"/>
      <w:r w:rsidRPr="003B1439">
        <w:t>i</w:t>
      </w:r>
      <w:proofErr w:type="spellEnd"/>
      <w:r w:rsidRPr="003B1439">
        <w:t xml:space="preserve">) a school district; (ii) 2 or more school districts; (iii) an education collaborative; (iv) an institution of higher education; (v) a non-profit entity; (vi) 2 or more certified teachers; or (vii) parents. Private and parochial schools and for-profit entities shall not be eligible to submit a proposal. A proposal shall be selected from the responses to the request for proposals and an applicant awarded a certificate under the procedures adopted by the board. The request for proposals shall include, but not be limited to, the following terms and conditions that shall be addressed in each response to the request for proposals and, upon selection by the board, shall be incorporated into the certificate to operate a commonwealth virtual school: </w:t>
      </w:r>
    </w:p>
    <w:p w:rsidR="00FA1313" w:rsidRPr="003B1439" w:rsidRDefault="00FA1313" w:rsidP="00FA1313">
      <w:pPr>
        <w:pStyle w:val="HWMLineItem"/>
      </w:pPr>
      <w:r w:rsidRPr="003B1439">
        <w:t xml:space="preserve">(1) </w:t>
      </w:r>
      <w:proofErr w:type="gramStart"/>
      <w:r w:rsidRPr="003B1439">
        <w:t>the</w:t>
      </w:r>
      <w:proofErr w:type="gramEnd"/>
      <w:r w:rsidRPr="003B1439">
        <w:t xml:space="preserve"> mission, purpose and specialized focus, if any, of the proposed commonwealth virtual school; </w:t>
      </w:r>
    </w:p>
    <w:p w:rsidR="00FA1313" w:rsidRPr="003B1439" w:rsidRDefault="00FA1313" w:rsidP="00FA1313">
      <w:pPr>
        <w:pStyle w:val="HWMLineItem"/>
      </w:pPr>
      <w:r w:rsidRPr="003B1439">
        <w:t xml:space="preserve">(2) </w:t>
      </w:r>
      <w:proofErr w:type="gramStart"/>
      <w:r w:rsidRPr="003B1439">
        <w:t>the</w:t>
      </w:r>
      <w:proofErr w:type="gramEnd"/>
      <w:r w:rsidRPr="003B1439">
        <w:t xml:space="preserve"> educational program, instructional methodology and services to be offered to students; </w:t>
      </w:r>
    </w:p>
    <w:p w:rsidR="00FA1313" w:rsidRPr="003B1439" w:rsidRDefault="00FA1313" w:rsidP="00FA1313">
      <w:pPr>
        <w:pStyle w:val="HWMLineItem"/>
      </w:pPr>
      <w:r w:rsidRPr="003B1439">
        <w:t xml:space="preserve">(3) </w:t>
      </w:r>
      <w:proofErr w:type="gramStart"/>
      <w:r w:rsidRPr="003B1439">
        <w:t>the</w:t>
      </w:r>
      <w:proofErr w:type="gramEnd"/>
      <w:r w:rsidRPr="003B1439">
        <w:t xml:space="preserve"> organization of the school by ages of students or grades to be taught and an estimate of the total enrollment of the commonwealth virtual school; </w:t>
      </w:r>
    </w:p>
    <w:p w:rsidR="00FA1313" w:rsidRPr="003B1439" w:rsidRDefault="00FA1313" w:rsidP="00FA1313">
      <w:pPr>
        <w:pStyle w:val="HWMLineItem"/>
      </w:pPr>
      <w:r w:rsidRPr="003B1439">
        <w:t xml:space="preserve">(4) </w:t>
      </w:r>
      <w:proofErr w:type="gramStart"/>
      <w:r w:rsidRPr="003B1439">
        <w:t>the</w:t>
      </w:r>
      <w:proofErr w:type="gramEnd"/>
      <w:r w:rsidRPr="003B1439">
        <w:t xml:space="preserve"> method for and timetable of admission to the commonwealth virtual school; </w:t>
      </w:r>
    </w:p>
    <w:p w:rsidR="00FA1313" w:rsidRPr="003B1439" w:rsidRDefault="00FA1313" w:rsidP="00FA1313">
      <w:pPr>
        <w:pStyle w:val="HWMLineItem"/>
      </w:pPr>
      <w:r w:rsidRPr="003B1439">
        <w:t xml:space="preserve">(5) </w:t>
      </w:r>
      <w:proofErr w:type="gramStart"/>
      <w:r w:rsidRPr="003B1439">
        <w:t>the</w:t>
      </w:r>
      <w:proofErr w:type="gramEnd"/>
      <w:r w:rsidRPr="003B1439">
        <w:t xml:space="preserve"> commonwealth virtual school governance and by-laws; </w:t>
      </w:r>
    </w:p>
    <w:p w:rsidR="00FA1313" w:rsidRPr="003B1439" w:rsidRDefault="00FA1313" w:rsidP="00FA1313">
      <w:pPr>
        <w:pStyle w:val="HWMLineItem"/>
      </w:pPr>
      <w:r w:rsidRPr="003B1439">
        <w:t xml:space="preserve">(6) </w:t>
      </w:r>
      <w:proofErr w:type="gramStart"/>
      <w:r w:rsidRPr="003B1439">
        <w:t>the</w:t>
      </w:r>
      <w:proofErr w:type="gramEnd"/>
      <w:r w:rsidRPr="003B1439">
        <w:t xml:space="preserve"> proposed school year; </w:t>
      </w:r>
    </w:p>
    <w:p w:rsidR="00FA1313" w:rsidRPr="003B1439" w:rsidRDefault="00FA1313" w:rsidP="00FA1313">
      <w:pPr>
        <w:pStyle w:val="HWMLineItem"/>
      </w:pPr>
      <w:r w:rsidRPr="003B1439">
        <w:t xml:space="preserve">(7) </w:t>
      </w:r>
      <w:proofErr w:type="gramStart"/>
      <w:r w:rsidRPr="003B1439">
        <w:t>how</w:t>
      </w:r>
      <w:proofErr w:type="gramEnd"/>
      <w:r w:rsidRPr="003B1439">
        <w:t xml:space="preserve"> the commonwealth virtual school shall administer state required assessment tests; </w:t>
      </w:r>
    </w:p>
    <w:p w:rsidR="00FA1313" w:rsidRPr="003B1439" w:rsidRDefault="00FA1313" w:rsidP="00FA1313">
      <w:pPr>
        <w:pStyle w:val="HWMLineItem"/>
      </w:pPr>
      <w:r w:rsidRPr="003B1439">
        <w:t xml:space="preserve">(8) a statement of equal educational opportunity which shall state that the commonwealth virtual school shall be open to all students, on a space available basis, and shall not discriminate on the basis of race, color, national origin, religion, sex, gender identity or sexual orientation; </w:t>
      </w:r>
    </w:p>
    <w:p w:rsidR="00FA1313" w:rsidRPr="003B1439" w:rsidRDefault="00FA1313" w:rsidP="00FA1313">
      <w:pPr>
        <w:pStyle w:val="HWMLineItem"/>
      </w:pPr>
      <w:r w:rsidRPr="003B1439">
        <w:t xml:space="preserve">(9) </w:t>
      </w:r>
      <w:proofErr w:type="gramStart"/>
      <w:r w:rsidRPr="003B1439">
        <w:t>a</w:t>
      </w:r>
      <w:proofErr w:type="gramEnd"/>
      <w:r w:rsidRPr="003B1439">
        <w:t xml:space="preserve"> description of any preferences the school shall give for enrollment and how the school shall conduct a lottery for admission if applications exceed enrollment capacity; </w:t>
      </w:r>
    </w:p>
    <w:p w:rsidR="00FA1313" w:rsidRPr="003B1439" w:rsidRDefault="00FA1313" w:rsidP="00FA1313">
      <w:pPr>
        <w:pStyle w:val="HWMLineItem"/>
      </w:pPr>
      <w:r w:rsidRPr="003B1439">
        <w:t xml:space="preserve">(10) </w:t>
      </w:r>
      <w:proofErr w:type="gramStart"/>
      <w:r w:rsidRPr="003B1439">
        <w:t>the</w:t>
      </w:r>
      <w:proofErr w:type="gramEnd"/>
      <w:r w:rsidRPr="003B1439">
        <w:t xml:space="preserve"> identity of any third party software or curriculum vendors that the school intends to use; </w:t>
      </w:r>
    </w:p>
    <w:p w:rsidR="00FA1313" w:rsidRPr="003B1439" w:rsidRDefault="00FA1313" w:rsidP="00FA1313">
      <w:pPr>
        <w:pStyle w:val="HWMLineItem"/>
      </w:pPr>
      <w:r w:rsidRPr="003B1439">
        <w:lastRenderedPageBreak/>
        <w:t xml:space="preserve">(11) </w:t>
      </w:r>
      <w:proofErr w:type="gramStart"/>
      <w:r w:rsidRPr="003B1439">
        <w:t>a</w:t>
      </w:r>
      <w:proofErr w:type="gramEnd"/>
      <w:r w:rsidRPr="003B1439">
        <w:t xml:space="preserve"> proposed arrangement or contract with an organization that shall manage or operate the school, including any proposed or agreed upon payments to such organization; </w:t>
      </w:r>
    </w:p>
    <w:p w:rsidR="00FA1313" w:rsidRPr="003B1439" w:rsidRDefault="00FA1313" w:rsidP="00FA1313">
      <w:pPr>
        <w:pStyle w:val="HWMLineItem"/>
      </w:pPr>
      <w:r w:rsidRPr="003B1439">
        <w:t xml:space="preserve">(12) a demonstration of the applicant’s capacity to support and store all critical student, program and staff data for expedient retrieval and analysis in compliance with federal and state laws; </w:t>
      </w:r>
    </w:p>
    <w:p w:rsidR="00FA1313" w:rsidRPr="003B1439" w:rsidRDefault="00FA1313" w:rsidP="00FA1313">
      <w:pPr>
        <w:pStyle w:val="HWMLineItem"/>
      </w:pPr>
      <w:r w:rsidRPr="003B1439">
        <w:t xml:space="preserve">(13) </w:t>
      </w:r>
      <w:proofErr w:type="gramStart"/>
      <w:r w:rsidRPr="003B1439">
        <w:t>provisions</w:t>
      </w:r>
      <w:proofErr w:type="gramEnd"/>
      <w:r w:rsidRPr="003B1439">
        <w:t xml:space="preserve"> for cyber safety; </w:t>
      </w:r>
    </w:p>
    <w:p w:rsidR="00FA1313" w:rsidRPr="003B1439" w:rsidRDefault="00FA1313" w:rsidP="00FA1313">
      <w:pPr>
        <w:pStyle w:val="HWMLineItem"/>
      </w:pPr>
      <w:r w:rsidRPr="003B1439">
        <w:t xml:space="preserve">(14) how the school shall notify each school district in writing of the number and grade levels of students who shall be attending the commonwealth virtual school from that district within 10 days of the student registering for enrollment in the commonwealth virtual school; </w:t>
      </w:r>
    </w:p>
    <w:p w:rsidR="00FA1313" w:rsidRPr="003B1439" w:rsidRDefault="00FA1313" w:rsidP="00FA1313">
      <w:pPr>
        <w:pStyle w:val="HWMLineItem"/>
      </w:pPr>
      <w:r w:rsidRPr="003B1439">
        <w:t xml:space="preserve">(15) </w:t>
      </w:r>
      <w:proofErr w:type="gramStart"/>
      <w:r w:rsidRPr="003B1439">
        <w:t>whether</w:t>
      </w:r>
      <w:proofErr w:type="gramEnd"/>
      <w:r w:rsidRPr="003B1439">
        <w:t xml:space="preserve"> the commonwealth virtual school will offer online courses to students attending other schools; </w:t>
      </w:r>
    </w:p>
    <w:p w:rsidR="00FA1313" w:rsidRPr="003B1439" w:rsidRDefault="00FA1313" w:rsidP="00FA1313">
      <w:pPr>
        <w:pStyle w:val="HWMLineItem"/>
      </w:pPr>
      <w:r w:rsidRPr="003B1439">
        <w:t xml:space="preserve">(16) </w:t>
      </w:r>
      <w:proofErr w:type="gramStart"/>
      <w:r w:rsidRPr="003B1439">
        <w:t>the</w:t>
      </w:r>
      <w:proofErr w:type="gramEnd"/>
      <w:r w:rsidRPr="003B1439">
        <w:t xml:space="preserve"> financial plan for the operation of the school; </w:t>
      </w:r>
    </w:p>
    <w:p w:rsidR="00FA1313" w:rsidRPr="003B1439" w:rsidRDefault="00FA1313" w:rsidP="00FA1313">
      <w:pPr>
        <w:pStyle w:val="HWMLineItem"/>
      </w:pPr>
      <w:r w:rsidRPr="003B1439">
        <w:t xml:space="preserve">(17) </w:t>
      </w:r>
      <w:proofErr w:type="gramStart"/>
      <w:r w:rsidRPr="003B1439">
        <w:t>the</w:t>
      </w:r>
      <w:proofErr w:type="gramEnd"/>
      <w:r w:rsidRPr="003B1439">
        <w:t xml:space="preserve"> number and qualifications of teachers and administrators to be employed; </w:t>
      </w:r>
    </w:p>
    <w:p w:rsidR="00FA1313" w:rsidRPr="003B1439" w:rsidRDefault="00FA1313" w:rsidP="00FA1313">
      <w:pPr>
        <w:pStyle w:val="HWMLineItem"/>
      </w:pPr>
      <w:r w:rsidRPr="003B1439">
        <w:t xml:space="preserve">(18) the procedures for evaluation and professional development for teachers and administrators, including what training, if any, shall be provided to teachers who have not previously taught online; </w:t>
      </w:r>
    </w:p>
    <w:p w:rsidR="00FA1313" w:rsidRPr="003B1439" w:rsidRDefault="00FA1313" w:rsidP="00FA1313">
      <w:pPr>
        <w:pStyle w:val="HWMLineItem"/>
      </w:pPr>
      <w:r w:rsidRPr="003B1439">
        <w:t xml:space="preserve">(19) </w:t>
      </w:r>
      <w:proofErr w:type="gramStart"/>
      <w:r w:rsidRPr="003B1439">
        <w:t>the</w:t>
      </w:r>
      <w:proofErr w:type="gramEnd"/>
      <w:r w:rsidRPr="003B1439">
        <w:t xml:space="preserve"> school’s capacity to address the particular needs of English language learners to learn English and learn content matter; </w:t>
      </w:r>
    </w:p>
    <w:p w:rsidR="00FA1313" w:rsidRPr="003B1439" w:rsidRDefault="00FA1313" w:rsidP="00FA1313">
      <w:pPr>
        <w:pStyle w:val="HWMLineItem"/>
      </w:pPr>
      <w:r w:rsidRPr="003B1439">
        <w:t xml:space="preserve">(20) </w:t>
      </w:r>
      <w:proofErr w:type="gramStart"/>
      <w:r w:rsidRPr="003B1439">
        <w:t>the</w:t>
      </w:r>
      <w:proofErr w:type="gramEnd"/>
      <w:r w:rsidRPr="003B1439">
        <w:t xml:space="preserve"> school’s plan to conduct outreach to prospective students; </w:t>
      </w:r>
    </w:p>
    <w:p w:rsidR="00FA1313" w:rsidRPr="003B1439" w:rsidRDefault="00FA1313" w:rsidP="00FA1313">
      <w:pPr>
        <w:pStyle w:val="HWMLineItem"/>
      </w:pPr>
      <w:r w:rsidRPr="003B1439">
        <w:t xml:space="preserve">(21) </w:t>
      </w:r>
      <w:proofErr w:type="gramStart"/>
      <w:r w:rsidRPr="003B1439">
        <w:t>what</w:t>
      </w:r>
      <w:proofErr w:type="gramEnd"/>
      <w:r w:rsidRPr="003B1439">
        <w:t xml:space="preserve"> supports shall be provided to students to help them complete courses, including the school’s strategies for ensuring that an enrolled student shall complete the program and goals regarding course completion and student achievement; </w:t>
      </w:r>
    </w:p>
    <w:p w:rsidR="00FA1313" w:rsidRPr="003B1439" w:rsidRDefault="00FA1313" w:rsidP="00FA1313">
      <w:pPr>
        <w:pStyle w:val="HWMLineItem"/>
      </w:pPr>
      <w:r w:rsidRPr="003B1439">
        <w:t xml:space="preserve">(22) </w:t>
      </w:r>
      <w:proofErr w:type="gramStart"/>
      <w:r w:rsidRPr="003B1439">
        <w:t>how</w:t>
      </w:r>
      <w:proofErr w:type="gramEnd"/>
      <w:r w:rsidRPr="003B1439">
        <w:t xml:space="preserve"> the school will monitor student progress in order to identify areas of difficulty and assist students who need additional attention; </w:t>
      </w:r>
    </w:p>
    <w:p w:rsidR="00FA1313" w:rsidRPr="003B1439" w:rsidRDefault="00FA1313" w:rsidP="00FA1313">
      <w:pPr>
        <w:pStyle w:val="HWMLineItem"/>
      </w:pPr>
      <w:r w:rsidRPr="003B1439">
        <w:t xml:space="preserve">(23) </w:t>
      </w:r>
      <w:proofErr w:type="gramStart"/>
      <w:r w:rsidRPr="003B1439">
        <w:t>where</w:t>
      </w:r>
      <w:proofErr w:type="gramEnd"/>
      <w:r w:rsidRPr="003B1439">
        <w:t xml:space="preserve"> relevant, what supports will be provided to help students prepare for college and careers; </w:t>
      </w:r>
    </w:p>
    <w:p w:rsidR="00FA1313" w:rsidRPr="003B1439" w:rsidRDefault="00FA1313" w:rsidP="00FA1313">
      <w:pPr>
        <w:pStyle w:val="HWMLineItem"/>
      </w:pPr>
      <w:r w:rsidRPr="003B1439">
        <w:t xml:space="preserve">(24) </w:t>
      </w:r>
      <w:proofErr w:type="gramStart"/>
      <w:r w:rsidRPr="003B1439">
        <w:t>the</w:t>
      </w:r>
      <w:proofErr w:type="gramEnd"/>
      <w:r w:rsidRPr="003B1439">
        <w:t xml:space="preserve"> school’s capacity to support students’ social and emotional growth; </w:t>
      </w:r>
    </w:p>
    <w:p w:rsidR="00FA1313" w:rsidRPr="003B1439" w:rsidRDefault="00FA1313" w:rsidP="00FA1313">
      <w:pPr>
        <w:pStyle w:val="HWMLineItem"/>
      </w:pPr>
      <w:r w:rsidRPr="003B1439">
        <w:t xml:space="preserve">(25) </w:t>
      </w:r>
      <w:proofErr w:type="gramStart"/>
      <w:r w:rsidRPr="003B1439">
        <w:t>how</w:t>
      </w:r>
      <w:proofErr w:type="gramEnd"/>
      <w:r w:rsidRPr="003B1439">
        <w:t xml:space="preserve"> the school shall create a community for students who are enrolled in the commonwealth virtual school; </w:t>
      </w:r>
    </w:p>
    <w:p w:rsidR="00FA1313" w:rsidRPr="003B1439" w:rsidRDefault="00FA1313" w:rsidP="00FA1313">
      <w:pPr>
        <w:pStyle w:val="HWMLineItem"/>
      </w:pPr>
      <w:r w:rsidRPr="003B1439">
        <w:t xml:space="preserve">(26) </w:t>
      </w:r>
      <w:proofErr w:type="gramStart"/>
      <w:r w:rsidRPr="003B1439">
        <w:t>how</w:t>
      </w:r>
      <w:proofErr w:type="gramEnd"/>
      <w:r w:rsidRPr="003B1439">
        <w:t xml:space="preserve"> the commonwealth virtual school applicant shall include activities to engage students; </w:t>
      </w:r>
    </w:p>
    <w:p w:rsidR="00FA1313" w:rsidRPr="003B1439" w:rsidRDefault="00FA1313" w:rsidP="00FA1313">
      <w:pPr>
        <w:pStyle w:val="HWMLineItem"/>
      </w:pPr>
      <w:r w:rsidRPr="003B1439">
        <w:t xml:space="preserve">(27) </w:t>
      </w:r>
      <w:proofErr w:type="gramStart"/>
      <w:r w:rsidRPr="003B1439">
        <w:t>what</w:t>
      </w:r>
      <w:proofErr w:type="gramEnd"/>
      <w:r w:rsidRPr="003B1439">
        <w:t xml:space="preserve">, if any, in person activities, learning or interaction will be provided or offered, including extra-curricular activities; </w:t>
      </w:r>
    </w:p>
    <w:p w:rsidR="00FA1313" w:rsidRPr="003B1439" w:rsidRDefault="00FA1313" w:rsidP="00FA1313">
      <w:pPr>
        <w:pStyle w:val="HWMLineItem"/>
      </w:pPr>
      <w:r w:rsidRPr="003B1439">
        <w:t xml:space="preserve">(28) </w:t>
      </w:r>
      <w:proofErr w:type="gramStart"/>
      <w:r w:rsidRPr="003B1439">
        <w:t>expectations</w:t>
      </w:r>
      <w:proofErr w:type="gramEnd"/>
      <w:r w:rsidRPr="003B1439">
        <w:t xml:space="preserve"> for age appropriate supervision of students under the age of 14, if applicable; </w:t>
      </w:r>
    </w:p>
    <w:p w:rsidR="00FA1313" w:rsidRPr="003B1439" w:rsidRDefault="00FA1313" w:rsidP="00FA1313">
      <w:pPr>
        <w:pStyle w:val="HWMLineItem"/>
      </w:pPr>
      <w:r w:rsidRPr="003B1439">
        <w:t xml:space="preserve">(29) </w:t>
      </w:r>
      <w:proofErr w:type="gramStart"/>
      <w:r w:rsidRPr="003B1439">
        <w:t>a</w:t>
      </w:r>
      <w:proofErr w:type="gramEnd"/>
      <w:r w:rsidRPr="003B1439">
        <w:t xml:space="preserve"> description of where students will access the school’s courses, including whether it is in the home or in a location provided and overseen by the commonwealth virtual school applicant; </w:t>
      </w:r>
    </w:p>
    <w:p w:rsidR="00FA1313" w:rsidRPr="003B1439" w:rsidRDefault="00FA1313" w:rsidP="00FA1313">
      <w:pPr>
        <w:pStyle w:val="HWMLineItem"/>
      </w:pPr>
      <w:r w:rsidRPr="003B1439">
        <w:t xml:space="preserve">(30) </w:t>
      </w:r>
      <w:proofErr w:type="gramStart"/>
      <w:r w:rsidRPr="003B1439">
        <w:t>methods</w:t>
      </w:r>
      <w:proofErr w:type="gramEnd"/>
      <w:r w:rsidRPr="003B1439">
        <w:t xml:space="preserve"> to assure that all students shall have access to necessary technology and materials; </w:t>
      </w:r>
    </w:p>
    <w:p w:rsidR="00FA1313" w:rsidRPr="003B1439" w:rsidRDefault="00FA1313" w:rsidP="00FA1313">
      <w:pPr>
        <w:pStyle w:val="HWMLineItem"/>
      </w:pPr>
      <w:r w:rsidRPr="003B1439">
        <w:t xml:space="preserve">(31) </w:t>
      </w:r>
      <w:proofErr w:type="gramStart"/>
      <w:r w:rsidRPr="003B1439">
        <w:t>what</w:t>
      </w:r>
      <w:proofErr w:type="gramEnd"/>
      <w:r w:rsidRPr="003B1439">
        <w:t xml:space="preserve"> technical support shall be available to students, including whether the commonwealth virtual school applicant shall offer an orientation for taking an online course before starting the coursework; </w:t>
      </w:r>
    </w:p>
    <w:p w:rsidR="00FA1313" w:rsidRPr="003B1439" w:rsidRDefault="00FA1313" w:rsidP="00FA1313">
      <w:pPr>
        <w:pStyle w:val="HWMLineItem"/>
      </w:pPr>
      <w:r w:rsidRPr="003B1439">
        <w:t xml:space="preserve">(32) how the school shall define and monitor student attendance, including how it shall verify that each student is participating in classes, how truancy shall be addressed and goals regarding student attendance; </w:t>
      </w:r>
    </w:p>
    <w:p w:rsidR="00FA1313" w:rsidRPr="003B1439" w:rsidRDefault="00FA1313" w:rsidP="00FA1313">
      <w:pPr>
        <w:pStyle w:val="HWMLineItem"/>
      </w:pPr>
      <w:r w:rsidRPr="003B1439">
        <w:t xml:space="preserve">(33) </w:t>
      </w:r>
      <w:proofErr w:type="gramStart"/>
      <w:r w:rsidRPr="003B1439">
        <w:t>expectations</w:t>
      </w:r>
      <w:proofErr w:type="gramEnd"/>
      <w:r w:rsidRPr="003B1439">
        <w:t xml:space="preserve"> and goals for communication between teachers and students and how such interaction shall be documented; </w:t>
      </w:r>
    </w:p>
    <w:p w:rsidR="00FA1313" w:rsidRPr="003B1439" w:rsidRDefault="00FA1313" w:rsidP="00FA1313">
      <w:pPr>
        <w:pStyle w:val="HWMLineItem"/>
      </w:pPr>
      <w:r w:rsidRPr="003B1439">
        <w:t xml:space="preserve">(34) </w:t>
      </w:r>
      <w:proofErr w:type="gramStart"/>
      <w:r w:rsidRPr="003B1439">
        <w:t>how</w:t>
      </w:r>
      <w:proofErr w:type="gramEnd"/>
      <w:r w:rsidRPr="003B1439">
        <w:t xml:space="preserve"> the school shall involve parents and guardians as partners in the education of the children and goals for parental and family engagement; </w:t>
      </w:r>
    </w:p>
    <w:p w:rsidR="00FA1313" w:rsidRPr="003B1439" w:rsidRDefault="00FA1313" w:rsidP="00FA1313">
      <w:pPr>
        <w:pStyle w:val="HWMLineItem"/>
      </w:pPr>
      <w:r w:rsidRPr="003B1439">
        <w:t xml:space="preserve">(35) </w:t>
      </w:r>
      <w:proofErr w:type="gramStart"/>
      <w:r w:rsidRPr="003B1439">
        <w:t>the</w:t>
      </w:r>
      <w:proofErr w:type="gramEnd"/>
      <w:r w:rsidRPr="003B1439">
        <w:t xml:space="preserve"> school’s capacity to implement the proposal and provide high quality instructional services; </w:t>
      </w:r>
    </w:p>
    <w:p w:rsidR="00FA1313" w:rsidRPr="003B1439" w:rsidRDefault="00FA1313" w:rsidP="00FA1313">
      <w:pPr>
        <w:pStyle w:val="HWMLineItem"/>
      </w:pPr>
      <w:r w:rsidRPr="003B1439">
        <w:lastRenderedPageBreak/>
        <w:t>(36) the school’s capacity to instruct students in the following categories, if the school intends to serve any such students: (</w:t>
      </w:r>
      <w:proofErr w:type="spellStart"/>
      <w:r w:rsidRPr="003B1439">
        <w:t>i</w:t>
      </w:r>
      <w:proofErr w:type="spellEnd"/>
      <w:r w:rsidRPr="003B1439">
        <w:t xml:space="preserve">) students with physical or other challenges that make it difficult for them to physically attend a school; (ii) students with medical needs requiring a home or hospital setting; (iii) students with unusual needs requiring a flexible schedule; (iv) students who are over-age for their grade; (v) students who have been expelled; (vi) students who have dropped out or are at risk of dropping out; (vii) students who are pregnant or have a child; (viii) students with social and emotional challenges that make it difficult for them to physically attend a school; (ix) students who feel bullied or cannot attend school because their safety is at risk; (x) gifted and talented students; (xi) students who seek academic work not available in their school; (xii) students in rural communities; and (xiii) students in institutionalized settings; </w:t>
      </w:r>
    </w:p>
    <w:p w:rsidR="00FA1313" w:rsidRPr="003B1439" w:rsidRDefault="00FA1313" w:rsidP="00FA1313">
      <w:pPr>
        <w:pStyle w:val="HWMLineItem"/>
      </w:pPr>
      <w:r w:rsidRPr="003B1439">
        <w:t xml:space="preserve">(37) </w:t>
      </w:r>
      <w:proofErr w:type="gramStart"/>
      <w:r w:rsidRPr="003B1439">
        <w:t>whether</w:t>
      </w:r>
      <w:proofErr w:type="gramEnd"/>
      <w:r w:rsidRPr="003B1439">
        <w:t xml:space="preserve"> the school proposes a mechanism to provide meals to students eligible for free and reduced price lunch; </w:t>
      </w:r>
    </w:p>
    <w:p w:rsidR="00FA1313" w:rsidRPr="003B1439" w:rsidRDefault="00FA1313" w:rsidP="00FA1313">
      <w:pPr>
        <w:pStyle w:val="HWMLineItem"/>
      </w:pPr>
      <w:r w:rsidRPr="003B1439">
        <w:t xml:space="preserve">(38) </w:t>
      </w:r>
      <w:proofErr w:type="gramStart"/>
      <w:r w:rsidRPr="003B1439">
        <w:t>the</w:t>
      </w:r>
      <w:proofErr w:type="gramEnd"/>
      <w:r w:rsidRPr="003B1439">
        <w:t xml:space="preserve"> student to teacher ratio; and </w:t>
      </w:r>
    </w:p>
    <w:p w:rsidR="00FA1313" w:rsidRPr="003B1439" w:rsidRDefault="00FA1313" w:rsidP="00FA1313">
      <w:pPr>
        <w:pStyle w:val="HWMLineItem"/>
      </w:pPr>
      <w:r w:rsidRPr="003B1439">
        <w:t xml:space="preserve">(39) </w:t>
      </w:r>
      <w:proofErr w:type="gramStart"/>
      <w:r w:rsidRPr="003B1439">
        <w:t>whether</w:t>
      </w:r>
      <w:proofErr w:type="gramEnd"/>
      <w:r w:rsidRPr="003B1439">
        <w:t xml:space="preserve"> the school will establish a personalized learning plan for each student, in conjunction with the student’s school district of residence. </w:t>
      </w:r>
    </w:p>
    <w:p w:rsidR="00FA1313" w:rsidRPr="003B1439" w:rsidRDefault="00FA1313" w:rsidP="00FA1313">
      <w:pPr>
        <w:pStyle w:val="HWMLineItem"/>
      </w:pPr>
      <w:r w:rsidRPr="003B1439">
        <w:t xml:space="preserve">(c) The board shall make the final determination on selecting proposals; provided, however, that the board shall only grant a certificate to a qualified applicant as determined by the board; provided </w:t>
      </w:r>
      <w:proofErr w:type="gramStart"/>
      <w:r w:rsidRPr="003B1439">
        <w:t>further, that</w:t>
      </w:r>
      <w:proofErr w:type="gramEnd"/>
      <w:r w:rsidRPr="003B1439">
        <w:t xml:space="preserve"> the board shall hold a public hearing on the proposals which shall be attended by at least 1 member of the board. Not more than 10 commonwealth virtual schools shall be allowed to operate in the commonwealth at any time; provided, however, that a commonwealth virtual school operated by a single school district, under an agreement entered into by more than 1 school district or by an education collaborative shall not be counted towards this limit if the commonwealth virtual school only enrolls students who reside in the school district, in the school districts that signed the agreement or in the school districts that are members of an education collaborative. The board may authorize a single board of trustees to manage more than 1 commonwealth virtual school; provided, however, that each school is issued its own certificate. Under no circumstances shall the total number of full-time students attending commonwealth virtual schools exceed 2 per cent of the total number of students attending public schools in the commonwealth. In the case of a commonwealth virtual school that is established by a school district, not less than 5 per cent of the students enrolled in the commonwealth virtual school shall be from the school district that established the school. In the case of a commonwealth virtual school that is established by more than 1 school district or by an education collaborative, not less than 5 per cent of the students enrolled in the school shall be from the combined enrollment of the districts that established the school or the districts that are members of the education collaborative. </w:t>
      </w:r>
    </w:p>
    <w:p w:rsidR="00FA1313" w:rsidRPr="003B1439" w:rsidRDefault="00FA1313" w:rsidP="00FA1313">
      <w:pPr>
        <w:pStyle w:val="HWMLineItem"/>
      </w:pPr>
      <w:r w:rsidRPr="003B1439">
        <w:t xml:space="preserve">The board shall give preference to proposals that include an educational program or specialized focus that appropriately addresses 1 or more of the following: students with physical or other challenges that make it difficult for them to physically attend a school; students with medical needs requiring a home or hospital setting; students with unusual needs requiring a flexible schedule; students who are over-age for their grade; students who have been expelled; students who have dropped out; students at risk of dropping out; students who are pregnant or have a child; students with social and emotional challenges that make it difficult for them to physically attend a school; students who feel bullied or cannot attend school because the students’ safety is at risk; gifted and talented students; students who seek academic work not available in their school; students in rural communities; and students in institutionalized settings. The board shall also consider whether proposed schools will create or enhance the opportunity for students to attend virtual schools in all grades from kindergarten through grade 12. </w:t>
      </w:r>
    </w:p>
    <w:p w:rsidR="00FA1313" w:rsidRPr="003B1439" w:rsidRDefault="00FA1313" w:rsidP="00FA1313">
      <w:pPr>
        <w:pStyle w:val="HWMLineItem"/>
      </w:pPr>
      <w:r w:rsidRPr="003B1439">
        <w:t xml:space="preserve">(d) A commonwealth virtual school shall operate under a certificate issued by the board and be governed by a board of trustees. If a district or education </w:t>
      </w:r>
      <w:r w:rsidRPr="003B1439">
        <w:lastRenderedPageBreak/>
        <w:t xml:space="preserve">collaborative operates the commonwealth virtual school, then the board of trustees shall be appointed by the member school committees of the district or the collaborative board. The board of trustees of a commonwealth virtual school, upon being granted a certificate, shall be deemed to be a public agent authorized by the commonwealth to supervise and control the commonwealth virtual school. A commonwealth virtual school shall be deemed to be a state agency under chapter 268A and members of the board of trustees shall be deemed to be public employees under chapter 268B. </w:t>
      </w:r>
    </w:p>
    <w:p w:rsidR="00FA1313" w:rsidRPr="003B1439" w:rsidRDefault="00FA1313" w:rsidP="00FA1313">
      <w:pPr>
        <w:pStyle w:val="HWMLineItem"/>
      </w:pPr>
      <w:r w:rsidRPr="003B1439">
        <w:t xml:space="preserve">(e) The board of trustees of a commonwealth virtual school shall have all powers necessary or desirable for carrying out its virtual program, including, but not limited to, the power to: </w:t>
      </w:r>
    </w:p>
    <w:p w:rsidR="00FA1313" w:rsidRPr="003B1439" w:rsidRDefault="00FA1313" w:rsidP="00FA1313">
      <w:pPr>
        <w:pStyle w:val="HWMLineItem"/>
      </w:pPr>
      <w:r w:rsidRPr="003B1439">
        <w:t xml:space="preserve">(1) </w:t>
      </w:r>
      <w:proofErr w:type="gramStart"/>
      <w:r w:rsidRPr="003B1439">
        <w:t>adopt</w:t>
      </w:r>
      <w:proofErr w:type="gramEnd"/>
      <w:r w:rsidRPr="003B1439">
        <w:t xml:space="preserve"> a name and corporate seal; provided, that any name selected shall include the words “commonwealth virtual school”; </w:t>
      </w:r>
    </w:p>
    <w:p w:rsidR="00FA1313" w:rsidRPr="003B1439" w:rsidRDefault="00FA1313" w:rsidP="00FA1313">
      <w:pPr>
        <w:pStyle w:val="HWMLineItem"/>
      </w:pPr>
      <w:r w:rsidRPr="003B1439">
        <w:t xml:space="preserve">(2) </w:t>
      </w:r>
      <w:proofErr w:type="gramStart"/>
      <w:r w:rsidRPr="003B1439">
        <w:t>acquire</w:t>
      </w:r>
      <w:proofErr w:type="gramEnd"/>
      <w:r w:rsidRPr="003B1439">
        <w:t xml:space="preserve"> real property, from public or private sources, by lease, lease with an option to purchase or by gift, for use as a school facility; </w:t>
      </w:r>
    </w:p>
    <w:p w:rsidR="00FA1313" w:rsidRPr="003B1439" w:rsidRDefault="00FA1313" w:rsidP="00FA1313">
      <w:pPr>
        <w:pStyle w:val="HWMLineItem"/>
      </w:pPr>
      <w:r w:rsidRPr="003B1439">
        <w:t xml:space="preserve">(3) </w:t>
      </w:r>
      <w:proofErr w:type="gramStart"/>
      <w:r w:rsidRPr="003B1439">
        <w:t>receive</w:t>
      </w:r>
      <w:proofErr w:type="gramEnd"/>
      <w:r w:rsidRPr="003B1439">
        <w:t xml:space="preserve"> and disburse funds for school purposes; </w:t>
      </w:r>
    </w:p>
    <w:p w:rsidR="00FA1313" w:rsidRPr="003B1439" w:rsidRDefault="00FA1313" w:rsidP="00FA1313">
      <w:pPr>
        <w:pStyle w:val="HWMLineItem"/>
      </w:pPr>
      <w:r w:rsidRPr="003B1439">
        <w:t xml:space="preserve">(4) incur temporary debt in anticipation of receipt of funds; provided that, notwithstanding any general or special law to the contrary, the terms of repayment of any commonwealth virtual school’s debt shall not exceed the duration of the school’s certificate without the approval of the board; </w:t>
      </w:r>
    </w:p>
    <w:p w:rsidR="00FA1313" w:rsidRPr="003B1439" w:rsidRDefault="00FA1313" w:rsidP="00FA1313">
      <w:pPr>
        <w:pStyle w:val="HWMLineItem"/>
      </w:pPr>
      <w:r w:rsidRPr="003B1439">
        <w:t xml:space="preserve">(5) </w:t>
      </w:r>
      <w:proofErr w:type="gramStart"/>
      <w:r w:rsidRPr="003B1439">
        <w:t>solicit</w:t>
      </w:r>
      <w:proofErr w:type="gramEnd"/>
      <w:r w:rsidRPr="003B1439">
        <w:t xml:space="preserve"> and accept grants or gifts for school purposes; and </w:t>
      </w:r>
    </w:p>
    <w:p w:rsidR="00FA1313" w:rsidRPr="003B1439" w:rsidRDefault="00FA1313" w:rsidP="00FA1313">
      <w:pPr>
        <w:pStyle w:val="HWMLineItem"/>
      </w:pPr>
      <w:r w:rsidRPr="003B1439">
        <w:t xml:space="preserve">(6) </w:t>
      </w:r>
      <w:proofErr w:type="gramStart"/>
      <w:r w:rsidRPr="003B1439">
        <w:t>determine</w:t>
      </w:r>
      <w:proofErr w:type="gramEnd"/>
      <w:r w:rsidRPr="003B1439">
        <w:t xml:space="preserve"> the school’s curriculum and develop the school’s annual budget. </w:t>
      </w:r>
    </w:p>
    <w:p w:rsidR="00FA1313" w:rsidRPr="003B1439" w:rsidRDefault="00FA1313" w:rsidP="00FA1313">
      <w:pPr>
        <w:pStyle w:val="HWMLineItem"/>
      </w:pPr>
      <w:r w:rsidRPr="003B1439">
        <w:t xml:space="preserve">(f) A commonwealth virtual school may provide access to its courses in an existing public school building or any other suitable location; provided, however, that a commonwealth virtual school shall comply with all applicable state and federal health and safety laws and regulations. </w:t>
      </w:r>
    </w:p>
    <w:p w:rsidR="00FA1313" w:rsidRPr="003B1439" w:rsidRDefault="00FA1313" w:rsidP="00FA1313">
      <w:pPr>
        <w:pStyle w:val="HWMLineItem"/>
      </w:pPr>
      <w:r w:rsidRPr="003B1439">
        <w:t xml:space="preserve">(g) The board may waive requirements that </w:t>
      </w:r>
      <w:proofErr w:type="gramStart"/>
      <w:r w:rsidRPr="003B1439">
        <w:t>students</w:t>
      </w:r>
      <w:proofErr w:type="gramEnd"/>
      <w:r w:rsidRPr="003B1439">
        <w:t xml:space="preserve"> who attend a commonwealth virtual school, attend school for a minimum number of hours or days each school year and may permit students to earn credits by demonstrating competency in a grade or subject matter. Students in commonwealth virtual schools shall be required to meet the same academic standards, testing and portfolio requirements set by the board for students in other public schools. </w:t>
      </w:r>
    </w:p>
    <w:p w:rsidR="00FA1313" w:rsidRPr="003B1439" w:rsidRDefault="00FA1313" w:rsidP="00FA1313">
      <w:pPr>
        <w:pStyle w:val="HWMLineItem"/>
      </w:pPr>
      <w:r w:rsidRPr="003B1439">
        <w:t xml:space="preserve">To ensure that students are learning and demonstrating their knowledge, each commonwealth virtual school shall ensure that students are provided, in each credit-bearing course, multiple synchronous learning opportunities with their teachers in which students are required to participate and share their knowledge. </w:t>
      </w:r>
    </w:p>
    <w:p w:rsidR="00FA1313" w:rsidRPr="003B1439" w:rsidRDefault="00FA1313" w:rsidP="00FA1313">
      <w:pPr>
        <w:pStyle w:val="HWMLineItem"/>
      </w:pPr>
      <w:r w:rsidRPr="003B1439">
        <w:t xml:space="preserve">(h) Commonwealth virtual schools shall comply with chapter 71B; provided, however, that the fiscal responsibility for a student with a disability enrolled in or determined to require a private day or residential school shall remain with the school district where the student resides. If a commonwealth virtual school expects that a student with a disability enrolled in the commonwealth virtual school may be in need of the services of a private day or residential school, it shall convene an individualized education program team meeting for the student. Notice of the team meeting shall be provided to the special education department of the school district in which the child resides at least 5 days in advance. Personnel from the school district in which the child resides shall participate in the team meeting concerning future placement of and services for the child and shall agree on the needed services for the child. </w:t>
      </w:r>
    </w:p>
    <w:p w:rsidR="00FA1313" w:rsidRPr="003B1439" w:rsidRDefault="00FA1313" w:rsidP="00FA1313">
      <w:pPr>
        <w:pStyle w:val="HWMLineItem"/>
      </w:pPr>
      <w:r w:rsidRPr="003B1439">
        <w:t>(</w:t>
      </w:r>
      <w:proofErr w:type="spellStart"/>
      <w:r w:rsidRPr="003B1439">
        <w:t>i</w:t>
      </w:r>
      <w:proofErr w:type="spellEnd"/>
      <w:r w:rsidRPr="003B1439">
        <w:t xml:space="preserve">) No teacher shall be hired by a commonwealth virtual school </w:t>
      </w:r>
      <w:proofErr w:type="gramStart"/>
      <w:r w:rsidRPr="003B1439">
        <w:t>who</w:t>
      </w:r>
      <w:proofErr w:type="gramEnd"/>
      <w:r w:rsidRPr="003B1439">
        <w:t xml:space="preserve"> is not certified pursuant to section 38G. Nothing herein shall preclude such teacher from using digital content which may include, but not be limited to, guest lecturers. </w:t>
      </w:r>
    </w:p>
    <w:p w:rsidR="00FA1313" w:rsidRPr="003B1439" w:rsidRDefault="00FA1313" w:rsidP="00FA1313">
      <w:pPr>
        <w:pStyle w:val="HWMLineItem"/>
      </w:pPr>
      <w:r w:rsidRPr="003B1439">
        <w:t xml:space="preserve">(j) A certificate to operate a commonwealth virtual school granted by the board shall be for not less than 3 years and not more than 5 years, as determined by the board. The board shall develop procedures and guidelines for amending, revoking and renewing a virtual school’s certificate. When deciding on certificate renewal, </w:t>
      </w:r>
      <w:r w:rsidRPr="003B1439">
        <w:lastRenderedPageBreak/>
        <w:t xml:space="preserve">the board shall consider progress made in student academic achievement and whether the school has met its obligations and commitments under the certificate. </w:t>
      </w:r>
    </w:p>
    <w:p w:rsidR="00FA1313" w:rsidRPr="003B1439" w:rsidRDefault="00FA1313" w:rsidP="00FA1313">
      <w:pPr>
        <w:pStyle w:val="HWMLineItem"/>
      </w:pPr>
      <w:r w:rsidRPr="003B1439">
        <w:t xml:space="preserve">(k) The amount of tuition per pupil a school district shall pay for a student residing in the district who is enrolled in a commonwealth virtual school shall be the school choice tuition amount, which shall be paid through the school choice mechanism; provided, that the department may, in consultation with the operational services division, approve alternative tuition amounts proposed by applicants that shall not exceed the state average per pupil foundation budget for students of the same classification and grade level; provided, further, that the department may authorize additional tuition assessments for services required by an individualized education program established pursuant to chapter 71B. If a commonwealth virtual school offers online courses to students attending other schools, the commonwealth virtual school shall work with the student’s district or school to determine whether the online courses meet said district’s or school’s standards and requirements and what the commonwealth virtual school will charge the student’s district or school for such online courses. </w:t>
      </w:r>
    </w:p>
    <w:p w:rsidR="00FA1313" w:rsidRPr="003B1439" w:rsidRDefault="00FA1313" w:rsidP="00FA1313">
      <w:pPr>
        <w:pStyle w:val="HWMLineItem"/>
      </w:pPr>
      <w:r w:rsidRPr="003B1439">
        <w:t xml:space="preserve">The department may retain not more than $75 per pupil for the administration of the commonwealth virtual school program. </w:t>
      </w:r>
    </w:p>
    <w:p w:rsidR="00FA1313" w:rsidRPr="003B1439" w:rsidRDefault="00FA1313" w:rsidP="00FA1313">
      <w:pPr>
        <w:pStyle w:val="HWMLineItem"/>
      </w:pPr>
      <w:r w:rsidRPr="003B1439">
        <w:t xml:space="preserve">The department, in consultation with the department of youth services, shall determine the appropriate tuition responsibility for students who are in the custody of the department of corrections, a sheriff or the department of youth services. </w:t>
      </w:r>
    </w:p>
    <w:p w:rsidR="00FA1313" w:rsidRPr="003B1439" w:rsidRDefault="00FA1313" w:rsidP="00FA1313">
      <w:pPr>
        <w:pStyle w:val="HWMLineItem"/>
      </w:pPr>
      <w:r w:rsidRPr="003B1439">
        <w:t xml:space="preserve">Students enrolled in a commonwealth virtual school shall be counted in the foundation enrollment of the school district where the student resides. </w:t>
      </w:r>
    </w:p>
    <w:p w:rsidR="00FA1313" w:rsidRPr="003B1439" w:rsidRDefault="00FA1313" w:rsidP="00FA1313">
      <w:pPr>
        <w:pStyle w:val="HWMLineItem"/>
      </w:pPr>
      <w:r w:rsidRPr="003B1439">
        <w:t xml:space="preserve">(l) The department shall promulgate rules and regulations creating a reporting requirement for a commonwealth virtual school’s net asset balance at the end of each fiscal year; provided, however, that the report shall include, but not be limited to: (1) the revenue and expenditures for the prior fiscal year with a specific accounting of the uses of public and private dollars; (2) compensation and benefits for teachers, staff, administrators, executives and members of the board of trustees; (3) the amount of funds paid to a management company; (4) the sources of surplus funds, specifically whether the funds are private or public; (5) how surplus funds were used in the previous fiscal year; and (6) the planned use of surplus funds in the upcoming fiscal year and in future fiscal years. The board may establish limits for excess funds that may be retained by commonwealth virtual schools and may require commonwealth virtual schools to return excess funds to school districts. </w:t>
      </w:r>
    </w:p>
    <w:p w:rsidR="00FA1313" w:rsidRPr="003B1439" w:rsidRDefault="00FA1313" w:rsidP="00FA1313">
      <w:pPr>
        <w:pStyle w:val="HWMLineItem"/>
      </w:pPr>
      <w:r w:rsidRPr="003B1439">
        <w:t xml:space="preserve">(m) Each commonwealth virtual school shall submit an annual report, on or before January 1, to the board. The school shall make its report available to the public on its website. The annual report shall be in such form as may be prescribed by the board and shall include, but not be limited to: (1) a discussion of progress made toward the achievement of the goals set forth in the certificate; (2) a list of the programs and courses offered; (3) a description and number of the students enrolled in the commonwealth virtual school by grade level, the number of students eligible for free and reduced price lunch and the number of students who applied and were not admitted; (4) a financial statement describing by appropriate categories the revenue and expenditures for the prior fiscal year and a balance sheet describing the commonwealth virtual school’s assets, liabilities and fund balances or equities; (5) information regarding and a discussion of student attendance and participation; (6) information regarding and a discussion of student-teacher interaction; (7) information regarding and a discussion of student performance in the commonwealth virtual school, including data from state assessments and a comparison of students’ achievement against the achievement of the students in the sending district; (8) a discussion of how many courses were completed and not completed; (9) a discussion of how the school created a community for students; (10) what activities were included to engage students and how students participated in those activities; (11) a discussion of parental </w:t>
      </w:r>
      <w:r w:rsidRPr="003B1439">
        <w:lastRenderedPageBreak/>
        <w:t xml:space="preserve">involvement; and (12) a discussion of the school’s outreach and recruitment efforts; provided, however, that said report shall include input from teachers and administrators at the virtual school and input from administrators in a district that has established a virtual school or districts that are members of an education collaborative that has established a virtual school. </w:t>
      </w:r>
    </w:p>
    <w:p w:rsidR="00FA1313" w:rsidRPr="003B1439" w:rsidRDefault="00FA1313" w:rsidP="00FA1313">
      <w:pPr>
        <w:pStyle w:val="HWMLineItem"/>
      </w:pPr>
      <w:r w:rsidRPr="003B1439">
        <w:t xml:space="preserve">(n) Each commonwealth virtual school shall maintain an accurate account of all its activities and all its receipts and expenditures and shall annually conduct an independent audit of its accounts. Such audit shall be filed annually, on or before January 1 with the department and the state auditor and shall be in a form prescribed by the state auditor. The state auditor may investigate the budget and finances of commonwealth virtual schools and their financial dealings, transactions and relationships and shall have the power to examine the records of commonwealth virtual schools and to prescribe methods of accounting and the rendering of periodic reports. </w:t>
      </w:r>
    </w:p>
    <w:p w:rsidR="00FA1313" w:rsidRPr="003B1439" w:rsidRDefault="00FA1313" w:rsidP="00FA1313">
      <w:pPr>
        <w:pStyle w:val="HWMLineItem"/>
      </w:pPr>
      <w:r w:rsidRPr="003B1439">
        <w:t xml:space="preserve">(o) On or before September 1, the commissioner shall furnish a supplemental report on the Massachusetts comprehensive assessment system performance results of students served by each commonwealth virtual school and on the racial, ethnic and socio-economic make-up of the students served by each commonwealth virtual school. The commissioner shall also provide information on the number of students enrolled in each commonwealth virtual school who have individualized education programs pursuant to chapter 71B. The department shall make such report available to the public on the department’s website. </w:t>
      </w:r>
    </w:p>
    <w:p w:rsidR="00FA1313" w:rsidRPr="003B1439" w:rsidRDefault="00FA1313" w:rsidP="00FA1313">
      <w:pPr>
        <w:pStyle w:val="HWMLineItem"/>
      </w:pPr>
      <w:r w:rsidRPr="003B1439">
        <w:t xml:space="preserve">(p) On or before September 1, the commissioner shall prepare a report on the implementation and impact of this section, including, but not limited to: </w:t>
      </w:r>
    </w:p>
    <w:p w:rsidR="00FA1313" w:rsidRPr="003B1439" w:rsidRDefault="00FA1313" w:rsidP="00FA1313">
      <w:pPr>
        <w:pStyle w:val="HWMLineItem"/>
      </w:pPr>
      <w:r w:rsidRPr="003B1439">
        <w:t xml:space="preserve">(1) </w:t>
      </w:r>
      <w:proofErr w:type="gramStart"/>
      <w:r w:rsidRPr="003B1439">
        <w:t>the</w:t>
      </w:r>
      <w:proofErr w:type="gramEnd"/>
      <w:r w:rsidRPr="003B1439">
        <w:t xml:space="preserve"> fiscal impact on sending districts; </w:t>
      </w:r>
    </w:p>
    <w:p w:rsidR="00FA1313" w:rsidRPr="003B1439" w:rsidRDefault="00FA1313" w:rsidP="00FA1313">
      <w:pPr>
        <w:pStyle w:val="HWMLineItem"/>
      </w:pPr>
      <w:r w:rsidRPr="003B1439">
        <w:t xml:space="preserve">(2) any necessary adjustments to tuition rates, including whether the amount should vary based on grade or type of school and the appropriate mechanism for funding virtual schools; </w:t>
      </w:r>
    </w:p>
    <w:p w:rsidR="00FA1313" w:rsidRPr="003B1439" w:rsidRDefault="00FA1313" w:rsidP="00FA1313">
      <w:pPr>
        <w:pStyle w:val="HWMLineItem"/>
      </w:pPr>
      <w:r w:rsidRPr="003B1439">
        <w:t xml:space="preserve">(3) </w:t>
      </w:r>
      <w:proofErr w:type="gramStart"/>
      <w:r w:rsidRPr="003B1439">
        <w:t>information</w:t>
      </w:r>
      <w:proofErr w:type="gramEnd"/>
      <w:r w:rsidRPr="003B1439">
        <w:t xml:space="preserve"> on course completion and student attendance and participation rates; </w:t>
      </w:r>
    </w:p>
    <w:p w:rsidR="00FA1313" w:rsidRPr="003B1439" w:rsidRDefault="00FA1313" w:rsidP="00FA1313">
      <w:pPr>
        <w:pStyle w:val="HWMLineItem"/>
      </w:pPr>
      <w:r w:rsidRPr="003B1439">
        <w:t xml:space="preserve">(4) </w:t>
      </w:r>
      <w:proofErr w:type="gramStart"/>
      <w:r w:rsidRPr="003B1439">
        <w:t>the</w:t>
      </w:r>
      <w:proofErr w:type="gramEnd"/>
      <w:r w:rsidRPr="003B1439">
        <w:t xml:space="preserve"> academic achievement of students attending commonwealth virtual schools; </w:t>
      </w:r>
    </w:p>
    <w:p w:rsidR="00FA1313" w:rsidRPr="003B1439" w:rsidRDefault="00FA1313" w:rsidP="00FA1313">
      <w:pPr>
        <w:pStyle w:val="HWMLineItem"/>
      </w:pPr>
      <w:r w:rsidRPr="003B1439">
        <w:t xml:space="preserve">(5) </w:t>
      </w:r>
      <w:proofErr w:type="gramStart"/>
      <w:r w:rsidRPr="003B1439">
        <w:t>the</w:t>
      </w:r>
      <w:proofErr w:type="gramEnd"/>
      <w:r w:rsidRPr="003B1439">
        <w:t xml:space="preserve"> level of supervision or support needed for students in elementary and middle school; </w:t>
      </w:r>
    </w:p>
    <w:p w:rsidR="00FA1313" w:rsidRPr="003B1439" w:rsidRDefault="00FA1313" w:rsidP="00FA1313">
      <w:pPr>
        <w:pStyle w:val="HWMLineItem"/>
      </w:pPr>
      <w:r w:rsidRPr="003B1439">
        <w:t xml:space="preserve">(6) </w:t>
      </w:r>
      <w:proofErr w:type="gramStart"/>
      <w:r w:rsidRPr="003B1439">
        <w:t>the</w:t>
      </w:r>
      <w:proofErr w:type="gramEnd"/>
      <w:r w:rsidRPr="003B1439">
        <w:t xml:space="preserve"> support necessary or helpful to ensure that students successfully complete online courses; </w:t>
      </w:r>
    </w:p>
    <w:p w:rsidR="00FA1313" w:rsidRPr="003B1439" w:rsidRDefault="00FA1313" w:rsidP="00FA1313">
      <w:pPr>
        <w:pStyle w:val="HWMLineItem"/>
      </w:pPr>
      <w:r w:rsidRPr="003B1439">
        <w:t xml:space="preserve">(7) </w:t>
      </w:r>
      <w:proofErr w:type="gramStart"/>
      <w:r w:rsidRPr="003B1439">
        <w:t>the</w:t>
      </w:r>
      <w:proofErr w:type="gramEnd"/>
      <w:r w:rsidRPr="003B1439">
        <w:t xml:space="preserve"> professional development virtual school teachers require; </w:t>
      </w:r>
    </w:p>
    <w:p w:rsidR="00FA1313" w:rsidRPr="003B1439" w:rsidRDefault="00FA1313" w:rsidP="00FA1313">
      <w:pPr>
        <w:pStyle w:val="HWMLineItem"/>
      </w:pPr>
      <w:r w:rsidRPr="003B1439">
        <w:t xml:space="preserve">(8) </w:t>
      </w:r>
      <w:proofErr w:type="gramStart"/>
      <w:r w:rsidRPr="003B1439">
        <w:t>the</w:t>
      </w:r>
      <w:proofErr w:type="gramEnd"/>
      <w:r w:rsidRPr="003B1439">
        <w:t xml:space="preserve"> appropriate enrollment limit for a virtual school, if any, including information about wait lists; and </w:t>
      </w:r>
    </w:p>
    <w:p w:rsidR="00FA1313" w:rsidRPr="003B1439" w:rsidRDefault="00FA1313" w:rsidP="00FA1313">
      <w:pPr>
        <w:pStyle w:val="HWMLineItem"/>
      </w:pPr>
      <w:r w:rsidRPr="003B1439">
        <w:t xml:space="preserve">(9) </w:t>
      </w:r>
      <w:proofErr w:type="gramStart"/>
      <w:r w:rsidRPr="003B1439">
        <w:t>the</w:t>
      </w:r>
      <w:proofErr w:type="gramEnd"/>
      <w:r w:rsidRPr="003B1439">
        <w:t xml:space="preserve"> need for any changes to the commonwealth virtual school program. </w:t>
      </w:r>
    </w:p>
    <w:p w:rsidR="00FA1313" w:rsidRPr="003B1439" w:rsidRDefault="00FA1313" w:rsidP="00FA1313">
      <w:pPr>
        <w:pStyle w:val="HWMLineItem"/>
      </w:pPr>
      <w:r w:rsidRPr="003B1439">
        <w:t xml:space="preserve">The report shall be based partially on information in each commonwealth virtual school’s annual report and financial audits. This report shall include input from virtual school teachers and administrators. The commissioner shall consult with the digital learning advisory council to prepare this report. The commissioner shall file the report with the clerks of the house and senate, who shall forward the report to the joint committee on education. The department shall make the report available to the public on the department’s website. </w:t>
      </w:r>
    </w:p>
    <w:p w:rsidR="00FA1313" w:rsidRPr="003B1439" w:rsidRDefault="00FA1313" w:rsidP="00FA1313">
      <w:pPr>
        <w:pStyle w:val="HWMLineItem"/>
      </w:pPr>
      <w:r w:rsidRPr="003B1439">
        <w:t xml:space="preserve">(q) The commissioner shall identify and offer information on online courses which are aligned with state academic standards that districts may use and shall publish that list on the department’s website. At least 1 of the online courses listed shall be available at no cost to school districts, provided that such no cost online course is aligned with state academic standards. The list shall be reviewed and updated annually. Nothing in this subsection shall preclude school districts from using other courses not identified by the commissioner. </w:t>
      </w:r>
    </w:p>
    <w:p w:rsidR="00FA1313" w:rsidRPr="003B1439" w:rsidRDefault="00FA1313" w:rsidP="00FA1313">
      <w:pPr>
        <w:pStyle w:val="HWMLineItem"/>
      </w:pPr>
      <w:r w:rsidRPr="003B1439">
        <w:t xml:space="preserve">(r) The board may promulgate regulations for implementation and enforcement of this section, provided that the regulations may include, but shall not be limited to, a provision indicating the appropriate percentage of online academic instruction </w:t>
      </w:r>
      <w:r w:rsidRPr="003B1439">
        <w:lastRenderedPageBreak/>
        <w:t xml:space="preserve">provided for a school to be considered a commonwealth virtual school pursuant to this section. Upon release of the proposed regulations, the board shall file a copy of the regulations with the clerks of the </w:t>
      </w:r>
      <w:proofErr w:type="gramStart"/>
      <w:r w:rsidRPr="003B1439">
        <w:t>house of representatives</w:t>
      </w:r>
      <w:proofErr w:type="gramEnd"/>
      <w:r w:rsidRPr="003B1439">
        <w:t xml:space="preserve"> and the senate, who shall forward the regulations to the joint committee on education. Within 30 days of the filing, the committee may hold a public hearing and issue a report on the regulations and file the report with the board. The board, pursuant to applicable law, may adopt final regulations making revisions to the proposed regulations as it deems appropriate after consideration of the report and shall file a copy of the regulations with the chairpersons of the joint committee on education and, not earlier than 30 days after the filing, the board shall file the final regulations with the state secretary. </w:t>
      </w:r>
    </w:p>
    <w:p w:rsidR="00FA1313" w:rsidRPr="003B1439" w:rsidRDefault="00FA1313" w:rsidP="00FA1313">
      <w:pPr>
        <w:pStyle w:val="HWMLineItem"/>
      </w:pPr>
      <w:r w:rsidRPr="003B1439">
        <w:t xml:space="preserve">(s) Nothing in this section shall preclude a student from taking some or all of the student’s classes online when such classes are offered or approved by the school the student attends or by an education collaborative in which the student’s school district participates. </w:t>
      </w:r>
    </w:p>
    <w:p w:rsidR="00FA1313" w:rsidRPr="003B1439" w:rsidRDefault="00FA1313" w:rsidP="00FA1313">
      <w:pPr>
        <w:pStyle w:val="HWMLineItem"/>
      </w:pPr>
      <w:r w:rsidRPr="003B1439">
        <w:t xml:space="preserve">This section shall not apply to a virtual school operated by a single school district if the school enrolls only students residing in the school district; provided, however, that such district shall submit a summary description of the proposed virtual school to the commissioner for review and comment at least 4 months in advance of the opening of the virtual school. The commissioner shall then provide written comments on the proposal to each district’s school committee. </w:t>
      </w:r>
    </w:p>
    <w:p w:rsidR="00AA2AF8" w:rsidRDefault="00FA1313" w:rsidP="00FA1313">
      <w:pPr>
        <w:pStyle w:val="HWMLineItem"/>
      </w:pPr>
      <w:r w:rsidRPr="003B1439">
        <w:t>(t) A school committee may, by vote, restrict enrollment of its students in commonwealth virtual schools if the total enrollment of its students in commonwealth virtual schools exceeds 1 per cent of the total enrollment in its district; provided, however, that no student enrolled in a commonwealth virtual school shall be compelled to withdraw as a result of that</w:t>
      </w:r>
      <w:r>
        <w:t xml:space="preserve"> vote.</w:t>
      </w:r>
    </w:p>
    <w:p w:rsidR="00FA1313" w:rsidRDefault="00FA1313">
      <w:pPr>
        <w:rPr>
          <w:rFonts w:ascii="Arial" w:eastAsiaTheme="minorEastAsia" w:hAnsi="Arial" w:cs="Arial"/>
          <w:iCs/>
          <w:sz w:val="20"/>
          <w:szCs w:val="20"/>
        </w:rPr>
      </w:pPr>
      <w:r>
        <w:br w:type="page"/>
      </w:r>
    </w:p>
    <w:p w:rsidR="002A7C0F" w:rsidRDefault="002A7C0F" w:rsidP="002A7C0F">
      <w:pPr>
        <w:pStyle w:val="Heading1"/>
        <w:spacing w:before="0" w:after="0"/>
      </w:pPr>
      <w:bookmarkStart w:id="22" w:name="_Toc415485261"/>
      <w:r>
        <w:lastRenderedPageBreak/>
        <w:t>Appendix B</w:t>
      </w:r>
      <w:r w:rsidRPr="00642872">
        <w:t xml:space="preserve">: </w:t>
      </w:r>
      <w:r>
        <w:t>FY2014 GCVS Student FTE and Tuition by Sending District</w:t>
      </w:r>
      <w:bookmarkEnd w:id="22"/>
    </w:p>
    <w:p w:rsidR="002A7C0F" w:rsidRPr="00531B05" w:rsidRDefault="002A7C0F" w:rsidP="002A7C0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40"/>
        <w:gridCol w:w="1055"/>
        <w:gridCol w:w="1055"/>
        <w:gridCol w:w="1057"/>
        <w:gridCol w:w="1055"/>
        <w:gridCol w:w="1055"/>
        <w:gridCol w:w="1059"/>
      </w:tblGrid>
      <w:tr w:rsidR="002A7C0F" w:rsidRPr="00531B05" w:rsidTr="00B53FD0">
        <w:trPr>
          <w:trHeight w:val="300"/>
          <w:tblHeader/>
        </w:trPr>
        <w:tc>
          <w:tcPr>
            <w:tcW w:w="5000" w:type="pct"/>
            <w:gridSpan w:val="7"/>
            <w:shd w:val="clear" w:color="auto" w:fill="auto"/>
            <w:noWrap/>
            <w:vAlign w:val="bottom"/>
            <w:hideMark/>
          </w:tcPr>
          <w:p w:rsidR="002A7C0F" w:rsidRPr="00531B05" w:rsidRDefault="002A7C0F" w:rsidP="00B53FD0">
            <w:pPr>
              <w:spacing w:before="40" w:after="40"/>
              <w:jc w:val="center"/>
              <w:rPr>
                <w:color w:val="000000"/>
                <w:sz w:val="20"/>
                <w:szCs w:val="20"/>
              </w:rPr>
            </w:pPr>
            <w:bookmarkStart w:id="23" w:name="RANGE!A1:G149"/>
            <w:r w:rsidRPr="00531B05">
              <w:rPr>
                <w:color w:val="000000"/>
                <w:sz w:val="20"/>
                <w:szCs w:val="20"/>
              </w:rPr>
              <w:t>FY2014 GCVS Student FTE and Tuition by Sending District</w:t>
            </w:r>
            <w:bookmarkEnd w:id="23"/>
            <w:r>
              <w:rPr>
                <w:rStyle w:val="FootnoteReference"/>
                <w:color w:val="000000"/>
                <w:sz w:val="20"/>
                <w:szCs w:val="20"/>
              </w:rPr>
              <w:footnoteReference w:id="11"/>
            </w:r>
          </w:p>
        </w:tc>
      </w:tr>
      <w:tr w:rsidR="002A7C0F" w:rsidRPr="00531B05" w:rsidTr="00B53FD0">
        <w:trPr>
          <w:trHeight w:val="300"/>
          <w:tblHeader/>
        </w:trPr>
        <w:tc>
          <w:tcPr>
            <w:tcW w:w="1691" w:type="pct"/>
            <w:vMerge w:val="restart"/>
            <w:shd w:val="clear" w:color="auto" w:fill="auto"/>
            <w:noWrap/>
            <w:vAlign w:val="bottom"/>
            <w:hideMark/>
          </w:tcPr>
          <w:p w:rsidR="002A7C0F" w:rsidRPr="00531B05" w:rsidRDefault="002A7C0F" w:rsidP="00B53FD0">
            <w:pPr>
              <w:spacing w:before="40" w:after="40"/>
              <w:rPr>
                <w:b/>
                <w:bCs/>
                <w:color w:val="000000"/>
                <w:sz w:val="20"/>
                <w:szCs w:val="20"/>
              </w:rPr>
            </w:pPr>
            <w:r w:rsidRPr="00531B05">
              <w:rPr>
                <w:b/>
                <w:bCs/>
                <w:color w:val="000000"/>
                <w:sz w:val="20"/>
                <w:szCs w:val="20"/>
              </w:rPr>
              <w:t>District</w:t>
            </w:r>
          </w:p>
        </w:tc>
        <w:tc>
          <w:tcPr>
            <w:tcW w:w="1654" w:type="pct"/>
            <w:gridSpan w:val="3"/>
            <w:shd w:val="clear" w:color="auto" w:fill="auto"/>
            <w:noWrap/>
            <w:vAlign w:val="bottom"/>
            <w:hideMark/>
          </w:tcPr>
          <w:p w:rsidR="002A7C0F" w:rsidRPr="00531B05" w:rsidRDefault="002A7C0F" w:rsidP="00B53FD0">
            <w:pPr>
              <w:spacing w:before="40" w:after="40"/>
              <w:jc w:val="center"/>
              <w:rPr>
                <w:b/>
                <w:bCs/>
                <w:color w:val="000000"/>
                <w:sz w:val="20"/>
                <w:szCs w:val="20"/>
              </w:rPr>
            </w:pPr>
            <w:r w:rsidRPr="00531B05">
              <w:rPr>
                <w:b/>
                <w:bCs/>
                <w:color w:val="000000"/>
                <w:sz w:val="20"/>
                <w:szCs w:val="20"/>
              </w:rPr>
              <w:t>FTE (Student Enrollment)</w:t>
            </w:r>
          </w:p>
        </w:tc>
        <w:tc>
          <w:tcPr>
            <w:tcW w:w="1654" w:type="pct"/>
            <w:gridSpan w:val="3"/>
            <w:shd w:val="clear" w:color="auto" w:fill="auto"/>
            <w:noWrap/>
            <w:vAlign w:val="bottom"/>
            <w:hideMark/>
          </w:tcPr>
          <w:p w:rsidR="002A7C0F" w:rsidRPr="00531B05" w:rsidRDefault="002A7C0F" w:rsidP="00B53FD0">
            <w:pPr>
              <w:spacing w:before="40" w:after="40"/>
              <w:jc w:val="center"/>
              <w:rPr>
                <w:b/>
                <w:bCs/>
                <w:color w:val="000000"/>
                <w:sz w:val="20"/>
                <w:szCs w:val="20"/>
              </w:rPr>
            </w:pPr>
            <w:r w:rsidRPr="00531B05">
              <w:rPr>
                <w:b/>
                <w:bCs/>
                <w:color w:val="000000"/>
                <w:sz w:val="20"/>
                <w:szCs w:val="20"/>
              </w:rPr>
              <w:t>Tuition (Dollars)</w:t>
            </w:r>
          </w:p>
        </w:tc>
      </w:tr>
      <w:tr w:rsidR="002A7C0F" w:rsidRPr="00531B05" w:rsidTr="00B53FD0">
        <w:trPr>
          <w:trHeight w:val="300"/>
          <w:tblHeader/>
        </w:trPr>
        <w:tc>
          <w:tcPr>
            <w:tcW w:w="1691" w:type="pct"/>
            <w:vMerge/>
            <w:vAlign w:val="center"/>
            <w:hideMark/>
          </w:tcPr>
          <w:p w:rsidR="002A7C0F" w:rsidRPr="00531B05" w:rsidRDefault="002A7C0F" w:rsidP="00B53FD0">
            <w:pPr>
              <w:spacing w:before="40" w:after="40"/>
              <w:rPr>
                <w:b/>
                <w:bCs/>
                <w:color w:val="000000"/>
                <w:sz w:val="20"/>
                <w:szCs w:val="20"/>
              </w:rPr>
            </w:pPr>
          </w:p>
        </w:tc>
        <w:tc>
          <w:tcPr>
            <w:tcW w:w="551" w:type="pct"/>
            <w:shd w:val="clear" w:color="auto" w:fill="auto"/>
            <w:noWrap/>
            <w:vAlign w:val="bottom"/>
            <w:hideMark/>
          </w:tcPr>
          <w:p w:rsidR="002A7C0F" w:rsidRPr="00531B05" w:rsidRDefault="002A7C0F" w:rsidP="00B53FD0">
            <w:pPr>
              <w:spacing w:before="40" w:after="40"/>
              <w:jc w:val="right"/>
              <w:rPr>
                <w:b/>
                <w:bCs/>
                <w:color w:val="000000"/>
                <w:sz w:val="20"/>
                <w:szCs w:val="20"/>
              </w:rPr>
            </w:pPr>
            <w:r w:rsidRPr="00531B05">
              <w:rPr>
                <w:b/>
                <w:bCs/>
                <w:color w:val="000000"/>
                <w:sz w:val="20"/>
                <w:szCs w:val="20"/>
              </w:rPr>
              <w:t>Dec-13</w:t>
            </w:r>
          </w:p>
        </w:tc>
        <w:tc>
          <w:tcPr>
            <w:tcW w:w="551" w:type="pct"/>
            <w:shd w:val="clear" w:color="auto" w:fill="auto"/>
            <w:noWrap/>
            <w:vAlign w:val="bottom"/>
            <w:hideMark/>
          </w:tcPr>
          <w:p w:rsidR="002A7C0F" w:rsidRPr="00531B05" w:rsidRDefault="002A7C0F" w:rsidP="00B53FD0">
            <w:pPr>
              <w:spacing w:before="40" w:after="40"/>
              <w:jc w:val="right"/>
              <w:rPr>
                <w:b/>
                <w:bCs/>
                <w:color w:val="000000"/>
                <w:sz w:val="20"/>
                <w:szCs w:val="20"/>
              </w:rPr>
            </w:pPr>
            <w:r>
              <w:rPr>
                <w:b/>
                <w:bCs/>
                <w:color w:val="000000"/>
                <w:sz w:val="20"/>
                <w:szCs w:val="20"/>
              </w:rPr>
              <w:t>Jun-14</w:t>
            </w:r>
          </w:p>
        </w:tc>
        <w:tc>
          <w:tcPr>
            <w:tcW w:w="551" w:type="pct"/>
            <w:shd w:val="clear" w:color="auto" w:fill="auto"/>
            <w:noWrap/>
            <w:vAlign w:val="bottom"/>
            <w:hideMark/>
          </w:tcPr>
          <w:p w:rsidR="002A7C0F" w:rsidRPr="00531B05" w:rsidRDefault="002A7C0F" w:rsidP="00B53FD0">
            <w:pPr>
              <w:spacing w:before="40" w:after="40"/>
              <w:jc w:val="right"/>
              <w:rPr>
                <w:b/>
                <w:bCs/>
                <w:color w:val="000000"/>
                <w:sz w:val="20"/>
                <w:szCs w:val="20"/>
              </w:rPr>
            </w:pPr>
            <w:r w:rsidRPr="00531B05">
              <w:rPr>
                <w:b/>
                <w:bCs/>
                <w:color w:val="000000"/>
                <w:sz w:val="20"/>
                <w:szCs w:val="20"/>
              </w:rPr>
              <w:t>Change</w:t>
            </w:r>
          </w:p>
        </w:tc>
        <w:tc>
          <w:tcPr>
            <w:tcW w:w="551" w:type="pct"/>
            <w:shd w:val="clear" w:color="auto" w:fill="auto"/>
            <w:noWrap/>
            <w:vAlign w:val="bottom"/>
            <w:hideMark/>
          </w:tcPr>
          <w:p w:rsidR="002A7C0F" w:rsidRPr="00531B05" w:rsidRDefault="002A7C0F" w:rsidP="00B53FD0">
            <w:pPr>
              <w:spacing w:before="40" w:after="40"/>
              <w:jc w:val="right"/>
              <w:rPr>
                <w:b/>
                <w:bCs/>
                <w:color w:val="000000"/>
                <w:sz w:val="20"/>
                <w:szCs w:val="20"/>
              </w:rPr>
            </w:pPr>
            <w:r w:rsidRPr="00531B05">
              <w:rPr>
                <w:b/>
                <w:bCs/>
                <w:color w:val="000000"/>
                <w:sz w:val="20"/>
                <w:szCs w:val="20"/>
              </w:rPr>
              <w:t>Dec-13</w:t>
            </w:r>
          </w:p>
        </w:tc>
        <w:tc>
          <w:tcPr>
            <w:tcW w:w="551" w:type="pct"/>
            <w:shd w:val="clear" w:color="auto" w:fill="auto"/>
            <w:noWrap/>
            <w:vAlign w:val="bottom"/>
            <w:hideMark/>
          </w:tcPr>
          <w:p w:rsidR="002A7C0F" w:rsidRPr="00531B05" w:rsidRDefault="002A7C0F" w:rsidP="00B53FD0">
            <w:pPr>
              <w:spacing w:before="40" w:after="40"/>
              <w:jc w:val="right"/>
              <w:rPr>
                <w:b/>
                <w:bCs/>
                <w:color w:val="000000"/>
                <w:sz w:val="20"/>
                <w:szCs w:val="20"/>
              </w:rPr>
            </w:pPr>
            <w:r>
              <w:rPr>
                <w:b/>
                <w:bCs/>
                <w:color w:val="000000"/>
                <w:sz w:val="20"/>
                <w:szCs w:val="20"/>
              </w:rPr>
              <w:t>Jun-14</w:t>
            </w:r>
          </w:p>
        </w:tc>
        <w:tc>
          <w:tcPr>
            <w:tcW w:w="551" w:type="pct"/>
            <w:shd w:val="clear" w:color="auto" w:fill="auto"/>
            <w:noWrap/>
            <w:vAlign w:val="bottom"/>
            <w:hideMark/>
          </w:tcPr>
          <w:p w:rsidR="002A7C0F" w:rsidRPr="00531B05" w:rsidRDefault="002A7C0F" w:rsidP="00B53FD0">
            <w:pPr>
              <w:spacing w:before="40" w:after="40"/>
              <w:jc w:val="right"/>
              <w:rPr>
                <w:b/>
                <w:bCs/>
                <w:color w:val="000000"/>
                <w:sz w:val="20"/>
                <w:szCs w:val="20"/>
              </w:rPr>
            </w:pPr>
            <w:r w:rsidRPr="00531B05">
              <w:rPr>
                <w:b/>
                <w:bCs/>
                <w:color w:val="000000"/>
                <w:sz w:val="20"/>
                <w:szCs w:val="20"/>
              </w:rPr>
              <w:t xml:space="preserve"> Change </w:t>
            </w:r>
          </w:p>
        </w:tc>
      </w:tr>
      <w:tr w:rsidR="002A7C0F" w:rsidRPr="00531B05" w:rsidTr="00B53FD0">
        <w:trPr>
          <w:trHeight w:val="300"/>
        </w:trPr>
        <w:tc>
          <w:tcPr>
            <w:tcW w:w="1691" w:type="pct"/>
            <w:shd w:val="clear" w:color="auto" w:fill="auto"/>
            <w:noWrap/>
            <w:vAlign w:val="bottom"/>
            <w:hideMark/>
          </w:tcPr>
          <w:p w:rsidR="002A7C0F" w:rsidRPr="00531B05" w:rsidRDefault="002A7C0F" w:rsidP="00B53FD0">
            <w:pPr>
              <w:spacing w:before="40" w:after="40"/>
              <w:rPr>
                <w:color w:val="000000"/>
                <w:sz w:val="20"/>
                <w:szCs w:val="20"/>
              </w:rPr>
            </w:pPr>
            <w:r w:rsidRPr="00531B05">
              <w:rPr>
                <w:color w:val="000000"/>
                <w:sz w:val="20"/>
                <w:szCs w:val="20"/>
              </w:rPr>
              <w:t>Abington</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5</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5</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0</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33,125</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33,500</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375</w:t>
            </w:r>
          </w:p>
        </w:tc>
      </w:tr>
      <w:tr w:rsidR="002A7C0F" w:rsidRPr="00531B05" w:rsidTr="00B53FD0">
        <w:trPr>
          <w:trHeight w:val="300"/>
        </w:trPr>
        <w:tc>
          <w:tcPr>
            <w:tcW w:w="1691" w:type="pct"/>
            <w:shd w:val="clear" w:color="auto" w:fill="auto"/>
            <w:noWrap/>
            <w:vAlign w:val="bottom"/>
            <w:hideMark/>
          </w:tcPr>
          <w:p w:rsidR="002A7C0F" w:rsidRPr="00531B05" w:rsidRDefault="002A7C0F" w:rsidP="00B53FD0">
            <w:pPr>
              <w:spacing w:before="40" w:after="40"/>
              <w:rPr>
                <w:color w:val="000000"/>
                <w:sz w:val="20"/>
                <w:szCs w:val="20"/>
              </w:rPr>
            </w:pPr>
            <w:r w:rsidRPr="00531B05">
              <w:rPr>
                <w:color w:val="000000"/>
                <w:sz w:val="20"/>
                <w:szCs w:val="20"/>
              </w:rPr>
              <w:t>Acton-Boxborough</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2</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2</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0</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13,250</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13,400</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150</w:t>
            </w:r>
          </w:p>
        </w:tc>
      </w:tr>
      <w:tr w:rsidR="002A7C0F" w:rsidRPr="00531B05" w:rsidTr="00B53FD0">
        <w:trPr>
          <w:trHeight w:val="300"/>
        </w:trPr>
        <w:tc>
          <w:tcPr>
            <w:tcW w:w="1691" w:type="pct"/>
            <w:shd w:val="clear" w:color="auto" w:fill="auto"/>
            <w:noWrap/>
            <w:vAlign w:val="bottom"/>
            <w:hideMark/>
          </w:tcPr>
          <w:p w:rsidR="002A7C0F" w:rsidRPr="00531B05" w:rsidRDefault="002A7C0F" w:rsidP="00B53FD0">
            <w:pPr>
              <w:spacing w:before="40" w:after="40"/>
              <w:rPr>
                <w:color w:val="000000"/>
                <w:sz w:val="20"/>
                <w:szCs w:val="20"/>
              </w:rPr>
            </w:pPr>
            <w:r w:rsidRPr="00531B05">
              <w:rPr>
                <w:color w:val="000000"/>
                <w:sz w:val="20"/>
                <w:szCs w:val="20"/>
              </w:rPr>
              <w:t>Agawam</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6</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5.98</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-0.02</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39,750</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40,068</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318</w:t>
            </w:r>
          </w:p>
        </w:tc>
      </w:tr>
      <w:tr w:rsidR="002A7C0F" w:rsidRPr="00531B05" w:rsidTr="00B53FD0">
        <w:trPr>
          <w:trHeight w:val="300"/>
        </w:trPr>
        <w:tc>
          <w:tcPr>
            <w:tcW w:w="1691" w:type="pct"/>
            <w:shd w:val="clear" w:color="auto" w:fill="auto"/>
            <w:noWrap/>
            <w:vAlign w:val="bottom"/>
            <w:hideMark/>
          </w:tcPr>
          <w:p w:rsidR="002A7C0F" w:rsidRPr="00531B05" w:rsidRDefault="002A7C0F" w:rsidP="00B53FD0">
            <w:pPr>
              <w:spacing w:before="40" w:after="40"/>
              <w:rPr>
                <w:color w:val="000000"/>
                <w:sz w:val="20"/>
                <w:szCs w:val="20"/>
              </w:rPr>
            </w:pPr>
            <w:r w:rsidRPr="00531B05">
              <w:rPr>
                <w:color w:val="000000"/>
                <w:sz w:val="20"/>
                <w:szCs w:val="20"/>
              </w:rPr>
              <w:t>Amherst-Pelham</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3</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3</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0</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19,875</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20,100</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225</w:t>
            </w:r>
          </w:p>
        </w:tc>
      </w:tr>
      <w:tr w:rsidR="002A7C0F" w:rsidRPr="00531B05" w:rsidTr="00B53FD0">
        <w:trPr>
          <w:trHeight w:val="300"/>
        </w:trPr>
        <w:tc>
          <w:tcPr>
            <w:tcW w:w="1691" w:type="pct"/>
            <w:shd w:val="clear" w:color="auto" w:fill="auto"/>
            <w:noWrap/>
            <w:vAlign w:val="bottom"/>
            <w:hideMark/>
          </w:tcPr>
          <w:p w:rsidR="002A7C0F" w:rsidRPr="00531B05" w:rsidRDefault="002A7C0F" w:rsidP="00B53FD0">
            <w:pPr>
              <w:spacing w:before="40" w:after="40"/>
              <w:rPr>
                <w:color w:val="000000"/>
                <w:sz w:val="20"/>
                <w:szCs w:val="20"/>
              </w:rPr>
            </w:pPr>
            <w:r w:rsidRPr="00531B05">
              <w:rPr>
                <w:color w:val="000000"/>
                <w:sz w:val="20"/>
                <w:szCs w:val="20"/>
              </w:rPr>
              <w:t>Ashburnham-Westminster</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3</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3.47</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0.47</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19,875</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23,289</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3,414</w:t>
            </w:r>
          </w:p>
        </w:tc>
      </w:tr>
      <w:tr w:rsidR="002A7C0F" w:rsidRPr="00531B05" w:rsidTr="00B53FD0">
        <w:trPr>
          <w:trHeight w:val="300"/>
        </w:trPr>
        <w:tc>
          <w:tcPr>
            <w:tcW w:w="1691" w:type="pct"/>
            <w:shd w:val="clear" w:color="auto" w:fill="auto"/>
            <w:noWrap/>
            <w:vAlign w:val="bottom"/>
            <w:hideMark/>
          </w:tcPr>
          <w:p w:rsidR="002A7C0F" w:rsidRPr="00531B05" w:rsidRDefault="002A7C0F" w:rsidP="00B53FD0">
            <w:pPr>
              <w:spacing w:before="40" w:after="40"/>
              <w:rPr>
                <w:color w:val="000000"/>
                <w:sz w:val="20"/>
                <w:szCs w:val="20"/>
              </w:rPr>
            </w:pPr>
            <w:r w:rsidRPr="00531B05">
              <w:rPr>
                <w:color w:val="000000"/>
                <w:sz w:val="20"/>
                <w:szCs w:val="20"/>
              </w:rPr>
              <w:t>Athol-</w:t>
            </w:r>
            <w:proofErr w:type="spellStart"/>
            <w:r w:rsidRPr="00531B05">
              <w:rPr>
                <w:color w:val="000000"/>
                <w:sz w:val="20"/>
                <w:szCs w:val="20"/>
              </w:rPr>
              <w:t>Royalston</w:t>
            </w:r>
            <w:proofErr w:type="spellEnd"/>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1</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3.16</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2.16</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6,625</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21,310</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14,685</w:t>
            </w:r>
          </w:p>
        </w:tc>
      </w:tr>
      <w:tr w:rsidR="002A7C0F" w:rsidRPr="00531B05" w:rsidTr="00B53FD0">
        <w:trPr>
          <w:trHeight w:val="300"/>
        </w:trPr>
        <w:tc>
          <w:tcPr>
            <w:tcW w:w="1691" w:type="pct"/>
            <w:shd w:val="clear" w:color="auto" w:fill="auto"/>
            <w:noWrap/>
            <w:vAlign w:val="bottom"/>
            <w:hideMark/>
          </w:tcPr>
          <w:p w:rsidR="002A7C0F" w:rsidRPr="00531B05" w:rsidRDefault="002A7C0F" w:rsidP="00B53FD0">
            <w:pPr>
              <w:spacing w:before="40" w:after="40"/>
              <w:rPr>
                <w:color w:val="000000"/>
                <w:sz w:val="20"/>
                <w:szCs w:val="20"/>
              </w:rPr>
            </w:pPr>
            <w:r w:rsidRPr="00531B05">
              <w:rPr>
                <w:color w:val="000000"/>
                <w:sz w:val="20"/>
                <w:szCs w:val="20"/>
              </w:rPr>
              <w:t>Attleboro</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3</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3.29</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0.29</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19,875</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22,096</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2,221</w:t>
            </w:r>
          </w:p>
        </w:tc>
      </w:tr>
      <w:tr w:rsidR="002A7C0F" w:rsidRPr="00531B05" w:rsidTr="00B53FD0">
        <w:trPr>
          <w:trHeight w:val="300"/>
        </w:trPr>
        <w:tc>
          <w:tcPr>
            <w:tcW w:w="1691" w:type="pct"/>
            <w:shd w:val="clear" w:color="auto" w:fill="auto"/>
            <w:noWrap/>
            <w:vAlign w:val="bottom"/>
            <w:hideMark/>
          </w:tcPr>
          <w:p w:rsidR="002A7C0F" w:rsidRPr="00531B05" w:rsidRDefault="002A7C0F" w:rsidP="00B53FD0">
            <w:pPr>
              <w:spacing w:before="40" w:after="40"/>
              <w:rPr>
                <w:color w:val="000000"/>
                <w:sz w:val="20"/>
                <w:szCs w:val="20"/>
              </w:rPr>
            </w:pPr>
            <w:r w:rsidRPr="00531B05">
              <w:rPr>
                <w:color w:val="000000"/>
                <w:sz w:val="20"/>
                <w:szCs w:val="20"/>
              </w:rPr>
              <w:t>Auburn</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1</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1</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0</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6,625</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6,700</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75</w:t>
            </w:r>
          </w:p>
        </w:tc>
      </w:tr>
      <w:tr w:rsidR="002A7C0F" w:rsidRPr="00531B05" w:rsidTr="00B53FD0">
        <w:trPr>
          <w:trHeight w:val="300"/>
        </w:trPr>
        <w:tc>
          <w:tcPr>
            <w:tcW w:w="1691" w:type="pct"/>
            <w:shd w:val="clear" w:color="auto" w:fill="auto"/>
            <w:noWrap/>
            <w:vAlign w:val="bottom"/>
            <w:hideMark/>
          </w:tcPr>
          <w:p w:rsidR="002A7C0F" w:rsidRPr="00531B05" w:rsidRDefault="002A7C0F" w:rsidP="00B53FD0">
            <w:pPr>
              <w:spacing w:before="40" w:after="40"/>
              <w:rPr>
                <w:color w:val="000000"/>
                <w:sz w:val="20"/>
                <w:szCs w:val="20"/>
              </w:rPr>
            </w:pPr>
            <w:r w:rsidRPr="00531B05">
              <w:rPr>
                <w:color w:val="000000"/>
                <w:sz w:val="20"/>
                <w:szCs w:val="20"/>
              </w:rPr>
              <w:t>Ayer Shirley School District</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1</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1.47</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0.47</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6,625</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9,889</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3,264</w:t>
            </w:r>
          </w:p>
        </w:tc>
      </w:tr>
      <w:tr w:rsidR="002A7C0F" w:rsidRPr="00531B05" w:rsidTr="00B53FD0">
        <w:trPr>
          <w:trHeight w:val="300"/>
        </w:trPr>
        <w:tc>
          <w:tcPr>
            <w:tcW w:w="1691" w:type="pct"/>
            <w:shd w:val="clear" w:color="auto" w:fill="auto"/>
            <w:noWrap/>
            <w:vAlign w:val="bottom"/>
            <w:hideMark/>
          </w:tcPr>
          <w:p w:rsidR="002A7C0F" w:rsidRPr="00531B05" w:rsidRDefault="002A7C0F" w:rsidP="00B53FD0">
            <w:pPr>
              <w:spacing w:before="40" w:after="40"/>
              <w:rPr>
                <w:color w:val="000000"/>
                <w:sz w:val="20"/>
                <w:szCs w:val="20"/>
              </w:rPr>
            </w:pPr>
            <w:r w:rsidRPr="00531B05">
              <w:rPr>
                <w:color w:val="000000"/>
                <w:sz w:val="20"/>
                <w:szCs w:val="20"/>
              </w:rPr>
              <w:t>Barnstable</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4</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1.99</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-2.01</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26,500</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13,483</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-13,017</w:t>
            </w:r>
          </w:p>
        </w:tc>
      </w:tr>
      <w:tr w:rsidR="002A7C0F" w:rsidRPr="00531B05" w:rsidTr="00B53FD0">
        <w:trPr>
          <w:trHeight w:val="300"/>
        </w:trPr>
        <w:tc>
          <w:tcPr>
            <w:tcW w:w="1691" w:type="pct"/>
            <w:shd w:val="clear" w:color="auto" w:fill="auto"/>
            <w:noWrap/>
            <w:vAlign w:val="bottom"/>
            <w:hideMark/>
          </w:tcPr>
          <w:p w:rsidR="002A7C0F" w:rsidRPr="00531B05" w:rsidRDefault="002A7C0F" w:rsidP="00B53FD0">
            <w:pPr>
              <w:spacing w:before="40" w:after="40"/>
              <w:rPr>
                <w:color w:val="000000"/>
                <w:sz w:val="20"/>
                <w:szCs w:val="20"/>
              </w:rPr>
            </w:pPr>
            <w:r w:rsidRPr="00531B05">
              <w:rPr>
                <w:color w:val="000000"/>
                <w:sz w:val="20"/>
                <w:szCs w:val="20"/>
              </w:rPr>
              <w:t>Belchertown</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1</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1</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0</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6,625</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6,700</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75</w:t>
            </w:r>
          </w:p>
        </w:tc>
      </w:tr>
      <w:tr w:rsidR="002A7C0F" w:rsidRPr="00531B05" w:rsidTr="00B53FD0">
        <w:trPr>
          <w:trHeight w:val="300"/>
        </w:trPr>
        <w:tc>
          <w:tcPr>
            <w:tcW w:w="1691" w:type="pct"/>
            <w:shd w:val="clear" w:color="auto" w:fill="auto"/>
            <w:noWrap/>
            <w:vAlign w:val="bottom"/>
            <w:hideMark/>
          </w:tcPr>
          <w:p w:rsidR="002A7C0F" w:rsidRPr="00531B05" w:rsidRDefault="002A7C0F" w:rsidP="00B53FD0">
            <w:pPr>
              <w:spacing w:before="40" w:after="40"/>
              <w:rPr>
                <w:color w:val="000000"/>
                <w:sz w:val="20"/>
                <w:szCs w:val="20"/>
              </w:rPr>
            </w:pPr>
            <w:r w:rsidRPr="00531B05">
              <w:rPr>
                <w:color w:val="000000"/>
                <w:sz w:val="20"/>
                <w:szCs w:val="20"/>
              </w:rPr>
              <w:t>Bellingham</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2</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2</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0</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13,250</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14,469</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1,219</w:t>
            </w:r>
          </w:p>
        </w:tc>
      </w:tr>
      <w:tr w:rsidR="002A7C0F" w:rsidRPr="00531B05" w:rsidTr="00B53FD0">
        <w:trPr>
          <w:trHeight w:val="300"/>
        </w:trPr>
        <w:tc>
          <w:tcPr>
            <w:tcW w:w="1691" w:type="pct"/>
            <w:shd w:val="clear" w:color="auto" w:fill="auto"/>
            <w:noWrap/>
            <w:vAlign w:val="bottom"/>
            <w:hideMark/>
          </w:tcPr>
          <w:p w:rsidR="002A7C0F" w:rsidRPr="00531B05" w:rsidRDefault="002A7C0F" w:rsidP="00B53FD0">
            <w:pPr>
              <w:spacing w:before="40" w:after="40"/>
              <w:rPr>
                <w:color w:val="000000"/>
                <w:sz w:val="20"/>
                <w:szCs w:val="20"/>
              </w:rPr>
            </w:pPr>
            <w:r w:rsidRPr="00531B05">
              <w:rPr>
                <w:color w:val="000000"/>
                <w:sz w:val="20"/>
                <w:szCs w:val="20"/>
              </w:rPr>
              <w:t>Berkshire Hills</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1</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1</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0</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6,625</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6,700</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75</w:t>
            </w:r>
          </w:p>
        </w:tc>
      </w:tr>
      <w:tr w:rsidR="002A7C0F" w:rsidRPr="00531B05" w:rsidTr="00B53FD0">
        <w:trPr>
          <w:trHeight w:val="300"/>
        </w:trPr>
        <w:tc>
          <w:tcPr>
            <w:tcW w:w="1691" w:type="pct"/>
            <w:shd w:val="clear" w:color="auto" w:fill="auto"/>
            <w:noWrap/>
            <w:vAlign w:val="bottom"/>
            <w:hideMark/>
          </w:tcPr>
          <w:p w:rsidR="002A7C0F" w:rsidRPr="00531B05" w:rsidRDefault="002A7C0F" w:rsidP="00B53FD0">
            <w:pPr>
              <w:spacing w:before="40" w:after="40"/>
              <w:rPr>
                <w:color w:val="000000"/>
                <w:sz w:val="20"/>
                <w:szCs w:val="20"/>
              </w:rPr>
            </w:pPr>
            <w:r w:rsidRPr="00531B05">
              <w:rPr>
                <w:color w:val="000000"/>
                <w:sz w:val="20"/>
                <w:szCs w:val="20"/>
              </w:rPr>
              <w:t>Beverly</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5</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6.24</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1.24</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33,125</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41,866</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8,741</w:t>
            </w:r>
          </w:p>
        </w:tc>
      </w:tr>
      <w:tr w:rsidR="002A7C0F" w:rsidRPr="00531B05" w:rsidTr="00B53FD0">
        <w:trPr>
          <w:trHeight w:val="300"/>
        </w:trPr>
        <w:tc>
          <w:tcPr>
            <w:tcW w:w="1691" w:type="pct"/>
            <w:shd w:val="clear" w:color="auto" w:fill="auto"/>
            <w:noWrap/>
            <w:vAlign w:val="bottom"/>
            <w:hideMark/>
          </w:tcPr>
          <w:p w:rsidR="002A7C0F" w:rsidRPr="00531B05" w:rsidRDefault="002A7C0F" w:rsidP="00B53FD0">
            <w:pPr>
              <w:spacing w:before="40" w:after="40"/>
              <w:rPr>
                <w:color w:val="000000"/>
                <w:sz w:val="20"/>
                <w:szCs w:val="20"/>
              </w:rPr>
            </w:pPr>
            <w:r w:rsidRPr="00531B05">
              <w:rPr>
                <w:color w:val="000000"/>
                <w:sz w:val="20"/>
                <w:szCs w:val="20"/>
              </w:rPr>
              <w:t>Boston</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19</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23.2</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4.2</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125,875</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155,878</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30,003</w:t>
            </w:r>
          </w:p>
        </w:tc>
      </w:tr>
      <w:tr w:rsidR="002A7C0F" w:rsidRPr="00531B05" w:rsidTr="00B53FD0">
        <w:trPr>
          <w:trHeight w:val="300"/>
        </w:trPr>
        <w:tc>
          <w:tcPr>
            <w:tcW w:w="1691" w:type="pct"/>
            <w:shd w:val="clear" w:color="auto" w:fill="auto"/>
            <w:noWrap/>
            <w:vAlign w:val="bottom"/>
            <w:hideMark/>
          </w:tcPr>
          <w:p w:rsidR="002A7C0F" w:rsidRPr="00531B05" w:rsidRDefault="002A7C0F" w:rsidP="00B53FD0">
            <w:pPr>
              <w:spacing w:before="40" w:after="40"/>
              <w:rPr>
                <w:color w:val="000000"/>
                <w:sz w:val="20"/>
                <w:szCs w:val="20"/>
              </w:rPr>
            </w:pPr>
            <w:r w:rsidRPr="00531B05">
              <w:rPr>
                <w:color w:val="000000"/>
                <w:sz w:val="20"/>
                <w:szCs w:val="20"/>
              </w:rPr>
              <w:t>Bourne</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4</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3.1</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-0.9</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26,500</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20,838</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-5,662</w:t>
            </w:r>
          </w:p>
        </w:tc>
      </w:tr>
      <w:tr w:rsidR="002A7C0F" w:rsidRPr="00531B05" w:rsidTr="00B53FD0">
        <w:trPr>
          <w:trHeight w:val="300"/>
        </w:trPr>
        <w:tc>
          <w:tcPr>
            <w:tcW w:w="1691" w:type="pct"/>
            <w:shd w:val="clear" w:color="auto" w:fill="auto"/>
            <w:noWrap/>
            <w:vAlign w:val="bottom"/>
            <w:hideMark/>
          </w:tcPr>
          <w:p w:rsidR="002A7C0F" w:rsidRPr="00531B05" w:rsidRDefault="002A7C0F" w:rsidP="00B53FD0">
            <w:pPr>
              <w:spacing w:before="40" w:after="40"/>
              <w:rPr>
                <w:color w:val="000000"/>
                <w:sz w:val="20"/>
                <w:szCs w:val="20"/>
              </w:rPr>
            </w:pPr>
            <w:r w:rsidRPr="00531B05">
              <w:rPr>
                <w:color w:val="000000"/>
                <w:sz w:val="20"/>
                <w:szCs w:val="20"/>
              </w:rPr>
              <w:t>Boxford</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1</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1</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0</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6,625</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6,700</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75</w:t>
            </w:r>
          </w:p>
        </w:tc>
      </w:tr>
      <w:tr w:rsidR="002A7C0F" w:rsidRPr="00531B05" w:rsidTr="00B53FD0">
        <w:trPr>
          <w:trHeight w:val="300"/>
        </w:trPr>
        <w:tc>
          <w:tcPr>
            <w:tcW w:w="1691" w:type="pct"/>
            <w:shd w:val="clear" w:color="auto" w:fill="auto"/>
            <w:noWrap/>
            <w:vAlign w:val="bottom"/>
            <w:hideMark/>
          </w:tcPr>
          <w:p w:rsidR="002A7C0F" w:rsidRPr="00531B05" w:rsidRDefault="002A7C0F" w:rsidP="00B53FD0">
            <w:pPr>
              <w:spacing w:before="40" w:after="40"/>
              <w:rPr>
                <w:color w:val="000000"/>
                <w:sz w:val="20"/>
                <w:szCs w:val="20"/>
              </w:rPr>
            </w:pPr>
            <w:r w:rsidRPr="00531B05">
              <w:rPr>
                <w:color w:val="000000"/>
                <w:sz w:val="20"/>
                <w:szCs w:val="20"/>
              </w:rPr>
              <w:t>Braintree</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1</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1.81</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0.81</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6,625</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12,141</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5,516</w:t>
            </w:r>
          </w:p>
        </w:tc>
      </w:tr>
      <w:tr w:rsidR="002A7C0F" w:rsidRPr="00531B05" w:rsidTr="00B53FD0">
        <w:trPr>
          <w:trHeight w:val="300"/>
        </w:trPr>
        <w:tc>
          <w:tcPr>
            <w:tcW w:w="1691" w:type="pct"/>
            <w:shd w:val="clear" w:color="auto" w:fill="auto"/>
            <w:noWrap/>
            <w:vAlign w:val="bottom"/>
            <w:hideMark/>
          </w:tcPr>
          <w:p w:rsidR="002A7C0F" w:rsidRPr="00531B05" w:rsidRDefault="002A7C0F" w:rsidP="00B53FD0">
            <w:pPr>
              <w:spacing w:before="40" w:after="40"/>
              <w:rPr>
                <w:color w:val="000000"/>
                <w:sz w:val="20"/>
                <w:szCs w:val="20"/>
              </w:rPr>
            </w:pPr>
            <w:r w:rsidRPr="00531B05">
              <w:rPr>
                <w:color w:val="000000"/>
                <w:sz w:val="20"/>
                <w:szCs w:val="20"/>
              </w:rPr>
              <w:t>Bridgewater-Raynham</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4</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2.15</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-1.85</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26,500</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15,333</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-11,167</w:t>
            </w:r>
          </w:p>
        </w:tc>
      </w:tr>
      <w:tr w:rsidR="002A7C0F" w:rsidRPr="00531B05" w:rsidTr="00B53FD0">
        <w:trPr>
          <w:trHeight w:val="300"/>
        </w:trPr>
        <w:tc>
          <w:tcPr>
            <w:tcW w:w="1691" w:type="pct"/>
            <w:shd w:val="clear" w:color="auto" w:fill="auto"/>
            <w:noWrap/>
            <w:vAlign w:val="bottom"/>
            <w:hideMark/>
          </w:tcPr>
          <w:p w:rsidR="002A7C0F" w:rsidRPr="00531B05" w:rsidRDefault="002A7C0F" w:rsidP="00B53FD0">
            <w:pPr>
              <w:spacing w:before="40" w:after="40"/>
              <w:rPr>
                <w:color w:val="000000"/>
                <w:sz w:val="20"/>
                <w:szCs w:val="20"/>
              </w:rPr>
            </w:pPr>
            <w:r w:rsidRPr="00531B05">
              <w:rPr>
                <w:color w:val="000000"/>
                <w:sz w:val="20"/>
                <w:szCs w:val="20"/>
              </w:rPr>
              <w:t>Brockton</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16</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16.35</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0.35</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106,000</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109,594</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3,594</w:t>
            </w:r>
          </w:p>
        </w:tc>
      </w:tr>
      <w:tr w:rsidR="002A7C0F" w:rsidRPr="00531B05" w:rsidTr="00B53FD0">
        <w:trPr>
          <w:trHeight w:val="300"/>
        </w:trPr>
        <w:tc>
          <w:tcPr>
            <w:tcW w:w="1691" w:type="pct"/>
            <w:shd w:val="clear" w:color="auto" w:fill="auto"/>
            <w:noWrap/>
            <w:vAlign w:val="bottom"/>
            <w:hideMark/>
          </w:tcPr>
          <w:p w:rsidR="002A7C0F" w:rsidRPr="00531B05" w:rsidRDefault="002A7C0F" w:rsidP="00B53FD0">
            <w:pPr>
              <w:spacing w:before="40" w:after="40"/>
              <w:rPr>
                <w:color w:val="000000"/>
                <w:sz w:val="20"/>
                <w:szCs w:val="20"/>
              </w:rPr>
            </w:pPr>
            <w:r w:rsidRPr="00531B05">
              <w:rPr>
                <w:color w:val="000000"/>
                <w:sz w:val="20"/>
                <w:szCs w:val="20"/>
              </w:rPr>
              <w:t>Brookline</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2</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2</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0</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13,250</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13,400</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150</w:t>
            </w:r>
          </w:p>
        </w:tc>
      </w:tr>
      <w:tr w:rsidR="002A7C0F" w:rsidRPr="00531B05" w:rsidTr="00B53FD0">
        <w:trPr>
          <w:trHeight w:val="300"/>
        </w:trPr>
        <w:tc>
          <w:tcPr>
            <w:tcW w:w="1691" w:type="pct"/>
            <w:shd w:val="clear" w:color="auto" w:fill="auto"/>
            <w:noWrap/>
            <w:vAlign w:val="bottom"/>
            <w:hideMark/>
          </w:tcPr>
          <w:p w:rsidR="002A7C0F" w:rsidRPr="00531B05" w:rsidRDefault="002A7C0F" w:rsidP="00B53FD0">
            <w:pPr>
              <w:spacing w:before="40" w:after="40"/>
              <w:rPr>
                <w:color w:val="000000"/>
                <w:sz w:val="20"/>
                <w:szCs w:val="20"/>
              </w:rPr>
            </w:pPr>
            <w:r w:rsidRPr="00531B05">
              <w:rPr>
                <w:color w:val="000000"/>
                <w:sz w:val="20"/>
                <w:szCs w:val="20"/>
              </w:rPr>
              <w:t>Cambridge</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1</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1.08</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0.08</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6,625</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7,380</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755</w:t>
            </w:r>
          </w:p>
        </w:tc>
      </w:tr>
      <w:tr w:rsidR="002A7C0F" w:rsidRPr="00531B05" w:rsidTr="00B53FD0">
        <w:trPr>
          <w:trHeight w:val="300"/>
        </w:trPr>
        <w:tc>
          <w:tcPr>
            <w:tcW w:w="1691" w:type="pct"/>
            <w:shd w:val="clear" w:color="auto" w:fill="auto"/>
            <w:noWrap/>
            <w:vAlign w:val="bottom"/>
            <w:hideMark/>
          </w:tcPr>
          <w:p w:rsidR="002A7C0F" w:rsidRPr="00531B05" w:rsidRDefault="002A7C0F" w:rsidP="00B53FD0">
            <w:pPr>
              <w:spacing w:before="40" w:after="40"/>
              <w:rPr>
                <w:color w:val="000000"/>
                <w:sz w:val="20"/>
                <w:szCs w:val="20"/>
              </w:rPr>
            </w:pPr>
            <w:r w:rsidRPr="00531B05">
              <w:rPr>
                <w:color w:val="000000"/>
                <w:sz w:val="20"/>
                <w:szCs w:val="20"/>
              </w:rPr>
              <w:t>Carver</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4</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3.9</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-0.1</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26,500</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26,138</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-362</w:t>
            </w:r>
          </w:p>
        </w:tc>
      </w:tr>
      <w:tr w:rsidR="002A7C0F" w:rsidRPr="00531B05" w:rsidTr="00B53FD0">
        <w:trPr>
          <w:trHeight w:val="300"/>
        </w:trPr>
        <w:tc>
          <w:tcPr>
            <w:tcW w:w="1691" w:type="pct"/>
            <w:shd w:val="clear" w:color="auto" w:fill="auto"/>
            <w:noWrap/>
            <w:vAlign w:val="bottom"/>
            <w:hideMark/>
          </w:tcPr>
          <w:p w:rsidR="002A7C0F" w:rsidRPr="00531B05" w:rsidRDefault="002A7C0F" w:rsidP="00B53FD0">
            <w:pPr>
              <w:spacing w:before="40" w:after="40"/>
              <w:rPr>
                <w:color w:val="000000"/>
                <w:sz w:val="20"/>
                <w:szCs w:val="20"/>
              </w:rPr>
            </w:pPr>
            <w:r w:rsidRPr="00531B05">
              <w:rPr>
                <w:color w:val="000000"/>
                <w:sz w:val="20"/>
                <w:szCs w:val="20"/>
              </w:rPr>
              <w:t>Central Berkshire</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3</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2.97</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-0.03</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19,875</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19,901</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26</w:t>
            </w:r>
          </w:p>
        </w:tc>
      </w:tr>
      <w:tr w:rsidR="002A7C0F" w:rsidRPr="00531B05" w:rsidTr="00B53FD0">
        <w:trPr>
          <w:trHeight w:val="300"/>
        </w:trPr>
        <w:tc>
          <w:tcPr>
            <w:tcW w:w="1691" w:type="pct"/>
            <w:shd w:val="clear" w:color="auto" w:fill="auto"/>
            <w:noWrap/>
            <w:vAlign w:val="bottom"/>
            <w:hideMark/>
          </w:tcPr>
          <w:p w:rsidR="002A7C0F" w:rsidRPr="00531B05" w:rsidRDefault="002A7C0F" w:rsidP="00B53FD0">
            <w:pPr>
              <w:spacing w:before="40" w:after="40"/>
              <w:rPr>
                <w:color w:val="000000"/>
                <w:sz w:val="20"/>
                <w:szCs w:val="20"/>
              </w:rPr>
            </w:pPr>
            <w:r w:rsidRPr="00531B05">
              <w:rPr>
                <w:color w:val="000000"/>
                <w:sz w:val="20"/>
                <w:szCs w:val="20"/>
              </w:rPr>
              <w:t>Chelmsford</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1</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1.79</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0.79</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6,625</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12,009</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5,384</w:t>
            </w:r>
          </w:p>
        </w:tc>
      </w:tr>
      <w:tr w:rsidR="002A7C0F" w:rsidRPr="00531B05" w:rsidTr="00B53FD0">
        <w:trPr>
          <w:trHeight w:val="300"/>
        </w:trPr>
        <w:tc>
          <w:tcPr>
            <w:tcW w:w="1691" w:type="pct"/>
            <w:shd w:val="clear" w:color="auto" w:fill="auto"/>
            <w:noWrap/>
            <w:vAlign w:val="bottom"/>
            <w:hideMark/>
          </w:tcPr>
          <w:p w:rsidR="002A7C0F" w:rsidRPr="00531B05" w:rsidRDefault="002A7C0F" w:rsidP="00B53FD0">
            <w:pPr>
              <w:spacing w:before="40" w:after="40"/>
              <w:rPr>
                <w:color w:val="000000"/>
                <w:sz w:val="20"/>
                <w:szCs w:val="20"/>
              </w:rPr>
            </w:pPr>
            <w:r w:rsidRPr="00531B05">
              <w:rPr>
                <w:color w:val="000000"/>
                <w:sz w:val="20"/>
                <w:szCs w:val="20"/>
              </w:rPr>
              <w:t>Chelsea</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1</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1</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0</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6,625</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6,700</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75</w:t>
            </w:r>
          </w:p>
        </w:tc>
      </w:tr>
      <w:tr w:rsidR="002A7C0F" w:rsidRPr="00531B05" w:rsidTr="00B53FD0">
        <w:trPr>
          <w:trHeight w:val="300"/>
        </w:trPr>
        <w:tc>
          <w:tcPr>
            <w:tcW w:w="1691" w:type="pct"/>
            <w:shd w:val="clear" w:color="auto" w:fill="auto"/>
            <w:noWrap/>
            <w:vAlign w:val="bottom"/>
            <w:hideMark/>
          </w:tcPr>
          <w:p w:rsidR="002A7C0F" w:rsidRPr="00531B05" w:rsidRDefault="002A7C0F" w:rsidP="00B53FD0">
            <w:pPr>
              <w:spacing w:before="40" w:after="40"/>
              <w:rPr>
                <w:color w:val="000000"/>
                <w:sz w:val="20"/>
                <w:szCs w:val="20"/>
              </w:rPr>
            </w:pPr>
            <w:r w:rsidRPr="00531B05">
              <w:rPr>
                <w:color w:val="000000"/>
                <w:sz w:val="20"/>
                <w:szCs w:val="20"/>
              </w:rPr>
              <w:t>Chicopee</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10</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8.41</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-1.59</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66,250</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56,393</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-9,857</w:t>
            </w:r>
          </w:p>
        </w:tc>
      </w:tr>
      <w:tr w:rsidR="002A7C0F" w:rsidRPr="00531B05" w:rsidTr="00B53FD0">
        <w:trPr>
          <w:trHeight w:val="300"/>
        </w:trPr>
        <w:tc>
          <w:tcPr>
            <w:tcW w:w="1691" w:type="pct"/>
            <w:shd w:val="clear" w:color="auto" w:fill="auto"/>
            <w:noWrap/>
            <w:vAlign w:val="bottom"/>
            <w:hideMark/>
          </w:tcPr>
          <w:p w:rsidR="002A7C0F" w:rsidRPr="00531B05" w:rsidRDefault="002A7C0F" w:rsidP="00B53FD0">
            <w:pPr>
              <w:spacing w:before="40" w:after="40"/>
              <w:rPr>
                <w:color w:val="000000"/>
                <w:sz w:val="20"/>
                <w:szCs w:val="20"/>
              </w:rPr>
            </w:pPr>
            <w:r w:rsidRPr="00531B05">
              <w:rPr>
                <w:color w:val="000000"/>
                <w:sz w:val="20"/>
                <w:szCs w:val="20"/>
              </w:rPr>
              <w:t>Clinton</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5</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5</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0</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33,125</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33,500</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375</w:t>
            </w:r>
          </w:p>
        </w:tc>
      </w:tr>
      <w:tr w:rsidR="002A7C0F" w:rsidRPr="00531B05" w:rsidTr="00B53FD0">
        <w:trPr>
          <w:trHeight w:val="300"/>
        </w:trPr>
        <w:tc>
          <w:tcPr>
            <w:tcW w:w="1691" w:type="pct"/>
            <w:shd w:val="clear" w:color="auto" w:fill="auto"/>
            <w:noWrap/>
            <w:vAlign w:val="bottom"/>
            <w:hideMark/>
          </w:tcPr>
          <w:p w:rsidR="002A7C0F" w:rsidRPr="00531B05" w:rsidRDefault="002A7C0F" w:rsidP="00B53FD0">
            <w:pPr>
              <w:spacing w:before="40" w:after="40"/>
              <w:rPr>
                <w:color w:val="000000"/>
                <w:sz w:val="20"/>
                <w:szCs w:val="20"/>
              </w:rPr>
            </w:pPr>
            <w:r w:rsidRPr="00531B05">
              <w:rPr>
                <w:color w:val="000000"/>
                <w:sz w:val="20"/>
                <w:szCs w:val="20"/>
              </w:rPr>
              <w:t>Dedham</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2</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3.52</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1.52</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13,250</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23,620</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10,370</w:t>
            </w:r>
          </w:p>
        </w:tc>
      </w:tr>
      <w:tr w:rsidR="002A7C0F" w:rsidRPr="00531B05" w:rsidTr="00B53FD0">
        <w:trPr>
          <w:trHeight w:val="300"/>
        </w:trPr>
        <w:tc>
          <w:tcPr>
            <w:tcW w:w="1691" w:type="pct"/>
            <w:shd w:val="clear" w:color="auto" w:fill="auto"/>
            <w:noWrap/>
            <w:vAlign w:val="bottom"/>
            <w:hideMark/>
          </w:tcPr>
          <w:p w:rsidR="002A7C0F" w:rsidRPr="00531B05" w:rsidRDefault="002A7C0F" w:rsidP="00B53FD0">
            <w:pPr>
              <w:spacing w:before="40" w:after="40"/>
              <w:rPr>
                <w:color w:val="000000"/>
                <w:sz w:val="20"/>
                <w:szCs w:val="20"/>
              </w:rPr>
            </w:pPr>
            <w:r w:rsidRPr="00531B05">
              <w:rPr>
                <w:color w:val="000000"/>
                <w:sz w:val="20"/>
                <w:szCs w:val="20"/>
              </w:rPr>
              <w:t>Dennis-Yarmouth</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1</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1</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0</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6,625</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6,700</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75</w:t>
            </w:r>
          </w:p>
        </w:tc>
      </w:tr>
      <w:tr w:rsidR="002A7C0F" w:rsidRPr="00531B05" w:rsidTr="00B53FD0">
        <w:trPr>
          <w:trHeight w:val="300"/>
        </w:trPr>
        <w:tc>
          <w:tcPr>
            <w:tcW w:w="1691" w:type="pct"/>
            <w:shd w:val="clear" w:color="auto" w:fill="auto"/>
            <w:noWrap/>
            <w:vAlign w:val="bottom"/>
            <w:hideMark/>
          </w:tcPr>
          <w:p w:rsidR="002A7C0F" w:rsidRPr="00531B05" w:rsidRDefault="002A7C0F" w:rsidP="00B53FD0">
            <w:pPr>
              <w:spacing w:before="40" w:after="40"/>
              <w:rPr>
                <w:color w:val="000000"/>
                <w:sz w:val="20"/>
                <w:szCs w:val="20"/>
              </w:rPr>
            </w:pPr>
            <w:r w:rsidRPr="00531B05">
              <w:rPr>
                <w:color w:val="000000"/>
                <w:sz w:val="20"/>
                <w:szCs w:val="20"/>
              </w:rPr>
              <w:t>Dighton-Rehoboth</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1</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1</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0</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6,625</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6,700</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75</w:t>
            </w:r>
          </w:p>
        </w:tc>
      </w:tr>
      <w:tr w:rsidR="002A7C0F" w:rsidRPr="00531B05" w:rsidTr="00B53FD0">
        <w:trPr>
          <w:trHeight w:val="300"/>
        </w:trPr>
        <w:tc>
          <w:tcPr>
            <w:tcW w:w="1691" w:type="pct"/>
            <w:shd w:val="clear" w:color="auto" w:fill="auto"/>
            <w:noWrap/>
            <w:vAlign w:val="bottom"/>
            <w:hideMark/>
          </w:tcPr>
          <w:p w:rsidR="002A7C0F" w:rsidRPr="00531B05" w:rsidRDefault="002A7C0F" w:rsidP="00B53FD0">
            <w:pPr>
              <w:spacing w:before="40" w:after="40"/>
              <w:rPr>
                <w:color w:val="000000"/>
                <w:sz w:val="20"/>
                <w:szCs w:val="20"/>
              </w:rPr>
            </w:pPr>
            <w:r w:rsidRPr="00531B05">
              <w:rPr>
                <w:color w:val="000000"/>
                <w:sz w:val="20"/>
                <w:szCs w:val="20"/>
              </w:rPr>
              <w:lastRenderedPageBreak/>
              <w:t>Douglas</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6</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6.02</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0.02</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39,750</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40,408</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658</w:t>
            </w:r>
          </w:p>
        </w:tc>
      </w:tr>
      <w:tr w:rsidR="002A7C0F" w:rsidRPr="00531B05" w:rsidTr="00B53FD0">
        <w:trPr>
          <w:trHeight w:val="300"/>
        </w:trPr>
        <w:tc>
          <w:tcPr>
            <w:tcW w:w="1691" w:type="pct"/>
            <w:shd w:val="clear" w:color="auto" w:fill="auto"/>
            <w:noWrap/>
            <w:vAlign w:val="bottom"/>
            <w:hideMark/>
          </w:tcPr>
          <w:p w:rsidR="002A7C0F" w:rsidRPr="00531B05" w:rsidRDefault="002A7C0F" w:rsidP="00B53FD0">
            <w:pPr>
              <w:spacing w:before="40" w:after="40"/>
              <w:rPr>
                <w:color w:val="000000"/>
                <w:sz w:val="20"/>
                <w:szCs w:val="20"/>
              </w:rPr>
            </w:pPr>
            <w:r w:rsidRPr="00531B05">
              <w:rPr>
                <w:color w:val="000000"/>
                <w:sz w:val="20"/>
                <w:szCs w:val="20"/>
              </w:rPr>
              <w:t>Dover-Sherborn</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2</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2</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0</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13,250</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13,400</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150</w:t>
            </w:r>
          </w:p>
        </w:tc>
      </w:tr>
      <w:tr w:rsidR="002A7C0F" w:rsidRPr="00531B05" w:rsidTr="00B53FD0">
        <w:trPr>
          <w:trHeight w:val="300"/>
        </w:trPr>
        <w:tc>
          <w:tcPr>
            <w:tcW w:w="1691" w:type="pct"/>
            <w:shd w:val="clear" w:color="auto" w:fill="auto"/>
            <w:noWrap/>
            <w:vAlign w:val="bottom"/>
            <w:hideMark/>
          </w:tcPr>
          <w:p w:rsidR="002A7C0F" w:rsidRPr="00531B05" w:rsidRDefault="002A7C0F" w:rsidP="00B53FD0">
            <w:pPr>
              <w:spacing w:before="40" w:after="40"/>
              <w:rPr>
                <w:color w:val="000000"/>
                <w:sz w:val="20"/>
                <w:szCs w:val="20"/>
              </w:rPr>
            </w:pPr>
            <w:r w:rsidRPr="00531B05">
              <w:rPr>
                <w:color w:val="000000"/>
                <w:sz w:val="20"/>
                <w:szCs w:val="20"/>
              </w:rPr>
              <w:t>Dracut</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3</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2</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-1</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19,875</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13,400</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-6,475</w:t>
            </w:r>
          </w:p>
        </w:tc>
      </w:tr>
      <w:tr w:rsidR="002A7C0F" w:rsidRPr="00531B05" w:rsidTr="00B53FD0">
        <w:trPr>
          <w:trHeight w:val="300"/>
        </w:trPr>
        <w:tc>
          <w:tcPr>
            <w:tcW w:w="1691" w:type="pct"/>
            <w:shd w:val="clear" w:color="auto" w:fill="auto"/>
            <w:noWrap/>
            <w:vAlign w:val="bottom"/>
            <w:hideMark/>
          </w:tcPr>
          <w:p w:rsidR="002A7C0F" w:rsidRPr="00531B05" w:rsidRDefault="002A7C0F" w:rsidP="00B53FD0">
            <w:pPr>
              <w:spacing w:before="40" w:after="40"/>
              <w:rPr>
                <w:color w:val="000000"/>
                <w:sz w:val="20"/>
                <w:szCs w:val="20"/>
              </w:rPr>
            </w:pPr>
            <w:r w:rsidRPr="00531B05">
              <w:rPr>
                <w:color w:val="000000"/>
                <w:sz w:val="20"/>
                <w:szCs w:val="20"/>
              </w:rPr>
              <w:t>Dudley-Charlton</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1</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3</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2</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6,625</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20,100</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13,475</w:t>
            </w:r>
          </w:p>
        </w:tc>
      </w:tr>
      <w:tr w:rsidR="002A7C0F" w:rsidRPr="00531B05" w:rsidTr="00B53FD0">
        <w:trPr>
          <w:trHeight w:val="300"/>
        </w:trPr>
        <w:tc>
          <w:tcPr>
            <w:tcW w:w="1691" w:type="pct"/>
            <w:shd w:val="clear" w:color="auto" w:fill="auto"/>
            <w:noWrap/>
            <w:vAlign w:val="bottom"/>
            <w:hideMark/>
          </w:tcPr>
          <w:p w:rsidR="002A7C0F" w:rsidRPr="00531B05" w:rsidRDefault="002A7C0F" w:rsidP="00B53FD0">
            <w:pPr>
              <w:spacing w:before="40" w:after="40"/>
              <w:rPr>
                <w:color w:val="000000"/>
                <w:sz w:val="20"/>
                <w:szCs w:val="20"/>
              </w:rPr>
            </w:pPr>
            <w:r w:rsidRPr="00531B05">
              <w:rPr>
                <w:color w:val="000000"/>
                <w:sz w:val="20"/>
                <w:szCs w:val="20"/>
              </w:rPr>
              <w:t>East Bridgewater</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1</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3</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2</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6,625</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20,100</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13,475</w:t>
            </w:r>
          </w:p>
        </w:tc>
      </w:tr>
      <w:tr w:rsidR="002A7C0F" w:rsidRPr="00531B05" w:rsidTr="00B53FD0">
        <w:trPr>
          <w:trHeight w:val="300"/>
        </w:trPr>
        <w:tc>
          <w:tcPr>
            <w:tcW w:w="1691" w:type="pct"/>
            <w:shd w:val="clear" w:color="auto" w:fill="auto"/>
            <w:noWrap/>
            <w:vAlign w:val="bottom"/>
            <w:hideMark/>
          </w:tcPr>
          <w:p w:rsidR="002A7C0F" w:rsidRPr="00531B05" w:rsidRDefault="002A7C0F" w:rsidP="00B53FD0">
            <w:pPr>
              <w:spacing w:before="40" w:after="40"/>
              <w:rPr>
                <w:color w:val="000000"/>
                <w:sz w:val="20"/>
                <w:szCs w:val="20"/>
              </w:rPr>
            </w:pPr>
            <w:r w:rsidRPr="00531B05">
              <w:rPr>
                <w:color w:val="000000"/>
                <w:sz w:val="20"/>
                <w:szCs w:val="20"/>
              </w:rPr>
              <w:t>East Longmeadow</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2</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1</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-1</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13,250</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6,700</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-6,550</w:t>
            </w:r>
          </w:p>
        </w:tc>
      </w:tr>
      <w:tr w:rsidR="002A7C0F" w:rsidRPr="00531B05" w:rsidTr="00B53FD0">
        <w:trPr>
          <w:trHeight w:val="300"/>
        </w:trPr>
        <w:tc>
          <w:tcPr>
            <w:tcW w:w="1691" w:type="pct"/>
            <w:shd w:val="clear" w:color="auto" w:fill="auto"/>
            <w:noWrap/>
            <w:vAlign w:val="bottom"/>
            <w:hideMark/>
          </w:tcPr>
          <w:p w:rsidR="002A7C0F" w:rsidRPr="00531B05" w:rsidRDefault="002A7C0F" w:rsidP="00B53FD0">
            <w:pPr>
              <w:spacing w:before="40" w:after="40"/>
              <w:rPr>
                <w:color w:val="000000"/>
                <w:sz w:val="20"/>
                <w:szCs w:val="20"/>
              </w:rPr>
            </w:pPr>
            <w:r w:rsidRPr="00531B05">
              <w:rPr>
                <w:color w:val="000000"/>
                <w:sz w:val="20"/>
                <w:szCs w:val="20"/>
              </w:rPr>
              <w:t>Easthampton</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2</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1</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-1</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13,250</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8,323</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-4,927</w:t>
            </w:r>
          </w:p>
        </w:tc>
      </w:tr>
      <w:tr w:rsidR="002A7C0F" w:rsidRPr="00531B05" w:rsidTr="00B53FD0">
        <w:trPr>
          <w:trHeight w:val="300"/>
        </w:trPr>
        <w:tc>
          <w:tcPr>
            <w:tcW w:w="1691" w:type="pct"/>
            <w:shd w:val="clear" w:color="auto" w:fill="auto"/>
            <w:noWrap/>
            <w:vAlign w:val="bottom"/>
            <w:hideMark/>
          </w:tcPr>
          <w:p w:rsidR="002A7C0F" w:rsidRPr="00531B05" w:rsidRDefault="002A7C0F" w:rsidP="00B53FD0">
            <w:pPr>
              <w:spacing w:before="40" w:after="40"/>
              <w:rPr>
                <w:color w:val="000000"/>
                <w:sz w:val="20"/>
                <w:szCs w:val="20"/>
              </w:rPr>
            </w:pPr>
            <w:r w:rsidRPr="00531B05">
              <w:rPr>
                <w:color w:val="000000"/>
                <w:sz w:val="20"/>
                <w:szCs w:val="20"/>
              </w:rPr>
              <w:t>Easton</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3</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2.96</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-0.04</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19,875</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20,464</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589</w:t>
            </w:r>
          </w:p>
        </w:tc>
      </w:tr>
      <w:tr w:rsidR="002A7C0F" w:rsidRPr="00531B05" w:rsidTr="00B53FD0">
        <w:trPr>
          <w:trHeight w:val="300"/>
        </w:trPr>
        <w:tc>
          <w:tcPr>
            <w:tcW w:w="1691" w:type="pct"/>
            <w:shd w:val="clear" w:color="auto" w:fill="auto"/>
            <w:noWrap/>
            <w:vAlign w:val="bottom"/>
            <w:hideMark/>
          </w:tcPr>
          <w:p w:rsidR="002A7C0F" w:rsidRPr="00531B05" w:rsidRDefault="002A7C0F" w:rsidP="00B53FD0">
            <w:pPr>
              <w:spacing w:before="40" w:after="40"/>
              <w:rPr>
                <w:color w:val="000000"/>
                <w:sz w:val="20"/>
                <w:szCs w:val="20"/>
              </w:rPr>
            </w:pPr>
            <w:r w:rsidRPr="00531B05">
              <w:rPr>
                <w:color w:val="000000"/>
                <w:sz w:val="20"/>
                <w:szCs w:val="20"/>
              </w:rPr>
              <w:t>Everett</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1</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0.36</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-0.64</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6,625</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2,460</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-4,165</w:t>
            </w:r>
          </w:p>
        </w:tc>
      </w:tr>
      <w:tr w:rsidR="002A7C0F" w:rsidRPr="00531B05" w:rsidTr="00B53FD0">
        <w:trPr>
          <w:trHeight w:val="300"/>
        </w:trPr>
        <w:tc>
          <w:tcPr>
            <w:tcW w:w="1691" w:type="pct"/>
            <w:shd w:val="clear" w:color="auto" w:fill="auto"/>
            <w:noWrap/>
            <w:vAlign w:val="bottom"/>
            <w:hideMark/>
          </w:tcPr>
          <w:p w:rsidR="002A7C0F" w:rsidRPr="00531B05" w:rsidRDefault="002A7C0F" w:rsidP="00B53FD0">
            <w:pPr>
              <w:spacing w:before="40" w:after="40"/>
              <w:rPr>
                <w:color w:val="000000"/>
                <w:sz w:val="20"/>
                <w:szCs w:val="20"/>
              </w:rPr>
            </w:pPr>
            <w:r w:rsidRPr="00531B05">
              <w:rPr>
                <w:color w:val="000000"/>
                <w:sz w:val="20"/>
                <w:szCs w:val="20"/>
              </w:rPr>
              <w:t>Fairhaven</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2</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1</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-1</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13,250</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6,700</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-6,550</w:t>
            </w:r>
          </w:p>
        </w:tc>
      </w:tr>
      <w:tr w:rsidR="002A7C0F" w:rsidRPr="00531B05" w:rsidTr="00B53FD0">
        <w:trPr>
          <w:trHeight w:val="300"/>
        </w:trPr>
        <w:tc>
          <w:tcPr>
            <w:tcW w:w="1691" w:type="pct"/>
            <w:shd w:val="clear" w:color="auto" w:fill="auto"/>
            <w:noWrap/>
            <w:vAlign w:val="bottom"/>
            <w:hideMark/>
          </w:tcPr>
          <w:p w:rsidR="002A7C0F" w:rsidRPr="00531B05" w:rsidRDefault="002A7C0F" w:rsidP="00B53FD0">
            <w:pPr>
              <w:spacing w:before="40" w:after="40"/>
              <w:rPr>
                <w:color w:val="000000"/>
                <w:sz w:val="20"/>
                <w:szCs w:val="20"/>
              </w:rPr>
            </w:pPr>
            <w:r w:rsidRPr="00531B05">
              <w:rPr>
                <w:color w:val="000000"/>
                <w:sz w:val="20"/>
                <w:szCs w:val="20"/>
              </w:rPr>
              <w:t>Fall River</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7</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7.67</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0.67</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46,375</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52,979</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6,604</w:t>
            </w:r>
          </w:p>
        </w:tc>
      </w:tr>
      <w:tr w:rsidR="002A7C0F" w:rsidRPr="00531B05" w:rsidTr="00B53FD0">
        <w:trPr>
          <w:trHeight w:val="300"/>
        </w:trPr>
        <w:tc>
          <w:tcPr>
            <w:tcW w:w="1691" w:type="pct"/>
            <w:shd w:val="clear" w:color="auto" w:fill="auto"/>
            <w:noWrap/>
            <w:vAlign w:val="bottom"/>
            <w:hideMark/>
          </w:tcPr>
          <w:p w:rsidR="002A7C0F" w:rsidRPr="00531B05" w:rsidRDefault="002A7C0F" w:rsidP="00B53FD0">
            <w:pPr>
              <w:spacing w:before="40" w:after="40"/>
              <w:rPr>
                <w:color w:val="000000"/>
                <w:sz w:val="20"/>
                <w:szCs w:val="20"/>
              </w:rPr>
            </w:pPr>
            <w:r w:rsidRPr="00531B05">
              <w:rPr>
                <w:color w:val="000000"/>
                <w:sz w:val="20"/>
                <w:szCs w:val="20"/>
              </w:rPr>
              <w:t>Falmouth</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1</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2</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1</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6,625</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13,400</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6,775</w:t>
            </w:r>
          </w:p>
        </w:tc>
      </w:tr>
      <w:tr w:rsidR="002A7C0F" w:rsidRPr="00531B05" w:rsidTr="00B53FD0">
        <w:trPr>
          <w:trHeight w:val="300"/>
        </w:trPr>
        <w:tc>
          <w:tcPr>
            <w:tcW w:w="1691" w:type="pct"/>
            <w:shd w:val="clear" w:color="auto" w:fill="auto"/>
            <w:noWrap/>
            <w:vAlign w:val="bottom"/>
            <w:hideMark/>
          </w:tcPr>
          <w:p w:rsidR="002A7C0F" w:rsidRPr="00531B05" w:rsidRDefault="002A7C0F" w:rsidP="00B53FD0">
            <w:pPr>
              <w:spacing w:before="40" w:after="40"/>
              <w:rPr>
                <w:color w:val="000000"/>
                <w:sz w:val="20"/>
                <w:szCs w:val="20"/>
              </w:rPr>
            </w:pPr>
            <w:r w:rsidRPr="00531B05">
              <w:rPr>
                <w:color w:val="000000"/>
                <w:sz w:val="20"/>
                <w:szCs w:val="20"/>
              </w:rPr>
              <w:t>Fitchburg</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9</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7.08</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-1.92</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59,625</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47,505</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-12,120</w:t>
            </w:r>
          </w:p>
        </w:tc>
      </w:tr>
      <w:tr w:rsidR="002A7C0F" w:rsidRPr="00531B05" w:rsidTr="00B53FD0">
        <w:trPr>
          <w:trHeight w:val="300"/>
        </w:trPr>
        <w:tc>
          <w:tcPr>
            <w:tcW w:w="1691" w:type="pct"/>
            <w:shd w:val="clear" w:color="auto" w:fill="auto"/>
            <w:noWrap/>
            <w:vAlign w:val="bottom"/>
            <w:hideMark/>
          </w:tcPr>
          <w:p w:rsidR="002A7C0F" w:rsidRPr="00531B05" w:rsidRDefault="002A7C0F" w:rsidP="00B53FD0">
            <w:pPr>
              <w:spacing w:before="40" w:after="40"/>
              <w:rPr>
                <w:color w:val="000000"/>
                <w:sz w:val="20"/>
                <w:szCs w:val="20"/>
              </w:rPr>
            </w:pPr>
            <w:r w:rsidRPr="00531B05">
              <w:rPr>
                <w:color w:val="000000"/>
                <w:sz w:val="20"/>
                <w:szCs w:val="20"/>
              </w:rPr>
              <w:t>Framingham</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1</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0.98</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-0.02</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6,625</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6,568</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-57</w:t>
            </w:r>
          </w:p>
        </w:tc>
      </w:tr>
      <w:tr w:rsidR="002A7C0F" w:rsidRPr="00531B05" w:rsidTr="00B53FD0">
        <w:trPr>
          <w:trHeight w:val="300"/>
        </w:trPr>
        <w:tc>
          <w:tcPr>
            <w:tcW w:w="1691" w:type="pct"/>
            <w:shd w:val="clear" w:color="auto" w:fill="auto"/>
            <w:noWrap/>
            <w:vAlign w:val="bottom"/>
            <w:hideMark/>
          </w:tcPr>
          <w:p w:rsidR="002A7C0F" w:rsidRPr="00531B05" w:rsidRDefault="002A7C0F" w:rsidP="00B53FD0">
            <w:pPr>
              <w:spacing w:before="40" w:after="40"/>
              <w:rPr>
                <w:color w:val="000000"/>
                <w:sz w:val="20"/>
                <w:szCs w:val="20"/>
              </w:rPr>
            </w:pPr>
            <w:r w:rsidRPr="00531B05">
              <w:rPr>
                <w:color w:val="000000"/>
                <w:sz w:val="20"/>
                <w:szCs w:val="20"/>
              </w:rPr>
              <w:t>Franklin</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2</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1</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-1</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13,250</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6,700</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-6,550</w:t>
            </w:r>
          </w:p>
        </w:tc>
      </w:tr>
      <w:tr w:rsidR="002A7C0F" w:rsidRPr="00531B05" w:rsidTr="00B53FD0">
        <w:trPr>
          <w:trHeight w:val="300"/>
        </w:trPr>
        <w:tc>
          <w:tcPr>
            <w:tcW w:w="1691" w:type="pct"/>
            <w:shd w:val="clear" w:color="auto" w:fill="auto"/>
            <w:noWrap/>
            <w:vAlign w:val="bottom"/>
            <w:hideMark/>
          </w:tcPr>
          <w:p w:rsidR="002A7C0F" w:rsidRPr="00531B05" w:rsidRDefault="002A7C0F" w:rsidP="00B53FD0">
            <w:pPr>
              <w:spacing w:before="40" w:after="40"/>
              <w:rPr>
                <w:color w:val="000000"/>
                <w:sz w:val="20"/>
                <w:szCs w:val="20"/>
              </w:rPr>
            </w:pPr>
            <w:r w:rsidRPr="00531B05">
              <w:rPr>
                <w:color w:val="000000"/>
                <w:sz w:val="20"/>
                <w:szCs w:val="20"/>
              </w:rPr>
              <w:t>Freetown-Lakeville</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3</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3</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0</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19,875</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20,100</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225</w:t>
            </w:r>
          </w:p>
        </w:tc>
      </w:tr>
      <w:tr w:rsidR="002A7C0F" w:rsidRPr="00531B05" w:rsidTr="00B53FD0">
        <w:trPr>
          <w:trHeight w:val="300"/>
        </w:trPr>
        <w:tc>
          <w:tcPr>
            <w:tcW w:w="1691" w:type="pct"/>
            <w:shd w:val="clear" w:color="auto" w:fill="auto"/>
            <w:noWrap/>
            <w:vAlign w:val="bottom"/>
            <w:hideMark/>
          </w:tcPr>
          <w:p w:rsidR="002A7C0F" w:rsidRPr="00531B05" w:rsidRDefault="002A7C0F" w:rsidP="00B53FD0">
            <w:pPr>
              <w:spacing w:before="40" w:after="40"/>
              <w:rPr>
                <w:color w:val="000000"/>
                <w:sz w:val="20"/>
                <w:szCs w:val="20"/>
              </w:rPr>
            </w:pPr>
            <w:r w:rsidRPr="00531B05">
              <w:rPr>
                <w:color w:val="000000"/>
                <w:sz w:val="20"/>
                <w:szCs w:val="20"/>
              </w:rPr>
              <w:t>Frontier</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1</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1</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0</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6,625</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6,700</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75</w:t>
            </w:r>
          </w:p>
        </w:tc>
      </w:tr>
      <w:tr w:rsidR="002A7C0F" w:rsidRPr="00531B05" w:rsidTr="00B53FD0">
        <w:trPr>
          <w:trHeight w:val="300"/>
        </w:trPr>
        <w:tc>
          <w:tcPr>
            <w:tcW w:w="1691" w:type="pct"/>
            <w:shd w:val="clear" w:color="auto" w:fill="auto"/>
            <w:noWrap/>
            <w:vAlign w:val="bottom"/>
            <w:hideMark/>
          </w:tcPr>
          <w:p w:rsidR="002A7C0F" w:rsidRPr="00531B05" w:rsidRDefault="002A7C0F" w:rsidP="00B53FD0">
            <w:pPr>
              <w:spacing w:before="40" w:after="40"/>
              <w:rPr>
                <w:color w:val="000000"/>
                <w:sz w:val="20"/>
                <w:szCs w:val="20"/>
              </w:rPr>
            </w:pPr>
            <w:r w:rsidRPr="00531B05">
              <w:rPr>
                <w:color w:val="000000"/>
                <w:sz w:val="20"/>
                <w:szCs w:val="20"/>
              </w:rPr>
              <w:t>Gardner</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1</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3.85</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2.85</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6,625</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25,881</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19,256</w:t>
            </w:r>
          </w:p>
        </w:tc>
      </w:tr>
      <w:tr w:rsidR="002A7C0F" w:rsidRPr="00531B05" w:rsidTr="00B53FD0">
        <w:trPr>
          <w:trHeight w:val="300"/>
        </w:trPr>
        <w:tc>
          <w:tcPr>
            <w:tcW w:w="1691" w:type="pct"/>
            <w:shd w:val="clear" w:color="auto" w:fill="auto"/>
            <w:noWrap/>
            <w:vAlign w:val="bottom"/>
            <w:hideMark/>
          </w:tcPr>
          <w:p w:rsidR="002A7C0F" w:rsidRPr="00531B05" w:rsidRDefault="002A7C0F" w:rsidP="00B53FD0">
            <w:pPr>
              <w:spacing w:before="40" w:after="40"/>
              <w:rPr>
                <w:color w:val="000000"/>
                <w:sz w:val="20"/>
                <w:szCs w:val="20"/>
              </w:rPr>
            </w:pPr>
            <w:r w:rsidRPr="00531B05">
              <w:rPr>
                <w:color w:val="000000"/>
                <w:sz w:val="20"/>
                <w:szCs w:val="20"/>
              </w:rPr>
              <w:t>Gateway</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2</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1.91</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-0.09</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13,250</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12,804</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-446</w:t>
            </w:r>
          </w:p>
        </w:tc>
      </w:tr>
      <w:tr w:rsidR="002A7C0F" w:rsidRPr="00531B05" w:rsidTr="00B53FD0">
        <w:trPr>
          <w:trHeight w:val="300"/>
        </w:trPr>
        <w:tc>
          <w:tcPr>
            <w:tcW w:w="1691" w:type="pct"/>
            <w:shd w:val="clear" w:color="auto" w:fill="auto"/>
            <w:noWrap/>
            <w:vAlign w:val="bottom"/>
            <w:hideMark/>
          </w:tcPr>
          <w:p w:rsidR="002A7C0F" w:rsidRPr="00531B05" w:rsidRDefault="002A7C0F" w:rsidP="00B53FD0">
            <w:pPr>
              <w:spacing w:before="40" w:after="40"/>
              <w:rPr>
                <w:color w:val="000000"/>
                <w:sz w:val="20"/>
                <w:szCs w:val="20"/>
              </w:rPr>
            </w:pPr>
            <w:r w:rsidRPr="00531B05">
              <w:rPr>
                <w:color w:val="000000"/>
                <w:sz w:val="20"/>
                <w:szCs w:val="20"/>
              </w:rPr>
              <w:t>Gill-Montague</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2</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1.95</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-0.05</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13,250</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13,069</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-181</w:t>
            </w:r>
          </w:p>
        </w:tc>
      </w:tr>
      <w:tr w:rsidR="002A7C0F" w:rsidRPr="00531B05" w:rsidTr="00B53FD0">
        <w:trPr>
          <w:trHeight w:val="300"/>
        </w:trPr>
        <w:tc>
          <w:tcPr>
            <w:tcW w:w="1691" w:type="pct"/>
            <w:shd w:val="clear" w:color="auto" w:fill="auto"/>
            <w:noWrap/>
            <w:vAlign w:val="bottom"/>
            <w:hideMark/>
          </w:tcPr>
          <w:p w:rsidR="002A7C0F" w:rsidRPr="00531B05" w:rsidRDefault="002A7C0F" w:rsidP="00B53FD0">
            <w:pPr>
              <w:spacing w:before="40" w:after="40"/>
              <w:rPr>
                <w:color w:val="000000"/>
                <w:sz w:val="20"/>
                <w:szCs w:val="20"/>
              </w:rPr>
            </w:pPr>
            <w:r w:rsidRPr="00531B05">
              <w:rPr>
                <w:color w:val="000000"/>
                <w:sz w:val="20"/>
                <w:szCs w:val="20"/>
              </w:rPr>
              <w:t>Grafton</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2</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2.65</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0.65</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13,250</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20,088</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6,838</w:t>
            </w:r>
          </w:p>
        </w:tc>
      </w:tr>
      <w:tr w:rsidR="002A7C0F" w:rsidRPr="00531B05" w:rsidTr="00B53FD0">
        <w:trPr>
          <w:trHeight w:val="300"/>
        </w:trPr>
        <w:tc>
          <w:tcPr>
            <w:tcW w:w="1691" w:type="pct"/>
            <w:shd w:val="clear" w:color="auto" w:fill="auto"/>
            <w:noWrap/>
            <w:vAlign w:val="bottom"/>
            <w:hideMark/>
          </w:tcPr>
          <w:p w:rsidR="002A7C0F" w:rsidRPr="00531B05" w:rsidRDefault="002A7C0F" w:rsidP="00B53FD0">
            <w:pPr>
              <w:spacing w:before="40" w:after="40"/>
              <w:rPr>
                <w:color w:val="000000"/>
                <w:sz w:val="20"/>
                <w:szCs w:val="20"/>
              </w:rPr>
            </w:pPr>
            <w:r w:rsidRPr="00531B05">
              <w:rPr>
                <w:color w:val="000000"/>
                <w:sz w:val="20"/>
                <w:szCs w:val="20"/>
              </w:rPr>
              <w:t>Greenfield</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15</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16.17</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1.17</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101,512</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118,561</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17,049</w:t>
            </w:r>
          </w:p>
        </w:tc>
      </w:tr>
      <w:tr w:rsidR="002A7C0F" w:rsidRPr="00531B05" w:rsidTr="00B53FD0">
        <w:trPr>
          <w:trHeight w:val="300"/>
        </w:trPr>
        <w:tc>
          <w:tcPr>
            <w:tcW w:w="1691" w:type="pct"/>
            <w:shd w:val="clear" w:color="auto" w:fill="auto"/>
            <w:noWrap/>
            <w:vAlign w:val="bottom"/>
            <w:hideMark/>
          </w:tcPr>
          <w:p w:rsidR="002A7C0F" w:rsidRPr="00531B05" w:rsidRDefault="002A7C0F" w:rsidP="00B53FD0">
            <w:pPr>
              <w:spacing w:before="40" w:after="40"/>
              <w:rPr>
                <w:color w:val="000000"/>
                <w:sz w:val="20"/>
                <w:szCs w:val="20"/>
              </w:rPr>
            </w:pPr>
            <w:r w:rsidRPr="00531B05">
              <w:rPr>
                <w:color w:val="000000"/>
                <w:sz w:val="20"/>
                <w:szCs w:val="20"/>
              </w:rPr>
              <w:t>Groton-</w:t>
            </w:r>
            <w:proofErr w:type="spellStart"/>
            <w:r w:rsidRPr="00531B05">
              <w:rPr>
                <w:color w:val="000000"/>
                <w:sz w:val="20"/>
                <w:szCs w:val="20"/>
              </w:rPr>
              <w:t>Dunstable</w:t>
            </w:r>
            <w:proofErr w:type="spellEnd"/>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1</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1</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0</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6,625</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6,700</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75</w:t>
            </w:r>
          </w:p>
        </w:tc>
      </w:tr>
      <w:tr w:rsidR="002A7C0F" w:rsidRPr="00531B05" w:rsidTr="00B53FD0">
        <w:trPr>
          <w:trHeight w:val="300"/>
        </w:trPr>
        <w:tc>
          <w:tcPr>
            <w:tcW w:w="1691" w:type="pct"/>
            <w:shd w:val="clear" w:color="auto" w:fill="auto"/>
            <w:noWrap/>
            <w:vAlign w:val="bottom"/>
            <w:hideMark/>
          </w:tcPr>
          <w:p w:rsidR="002A7C0F" w:rsidRPr="00531B05" w:rsidRDefault="002A7C0F" w:rsidP="00B53FD0">
            <w:pPr>
              <w:spacing w:before="40" w:after="40"/>
              <w:rPr>
                <w:color w:val="000000"/>
                <w:sz w:val="20"/>
                <w:szCs w:val="20"/>
              </w:rPr>
            </w:pPr>
            <w:r w:rsidRPr="00531B05">
              <w:rPr>
                <w:color w:val="000000"/>
                <w:sz w:val="20"/>
                <w:szCs w:val="20"/>
              </w:rPr>
              <w:t>Hamilton-Wenham</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2</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2</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0</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13,250</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13,400</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150</w:t>
            </w:r>
          </w:p>
        </w:tc>
      </w:tr>
      <w:tr w:rsidR="002A7C0F" w:rsidRPr="00531B05" w:rsidTr="00B53FD0">
        <w:trPr>
          <w:trHeight w:val="300"/>
        </w:trPr>
        <w:tc>
          <w:tcPr>
            <w:tcW w:w="1691" w:type="pct"/>
            <w:shd w:val="clear" w:color="auto" w:fill="auto"/>
            <w:noWrap/>
            <w:vAlign w:val="bottom"/>
            <w:hideMark/>
          </w:tcPr>
          <w:p w:rsidR="002A7C0F" w:rsidRPr="00531B05" w:rsidRDefault="002A7C0F" w:rsidP="00B53FD0">
            <w:pPr>
              <w:spacing w:before="40" w:after="40"/>
              <w:rPr>
                <w:color w:val="000000"/>
                <w:sz w:val="20"/>
                <w:szCs w:val="20"/>
              </w:rPr>
            </w:pPr>
            <w:r w:rsidRPr="00531B05">
              <w:rPr>
                <w:color w:val="000000"/>
                <w:sz w:val="20"/>
                <w:szCs w:val="20"/>
              </w:rPr>
              <w:t>Hampden-Wilbraham</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2</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3.64</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1.64</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13,250</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24,416</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11,166</w:t>
            </w:r>
          </w:p>
        </w:tc>
      </w:tr>
      <w:tr w:rsidR="002A7C0F" w:rsidRPr="00531B05" w:rsidTr="00B53FD0">
        <w:trPr>
          <w:trHeight w:val="300"/>
        </w:trPr>
        <w:tc>
          <w:tcPr>
            <w:tcW w:w="1691" w:type="pct"/>
            <w:shd w:val="clear" w:color="auto" w:fill="auto"/>
            <w:noWrap/>
            <w:vAlign w:val="bottom"/>
            <w:hideMark/>
          </w:tcPr>
          <w:p w:rsidR="002A7C0F" w:rsidRPr="00531B05" w:rsidRDefault="002A7C0F" w:rsidP="00B53FD0">
            <w:pPr>
              <w:spacing w:before="40" w:after="40"/>
              <w:rPr>
                <w:color w:val="000000"/>
                <w:sz w:val="20"/>
                <w:szCs w:val="20"/>
              </w:rPr>
            </w:pPr>
            <w:r w:rsidRPr="00531B05">
              <w:rPr>
                <w:color w:val="000000"/>
                <w:sz w:val="20"/>
                <w:szCs w:val="20"/>
              </w:rPr>
              <w:t>Hampshire</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3</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3.5</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0.5</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19,875</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23,488</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3,613</w:t>
            </w:r>
          </w:p>
        </w:tc>
      </w:tr>
      <w:tr w:rsidR="002A7C0F" w:rsidRPr="00531B05" w:rsidTr="00B53FD0">
        <w:trPr>
          <w:trHeight w:val="300"/>
        </w:trPr>
        <w:tc>
          <w:tcPr>
            <w:tcW w:w="1691" w:type="pct"/>
            <w:shd w:val="clear" w:color="auto" w:fill="auto"/>
            <w:noWrap/>
            <w:vAlign w:val="bottom"/>
            <w:hideMark/>
          </w:tcPr>
          <w:p w:rsidR="002A7C0F" w:rsidRPr="00531B05" w:rsidRDefault="002A7C0F" w:rsidP="00B53FD0">
            <w:pPr>
              <w:spacing w:before="40" w:after="40"/>
              <w:rPr>
                <w:color w:val="000000"/>
                <w:sz w:val="20"/>
                <w:szCs w:val="20"/>
              </w:rPr>
            </w:pPr>
            <w:r w:rsidRPr="00531B05">
              <w:rPr>
                <w:color w:val="000000"/>
                <w:sz w:val="20"/>
                <w:szCs w:val="20"/>
              </w:rPr>
              <w:t>Hatfield</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4</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3.88</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-0.12</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26,500</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26,004</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-496</w:t>
            </w:r>
          </w:p>
        </w:tc>
      </w:tr>
      <w:tr w:rsidR="002A7C0F" w:rsidRPr="00531B05" w:rsidTr="00B53FD0">
        <w:trPr>
          <w:trHeight w:val="300"/>
        </w:trPr>
        <w:tc>
          <w:tcPr>
            <w:tcW w:w="1691" w:type="pct"/>
            <w:shd w:val="clear" w:color="auto" w:fill="auto"/>
            <w:noWrap/>
            <w:vAlign w:val="bottom"/>
            <w:hideMark/>
          </w:tcPr>
          <w:p w:rsidR="002A7C0F" w:rsidRPr="00531B05" w:rsidRDefault="002A7C0F" w:rsidP="00B53FD0">
            <w:pPr>
              <w:spacing w:before="40" w:after="40"/>
              <w:rPr>
                <w:color w:val="000000"/>
                <w:sz w:val="20"/>
                <w:szCs w:val="20"/>
              </w:rPr>
            </w:pPr>
            <w:r w:rsidRPr="00531B05">
              <w:rPr>
                <w:color w:val="000000"/>
                <w:sz w:val="20"/>
                <w:szCs w:val="20"/>
              </w:rPr>
              <w:t>Haverhill</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6</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5.95</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-0.05</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39,750</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39,869</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119</w:t>
            </w:r>
          </w:p>
        </w:tc>
      </w:tr>
      <w:tr w:rsidR="002A7C0F" w:rsidRPr="00531B05" w:rsidTr="00B53FD0">
        <w:trPr>
          <w:trHeight w:val="300"/>
        </w:trPr>
        <w:tc>
          <w:tcPr>
            <w:tcW w:w="1691" w:type="pct"/>
            <w:shd w:val="clear" w:color="auto" w:fill="auto"/>
            <w:noWrap/>
            <w:vAlign w:val="bottom"/>
            <w:hideMark/>
          </w:tcPr>
          <w:p w:rsidR="002A7C0F" w:rsidRPr="00531B05" w:rsidRDefault="002A7C0F" w:rsidP="00B53FD0">
            <w:pPr>
              <w:spacing w:before="40" w:after="40"/>
              <w:rPr>
                <w:color w:val="000000"/>
                <w:sz w:val="20"/>
                <w:szCs w:val="20"/>
              </w:rPr>
            </w:pPr>
            <w:r w:rsidRPr="00531B05">
              <w:rPr>
                <w:color w:val="000000"/>
                <w:sz w:val="20"/>
                <w:szCs w:val="20"/>
              </w:rPr>
              <w:t>Holbrook</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3</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2.9</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-0.1</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19,875</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19,438</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-437</w:t>
            </w:r>
          </w:p>
        </w:tc>
      </w:tr>
      <w:tr w:rsidR="002A7C0F" w:rsidRPr="00531B05" w:rsidTr="00B53FD0">
        <w:trPr>
          <w:trHeight w:val="300"/>
        </w:trPr>
        <w:tc>
          <w:tcPr>
            <w:tcW w:w="1691" w:type="pct"/>
            <w:shd w:val="clear" w:color="auto" w:fill="auto"/>
            <w:noWrap/>
            <w:vAlign w:val="bottom"/>
            <w:hideMark/>
          </w:tcPr>
          <w:p w:rsidR="002A7C0F" w:rsidRPr="00531B05" w:rsidRDefault="002A7C0F" w:rsidP="00B53FD0">
            <w:pPr>
              <w:spacing w:before="40" w:after="40"/>
              <w:rPr>
                <w:color w:val="000000"/>
                <w:sz w:val="20"/>
                <w:szCs w:val="20"/>
              </w:rPr>
            </w:pPr>
            <w:r w:rsidRPr="00531B05">
              <w:rPr>
                <w:color w:val="000000"/>
                <w:sz w:val="20"/>
                <w:szCs w:val="20"/>
              </w:rPr>
              <w:t>Holliston</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1</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1</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0</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6,625</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6,700</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75</w:t>
            </w:r>
          </w:p>
        </w:tc>
      </w:tr>
      <w:tr w:rsidR="002A7C0F" w:rsidRPr="00531B05" w:rsidTr="00B53FD0">
        <w:trPr>
          <w:trHeight w:val="300"/>
        </w:trPr>
        <w:tc>
          <w:tcPr>
            <w:tcW w:w="1691" w:type="pct"/>
            <w:shd w:val="clear" w:color="auto" w:fill="auto"/>
            <w:noWrap/>
            <w:vAlign w:val="bottom"/>
            <w:hideMark/>
          </w:tcPr>
          <w:p w:rsidR="002A7C0F" w:rsidRPr="00531B05" w:rsidRDefault="002A7C0F" w:rsidP="00B53FD0">
            <w:pPr>
              <w:spacing w:before="40" w:after="40"/>
              <w:rPr>
                <w:color w:val="000000"/>
                <w:sz w:val="20"/>
                <w:szCs w:val="20"/>
              </w:rPr>
            </w:pPr>
            <w:r w:rsidRPr="00531B05">
              <w:rPr>
                <w:color w:val="000000"/>
                <w:sz w:val="20"/>
                <w:szCs w:val="20"/>
              </w:rPr>
              <w:t>Holyoke</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1</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1.84</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0.84</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6,625</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12,415</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5,790</w:t>
            </w:r>
          </w:p>
        </w:tc>
      </w:tr>
      <w:tr w:rsidR="002A7C0F" w:rsidRPr="00531B05" w:rsidTr="00B53FD0">
        <w:trPr>
          <w:trHeight w:val="300"/>
        </w:trPr>
        <w:tc>
          <w:tcPr>
            <w:tcW w:w="1691" w:type="pct"/>
            <w:shd w:val="clear" w:color="auto" w:fill="auto"/>
            <w:noWrap/>
            <w:vAlign w:val="bottom"/>
            <w:hideMark/>
          </w:tcPr>
          <w:p w:rsidR="002A7C0F" w:rsidRPr="00531B05" w:rsidRDefault="002A7C0F" w:rsidP="00B53FD0">
            <w:pPr>
              <w:spacing w:before="40" w:after="40"/>
              <w:rPr>
                <w:color w:val="000000"/>
                <w:sz w:val="20"/>
                <w:szCs w:val="20"/>
              </w:rPr>
            </w:pPr>
            <w:r w:rsidRPr="00531B05">
              <w:rPr>
                <w:color w:val="000000"/>
                <w:sz w:val="20"/>
                <w:szCs w:val="20"/>
              </w:rPr>
              <w:t>Hopedale</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2</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2</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0</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13,250</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13,400</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150</w:t>
            </w:r>
          </w:p>
        </w:tc>
      </w:tr>
      <w:tr w:rsidR="002A7C0F" w:rsidRPr="00531B05" w:rsidTr="00B53FD0">
        <w:trPr>
          <w:trHeight w:val="300"/>
        </w:trPr>
        <w:tc>
          <w:tcPr>
            <w:tcW w:w="1691" w:type="pct"/>
            <w:shd w:val="clear" w:color="auto" w:fill="auto"/>
            <w:noWrap/>
            <w:vAlign w:val="bottom"/>
            <w:hideMark/>
          </w:tcPr>
          <w:p w:rsidR="002A7C0F" w:rsidRPr="00531B05" w:rsidRDefault="002A7C0F" w:rsidP="00B53FD0">
            <w:pPr>
              <w:spacing w:before="40" w:after="40"/>
              <w:rPr>
                <w:color w:val="000000"/>
                <w:sz w:val="20"/>
                <w:szCs w:val="20"/>
              </w:rPr>
            </w:pPr>
            <w:r w:rsidRPr="00531B05">
              <w:rPr>
                <w:color w:val="000000"/>
                <w:sz w:val="20"/>
                <w:szCs w:val="20"/>
              </w:rPr>
              <w:t>Hudson</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1</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0.3</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-0.7</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6,625</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2,063</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-4,562</w:t>
            </w:r>
          </w:p>
        </w:tc>
      </w:tr>
      <w:tr w:rsidR="002A7C0F" w:rsidRPr="00531B05" w:rsidTr="00B53FD0">
        <w:trPr>
          <w:trHeight w:val="300"/>
        </w:trPr>
        <w:tc>
          <w:tcPr>
            <w:tcW w:w="1691" w:type="pct"/>
            <w:shd w:val="clear" w:color="auto" w:fill="auto"/>
            <w:noWrap/>
            <w:vAlign w:val="bottom"/>
            <w:hideMark/>
          </w:tcPr>
          <w:p w:rsidR="002A7C0F" w:rsidRPr="00531B05" w:rsidRDefault="002A7C0F" w:rsidP="00B53FD0">
            <w:pPr>
              <w:spacing w:before="40" w:after="40"/>
              <w:rPr>
                <w:color w:val="000000"/>
                <w:sz w:val="20"/>
                <w:szCs w:val="20"/>
              </w:rPr>
            </w:pPr>
            <w:r w:rsidRPr="00531B05">
              <w:rPr>
                <w:color w:val="000000"/>
                <w:sz w:val="20"/>
                <w:szCs w:val="20"/>
              </w:rPr>
              <w:t>Hull</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2</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2.1</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0.1</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13,250</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14,138</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888</w:t>
            </w:r>
          </w:p>
        </w:tc>
      </w:tr>
      <w:tr w:rsidR="002A7C0F" w:rsidRPr="00531B05" w:rsidTr="00B53FD0">
        <w:trPr>
          <w:trHeight w:val="300"/>
        </w:trPr>
        <w:tc>
          <w:tcPr>
            <w:tcW w:w="1691" w:type="pct"/>
            <w:shd w:val="clear" w:color="auto" w:fill="auto"/>
            <w:noWrap/>
            <w:vAlign w:val="bottom"/>
            <w:hideMark/>
          </w:tcPr>
          <w:p w:rsidR="002A7C0F" w:rsidRPr="00531B05" w:rsidRDefault="002A7C0F" w:rsidP="00B53FD0">
            <w:pPr>
              <w:spacing w:before="40" w:after="40"/>
              <w:rPr>
                <w:color w:val="000000"/>
                <w:sz w:val="20"/>
                <w:szCs w:val="20"/>
              </w:rPr>
            </w:pPr>
            <w:r w:rsidRPr="00531B05">
              <w:rPr>
                <w:color w:val="000000"/>
                <w:sz w:val="20"/>
                <w:szCs w:val="20"/>
              </w:rPr>
              <w:t>Lawrence</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4</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6.83</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2.83</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26,500</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45,849</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19,349</w:t>
            </w:r>
          </w:p>
        </w:tc>
      </w:tr>
      <w:tr w:rsidR="002A7C0F" w:rsidRPr="00531B05" w:rsidTr="00B53FD0">
        <w:trPr>
          <w:trHeight w:val="300"/>
        </w:trPr>
        <w:tc>
          <w:tcPr>
            <w:tcW w:w="1691" w:type="pct"/>
            <w:shd w:val="clear" w:color="auto" w:fill="auto"/>
            <w:noWrap/>
            <w:vAlign w:val="bottom"/>
            <w:hideMark/>
          </w:tcPr>
          <w:p w:rsidR="002A7C0F" w:rsidRPr="00531B05" w:rsidRDefault="002A7C0F" w:rsidP="00B53FD0">
            <w:pPr>
              <w:spacing w:before="40" w:after="40"/>
              <w:rPr>
                <w:color w:val="000000"/>
                <w:sz w:val="20"/>
                <w:szCs w:val="20"/>
              </w:rPr>
            </w:pPr>
            <w:r w:rsidRPr="00531B05">
              <w:rPr>
                <w:color w:val="000000"/>
                <w:sz w:val="20"/>
                <w:szCs w:val="20"/>
              </w:rPr>
              <w:t>Leominster</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9</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9</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0</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59,625</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61,013</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1,388</w:t>
            </w:r>
          </w:p>
        </w:tc>
      </w:tr>
      <w:tr w:rsidR="002A7C0F" w:rsidRPr="00531B05" w:rsidTr="00B53FD0">
        <w:trPr>
          <w:trHeight w:val="300"/>
        </w:trPr>
        <w:tc>
          <w:tcPr>
            <w:tcW w:w="1691" w:type="pct"/>
            <w:shd w:val="clear" w:color="auto" w:fill="auto"/>
            <w:noWrap/>
            <w:vAlign w:val="bottom"/>
            <w:hideMark/>
          </w:tcPr>
          <w:p w:rsidR="002A7C0F" w:rsidRPr="00531B05" w:rsidRDefault="002A7C0F" w:rsidP="00B53FD0">
            <w:pPr>
              <w:spacing w:before="40" w:after="40"/>
              <w:rPr>
                <w:color w:val="000000"/>
                <w:sz w:val="20"/>
                <w:szCs w:val="20"/>
              </w:rPr>
            </w:pPr>
            <w:r w:rsidRPr="00531B05">
              <w:rPr>
                <w:color w:val="000000"/>
                <w:sz w:val="20"/>
                <w:szCs w:val="20"/>
              </w:rPr>
              <w:t>Lincoln</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2</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0.7</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-1.3</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13,250</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4,713</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-8,537</w:t>
            </w:r>
          </w:p>
        </w:tc>
      </w:tr>
      <w:tr w:rsidR="002A7C0F" w:rsidRPr="00531B05" w:rsidTr="00B53FD0">
        <w:trPr>
          <w:trHeight w:val="300"/>
        </w:trPr>
        <w:tc>
          <w:tcPr>
            <w:tcW w:w="1691" w:type="pct"/>
            <w:shd w:val="clear" w:color="auto" w:fill="auto"/>
            <w:noWrap/>
            <w:vAlign w:val="bottom"/>
            <w:hideMark/>
          </w:tcPr>
          <w:p w:rsidR="002A7C0F" w:rsidRPr="00531B05" w:rsidRDefault="002A7C0F" w:rsidP="00B53FD0">
            <w:pPr>
              <w:spacing w:before="40" w:after="40"/>
              <w:rPr>
                <w:color w:val="000000"/>
                <w:sz w:val="20"/>
                <w:szCs w:val="20"/>
              </w:rPr>
            </w:pPr>
            <w:r w:rsidRPr="00531B05">
              <w:rPr>
                <w:color w:val="000000"/>
                <w:sz w:val="20"/>
                <w:szCs w:val="20"/>
              </w:rPr>
              <w:lastRenderedPageBreak/>
              <w:t>Littleton</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1</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1</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0</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6,625</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6,700</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75</w:t>
            </w:r>
          </w:p>
        </w:tc>
      </w:tr>
      <w:tr w:rsidR="002A7C0F" w:rsidRPr="00531B05" w:rsidTr="00B53FD0">
        <w:trPr>
          <w:trHeight w:val="300"/>
        </w:trPr>
        <w:tc>
          <w:tcPr>
            <w:tcW w:w="1691" w:type="pct"/>
            <w:shd w:val="clear" w:color="auto" w:fill="auto"/>
            <w:noWrap/>
            <w:vAlign w:val="bottom"/>
            <w:hideMark/>
          </w:tcPr>
          <w:p w:rsidR="002A7C0F" w:rsidRPr="00531B05" w:rsidRDefault="002A7C0F" w:rsidP="00B53FD0">
            <w:pPr>
              <w:spacing w:before="40" w:after="40"/>
              <w:rPr>
                <w:color w:val="000000"/>
                <w:sz w:val="20"/>
                <w:szCs w:val="20"/>
              </w:rPr>
            </w:pPr>
            <w:r w:rsidRPr="00531B05">
              <w:rPr>
                <w:color w:val="000000"/>
                <w:sz w:val="20"/>
                <w:szCs w:val="20"/>
              </w:rPr>
              <w:t>Longmeadow</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2</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2</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0</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13,250</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13,400</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150</w:t>
            </w:r>
          </w:p>
        </w:tc>
      </w:tr>
      <w:tr w:rsidR="002A7C0F" w:rsidRPr="00531B05" w:rsidTr="00B53FD0">
        <w:trPr>
          <w:trHeight w:val="300"/>
        </w:trPr>
        <w:tc>
          <w:tcPr>
            <w:tcW w:w="1691" w:type="pct"/>
            <w:shd w:val="clear" w:color="auto" w:fill="auto"/>
            <w:noWrap/>
            <w:vAlign w:val="bottom"/>
            <w:hideMark/>
          </w:tcPr>
          <w:p w:rsidR="002A7C0F" w:rsidRPr="00531B05" w:rsidRDefault="002A7C0F" w:rsidP="00B53FD0">
            <w:pPr>
              <w:spacing w:before="40" w:after="40"/>
              <w:rPr>
                <w:color w:val="000000"/>
                <w:sz w:val="20"/>
                <w:szCs w:val="20"/>
              </w:rPr>
            </w:pPr>
            <w:r w:rsidRPr="00531B05">
              <w:rPr>
                <w:color w:val="000000"/>
                <w:sz w:val="20"/>
                <w:szCs w:val="20"/>
              </w:rPr>
              <w:t>Lowell</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3</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4.03</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1.03</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19,875</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27,074</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7,199</w:t>
            </w:r>
          </w:p>
        </w:tc>
      </w:tr>
      <w:tr w:rsidR="002A7C0F" w:rsidRPr="00531B05" w:rsidTr="00B53FD0">
        <w:trPr>
          <w:trHeight w:val="300"/>
        </w:trPr>
        <w:tc>
          <w:tcPr>
            <w:tcW w:w="1691" w:type="pct"/>
            <w:shd w:val="clear" w:color="auto" w:fill="auto"/>
            <w:noWrap/>
            <w:vAlign w:val="bottom"/>
            <w:hideMark/>
          </w:tcPr>
          <w:p w:rsidR="002A7C0F" w:rsidRPr="00531B05" w:rsidRDefault="002A7C0F" w:rsidP="00B53FD0">
            <w:pPr>
              <w:spacing w:before="40" w:after="40"/>
              <w:rPr>
                <w:color w:val="000000"/>
                <w:sz w:val="20"/>
                <w:szCs w:val="20"/>
              </w:rPr>
            </w:pPr>
            <w:r w:rsidRPr="00531B05">
              <w:rPr>
                <w:color w:val="000000"/>
                <w:sz w:val="20"/>
                <w:szCs w:val="20"/>
              </w:rPr>
              <w:t>Ludlow</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3</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2.9</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-0.1</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19,875</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19,438</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-437</w:t>
            </w:r>
          </w:p>
        </w:tc>
      </w:tr>
      <w:tr w:rsidR="002A7C0F" w:rsidRPr="00531B05" w:rsidTr="00B53FD0">
        <w:trPr>
          <w:trHeight w:val="300"/>
        </w:trPr>
        <w:tc>
          <w:tcPr>
            <w:tcW w:w="1691" w:type="pct"/>
            <w:shd w:val="clear" w:color="auto" w:fill="auto"/>
            <w:noWrap/>
            <w:vAlign w:val="bottom"/>
            <w:hideMark/>
          </w:tcPr>
          <w:p w:rsidR="002A7C0F" w:rsidRPr="00531B05" w:rsidRDefault="002A7C0F" w:rsidP="00B53FD0">
            <w:pPr>
              <w:spacing w:before="40" w:after="40"/>
              <w:rPr>
                <w:color w:val="000000"/>
                <w:sz w:val="20"/>
                <w:szCs w:val="20"/>
              </w:rPr>
            </w:pPr>
            <w:r w:rsidRPr="00531B05">
              <w:rPr>
                <w:color w:val="000000"/>
                <w:sz w:val="20"/>
                <w:szCs w:val="20"/>
              </w:rPr>
              <w:t>Lynn</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5</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8.98</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3.98</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33,125</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60,318</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27,193</w:t>
            </w:r>
          </w:p>
        </w:tc>
      </w:tr>
      <w:tr w:rsidR="002A7C0F" w:rsidRPr="00531B05" w:rsidTr="00B53FD0">
        <w:trPr>
          <w:trHeight w:val="300"/>
        </w:trPr>
        <w:tc>
          <w:tcPr>
            <w:tcW w:w="1691" w:type="pct"/>
            <w:shd w:val="clear" w:color="auto" w:fill="auto"/>
            <w:noWrap/>
            <w:vAlign w:val="bottom"/>
            <w:hideMark/>
          </w:tcPr>
          <w:p w:rsidR="002A7C0F" w:rsidRPr="00531B05" w:rsidRDefault="002A7C0F" w:rsidP="00B53FD0">
            <w:pPr>
              <w:spacing w:before="40" w:after="40"/>
              <w:rPr>
                <w:color w:val="000000"/>
                <w:sz w:val="20"/>
                <w:szCs w:val="20"/>
              </w:rPr>
            </w:pPr>
            <w:r w:rsidRPr="00531B05">
              <w:rPr>
                <w:color w:val="000000"/>
                <w:sz w:val="20"/>
                <w:szCs w:val="20"/>
              </w:rPr>
              <w:t>Mansfield</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2</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2</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0</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13,250</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13,400</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150</w:t>
            </w:r>
          </w:p>
        </w:tc>
      </w:tr>
      <w:tr w:rsidR="002A7C0F" w:rsidRPr="00531B05" w:rsidTr="00B53FD0">
        <w:trPr>
          <w:trHeight w:val="300"/>
        </w:trPr>
        <w:tc>
          <w:tcPr>
            <w:tcW w:w="1691" w:type="pct"/>
            <w:shd w:val="clear" w:color="auto" w:fill="auto"/>
            <w:noWrap/>
            <w:vAlign w:val="bottom"/>
            <w:hideMark/>
          </w:tcPr>
          <w:p w:rsidR="002A7C0F" w:rsidRPr="00531B05" w:rsidRDefault="002A7C0F" w:rsidP="00B53FD0">
            <w:pPr>
              <w:spacing w:before="40" w:after="40"/>
              <w:rPr>
                <w:color w:val="000000"/>
                <w:sz w:val="20"/>
                <w:szCs w:val="20"/>
              </w:rPr>
            </w:pPr>
            <w:r w:rsidRPr="00531B05">
              <w:rPr>
                <w:color w:val="000000"/>
                <w:sz w:val="20"/>
                <w:szCs w:val="20"/>
              </w:rPr>
              <w:t>Marlborough</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3</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2.37</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-0.63</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19,875</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15,926</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-3,949</w:t>
            </w:r>
          </w:p>
        </w:tc>
      </w:tr>
      <w:tr w:rsidR="002A7C0F" w:rsidRPr="00531B05" w:rsidTr="00B53FD0">
        <w:trPr>
          <w:trHeight w:val="300"/>
        </w:trPr>
        <w:tc>
          <w:tcPr>
            <w:tcW w:w="1691" w:type="pct"/>
            <w:shd w:val="clear" w:color="auto" w:fill="auto"/>
            <w:noWrap/>
            <w:vAlign w:val="bottom"/>
            <w:hideMark/>
          </w:tcPr>
          <w:p w:rsidR="002A7C0F" w:rsidRPr="00531B05" w:rsidRDefault="002A7C0F" w:rsidP="00B53FD0">
            <w:pPr>
              <w:spacing w:before="40" w:after="40"/>
              <w:rPr>
                <w:color w:val="000000"/>
                <w:sz w:val="20"/>
                <w:szCs w:val="20"/>
              </w:rPr>
            </w:pPr>
            <w:r w:rsidRPr="00531B05">
              <w:rPr>
                <w:color w:val="000000"/>
                <w:sz w:val="20"/>
                <w:szCs w:val="20"/>
              </w:rPr>
              <w:t>Mashpee</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2</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2</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0</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13,250</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13,400</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150</w:t>
            </w:r>
          </w:p>
        </w:tc>
      </w:tr>
      <w:tr w:rsidR="002A7C0F" w:rsidRPr="00531B05" w:rsidTr="00B53FD0">
        <w:trPr>
          <w:trHeight w:val="300"/>
        </w:trPr>
        <w:tc>
          <w:tcPr>
            <w:tcW w:w="1691" w:type="pct"/>
            <w:shd w:val="clear" w:color="auto" w:fill="auto"/>
            <w:noWrap/>
            <w:vAlign w:val="bottom"/>
            <w:hideMark/>
          </w:tcPr>
          <w:p w:rsidR="002A7C0F" w:rsidRPr="00531B05" w:rsidRDefault="002A7C0F" w:rsidP="00B53FD0">
            <w:pPr>
              <w:spacing w:before="40" w:after="40"/>
              <w:rPr>
                <w:color w:val="000000"/>
                <w:sz w:val="20"/>
                <w:szCs w:val="20"/>
              </w:rPr>
            </w:pPr>
            <w:r w:rsidRPr="00531B05">
              <w:rPr>
                <w:color w:val="000000"/>
                <w:sz w:val="20"/>
                <w:szCs w:val="20"/>
              </w:rPr>
              <w:t>Medford</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1</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2.25</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1.25</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6,625</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15,131</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8,506</w:t>
            </w:r>
          </w:p>
        </w:tc>
      </w:tr>
      <w:tr w:rsidR="002A7C0F" w:rsidRPr="00531B05" w:rsidTr="00B53FD0">
        <w:trPr>
          <w:trHeight w:val="300"/>
        </w:trPr>
        <w:tc>
          <w:tcPr>
            <w:tcW w:w="1691" w:type="pct"/>
            <w:shd w:val="clear" w:color="auto" w:fill="auto"/>
            <w:noWrap/>
            <w:vAlign w:val="bottom"/>
            <w:hideMark/>
          </w:tcPr>
          <w:p w:rsidR="002A7C0F" w:rsidRPr="00531B05" w:rsidRDefault="002A7C0F" w:rsidP="00B53FD0">
            <w:pPr>
              <w:spacing w:before="40" w:after="40"/>
              <w:rPr>
                <w:color w:val="000000"/>
                <w:sz w:val="20"/>
                <w:szCs w:val="20"/>
              </w:rPr>
            </w:pPr>
            <w:r w:rsidRPr="00531B05">
              <w:rPr>
                <w:color w:val="000000"/>
                <w:sz w:val="20"/>
                <w:szCs w:val="20"/>
              </w:rPr>
              <w:t>Methuen</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8</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9.13</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1.13</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53,000</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61,238</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8,238</w:t>
            </w:r>
          </w:p>
        </w:tc>
      </w:tr>
      <w:tr w:rsidR="002A7C0F" w:rsidRPr="00531B05" w:rsidTr="00B53FD0">
        <w:trPr>
          <w:trHeight w:val="300"/>
        </w:trPr>
        <w:tc>
          <w:tcPr>
            <w:tcW w:w="1691" w:type="pct"/>
            <w:shd w:val="clear" w:color="auto" w:fill="auto"/>
            <w:noWrap/>
            <w:vAlign w:val="bottom"/>
            <w:hideMark/>
          </w:tcPr>
          <w:p w:rsidR="002A7C0F" w:rsidRPr="00531B05" w:rsidRDefault="002A7C0F" w:rsidP="00B53FD0">
            <w:pPr>
              <w:spacing w:before="40" w:after="40"/>
              <w:rPr>
                <w:color w:val="000000"/>
                <w:sz w:val="20"/>
                <w:szCs w:val="20"/>
              </w:rPr>
            </w:pPr>
            <w:r w:rsidRPr="00531B05">
              <w:rPr>
                <w:color w:val="000000"/>
                <w:sz w:val="20"/>
                <w:szCs w:val="20"/>
              </w:rPr>
              <w:t>Middleborough</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1</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1</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0</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6,625</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6,700</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75</w:t>
            </w:r>
          </w:p>
        </w:tc>
      </w:tr>
      <w:tr w:rsidR="002A7C0F" w:rsidRPr="00531B05" w:rsidTr="00B53FD0">
        <w:trPr>
          <w:trHeight w:val="300"/>
        </w:trPr>
        <w:tc>
          <w:tcPr>
            <w:tcW w:w="1691" w:type="pct"/>
            <w:shd w:val="clear" w:color="auto" w:fill="auto"/>
            <w:noWrap/>
            <w:vAlign w:val="bottom"/>
            <w:hideMark/>
          </w:tcPr>
          <w:p w:rsidR="002A7C0F" w:rsidRPr="00531B05" w:rsidRDefault="002A7C0F" w:rsidP="00B53FD0">
            <w:pPr>
              <w:spacing w:before="40" w:after="40"/>
              <w:rPr>
                <w:color w:val="000000"/>
                <w:sz w:val="20"/>
                <w:szCs w:val="20"/>
              </w:rPr>
            </w:pPr>
            <w:r w:rsidRPr="00531B05">
              <w:rPr>
                <w:color w:val="000000"/>
                <w:sz w:val="20"/>
                <w:szCs w:val="20"/>
              </w:rPr>
              <w:t>Milford</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1</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1</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0</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6,625</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6,700</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75</w:t>
            </w:r>
          </w:p>
        </w:tc>
      </w:tr>
      <w:tr w:rsidR="002A7C0F" w:rsidRPr="00531B05" w:rsidTr="00B53FD0">
        <w:trPr>
          <w:trHeight w:val="300"/>
        </w:trPr>
        <w:tc>
          <w:tcPr>
            <w:tcW w:w="1691" w:type="pct"/>
            <w:shd w:val="clear" w:color="auto" w:fill="auto"/>
            <w:noWrap/>
            <w:vAlign w:val="bottom"/>
            <w:hideMark/>
          </w:tcPr>
          <w:p w:rsidR="002A7C0F" w:rsidRPr="00531B05" w:rsidRDefault="002A7C0F" w:rsidP="00B53FD0">
            <w:pPr>
              <w:spacing w:before="40" w:after="40"/>
              <w:rPr>
                <w:color w:val="000000"/>
                <w:sz w:val="20"/>
                <w:szCs w:val="20"/>
              </w:rPr>
            </w:pPr>
            <w:r w:rsidRPr="00531B05">
              <w:rPr>
                <w:color w:val="000000"/>
                <w:sz w:val="20"/>
                <w:szCs w:val="20"/>
              </w:rPr>
              <w:t>Millbury</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1</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1</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0</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6,625</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6,992</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367</w:t>
            </w:r>
          </w:p>
        </w:tc>
      </w:tr>
      <w:tr w:rsidR="002A7C0F" w:rsidRPr="00531B05" w:rsidTr="00B53FD0">
        <w:trPr>
          <w:trHeight w:val="300"/>
        </w:trPr>
        <w:tc>
          <w:tcPr>
            <w:tcW w:w="1691" w:type="pct"/>
            <w:shd w:val="clear" w:color="auto" w:fill="auto"/>
            <w:noWrap/>
            <w:vAlign w:val="bottom"/>
            <w:hideMark/>
          </w:tcPr>
          <w:p w:rsidR="002A7C0F" w:rsidRPr="00531B05" w:rsidRDefault="002A7C0F" w:rsidP="00B53FD0">
            <w:pPr>
              <w:spacing w:before="40" w:after="40"/>
              <w:rPr>
                <w:color w:val="000000"/>
                <w:sz w:val="20"/>
                <w:szCs w:val="20"/>
              </w:rPr>
            </w:pPr>
            <w:r w:rsidRPr="00531B05">
              <w:rPr>
                <w:color w:val="000000"/>
                <w:sz w:val="20"/>
                <w:szCs w:val="20"/>
              </w:rPr>
              <w:t>Milton</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2</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2</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0</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13,250</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13,400</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150</w:t>
            </w:r>
          </w:p>
        </w:tc>
      </w:tr>
      <w:tr w:rsidR="002A7C0F" w:rsidRPr="00531B05" w:rsidTr="00B53FD0">
        <w:trPr>
          <w:trHeight w:val="300"/>
        </w:trPr>
        <w:tc>
          <w:tcPr>
            <w:tcW w:w="1691" w:type="pct"/>
            <w:shd w:val="clear" w:color="auto" w:fill="auto"/>
            <w:noWrap/>
            <w:vAlign w:val="bottom"/>
            <w:hideMark/>
          </w:tcPr>
          <w:p w:rsidR="002A7C0F" w:rsidRPr="00531B05" w:rsidRDefault="002A7C0F" w:rsidP="00B53FD0">
            <w:pPr>
              <w:spacing w:before="40" w:after="40"/>
              <w:rPr>
                <w:color w:val="000000"/>
                <w:sz w:val="20"/>
                <w:szCs w:val="20"/>
              </w:rPr>
            </w:pPr>
            <w:r w:rsidRPr="00531B05">
              <w:rPr>
                <w:color w:val="000000"/>
                <w:sz w:val="20"/>
                <w:szCs w:val="20"/>
              </w:rPr>
              <w:t>Mohawk Trail</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1</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2</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1</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6,625</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13,400</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6,775</w:t>
            </w:r>
          </w:p>
        </w:tc>
      </w:tr>
      <w:tr w:rsidR="002A7C0F" w:rsidRPr="00531B05" w:rsidTr="00B53FD0">
        <w:trPr>
          <w:trHeight w:val="300"/>
        </w:trPr>
        <w:tc>
          <w:tcPr>
            <w:tcW w:w="1691" w:type="pct"/>
            <w:shd w:val="clear" w:color="auto" w:fill="auto"/>
            <w:noWrap/>
            <w:vAlign w:val="bottom"/>
            <w:hideMark/>
          </w:tcPr>
          <w:p w:rsidR="002A7C0F" w:rsidRPr="00531B05" w:rsidRDefault="002A7C0F" w:rsidP="00B53FD0">
            <w:pPr>
              <w:spacing w:before="40" w:after="40"/>
              <w:rPr>
                <w:color w:val="000000"/>
                <w:sz w:val="20"/>
                <w:szCs w:val="20"/>
              </w:rPr>
            </w:pPr>
            <w:r w:rsidRPr="00531B05">
              <w:rPr>
                <w:color w:val="000000"/>
                <w:sz w:val="20"/>
                <w:szCs w:val="20"/>
              </w:rPr>
              <w:t>Monomoy</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1</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1.62</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0.62</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6,625</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10,883</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4,258</w:t>
            </w:r>
          </w:p>
        </w:tc>
      </w:tr>
      <w:tr w:rsidR="002A7C0F" w:rsidRPr="00531B05" w:rsidTr="00B53FD0">
        <w:trPr>
          <w:trHeight w:val="300"/>
        </w:trPr>
        <w:tc>
          <w:tcPr>
            <w:tcW w:w="1691" w:type="pct"/>
            <w:shd w:val="clear" w:color="auto" w:fill="auto"/>
            <w:noWrap/>
            <w:vAlign w:val="bottom"/>
            <w:hideMark/>
          </w:tcPr>
          <w:p w:rsidR="002A7C0F" w:rsidRPr="00531B05" w:rsidRDefault="002A7C0F" w:rsidP="00B53FD0">
            <w:pPr>
              <w:spacing w:before="40" w:after="40"/>
              <w:rPr>
                <w:color w:val="000000"/>
                <w:sz w:val="20"/>
                <w:szCs w:val="20"/>
              </w:rPr>
            </w:pPr>
            <w:r w:rsidRPr="00531B05">
              <w:rPr>
                <w:color w:val="000000"/>
                <w:sz w:val="20"/>
                <w:szCs w:val="20"/>
              </w:rPr>
              <w:t>Monson</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7</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6.97</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-0.03</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46,375</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46,701</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326</w:t>
            </w:r>
          </w:p>
        </w:tc>
      </w:tr>
      <w:tr w:rsidR="002A7C0F" w:rsidRPr="00531B05" w:rsidTr="00B53FD0">
        <w:trPr>
          <w:trHeight w:val="300"/>
        </w:trPr>
        <w:tc>
          <w:tcPr>
            <w:tcW w:w="1691" w:type="pct"/>
            <w:shd w:val="clear" w:color="auto" w:fill="auto"/>
            <w:noWrap/>
            <w:vAlign w:val="bottom"/>
            <w:hideMark/>
          </w:tcPr>
          <w:p w:rsidR="002A7C0F" w:rsidRPr="00531B05" w:rsidRDefault="002A7C0F" w:rsidP="00B53FD0">
            <w:pPr>
              <w:spacing w:before="40" w:after="40"/>
              <w:rPr>
                <w:color w:val="000000"/>
                <w:sz w:val="20"/>
                <w:szCs w:val="20"/>
              </w:rPr>
            </w:pPr>
            <w:r w:rsidRPr="00531B05">
              <w:rPr>
                <w:color w:val="000000"/>
                <w:sz w:val="20"/>
                <w:szCs w:val="20"/>
              </w:rPr>
              <w:t xml:space="preserve">Mount </w:t>
            </w:r>
            <w:proofErr w:type="spellStart"/>
            <w:r w:rsidRPr="00531B05">
              <w:rPr>
                <w:color w:val="000000"/>
                <w:sz w:val="20"/>
                <w:szCs w:val="20"/>
              </w:rPr>
              <w:t>Greylock</w:t>
            </w:r>
            <w:proofErr w:type="spellEnd"/>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1</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1</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0</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6,625</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6,700</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75</w:t>
            </w:r>
          </w:p>
        </w:tc>
      </w:tr>
      <w:tr w:rsidR="002A7C0F" w:rsidRPr="00531B05" w:rsidTr="00B53FD0">
        <w:trPr>
          <w:trHeight w:val="300"/>
        </w:trPr>
        <w:tc>
          <w:tcPr>
            <w:tcW w:w="1691" w:type="pct"/>
            <w:shd w:val="clear" w:color="auto" w:fill="auto"/>
            <w:noWrap/>
            <w:vAlign w:val="bottom"/>
            <w:hideMark/>
          </w:tcPr>
          <w:p w:rsidR="002A7C0F" w:rsidRPr="00531B05" w:rsidRDefault="002A7C0F" w:rsidP="00B53FD0">
            <w:pPr>
              <w:spacing w:before="40" w:after="40"/>
              <w:rPr>
                <w:color w:val="000000"/>
                <w:sz w:val="20"/>
                <w:szCs w:val="20"/>
              </w:rPr>
            </w:pPr>
            <w:r w:rsidRPr="00531B05">
              <w:rPr>
                <w:color w:val="000000"/>
                <w:sz w:val="20"/>
                <w:szCs w:val="20"/>
              </w:rPr>
              <w:t>Narragansett</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1</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1</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0</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6,625</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6,700</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75</w:t>
            </w:r>
          </w:p>
        </w:tc>
      </w:tr>
      <w:tr w:rsidR="002A7C0F" w:rsidRPr="00531B05" w:rsidTr="00B53FD0">
        <w:trPr>
          <w:trHeight w:val="300"/>
        </w:trPr>
        <w:tc>
          <w:tcPr>
            <w:tcW w:w="1691" w:type="pct"/>
            <w:shd w:val="clear" w:color="auto" w:fill="auto"/>
            <w:noWrap/>
            <w:vAlign w:val="bottom"/>
            <w:hideMark/>
          </w:tcPr>
          <w:p w:rsidR="002A7C0F" w:rsidRPr="00531B05" w:rsidRDefault="002A7C0F" w:rsidP="00B53FD0">
            <w:pPr>
              <w:spacing w:before="40" w:after="40"/>
              <w:rPr>
                <w:color w:val="000000"/>
                <w:sz w:val="20"/>
                <w:szCs w:val="20"/>
              </w:rPr>
            </w:pPr>
            <w:r w:rsidRPr="00531B05">
              <w:rPr>
                <w:color w:val="000000"/>
                <w:sz w:val="20"/>
                <w:szCs w:val="20"/>
              </w:rPr>
              <w:t>Nashoba</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2</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1.64</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-0.36</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13,250</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11,015</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-2,235</w:t>
            </w:r>
          </w:p>
        </w:tc>
      </w:tr>
      <w:tr w:rsidR="002A7C0F" w:rsidRPr="00531B05" w:rsidTr="00B53FD0">
        <w:trPr>
          <w:trHeight w:val="300"/>
        </w:trPr>
        <w:tc>
          <w:tcPr>
            <w:tcW w:w="1691" w:type="pct"/>
            <w:shd w:val="clear" w:color="auto" w:fill="auto"/>
            <w:noWrap/>
            <w:vAlign w:val="bottom"/>
            <w:hideMark/>
          </w:tcPr>
          <w:p w:rsidR="002A7C0F" w:rsidRPr="00531B05" w:rsidRDefault="002A7C0F" w:rsidP="00B53FD0">
            <w:pPr>
              <w:spacing w:before="40" w:after="40"/>
              <w:rPr>
                <w:color w:val="000000"/>
                <w:sz w:val="20"/>
                <w:szCs w:val="20"/>
              </w:rPr>
            </w:pPr>
            <w:r w:rsidRPr="00531B05">
              <w:rPr>
                <w:color w:val="000000"/>
                <w:sz w:val="20"/>
                <w:szCs w:val="20"/>
              </w:rPr>
              <w:t>Natick</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1</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1.51</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0.51</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6,625</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10,154</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3,529</w:t>
            </w:r>
          </w:p>
        </w:tc>
      </w:tr>
      <w:tr w:rsidR="002A7C0F" w:rsidRPr="00531B05" w:rsidTr="00B53FD0">
        <w:trPr>
          <w:trHeight w:val="300"/>
        </w:trPr>
        <w:tc>
          <w:tcPr>
            <w:tcW w:w="1691" w:type="pct"/>
            <w:shd w:val="clear" w:color="auto" w:fill="auto"/>
            <w:noWrap/>
            <w:vAlign w:val="bottom"/>
            <w:hideMark/>
          </w:tcPr>
          <w:p w:rsidR="002A7C0F" w:rsidRPr="00531B05" w:rsidRDefault="002A7C0F" w:rsidP="00B53FD0">
            <w:pPr>
              <w:spacing w:before="40" w:after="40"/>
              <w:rPr>
                <w:color w:val="000000"/>
                <w:sz w:val="20"/>
                <w:szCs w:val="20"/>
              </w:rPr>
            </w:pPr>
            <w:r w:rsidRPr="00531B05">
              <w:rPr>
                <w:color w:val="000000"/>
                <w:sz w:val="20"/>
                <w:szCs w:val="20"/>
              </w:rPr>
              <w:t>New Bedford</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11</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12.2</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1.2</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72,875</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81,950</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9,075</w:t>
            </w:r>
          </w:p>
        </w:tc>
      </w:tr>
      <w:tr w:rsidR="002A7C0F" w:rsidRPr="00531B05" w:rsidTr="00B53FD0">
        <w:trPr>
          <w:trHeight w:val="300"/>
        </w:trPr>
        <w:tc>
          <w:tcPr>
            <w:tcW w:w="1691" w:type="pct"/>
            <w:shd w:val="clear" w:color="auto" w:fill="auto"/>
            <w:noWrap/>
            <w:vAlign w:val="bottom"/>
            <w:hideMark/>
          </w:tcPr>
          <w:p w:rsidR="002A7C0F" w:rsidRPr="00531B05" w:rsidRDefault="002A7C0F" w:rsidP="00B53FD0">
            <w:pPr>
              <w:spacing w:before="40" w:after="40"/>
              <w:rPr>
                <w:color w:val="000000"/>
                <w:sz w:val="20"/>
                <w:szCs w:val="20"/>
              </w:rPr>
            </w:pPr>
            <w:r w:rsidRPr="00531B05">
              <w:rPr>
                <w:color w:val="000000"/>
                <w:sz w:val="20"/>
                <w:szCs w:val="20"/>
              </w:rPr>
              <w:t>New Salem-Wendell</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1</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1</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0</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6,625</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6,700</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75</w:t>
            </w:r>
          </w:p>
        </w:tc>
      </w:tr>
      <w:tr w:rsidR="002A7C0F" w:rsidRPr="00531B05" w:rsidTr="00B53FD0">
        <w:trPr>
          <w:trHeight w:val="300"/>
        </w:trPr>
        <w:tc>
          <w:tcPr>
            <w:tcW w:w="1691" w:type="pct"/>
            <w:shd w:val="clear" w:color="auto" w:fill="auto"/>
            <w:noWrap/>
            <w:vAlign w:val="bottom"/>
            <w:hideMark/>
          </w:tcPr>
          <w:p w:rsidR="002A7C0F" w:rsidRPr="00531B05" w:rsidRDefault="002A7C0F" w:rsidP="00B53FD0">
            <w:pPr>
              <w:spacing w:before="40" w:after="40"/>
              <w:rPr>
                <w:color w:val="000000"/>
                <w:sz w:val="20"/>
                <w:szCs w:val="20"/>
              </w:rPr>
            </w:pPr>
            <w:r w:rsidRPr="00531B05">
              <w:rPr>
                <w:color w:val="000000"/>
                <w:sz w:val="20"/>
                <w:szCs w:val="20"/>
              </w:rPr>
              <w:t>Newburyport</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1</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1.25</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0.25</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6,625</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8,431</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1,806</w:t>
            </w:r>
          </w:p>
        </w:tc>
      </w:tr>
      <w:tr w:rsidR="002A7C0F" w:rsidRPr="00531B05" w:rsidTr="00B53FD0">
        <w:trPr>
          <w:trHeight w:val="300"/>
        </w:trPr>
        <w:tc>
          <w:tcPr>
            <w:tcW w:w="1691" w:type="pct"/>
            <w:shd w:val="clear" w:color="auto" w:fill="auto"/>
            <w:noWrap/>
            <w:vAlign w:val="bottom"/>
            <w:hideMark/>
          </w:tcPr>
          <w:p w:rsidR="002A7C0F" w:rsidRPr="00531B05" w:rsidRDefault="002A7C0F" w:rsidP="00B53FD0">
            <w:pPr>
              <w:spacing w:before="40" w:after="40"/>
              <w:rPr>
                <w:color w:val="000000"/>
                <w:sz w:val="20"/>
                <w:szCs w:val="20"/>
              </w:rPr>
            </w:pPr>
            <w:r w:rsidRPr="00531B05">
              <w:rPr>
                <w:color w:val="000000"/>
                <w:sz w:val="20"/>
                <w:szCs w:val="20"/>
              </w:rPr>
              <w:t>North Adams</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2</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2</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0</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13,250</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13,400</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150</w:t>
            </w:r>
          </w:p>
        </w:tc>
      </w:tr>
      <w:tr w:rsidR="002A7C0F" w:rsidRPr="00531B05" w:rsidTr="00B53FD0">
        <w:trPr>
          <w:trHeight w:val="300"/>
        </w:trPr>
        <w:tc>
          <w:tcPr>
            <w:tcW w:w="1691" w:type="pct"/>
            <w:shd w:val="clear" w:color="auto" w:fill="auto"/>
            <w:noWrap/>
            <w:vAlign w:val="bottom"/>
            <w:hideMark/>
          </w:tcPr>
          <w:p w:rsidR="002A7C0F" w:rsidRPr="00531B05" w:rsidRDefault="002A7C0F" w:rsidP="00B53FD0">
            <w:pPr>
              <w:spacing w:before="40" w:after="40"/>
              <w:rPr>
                <w:color w:val="000000"/>
                <w:sz w:val="20"/>
                <w:szCs w:val="20"/>
              </w:rPr>
            </w:pPr>
            <w:r w:rsidRPr="00531B05">
              <w:rPr>
                <w:color w:val="000000"/>
                <w:sz w:val="20"/>
                <w:szCs w:val="20"/>
              </w:rPr>
              <w:t>North Middlesex</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9</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9.32</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0.32</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59,625</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62,495</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2,870</w:t>
            </w:r>
          </w:p>
        </w:tc>
      </w:tr>
      <w:tr w:rsidR="002A7C0F" w:rsidRPr="00531B05" w:rsidTr="00B53FD0">
        <w:trPr>
          <w:trHeight w:val="300"/>
        </w:trPr>
        <w:tc>
          <w:tcPr>
            <w:tcW w:w="1691" w:type="pct"/>
            <w:shd w:val="clear" w:color="auto" w:fill="auto"/>
            <w:noWrap/>
            <w:vAlign w:val="bottom"/>
            <w:hideMark/>
          </w:tcPr>
          <w:p w:rsidR="002A7C0F" w:rsidRPr="00531B05" w:rsidRDefault="002A7C0F" w:rsidP="00B53FD0">
            <w:pPr>
              <w:spacing w:before="40" w:after="40"/>
              <w:rPr>
                <w:color w:val="000000"/>
                <w:sz w:val="20"/>
                <w:szCs w:val="20"/>
              </w:rPr>
            </w:pPr>
            <w:r w:rsidRPr="00531B05">
              <w:rPr>
                <w:color w:val="000000"/>
                <w:sz w:val="20"/>
                <w:szCs w:val="20"/>
              </w:rPr>
              <w:t>Northboro-Southboro</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1</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1</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0</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6,625</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6,700</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75</w:t>
            </w:r>
          </w:p>
        </w:tc>
      </w:tr>
      <w:tr w:rsidR="002A7C0F" w:rsidRPr="00531B05" w:rsidTr="00B53FD0">
        <w:trPr>
          <w:trHeight w:val="300"/>
        </w:trPr>
        <w:tc>
          <w:tcPr>
            <w:tcW w:w="1691" w:type="pct"/>
            <w:shd w:val="clear" w:color="auto" w:fill="auto"/>
            <w:noWrap/>
            <w:vAlign w:val="bottom"/>
            <w:hideMark/>
          </w:tcPr>
          <w:p w:rsidR="002A7C0F" w:rsidRPr="00531B05" w:rsidRDefault="002A7C0F" w:rsidP="00B53FD0">
            <w:pPr>
              <w:spacing w:before="40" w:after="40"/>
              <w:rPr>
                <w:color w:val="000000"/>
                <w:sz w:val="20"/>
                <w:szCs w:val="20"/>
              </w:rPr>
            </w:pPr>
            <w:r w:rsidRPr="00531B05">
              <w:rPr>
                <w:color w:val="000000"/>
                <w:sz w:val="20"/>
                <w:szCs w:val="20"/>
              </w:rPr>
              <w:t>Northbridge</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1</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0.34</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-0.66</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6,625</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2,402</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-4,223</w:t>
            </w:r>
          </w:p>
        </w:tc>
      </w:tr>
      <w:tr w:rsidR="002A7C0F" w:rsidRPr="00531B05" w:rsidTr="00B53FD0">
        <w:trPr>
          <w:trHeight w:val="300"/>
        </w:trPr>
        <w:tc>
          <w:tcPr>
            <w:tcW w:w="1691" w:type="pct"/>
            <w:shd w:val="clear" w:color="auto" w:fill="auto"/>
            <w:noWrap/>
            <w:vAlign w:val="bottom"/>
            <w:hideMark/>
          </w:tcPr>
          <w:p w:rsidR="002A7C0F" w:rsidRPr="00531B05" w:rsidRDefault="002A7C0F" w:rsidP="00B53FD0">
            <w:pPr>
              <w:spacing w:before="40" w:after="40"/>
              <w:rPr>
                <w:color w:val="000000"/>
                <w:sz w:val="20"/>
                <w:szCs w:val="20"/>
              </w:rPr>
            </w:pPr>
            <w:r w:rsidRPr="00531B05">
              <w:rPr>
                <w:color w:val="000000"/>
                <w:sz w:val="20"/>
                <w:szCs w:val="20"/>
              </w:rPr>
              <w:t>Norton</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1</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1</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0</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6,625</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6,700</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75</w:t>
            </w:r>
          </w:p>
        </w:tc>
      </w:tr>
      <w:tr w:rsidR="002A7C0F" w:rsidRPr="00531B05" w:rsidTr="00B53FD0">
        <w:trPr>
          <w:trHeight w:val="300"/>
        </w:trPr>
        <w:tc>
          <w:tcPr>
            <w:tcW w:w="1691" w:type="pct"/>
            <w:shd w:val="clear" w:color="auto" w:fill="auto"/>
            <w:noWrap/>
            <w:vAlign w:val="bottom"/>
            <w:hideMark/>
          </w:tcPr>
          <w:p w:rsidR="002A7C0F" w:rsidRPr="00531B05" w:rsidRDefault="002A7C0F" w:rsidP="00B53FD0">
            <w:pPr>
              <w:spacing w:before="40" w:after="40"/>
              <w:rPr>
                <w:color w:val="000000"/>
                <w:sz w:val="20"/>
                <w:szCs w:val="20"/>
              </w:rPr>
            </w:pPr>
            <w:r w:rsidRPr="00531B05">
              <w:rPr>
                <w:color w:val="000000"/>
                <w:sz w:val="20"/>
                <w:szCs w:val="20"/>
              </w:rPr>
              <w:t>Norwood</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2</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1.93</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-0.07</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13,250</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14,362</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1,112</w:t>
            </w:r>
          </w:p>
        </w:tc>
      </w:tr>
      <w:tr w:rsidR="002A7C0F" w:rsidRPr="00531B05" w:rsidTr="00B53FD0">
        <w:trPr>
          <w:trHeight w:val="300"/>
        </w:trPr>
        <w:tc>
          <w:tcPr>
            <w:tcW w:w="1691" w:type="pct"/>
            <w:shd w:val="clear" w:color="auto" w:fill="auto"/>
            <w:noWrap/>
            <w:vAlign w:val="bottom"/>
            <w:hideMark/>
          </w:tcPr>
          <w:p w:rsidR="002A7C0F" w:rsidRPr="00531B05" w:rsidRDefault="002A7C0F" w:rsidP="00B53FD0">
            <w:pPr>
              <w:spacing w:before="40" w:after="40"/>
              <w:rPr>
                <w:color w:val="000000"/>
                <w:sz w:val="20"/>
                <w:szCs w:val="20"/>
              </w:rPr>
            </w:pPr>
            <w:r w:rsidRPr="00531B05">
              <w:rPr>
                <w:color w:val="000000"/>
                <w:sz w:val="20"/>
                <w:szCs w:val="20"/>
              </w:rPr>
              <w:t>Orange</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1</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1</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0</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6,625</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6,700</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75</w:t>
            </w:r>
          </w:p>
        </w:tc>
      </w:tr>
      <w:tr w:rsidR="002A7C0F" w:rsidRPr="00531B05" w:rsidTr="00B53FD0">
        <w:trPr>
          <w:trHeight w:val="300"/>
        </w:trPr>
        <w:tc>
          <w:tcPr>
            <w:tcW w:w="1691" w:type="pct"/>
            <w:shd w:val="clear" w:color="auto" w:fill="auto"/>
            <w:noWrap/>
            <w:vAlign w:val="bottom"/>
            <w:hideMark/>
          </w:tcPr>
          <w:p w:rsidR="002A7C0F" w:rsidRPr="00531B05" w:rsidRDefault="002A7C0F" w:rsidP="00B53FD0">
            <w:pPr>
              <w:spacing w:before="40" w:after="40"/>
              <w:rPr>
                <w:color w:val="000000"/>
                <w:sz w:val="20"/>
                <w:szCs w:val="20"/>
              </w:rPr>
            </w:pPr>
            <w:r w:rsidRPr="00531B05">
              <w:rPr>
                <w:color w:val="000000"/>
                <w:sz w:val="20"/>
                <w:szCs w:val="20"/>
              </w:rPr>
              <w:t>Oxford</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4</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4.22</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0.22</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26,500</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29,385</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2,885</w:t>
            </w:r>
          </w:p>
        </w:tc>
      </w:tr>
      <w:tr w:rsidR="002A7C0F" w:rsidRPr="00531B05" w:rsidTr="00B53FD0">
        <w:trPr>
          <w:trHeight w:val="300"/>
        </w:trPr>
        <w:tc>
          <w:tcPr>
            <w:tcW w:w="1691" w:type="pct"/>
            <w:shd w:val="clear" w:color="auto" w:fill="auto"/>
            <w:noWrap/>
            <w:vAlign w:val="bottom"/>
            <w:hideMark/>
          </w:tcPr>
          <w:p w:rsidR="002A7C0F" w:rsidRPr="00531B05" w:rsidRDefault="002A7C0F" w:rsidP="00B53FD0">
            <w:pPr>
              <w:spacing w:before="40" w:after="40"/>
              <w:rPr>
                <w:color w:val="000000"/>
                <w:sz w:val="20"/>
                <w:szCs w:val="20"/>
              </w:rPr>
            </w:pPr>
            <w:r w:rsidRPr="00531B05">
              <w:rPr>
                <w:color w:val="000000"/>
                <w:sz w:val="20"/>
                <w:szCs w:val="20"/>
              </w:rPr>
              <w:t>Palmer</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4</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4.68</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0.68</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26,500</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31,455</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4,955</w:t>
            </w:r>
          </w:p>
        </w:tc>
      </w:tr>
      <w:tr w:rsidR="002A7C0F" w:rsidRPr="00531B05" w:rsidTr="00B53FD0">
        <w:trPr>
          <w:trHeight w:val="300"/>
        </w:trPr>
        <w:tc>
          <w:tcPr>
            <w:tcW w:w="1691" w:type="pct"/>
            <w:shd w:val="clear" w:color="auto" w:fill="auto"/>
            <w:noWrap/>
            <w:vAlign w:val="bottom"/>
            <w:hideMark/>
          </w:tcPr>
          <w:p w:rsidR="002A7C0F" w:rsidRPr="00531B05" w:rsidRDefault="002A7C0F" w:rsidP="00B53FD0">
            <w:pPr>
              <w:spacing w:before="40" w:after="40"/>
              <w:rPr>
                <w:color w:val="000000"/>
                <w:sz w:val="20"/>
                <w:szCs w:val="20"/>
              </w:rPr>
            </w:pPr>
            <w:r w:rsidRPr="00531B05">
              <w:rPr>
                <w:color w:val="000000"/>
                <w:sz w:val="20"/>
                <w:szCs w:val="20"/>
              </w:rPr>
              <w:t>Peabody</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4</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4.58</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0.58</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26,500</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31,581</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5,081</w:t>
            </w:r>
          </w:p>
        </w:tc>
      </w:tr>
      <w:tr w:rsidR="002A7C0F" w:rsidRPr="00531B05" w:rsidTr="00B53FD0">
        <w:trPr>
          <w:trHeight w:val="300"/>
        </w:trPr>
        <w:tc>
          <w:tcPr>
            <w:tcW w:w="1691" w:type="pct"/>
            <w:shd w:val="clear" w:color="auto" w:fill="auto"/>
            <w:noWrap/>
            <w:vAlign w:val="bottom"/>
            <w:hideMark/>
          </w:tcPr>
          <w:p w:rsidR="002A7C0F" w:rsidRPr="00531B05" w:rsidRDefault="002A7C0F" w:rsidP="00B53FD0">
            <w:pPr>
              <w:spacing w:before="40" w:after="40"/>
              <w:rPr>
                <w:color w:val="000000"/>
                <w:sz w:val="20"/>
                <w:szCs w:val="20"/>
              </w:rPr>
            </w:pPr>
            <w:r w:rsidRPr="00531B05">
              <w:rPr>
                <w:color w:val="000000"/>
                <w:sz w:val="20"/>
                <w:szCs w:val="20"/>
              </w:rPr>
              <w:t>Pentucket</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1</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1</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0</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6,625</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6,700</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75</w:t>
            </w:r>
          </w:p>
        </w:tc>
      </w:tr>
      <w:tr w:rsidR="002A7C0F" w:rsidRPr="00531B05" w:rsidTr="00B53FD0">
        <w:trPr>
          <w:trHeight w:val="300"/>
        </w:trPr>
        <w:tc>
          <w:tcPr>
            <w:tcW w:w="1691" w:type="pct"/>
            <w:shd w:val="clear" w:color="auto" w:fill="auto"/>
            <w:noWrap/>
            <w:vAlign w:val="bottom"/>
            <w:hideMark/>
          </w:tcPr>
          <w:p w:rsidR="002A7C0F" w:rsidRPr="00531B05" w:rsidRDefault="002A7C0F" w:rsidP="00B53FD0">
            <w:pPr>
              <w:spacing w:before="40" w:after="40"/>
              <w:rPr>
                <w:color w:val="000000"/>
                <w:sz w:val="20"/>
                <w:szCs w:val="20"/>
              </w:rPr>
            </w:pPr>
            <w:r w:rsidRPr="00531B05">
              <w:rPr>
                <w:color w:val="000000"/>
                <w:sz w:val="20"/>
                <w:szCs w:val="20"/>
              </w:rPr>
              <w:t>Pittsfield</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1</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1.07</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0.07</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6,625</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7,239</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614</w:t>
            </w:r>
          </w:p>
        </w:tc>
      </w:tr>
      <w:tr w:rsidR="002A7C0F" w:rsidRPr="00531B05" w:rsidTr="00B53FD0">
        <w:trPr>
          <w:trHeight w:val="300"/>
        </w:trPr>
        <w:tc>
          <w:tcPr>
            <w:tcW w:w="1691" w:type="pct"/>
            <w:shd w:val="clear" w:color="auto" w:fill="auto"/>
            <w:noWrap/>
            <w:vAlign w:val="bottom"/>
            <w:hideMark/>
          </w:tcPr>
          <w:p w:rsidR="002A7C0F" w:rsidRPr="00531B05" w:rsidRDefault="002A7C0F" w:rsidP="00B53FD0">
            <w:pPr>
              <w:spacing w:before="40" w:after="40"/>
              <w:rPr>
                <w:color w:val="000000"/>
                <w:sz w:val="20"/>
                <w:szCs w:val="20"/>
              </w:rPr>
            </w:pPr>
            <w:r w:rsidRPr="00531B05">
              <w:rPr>
                <w:color w:val="000000"/>
                <w:sz w:val="20"/>
                <w:szCs w:val="20"/>
              </w:rPr>
              <w:t>Plymouth</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2</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2</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0</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13,250</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13,400</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150</w:t>
            </w:r>
          </w:p>
        </w:tc>
      </w:tr>
      <w:tr w:rsidR="002A7C0F" w:rsidRPr="00531B05" w:rsidTr="00B53FD0">
        <w:trPr>
          <w:trHeight w:val="300"/>
        </w:trPr>
        <w:tc>
          <w:tcPr>
            <w:tcW w:w="1691" w:type="pct"/>
            <w:shd w:val="clear" w:color="auto" w:fill="auto"/>
            <w:noWrap/>
            <w:vAlign w:val="bottom"/>
            <w:hideMark/>
          </w:tcPr>
          <w:p w:rsidR="002A7C0F" w:rsidRPr="00531B05" w:rsidRDefault="002A7C0F" w:rsidP="00B53FD0">
            <w:pPr>
              <w:spacing w:before="40" w:after="40"/>
              <w:rPr>
                <w:color w:val="000000"/>
                <w:sz w:val="20"/>
                <w:szCs w:val="20"/>
              </w:rPr>
            </w:pPr>
            <w:r w:rsidRPr="00531B05">
              <w:rPr>
                <w:color w:val="000000"/>
                <w:sz w:val="20"/>
                <w:szCs w:val="20"/>
              </w:rPr>
              <w:lastRenderedPageBreak/>
              <w:t>Quabbin</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4</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3</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-1</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26,500</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25,029</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-1,471</w:t>
            </w:r>
          </w:p>
        </w:tc>
      </w:tr>
      <w:tr w:rsidR="002A7C0F" w:rsidRPr="00531B05" w:rsidTr="00B53FD0">
        <w:trPr>
          <w:trHeight w:val="300"/>
        </w:trPr>
        <w:tc>
          <w:tcPr>
            <w:tcW w:w="1691" w:type="pct"/>
            <w:shd w:val="clear" w:color="auto" w:fill="auto"/>
            <w:noWrap/>
            <w:vAlign w:val="bottom"/>
            <w:hideMark/>
          </w:tcPr>
          <w:p w:rsidR="002A7C0F" w:rsidRPr="00531B05" w:rsidRDefault="002A7C0F" w:rsidP="00B53FD0">
            <w:pPr>
              <w:spacing w:before="40" w:after="40"/>
              <w:rPr>
                <w:color w:val="000000"/>
                <w:sz w:val="20"/>
                <w:szCs w:val="20"/>
              </w:rPr>
            </w:pPr>
            <w:proofErr w:type="spellStart"/>
            <w:r w:rsidRPr="00531B05">
              <w:rPr>
                <w:color w:val="000000"/>
                <w:sz w:val="20"/>
                <w:szCs w:val="20"/>
              </w:rPr>
              <w:t>Quaboag</w:t>
            </w:r>
            <w:proofErr w:type="spellEnd"/>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1</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1.9</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0.9</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6,625</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12,738</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6,113</w:t>
            </w:r>
          </w:p>
        </w:tc>
      </w:tr>
      <w:tr w:rsidR="002A7C0F" w:rsidRPr="00531B05" w:rsidTr="00B53FD0">
        <w:trPr>
          <w:trHeight w:val="300"/>
        </w:trPr>
        <w:tc>
          <w:tcPr>
            <w:tcW w:w="1691" w:type="pct"/>
            <w:shd w:val="clear" w:color="auto" w:fill="auto"/>
            <w:noWrap/>
            <w:vAlign w:val="bottom"/>
            <w:hideMark/>
          </w:tcPr>
          <w:p w:rsidR="002A7C0F" w:rsidRPr="00531B05" w:rsidRDefault="002A7C0F" w:rsidP="00B53FD0">
            <w:pPr>
              <w:spacing w:before="40" w:after="40"/>
              <w:rPr>
                <w:color w:val="000000"/>
                <w:sz w:val="20"/>
                <w:szCs w:val="20"/>
              </w:rPr>
            </w:pPr>
            <w:r w:rsidRPr="00531B05">
              <w:rPr>
                <w:color w:val="000000"/>
                <w:sz w:val="20"/>
                <w:szCs w:val="20"/>
              </w:rPr>
              <w:t>Quincy</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2</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2</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0</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13,250</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13,400</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150</w:t>
            </w:r>
          </w:p>
        </w:tc>
      </w:tr>
      <w:tr w:rsidR="002A7C0F" w:rsidRPr="00531B05" w:rsidTr="00B53FD0">
        <w:trPr>
          <w:trHeight w:val="300"/>
        </w:trPr>
        <w:tc>
          <w:tcPr>
            <w:tcW w:w="1691" w:type="pct"/>
            <w:shd w:val="clear" w:color="auto" w:fill="auto"/>
            <w:noWrap/>
            <w:vAlign w:val="bottom"/>
            <w:hideMark/>
          </w:tcPr>
          <w:p w:rsidR="002A7C0F" w:rsidRPr="00531B05" w:rsidRDefault="002A7C0F" w:rsidP="00B53FD0">
            <w:pPr>
              <w:spacing w:before="40" w:after="40"/>
              <w:rPr>
                <w:color w:val="000000"/>
                <w:sz w:val="20"/>
                <w:szCs w:val="20"/>
              </w:rPr>
            </w:pPr>
            <w:r w:rsidRPr="00531B05">
              <w:rPr>
                <w:color w:val="000000"/>
                <w:sz w:val="20"/>
                <w:szCs w:val="20"/>
              </w:rPr>
              <w:t xml:space="preserve">Ralph C </w:t>
            </w:r>
            <w:proofErr w:type="spellStart"/>
            <w:r w:rsidRPr="00531B05">
              <w:rPr>
                <w:color w:val="000000"/>
                <w:sz w:val="20"/>
                <w:szCs w:val="20"/>
              </w:rPr>
              <w:t>Mahar</w:t>
            </w:r>
            <w:proofErr w:type="spellEnd"/>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1</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1</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0</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6,625</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6,700</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75</w:t>
            </w:r>
          </w:p>
        </w:tc>
      </w:tr>
      <w:tr w:rsidR="002A7C0F" w:rsidRPr="00531B05" w:rsidTr="00B53FD0">
        <w:trPr>
          <w:trHeight w:val="300"/>
        </w:trPr>
        <w:tc>
          <w:tcPr>
            <w:tcW w:w="1691" w:type="pct"/>
            <w:shd w:val="clear" w:color="auto" w:fill="auto"/>
            <w:noWrap/>
            <w:vAlign w:val="bottom"/>
            <w:hideMark/>
          </w:tcPr>
          <w:p w:rsidR="002A7C0F" w:rsidRPr="00531B05" w:rsidRDefault="002A7C0F" w:rsidP="00B53FD0">
            <w:pPr>
              <w:spacing w:before="40" w:after="40"/>
              <w:rPr>
                <w:color w:val="000000"/>
                <w:sz w:val="20"/>
                <w:szCs w:val="20"/>
              </w:rPr>
            </w:pPr>
            <w:r w:rsidRPr="00531B05">
              <w:rPr>
                <w:color w:val="000000"/>
                <w:sz w:val="20"/>
                <w:szCs w:val="20"/>
              </w:rPr>
              <w:t>Reading</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2</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2</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0</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13,250</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13,400</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150</w:t>
            </w:r>
          </w:p>
        </w:tc>
      </w:tr>
      <w:tr w:rsidR="002A7C0F" w:rsidRPr="00531B05" w:rsidTr="00B53FD0">
        <w:trPr>
          <w:trHeight w:val="300"/>
        </w:trPr>
        <w:tc>
          <w:tcPr>
            <w:tcW w:w="1691" w:type="pct"/>
            <w:shd w:val="clear" w:color="auto" w:fill="auto"/>
            <w:noWrap/>
            <w:vAlign w:val="bottom"/>
            <w:hideMark/>
          </w:tcPr>
          <w:p w:rsidR="002A7C0F" w:rsidRPr="00531B05" w:rsidRDefault="002A7C0F" w:rsidP="00B53FD0">
            <w:pPr>
              <w:spacing w:before="40" w:after="40"/>
              <w:rPr>
                <w:color w:val="000000"/>
                <w:sz w:val="20"/>
                <w:szCs w:val="20"/>
              </w:rPr>
            </w:pPr>
            <w:r w:rsidRPr="00531B05">
              <w:rPr>
                <w:color w:val="000000"/>
                <w:sz w:val="20"/>
                <w:szCs w:val="20"/>
              </w:rPr>
              <w:t>Revere</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3</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2.9</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-0.1</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19,875</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20,359</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484</w:t>
            </w:r>
          </w:p>
        </w:tc>
      </w:tr>
      <w:tr w:rsidR="002A7C0F" w:rsidRPr="00531B05" w:rsidTr="00B53FD0">
        <w:trPr>
          <w:trHeight w:val="300"/>
        </w:trPr>
        <w:tc>
          <w:tcPr>
            <w:tcW w:w="1691" w:type="pct"/>
            <w:shd w:val="clear" w:color="auto" w:fill="auto"/>
            <w:noWrap/>
            <w:vAlign w:val="bottom"/>
            <w:hideMark/>
          </w:tcPr>
          <w:p w:rsidR="002A7C0F" w:rsidRPr="00531B05" w:rsidRDefault="002A7C0F" w:rsidP="00B53FD0">
            <w:pPr>
              <w:spacing w:before="40" w:after="40"/>
              <w:rPr>
                <w:color w:val="000000"/>
                <w:sz w:val="20"/>
                <w:szCs w:val="20"/>
              </w:rPr>
            </w:pPr>
            <w:r w:rsidRPr="00531B05">
              <w:rPr>
                <w:color w:val="000000"/>
                <w:sz w:val="20"/>
                <w:szCs w:val="20"/>
              </w:rPr>
              <w:t>Rockland</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3</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1.97</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-1.03</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19,875</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16,231</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-3,644</w:t>
            </w:r>
          </w:p>
        </w:tc>
      </w:tr>
      <w:tr w:rsidR="002A7C0F" w:rsidRPr="00531B05" w:rsidTr="00B53FD0">
        <w:trPr>
          <w:trHeight w:val="300"/>
        </w:trPr>
        <w:tc>
          <w:tcPr>
            <w:tcW w:w="1691" w:type="pct"/>
            <w:shd w:val="clear" w:color="auto" w:fill="auto"/>
            <w:noWrap/>
            <w:vAlign w:val="bottom"/>
            <w:hideMark/>
          </w:tcPr>
          <w:p w:rsidR="002A7C0F" w:rsidRPr="00531B05" w:rsidRDefault="002A7C0F" w:rsidP="00B53FD0">
            <w:pPr>
              <w:spacing w:before="40" w:after="40"/>
              <w:rPr>
                <w:color w:val="000000"/>
                <w:sz w:val="20"/>
                <w:szCs w:val="20"/>
              </w:rPr>
            </w:pPr>
            <w:r w:rsidRPr="00531B05">
              <w:rPr>
                <w:color w:val="000000"/>
                <w:sz w:val="20"/>
                <w:szCs w:val="20"/>
              </w:rPr>
              <w:t>Salem</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3</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3</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0</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19,875</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20,100</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225</w:t>
            </w:r>
          </w:p>
        </w:tc>
      </w:tr>
      <w:tr w:rsidR="002A7C0F" w:rsidRPr="00531B05" w:rsidTr="00B53FD0">
        <w:trPr>
          <w:trHeight w:val="300"/>
        </w:trPr>
        <w:tc>
          <w:tcPr>
            <w:tcW w:w="1691" w:type="pct"/>
            <w:shd w:val="clear" w:color="auto" w:fill="auto"/>
            <w:noWrap/>
            <w:vAlign w:val="bottom"/>
            <w:hideMark/>
          </w:tcPr>
          <w:p w:rsidR="002A7C0F" w:rsidRPr="00531B05" w:rsidRDefault="002A7C0F" w:rsidP="00B53FD0">
            <w:pPr>
              <w:spacing w:before="40" w:after="40"/>
              <w:rPr>
                <w:color w:val="000000"/>
                <w:sz w:val="20"/>
                <w:szCs w:val="20"/>
              </w:rPr>
            </w:pPr>
            <w:r w:rsidRPr="00531B05">
              <w:rPr>
                <w:color w:val="000000"/>
                <w:sz w:val="20"/>
                <w:szCs w:val="20"/>
              </w:rPr>
              <w:t>Sandwich</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2</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0.66</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-1.34</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13,250</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4,522</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-8,728</w:t>
            </w:r>
          </w:p>
        </w:tc>
      </w:tr>
      <w:tr w:rsidR="002A7C0F" w:rsidRPr="00531B05" w:rsidTr="00B53FD0">
        <w:trPr>
          <w:trHeight w:val="300"/>
        </w:trPr>
        <w:tc>
          <w:tcPr>
            <w:tcW w:w="1691" w:type="pct"/>
            <w:shd w:val="clear" w:color="auto" w:fill="auto"/>
            <w:noWrap/>
            <w:vAlign w:val="bottom"/>
            <w:hideMark/>
          </w:tcPr>
          <w:p w:rsidR="002A7C0F" w:rsidRPr="00531B05" w:rsidRDefault="002A7C0F" w:rsidP="00B53FD0">
            <w:pPr>
              <w:spacing w:before="40" w:after="40"/>
              <w:rPr>
                <w:color w:val="000000"/>
                <w:sz w:val="20"/>
                <w:szCs w:val="20"/>
              </w:rPr>
            </w:pPr>
            <w:r w:rsidRPr="00531B05">
              <w:rPr>
                <w:color w:val="000000"/>
                <w:sz w:val="20"/>
                <w:szCs w:val="20"/>
              </w:rPr>
              <w:t>Saugus</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2</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2</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0</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13,250</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13,400</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150</w:t>
            </w:r>
          </w:p>
        </w:tc>
      </w:tr>
      <w:tr w:rsidR="002A7C0F" w:rsidRPr="00531B05" w:rsidTr="00B53FD0">
        <w:trPr>
          <w:trHeight w:val="300"/>
        </w:trPr>
        <w:tc>
          <w:tcPr>
            <w:tcW w:w="1691" w:type="pct"/>
            <w:shd w:val="clear" w:color="auto" w:fill="auto"/>
            <w:noWrap/>
            <w:vAlign w:val="bottom"/>
            <w:hideMark/>
          </w:tcPr>
          <w:p w:rsidR="002A7C0F" w:rsidRPr="00531B05" w:rsidRDefault="002A7C0F" w:rsidP="00B53FD0">
            <w:pPr>
              <w:spacing w:before="40" w:after="40"/>
              <w:rPr>
                <w:color w:val="000000"/>
                <w:sz w:val="20"/>
                <w:szCs w:val="20"/>
              </w:rPr>
            </w:pPr>
            <w:r w:rsidRPr="00531B05">
              <w:rPr>
                <w:color w:val="000000"/>
                <w:sz w:val="20"/>
                <w:szCs w:val="20"/>
              </w:rPr>
              <w:t>Scituate</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1</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0.93</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-0.07</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6,625</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7,662</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1,037</w:t>
            </w:r>
          </w:p>
        </w:tc>
      </w:tr>
      <w:tr w:rsidR="002A7C0F" w:rsidRPr="00531B05" w:rsidTr="00B53FD0">
        <w:trPr>
          <w:trHeight w:val="300"/>
        </w:trPr>
        <w:tc>
          <w:tcPr>
            <w:tcW w:w="1691" w:type="pct"/>
            <w:shd w:val="clear" w:color="auto" w:fill="auto"/>
            <w:noWrap/>
            <w:vAlign w:val="bottom"/>
            <w:hideMark/>
          </w:tcPr>
          <w:p w:rsidR="002A7C0F" w:rsidRPr="00531B05" w:rsidRDefault="002A7C0F" w:rsidP="00B53FD0">
            <w:pPr>
              <w:spacing w:before="40" w:after="40"/>
              <w:rPr>
                <w:color w:val="000000"/>
                <w:sz w:val="20"/>
                <w:szCs w:val="20"/>
              </w:rPr>
            </w:pPr>
            <w:r w:rsidRPr="00531B05">
              <w:rPr>
                <w:color w:val="000000"/>
                <w:sz w:val="20"/>
                <w:szCs w:val="20"/>
              </w:rPr>
              <w:t>Seekonk</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1</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1</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0</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6,625</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6,700</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75</w:t>
            </w:r>
          </w:p>
        </w:tc>
      </w:tr>
      <w:tr w:rsidR="002A7C0F" w:rsidRPr="00531B05" w:rsidTr="00B53FD0">
        <w:trPr>
          <w:trHeight w:val="300"/>
        </w:trPr>
        <w:tc>
          <w:tcPr>
            <w:tcW w:w="1691" w:type="pct"/>
            <w:shd w:val="clear" w:color="auto" w:fill="auto"/>
            <w:noWrap/>
            <w:vAlign w:val="bottom"/>
            <w:hideMark/>
          </w:tcPr>
          <w:p w:rsidR="002A7C0F" w:rsidRPr="00531B05" w:rsidRDefault="002A7C0F" w:rsidP="00B53FD0">
            <w:pPr>
              <w:spacing w:before="40" w:after="40"/>
              <w:rPr>
                <w:color w:val="000000"/>
                <w:sz w:val="20"/>
                <w:szCs w:val="20"/>
              </w:rPr>
            </w:pPr>
            <w:r w:rsidRPr="00531B05">
              <w:rPr>
                <w:color w:val="000000"/>
                <w:sz w:val="20"/>
                <w:szCs w:val="20"/>
              </w:rPr>
              <w:t>Shrewsbury</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2</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2.01</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0.01</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13,250</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13,541</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291</w:t>
            </w:r>
          </w:p>
        </w:tc>
      </w:tr>
      <w:tr w:rsidR="002A7C0F" w:rsidRPr="00531B05" w:rsidTr="00B53FD0">
        <w:trPr>
          <w:trHeight w:val="300"/>
        </w:trPr>
        <w:tc>
          <w:tcPr>
            <w:tcW w:w="1691" w:type="pct"/>
            <w:shd w:val="clear" w:color="auto" w:fill="auto"/>
            <w:noWrap/>
            <w:vAlign w:val="bottom"/>
            <w:hideMark/>
          </w:tcPr>
          <w:p w:rsidR="002A7C0F" w:rsidRPr="00531B05" w:rsidRDefault="002A7C0F" w:rsidP="00B53FD0">
            <w:pPr>
              <w:spacing w:before="40" w:after="40"/>
              <w:rPr>
                <w:color w:val="000000"/>
                <w:sz w:val="20"/>
                <w:szCs w:val="20"/>
              </w:rPr>
            </w:pPr>
            <w:r w:rsidRPr="00531B05">
              <w:rPr>
                <w:color w:val="000000"/>
                <w:sz w:val="20"/>
                <w:szCs w:val="20"/>
              </w:rPr>
              <w:t>Somerset</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2</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2</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0</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13,250</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14,815</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1,565</w:t>
            </w:r>
          </w:p>
        </w:tc>
      </w:tr>
      <w:tr w:rsidR="002A7C0F" w:rsidRPr="00531B05" w:rsidTr="00B53FD0">
        <w:trPr>
          <w:trHeight w:val="300"/>
        </w:trPr>
        <w:tc>
          <w:tcPr>
            <w:tcW w:w="1691" w:type="pct"/>
            <w:shd w:val="clear" w:color="auto" w:fill="auto"/>
            <w:noWrap/>
            <w:vAlign w:val="bottom"/>
            <w:hideMark/>
          </w:tcPr>
          <w:p w:rsidR="002A7C0F" w:rsidRPr="00531B05" w:rsidRDefault="002A7C0F" w:rsidP="00B53FD0">
            <w:pPr>
              <w:spacing w:before="40" w:after="40"/>
              <w:rPr>
                <w:color w:val="000000"/>
                <w:sz w:val="20"/>
                <w:szCs w:val="20"/>
              </w:rPr>
            </w:pPr>
            <w:r w:rsidRPr="00531B05">
              <w:rPr>
                <w:color w:val="000000"/>
                <w:sz w:val="20"/>
                <w:szCs w:val="20"/>
              </w:rPr>
              <w:t>Somerville</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1</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1</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0</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6,625</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6,700</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75</w:t>
            </w:r>
          </w:p>
        </w:tc>
      </w:tr>
      <w:tr w:rsidR="002A7C0F" w:rsidRPr="00531B05" w:rsidTr="00B53FD0">
        <w:trPr>
          <w:trHeight w:val="300"/>
        </w:trPr>
        <w:tc>
          <w:tcPr>
            <w:tcW w:w="1691" w:type="pct"/>
            <w:shd w:val="clear" w:color="auto" w:fill="auto"/>
            <w:noWrap/>
            <w:vAlign w:val="bottom"/>
            <w:hideMark/>
          </w:tcPr>
          <w:p w:rsidR="002A7C0F" w:rsidRPr="00531B05" w:rsidRDefault="002A7C0F" w:rsidP="00B53FD0">
            <w:pPr>
              <w:spacing w:before="40" w:after="40"/>
              <w:rPr>
                <w:color w:val="000000"/>
                <w:sz w:val="20"/>
                <w:szCs w:val="20"/>
              </w:rPr>
            </w:pPr>
            <w:r w:rsidRPr="00531B05">
              <w:rPr>
                <w:color w:val="000000"/>
                <w:sz w:val="20"/>
                <w:szCs w:val="20"/>
              </w:rPr>
              <w:t>South Hadley</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1</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2.3</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1.3</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6,625</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15,462</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8,837</w:t>
            </w:r>
          </w:p>
        </w:tc>
      </w:tr>
      <w:tr w:rsidR="002A7C0F" w:rsidRPr="00531B05" w:rsidTr="00B53FD0">
        <w:trPr>
          <w:trHeight w:val="300"/>
        </w:trPr>
        <w:tc>
          <w:tcPr>
            <w:tcW w:w="1691" w:type="pct"/>
            <w:shd w:val="clear" w:color="auto" w:fill="auto"/>
            <w:noWrap/>
            <w:vAlign w:val="bottom"/>
            <w:hideMark/>
          </w:tcPr>
          <w:p w:rsidR="002A7C0F" w:rsidRPr="00531B05" w:rsidRDefault="002A7C0F" w:rsidP="00B53FD0">
            <w:pPr>
              <w:spacing w:before="40" w:after="40"/>
              <w:rPr>
                <w:color w:val="000000"/>
                <w:sz w:val="20"/>
                <w:szCs w:val="20"/>
              </w:rPr>
            </w:pPr>
            <w:r w:rsidRPr="00531B05">
              <w:rPr>
                <w:color w:val="000000"/>
                <w:sz w:val="20"/>
                <w:szCs w:val="20"/>
              </w:rPr>
              <w:t>Southbridge</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1</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1.97</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0.97</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6,625</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13,277</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6,652</w:t>
            </w:r>
          </w:p>
        </w:tc>
      </w:tr>
      <w:tr w:rsidR="002A7C0F" w:rsidRPr="00531B05" w:rsidTr="00B53FD0">
        <w:trPr>
          <w:trHeight w:val="300"/>
        </w:trPr>
        <w:tc>
          <w:tcPr>
            <w:tcW w:w="1691" w:type="pct"/>
            <w:shd w:val="clear" w:color="auto" w:fill="auto"/>
            <w:noWrap/>
            <w:vAlign w:val="bottom"/>
            <w:hideMark/>
          </w:tcPr>
          <w:p w:rsidR="002A7C0F" w:rsidRPr="00531B05" w:rsidRDefault="002A7C0F" w:rsidP="00B53FD0">
            <w:pPr>
              <w:spacing w:before="40" w:after="40"/>
              <w:rPr>
                <w:color w:val="000000"/>
                <w:sz w:val="20"/>
                <w:szCs w:val="20"/>
              </w:rPr>
            </w:pPr>
            <w:r w:rsidRPr="00531B05">
              <w:rPr>
                <w:color w:val="000000"/>
                <w:sz w:val="20"/>
                <w:szCs w:val="20"/>
              </w:rPr>
              <w:t>Southern Berkshire</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1</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1.8</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0.8</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6,625</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12,075</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5,450</w:t>
            </w:r>
          </w:p>
        </w:tc>
      </w:tr>
      <w:tr w:rsidR="002A7C0F" w:rsidRPr="00531B05" w:rsidTr="00B53FD0">
        <w:trPr>
          <w:trHeight w:val="300"/>
        </w:trPr>
        <w:tc>
          <w:tcPr>
            <w:tcW w:w="1691" w:type="pct"/>
            <w:shd w:val="clear" w:color="auto" w:fill="auto"/>
            <w:noWrap/>
            <w:vAlign w:val="bottom"/>
            <w:hideMark/>
          </w:tcPr>
          <w:p w:rsidR="002A7C0F" w:rsidRPr="00531B05" w:rsidRDefault="002A7C0F" w:rsidP="00B53FD0">
            <w:pPr>
              <w:spacing w:before="40" w:after="40"/>
              <w:rPr>
                <w:color w:val="000000"/>
                <w:sz w:val="20"/>
                <w:szCs w:val="20"/>
              </w:rPr>
            </w:pPr>
            <w:r w:rsidRPr="00531B05">
              <w:rPr>
                <w:color w:val="000000"/>
                <w:sz w:val="20"/>
                <w:szCs w:val="20"/>
              </w:rPr>
              <w:t>Springfield</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28</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33.14</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5.14</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186,136</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227,867</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41,731</w:t>
            </w:r>
          </w:p>
        </w:tc>
      </w:tr>
      <w:tr w:rsidR="002A7C0F" w:rsidRPr="00531B05" w:rsidTr="00B53FD0">
        <w:trPr>
          <w:trHeight w:val="300"/>
        </w:trPr>
        <w:tc>
          <w:tcPr>
            <w:tcW w:w="1691" w:type="pct"/>
            <w:shd w:val="clear" w:color="auto" w:fill="auto"/>
            <w:noWrap/>
            <w:vAlign w:val="bottom"/>
            <w:hideMark/>
          </w:tcPr>
          <w:p w:rsidR="002A7C0F" w:rsidRPr="00531B05" w:rsidRDefault="002A7C0F" w:rsidP="00B53FD0">
            <w:pPr>
              <w:spacing w:before="40" w:after="40"/>
              <w:rPr>
                <w:color w:val="000000"/>
                <w:sz w:val="20"/>
                <w:szCs w:val="20"/>
              </w:rPr>
            </w:pPr>
            <w:r w:rsidRPr="00531B05">
              <w:rPr>
                <w:color w:val="000000"/>
                <w:sz w:val="20"/>
                <w:szCs w:val="20"/>
              </w:rPr>
              <w:t>Stoneham</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1</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1</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0</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6,625</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6,700</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75</w:t>
            </w:r>
          </w:p>
        </w:tc>
      </w:tr>
      <w:tr w:rsidR="002A7C0F" w:rsidRPr="00531B05" w:rsidTr="00B53FD0">
        <w:trPr>
          <w:trHeight w:val="300"/>
        </w:trPr>
        <w:tc>
          <w:tcPr>
            <w:tcW w:w="1691" w:type="pct"/>
            <w:shd w:val="clear" w:color="auto" w:fill="auto"/>
            <w:noWrap/>
            <w:vAlign w:val="bottom"/>
            <w:hideMark/>
          </w:tcPr>
          <w:p w:rsidR="002A7C0F" w:rsidRPr="00531B05" w:rsidRDefault="002A7C0F" w:rsidP="00B53FD0">
            <w:pPr>
              <w:spacing w:before="40" w:after="40"/>
              <w:rPr>
                <w:color w:val="000000"/>
                <w:sz w:val="20"/>
                <w:szCs w:val="20"/>
              </w:rPr>
            </w:pPr>
            <w:r w:rsidRPr="00531B05">
              <w:rPr>
                <w:color w:val="000000"/>
                <w:sz w:val="20"/>
                <w:szCs w:val="20"/>
              </w:rPr>
              <w:t>Stoughton</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1</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0.63</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-0.37</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6,625</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4,324</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-2,301</w:t>
            </w:r>
          </w:p>
        </w:tc>
      </w:tr>
      <w:tr w:rsidR="002A7C0F" w:rsidRPr="00531B05" w:rsidTr="00B53FD0">
        <w:trPr>
          <w:trHeight w:val="300"/>
        </w:trPr>
        <w:tc>
          <w:tcPr>
            <w:tcW w:w="1691" w:type="pct"/>
            <w:shd w:val="clear" w:color="auto" w:fill="auto"/>
            <w:noWrap/>
            <w:vAlign w:val="bottom"/>
            <w:hideMark/>
          </w:tcPr>
          <w:p w:rsidR="002A7C0F" w:rsidRPr="00531B05" w:rsidRDefault="002A7C0F" w:rsidP="00B53FD0">
            <w:pPr>
              <w:spacing w:before="40" w:after="40"/>
              <w:rPr>
                <w:color w:val="000000"/>
                <w:sz w:val="20"/>
                <w:szCs w:val="20"/>
              </w:rPr>
            </w:pPr>
            <w:r w:rsidRPr="00531B05">
              <w:rPr>
                <w:color w:val="000000"/>
                <w:sz w:val="20"/>
                <w:szCs w:val="20"/>
              </w:rPr>
              <w:t>Sutton</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2</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2.76</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0.76</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13,250</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18,510</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5,260</w:t>
            </w:r>
          </w:p>
        </w:tc>
      </w:tr>
      <w:tr w:rsidR="002A7C0F" w:rsidRPr="00531B05" w:rsidTr="00B53FD0">
        <w:trPr>
          <w:trHeight w:val="300"/>
        </w:trPr>
        <w:tc>
          <w:tcPr>
            <w:tcW w:w="1691" w:type="pct"/>
            <w:shd w:val="clear" w:color="auto" w:fill="auto"/>
            <w:noWrap/>
            <w:vAlign w:val="bottom"/>
            <w:hideMark/>
          </w:tcPr>
          <w:p w:rsidR="002A7C0F" w:rsidRPr="00531B05" w:rsidRDefault="002A7C0F" w:rsidP="00B53FD0">
            <w:pPr>
              <w:spacing w:before="40" w:after="40"/>
              <w:rPr>
                <w:color w:val="000000"/>
                <w:sz w:val="20"/>
                <w:szCs w:val="20"/>
              </w:rPr>
            </w:pPr>
            <w:r w:rsidRPr="00531B05">
              <w:rPr>
                <w:color w:val="000000"/>
                <w:sz w:val="20"/>
                <w:szCs w:val="20"/>
              </w:rPr>
              <w:t>Swampscott</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1</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1</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0</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6,625</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6,700</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75</w:t>
            </w:r>
          </w:p>
        </w:tc>
      </w:tr>
      <w:tr w:rsidR="002A7C0F" w:rsidRPr="00531B05" w:rsidTr="00B53FD0">
        <w:trPr>
          <w:trHeight w:val="300"/>
        </w:trPr>
        <w:tc>
          <w:tcPr>
            <w:tcW w:w="1691" w:type="pct"/>
            <w:shd w:val="clear" w:color="auto" w:fill="auto"/>
            <w:noWrap/>
            <w:vAlign w:val="bottom"/>
            <w:hideMark/>
          </w:tcPr>
          <w:p w:rsidR="002A7C0F" w:rsidRPr="00531B05" w:rsidRDefault="002A7C0F" w:rsidP="00B53FD0">
            <w:pPr>
              <w:spacing w:before="40" w:after="40"/>
              <w:rPr>
                <w:color w:val="000000"/>
                <w:sz w:val="20"/>
                <w:szCs w:val="20"/>
              </w:rPr>
            </w:pPr>
            <w:r w:rsidRPr="00531B05">
              <w:rPr>
                <w:color w:val="000000"/>
                <w:sz w:val="20"/>
                <w:szCs w:val="20"/>
              </w:rPr>
              <w:t>Taunton</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4</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4.59</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0.59</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26,500</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30,859</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4,359</w:t>
            </w:r>
          </w:p>
        </w:tc>
      </w:tr>
      <w:tr w:rsidR="002A7C0F" w:rsidRPr="00531B05" w:rsidTr="00B53FD0">
        <w:trPr>
          <w:trHeight w:val="300"/>
        </w:trPr>
        <w:tc>
          <w:tcPr>
            <w:tcW w:w="1691" w:type="pct"/>
            <w:shd w:val="clear" w:color="auto" w:fill="auto"/>
            <w:noWrap/>
            <w:vAlign w:val="bottom"/>
            <w:hideMark/>
          </w:tcPr>
          <w:p w:rsidR="002A7C0F" w:rsidRPr="00531B05" w:rsidRDefault="002A7C0F" w:rsidP="00B53FD0">
            <w:pPr>
              <w:spacing w:before="40" w:after="40"/>
              <w:rPr>
                <w:color w:val="000000"/>
                <w:sz w:val="20"/>
                <w:szCs w:val="20"/>
              </w:rPr>
            </w:pPr>
            <w:r w:rsidRPr="00531B05">
              <w:rPr>
                <w:color w:val="000000"/>
                <w:sz w:val="20"/>
                <w:szCs w:val="20"/>
              </w:rPr>
              <w:t>Tyngsborough</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1</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1.98</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0.98</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6,625</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13,268</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6,643</w:t>
            </w:r>
          </w:p>
        </w:tc>
      </w:tr>
      <w:tr w:rsidR="002A7C0F" w:rsidRPr="00531B05" w:rsidTr="00B53FD0">
        <w:trPr>
          <w:trHeight w:val="300"/>
        </w:trPr>
        <w:tc>
          <w:tcPr>
            <w:tcW w:w="1691" w:type="pct"/>
            <w:shd w:val="clear" w:color="auto" w:fill="auto"/>
            <w:noWrap/>
            <w:vAlign w:val="bottom"/>
            <w:hideMark/>
          </w:tcPr>
          <w:p w:rsidR="002A7C0F" w:rsidRPr="00531B05" w:rsidRDefault="002A7C0F" w:rsidP="00B53FD0">
            <w:pPr>
              <w:spacing w:before="40" w:after="40"/>
              <w:rPr>
                <w:color w:val="000000"/>
                <w:sz w:val="20"/>
                <w:szCs w:val="20"/>
              </w:rPr>
            </w:pPr>
            <w:r w:rsidRPr="00531B05">
              <w:rPr>
                <w:color w:val="000000"/>
                <w:sz w:val="20"/>
                <w:szCs w:val="20"/>
              </w:rPr>
              <w:t>Uxbridge</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3</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3</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0</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19,875</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20,100</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225</w:t>
            </w:r>
          </w:p>
        </w:tc>
      </w:tr>
      <w:tr w:rsidR="002A7C0F" w:rsidRPr="00531B05" w:rsidTr="00B53FD0">
        <w:trPr>
          <w:trHeight w:val="300"/>
        </w:trPr>
        <w:tc>
          <w:tcPr>
            <w:tcW w:w="1691" w:type="pct"/>
            <w:shd w:val="clear" w:color="auto" w:fill="auto"/>
            <w:noWrap/>
            <w:vAlign w:val="bottom"/>
            <w:hideMark/>
          </w:tcPr>
          <w:p w:rsidR="002A7C0F" w:rsidRPr="00531B05" w:rsidRDefault="002A7C0F" w:rsidP="00B53FD0">
            <w:pPr>
              <w:spacing w:before="40" w:after="40"/>
              <w:rPr>
                <w:color w:val="000000"/>
                <w:sz w:val="20"/>
                <w:szCs w:val="20"/>
              </w:rPr>
            </w:pPr>
            <w:proofErr w:type="spellStart"/>
            <w:r w:rsidRPr="00531B05">
              <w:rPr>
                <w:color w:val="000000"/>
                <w:sz w:val="20"/>
                <w:szCs w:val="20"/>
              </w:rPr>
              <w:t>Wachusett</w:t>
            </w:r>
            <w:proofErr w:type="spellEnd"/>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4</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4</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0</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26,500</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28,226</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1,726</w:t>
            </w:r>
          </w:p>
        </w:tc>
      </w:tr>
      <w:tr w:rsidR="002A7C0F" w:rsidRPr="00531B05" w:rsidTr="00B53FD0">
        <w:trPr>
          <w:trHeight w:val="300"/>
        </w:trPr>
        <w:tc>
          <w:tcPr>
            <w:tcW w:w="1691" w:type="pct"/>
            <w:shd w:val="clear" w:color="auto" w:fill="auto"/>
            <w:noWrap/>
            <w:vAlign w:val="bottom"/>
            <w:hideMark/>
          </w:tcPr>
          <w:p w:rsidR="002A7C0F" w:rsidRPr="00531B05" w:rsidRDefault="002A7C0F" w:rsidP="00B53FD0">
            <w:pPr>
              <w:spacing w:before="40" w:after="40"/>
              <w:rPr>
                <w:color w:val="000000"/>
                <w:sz w:val="20"/>
                <w:szCs w:val="20"/>
              </w:rPr>
            </w:pPr>
            <w:r w:rsidRPr="00531B05">
              <w:rPr>
                <w:color w:val="000000"/>
                <w:sz w:val="20"/>
                <w:szCs w:val="20"/>
              </w:rPr>
              <w:t>Wakefield</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1</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1</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0</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6,625</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6,700</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75</w:t>
            </w:r>
          </w:p>
        </w:tc>
      </w:tr>
      <w:tr w:rsidR="002A7C0F" w:rsidRPr="00531B05" w:rsidTr="00B53FD0">
        <w:trPr>
          <w:trHeight w:val="300"/>
        </w:trPr>
        <w:tc>
          <w:tcPr>
            <w:tcW w:w="1691" w:type="pct"/>
            <w:shd w:val="clear" w:color="auto" w:fill="auto"/>
            <w:noWrap/>
            <w:vAlign w:val="bottom"/>
            <w:hideMark/>
          </w:tcPr>
          <w:p w:rsidR="002A7C0F" w:rsidRPr="00531B05" w:rsidRDefault="002A7C0F" w:rsidP="00B53FD0">
            <w:pPr>
              <w:spacing w:before="40" w:after="40"/>
              <w:rPr>
                <w:color w:val="000000"/>
                <w:sz w:val="20"/>
                <w:szCs w:val="20"/>
              </w:rPr>
            </w:pPr>
            <w:r w:rsidRPr="00531B05">
              <w:rPr>
                <w:color w:val="000000"/>
                <w:sz w:val="20"/>
                <w:szCs w:val="20"/>
              </w:rPr>
              <w:t>Wales</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1</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0</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0</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6,625</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0</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-6,625</w:t>
            </w:r>
          </w:p>
        </w:tc>
      </w:tr>
      <w:tr w:rsidR="002A7C0F" w:rsidRPr="00531B05" w:rsidTr="00B53FD0">
        <w:trPr>
          <w:trHeight w:val="300"/>
        </w:trPr>
        <w:tc>
          <w:tcPr>
            <w:tcW w:w="1691" w:type="pct"/>
            <w:shd w:val="clear" w:color="auto" w:fill="auto"/>
            <w:noWrap/>
            <w:vAlign w:val="bottom"/>
            <w:hideMark/>
          </w:tcPr>
          <w:p w:rsidR="002A7C0F" w:rsidRPr="00531B05" w:rsidRDefault="002A7C0F" w:rsidP="00B53FD0">
            <w:pPr>
              <w:spacing w:before="40" w:after="40"/>
              <w:rPr>
                <w:color w:val="000000"/>
                <w:sz w:val="20"/>
                <w:szCs w:val="20"/>
              </w:rPr>
            </w:pPr>
            <w:r w:rsidRPr="00531B05">
              <w:rPr>
                <w:color w:val="000000"/>
                <w:sz w:val="20"/>
                <w:szCs w:val="20"/>
              </w:rPr>
              <w:t>Waltham</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4</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4</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0</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26,500</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26,800</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300</w:t>
            </w:r>
          </w:p>
        </w:tc>
      </w:tr>
      <w:tr w:rsidR="002A7C0F" w:rsidRPr="00531B05" w:rsidTr="00B53FD0">
        <w:trPr>
          <w:trHeight w:val="300"/>
        </w:trPr>
        <w:tc>
          <w:tcPr>
            <w:tcW w:w="1691" w:type="pct"/>
            <w:shd w:val="clear" w:color="auto" w:fill="auto"/>
            <w:noWrap/>
            <w:vAlign w:val="bottom"/>
            <w:hideMark/>
          </w:tcPr>
          <w:p w:rsidR="002A7C0F" w:rsidRPr="00531B05" w:rsidRDefault="002A7C0F" w:rsidP="00B53FD0">
            <w:pPr>
              <w:spacing w:before="40" w:after="40"/>
              <w:rPr>
                <w:color w:val="000000"/>
                <w:sz w:val="20"/>
                <w:szCs w:val="20"/>
              </w:rPr>
            </w:pPr>
            <w:r w:rsidRPr="00531B05">
              <w:rPr>
                <w:color w:val="000000"/>
                <w:sz w:val="20"/>
                <w:szCs w:val="20"/>
              </w:rPr>
              <w:t>Ware</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5</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4.97</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-0.03</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33,125</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33,301</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176</w:t>
            </w:r>
          </w:p>
        </w:tc>
      </w:tr>
      <w:tr w:rsidR="002A7C0F" w:rsidRPr="00531B05" w:rsidTr="00B53FD0">
        <w:trPr>
          <w:trHeight w:val="300"/>
        </w:trPr>
        <w:tc>
          <w:tcPr>
            <w:tcW w:w="1691" w:type="pct"/>
            <w:shd w:val="clear" w:color="auto" w:fill="auto"/>
            <w:noWrap/>
            <w:vAlign w:val="bottom"/>
            <w:hideMark/>
          </w:tcPr>
          <w:p w:rsidR="002A7C0F" w:rsidRPr="00531B05" w:rsidRDefault="002A7C0F" w:rsidP="00B53FD0">
            <w:pPr>
              <w:spacing w:before="40" w:after="40"/>
              <w:rPr>
                <w:color w:val="000000"/>
                <w:sz w:val="20"/>
                <w:szCs w:val="20"/>
              </w:rPr>
            </w:pPr>
            <w:r w:rsidRPr="00531B05">
              <w:rPr>
                <w:color w:val="000000"/>
                <w:sz w:val="20"/>
                <w:szCs w:val="20"/>
              </w:rPr>
              <w:t>Wellesley</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2</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1.54</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-0.46</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13,250</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10,352</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-2,898</w:t>
            </w:r>
          </w:p>
        </w:tc>
      </w:tr>
      <w:tr w:rsidR="002A7C0F" w:rsidRPr="00531B05" w:rsidTr="00B53FD0">
        <w:trPr>
          <w:trHeight w:val="300"/>
        </w:trPr>
        <w:tc>
          <w:tcPr>
            <w:tcW w:w="1691" w:type="pct"/>
            <w:shd w:val="clear" w:color="auto" w:fill="auto"/>
            <w:noWrap/>
            <w:vAlign w:val="bottom"/>
            <w:hideMark/>
          </w:tcPr>
          <w:p w:rsidR="002A7C0F" w:rsidRPr="00531B05" w:rsidRDefault="002A7C0F" w:rsidP="00B53FD0">
            <w:pPr>
              <w:spacing w:before="40" w:after="40"/>
              <w:rPr>
                <w:color w:val="000000"/>
                <w:sz w:val="20"/>
                <w:szCs w:val="20"/>
              </w:rPr>
            </w:pPr>
            <w:r w:rsidRPr="00531B05">
              <w:rPr>
                <w:color w:val="000000"/>
                <w:sz w:val="20"/>
                <w:szCs w:val="20"/>
              </w:rPr>
              <w:t>West Boylston</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2</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2</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0</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13,250</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13,400</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150</w:t>
            </w:r>
          </w:p>
        </w:tc>
      </w:tr>
      <w:tr w:rsidR="002A7C0F" w:rsidRPr="00531B05" w:rsidTr="00B53FD0">
        <w:trPr>
          <w:trHeight w:val="300"/>
        </w:trPr>
        <w:tc>
          <w:tcPr>
            <w:tcW w:w="1691" w:type="pct"/>
            <w:shd w:val="clear" w:color="auto" w:fill="auto"/>
            <w:noWrap/>
            <w:vAlign w:val="bottom"/>
            <w:hideMark/>
          </w:tcPr>
          <w:p w:rsidR="002A7C0F" w:rsidRPr="00531B05" w:rsidRDefault="002A7C0F" w:rsidP="00B53FD0">
            <w:pPr>
              <w:spacing w:before="40" w:after="40"/>
              <w:rPr>
                <w:color w:val="000000"/>
                <w:sz w:val="20"/>
                <w:szCs w:val="20"/>
              </w:rPr>
            </w:pPr>
            <w:r w:rsidRPr="00531B05">
              <w:rPr>
                <w:color w:val="000000"/>
                <w:sz w:val="20"/>
                <w:szCs w:val="20"/>
              </w:rPr>
              <w:t>West Springfield</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5</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5.39</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0.39</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33,125</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36,159</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3,034</w:t>
            </w:r>
          </w:p>
        </w:tc>
      </w:tr>
      <w:tr w:rsidR="002A7C0F" w:rsidRPr="00531B05" w:rsidTr="00B53FD0">
        <w:trPr>
          <w:trHeight w:val="300"/>
        </w:trPr>
        <w:tc>
          <w:tcPr>
            <w:tcW w:w="1691" w:type="pct"/>
            <w:shd w:val="clear" w:color="auto" w:fill="auto"/>
            <w:noWrap/>
            <w:vAlign w:val="bottom"/>
            <w:hideMark/>
          </w:tcPr>
          <w:p w:rsidR="002A7C0F" w:rsidRPr="00531B05" w:rsidRDefault="002A7C0F" w:rsidP="00B53FD0">
            <w:pPr>
              <w:spacing w:before="40" w:after="40"/>
              <w:rPr>
                <w:color w:val="000000"/>
                <w:sz w:val="20"/>
                <w:szCs w:val="20"/>
              </w:rPr>
            </w:pPr>
            <w:r w:rsidRPr="00531B05">
              <w:rPr>
                <w:color w:val="000000"/>
                <w:sz w:val="20"/>
                <w:szCs w:val="20"/>
              </w:rPr>
              <w:t>Westfield</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3</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3</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0</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19,875</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20,100</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225</w:t>
            </w:r>
          </w:p>
        </w:tc>
      </w:tr>
      <w:tr w:rsidR="002A7C0F" w:rsidRPr="00531B05" w:rsidTr="00B53FD0">
        <w:trPr>
          <w:trHeight w:val="300"/>
        </w:trPr>
        <w:tc>
          <w:tcPr>
            <w:tcW w:w="1691" w:type="pct"/>
            <w:shd w:val="clear" w:color="auto" w:fill="auto"/>
            <w:noWrap/>
            <w:vAlign w:val="bottom"/>
            <w:hideMark/>
          </w:tcPr>
          <w:p w:rsidR="002A7C0F" w:rsidRPr="00531B05" w:rsidRDefault="002A7C0F" w:rsidP="00B53FD0">
            <w:pPr>
              <w:spacing w:before="40" w:after="40"/>
              <w:rPr>
                <w:color w:val="000000"/>
                <w:sz w:val="20"/>
                <w:szCs w:val="20"/>
              </w:rPr>
            </w:pPr>
            <w:r w:rsidRPr="00531B05">
              <w:rPr>
                <w:color w:val="000000"/>
                <w:sz w:val="20"/>
                <w:szCs w:val="20"/>
              </w:rPr>
              <w:t>Weymouth</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5</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4.12</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-0.88</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33,125</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27,670</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-5,455</w:t>
            </w:r>
          </w:p>
        </w:tc>
      </w:tr>
      <w:tr w:rsidR="002A7C0F" w:rsidRPr="00531B05" w:rsidTr="00B53FD0">
        <w:trPr>
          <w:trHeight w:val="300"/>
        </w:trPr>
        <w:tc>
          <w:tcPr>
            <w:tcW w:w="1691" w:type="pct"/>
            <w:shd w:val="clear" w:color="auto" w:fill="auto"/>
            <w:noWrap/>
            <w:vAlign w:val="bottom"/>
            <w:hideMark/>
          </w:tcPr>
          <w:p w:rsidR="002A7C0F" w:rsidRPr="00531B05" w:rsidRDefault="002A7C0F" w:rsidP="00B53FD0">
            <w:pPr>
              <w:spacing w:before="40" w:after="40"/>
              <w:rPr>
                <w:color w:val="000000"/>
                <w:sz w:val="20"/>
                <w:szCs w:val="20"/>
              </w:rPr>
            </w:pPr>
            <w:r w:rsidRPr="00531B05">
              <w:rPr>
                <w:color w:val="000000"/>
                <w:sz w:val="20"/>
                <w:szCs w:val="20"/>
              </w:rPr>
              <w:t>Wilmington</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1</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1</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0</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6,625</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6,700</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75</w:t>
            </w:r>
          </w:p>
        </w:tc>
      </w:tr>
      <w:tr w:rsidR="002A7C0F" w:rsidRPr="00531B05" w:rsidTr="00B53FD0">
        <w:trPr>
          <w:trHeight w:val="300"/>
        </w:trPr>
        <w:tc>
          <w:tcPr>
            <w:tcW w:w="1691" w:type="pct"/>
            <w:shd w:val="clear" w:color="auto" w:fill="auto"/>
            <w:noWrap/>
            <w:vAlign w:val="bottom"/>
            <w:hideMark/>
          </w:tcPr>
          <w:p w:rsidR="002A7C0F" w:rsidRPr="00531B05" w:rsidRDefault="002A7C0F" w:rsidP="00B53FD0">
            <w:pPr>
              <w:spacing w:before="40" w:after="40"/>
              <w:rPr>
                <w:color w:val="000000"/>
                <w:sz w:val="20"/>
                <w:szCs w:val="20"/>
              </w:rPr>
            </w:pPr>
            <w:r w:rsidRPr="00531B05">
              <w:rPr>
                <w:color w:val="000000"/>
                <w:sz w:val="20"/>
                <w:szCs w:val="20"/>
              </w:rPr>
              <w:lastRenderedPageBreak/>
              <w:t>Winchendon</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2</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2</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0</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13,250</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13,400</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150</w:t>
            </w:r>
          </w:p>
        </w:tc>
      </w:tr>
      <w:tr w:rsidR="002A7C0F" w:rsidRPr="00531B05" w:rsidTr="00B53FD0">
        <w:trPr>
          <w:trHeight w:val="300"/>
        </w:trPr>
        <w:tc>
          <w:tcPr>
            <w:tcW w:w="1691" w:type="pct"/>
            <w:shd w:val="clear" w:color="auto" w:fill="auto"/>
            <w:noWrap/>
            <w:vAlign w:val="bottom"/>
            <w:hideMark/>
          </w:tcPr>
          <w:p w:rsidR="002A7C0F" w:rsidRPr="00531B05" w:rsidRDefault="002A7C0F" w:rsidP="00B53FD0">
            <w:pPr>
              <w:spacing w:before="40" w:after="40"/>
              <w:rPr>
                <w:color w:val="000000"/>
                <w:sz w:val="20"/>
                <w:szCs w:val="20"/>
              </w:rPr>
            </w:pPr>
            <w:r w:rsidRPr="00531B05">
              <w:rPr>
                <w:color w:val="000000"/>
                <w:sz w:val="20"/>
                <w:szCs w:val="20"/>
              </w:rPr>
              <w:t>Winchester</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3</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3</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0</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19,875</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20,100</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225</w:t>
            </w:r>
          </w:p>
        </w:tc>
      </w:tr>
      <w:tr w:rsidR="002A7C0F" w:rsidRPr="00531B05" w:rsidTr="00B53FD0">
        <w:trPr>
          <w:trHeight w:val="300"/>
        </w:trPr>
        <w:tc>
          <w:tcPr>
            <w:tcW w:w="1691" w:type="pct"/>
            <w:shd w:val="clear" w:color="auto" w:fill="auto"/>
            <w:noWrap/>
            <w:vAlign w:val="bottom"/>
            <w:hideMark/>
          </w:tcPr>
          <w:p w:rsidR="002A7C0F" w:rsidRPr="00531B05" w:rsidRDefault="002A7C0F" w:rsidP="00B53FD0">
            <w:pPr>
              <w:spacing w:before="40" w:after="40"/>
              <w:rPr>
                <w:color w:val="000000"/>
                <w:sz w:val="20"/>
                <w:szCs w:val="20"/>
              </w:rPr>
            </w:pPr>
            <w:r w:rsidRPr="00531B05">
              <w:rPr>
                <w:color w:val="000000"/>
                <w:sz w:val="20"/>
                <w:szCs w:val="20"/>
              </w:rPr>
              <w:t>Winthrop</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2</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2.63</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0.63</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13,250</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17,724</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4,474</w:t>
            </w:r>
          </w:p>
        </w:tc>
      </w:tr>
      <w:tr w:rsidR="002A7C0F" w:rsidRPr="00531B05" w:rsidTr="00B53FD0">
        <w:trPr>
          <w:trHeight w:val="300"/>
        </w:trPr>
        <w:tc>
          <w:tcPr>
            <w:tcW w:w="1691" w:type="pct"/>
            <w:shd w:val="clear" w:color="auto" w:fill="auto"/>
            <w:noWrap/>
            <w:vAlign w:val="bottom"/>
            <w:hideMark/>
          </w:tcPr>
          <w:p w:rsidR="002A7C0F" w:rsidRPr="00531B05" w:rsidRDefault="002A7C0F" w:rsidP="00B53FD0">
            <w:pPr>
              <w:spacing w:before="40" w:after="40"/>
              <w:rPr>
                <w:color w:val="000000"/>
                <w:sz w:val="20"/>
                <w:szCs w:val="20"/>
              </w:rPr>
            </w:pPr>
            <w:r w:rsidRPr="00531B05">
              <w:rPr>
                <w:color w:val="000000"/>
                <w:sz w:val="20"/>
                <w:szCs w:val="20"/>
              </w:rPr>
              <w:t>Worcester</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19</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17.42</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-1.58</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125,875</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117,925</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-7,950</w:t>
            </w:r>
          </w:p>
        </w:tc>
      </w:tr>
      <w:tr w:rsidR="002A7C0F" w:rsidRPr="00531B05" w:rsidTr="00B53FD0">
        <w:trPr>
          <w:trHeight w:val="300"/>
        </w:trPr>
        <w:tc>
          <w:tcPr>
            <w:tcW w:w="1691" w:type="pct"/>
            <w:shd w:val="clear" w:color="auto" w:fill="auto"/>
            <w:noWrap/>
            <w:vAlign w:val="bottom"/>
            <w:hideMark/>
          </w:tcPr>
          <w:p w:rsidR="002A7C0F" w:rsidRPr="00531B05" w:rsidRDefault="002A7C0F" w:rsidP="00B53FD0">
            <w:pPr>
              <w:spacing w:before="40" w:after="40"/>
              <w:rPr>
                <w:color w:val="000000"/>
                <w:sz w:val="20"/>
                <w:szCs w:val="20"/>
              </w:rPr>
            </w:pPr>
            <w:r w:rsidRPr="00531B05">
              <w:rPr>
                <w:color w:val="000000"/>
                <w:sz w:val="20"/>
                <w:szCs w:val="20"/>
              </w:rPr>
              <w:t>Andover</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0</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0.83</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0.83</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0</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5,574</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5,574</w:t>
            </w:r>
          </w:p>
        </w:tc>
      </w:tr>
      <w:tr w:rsidR="002A7C0F" w:rsidRPr="00531B05" w:rsidTr="00B53FD0">
        <w:trPr>
          <w:trHeight w:val="300"/>
        </w:trPr>
        <w:tc>
          <w:tcPr>
            <w:tcW w:w="1691" w:type="pct"/>
            <w:shd w:val="clear" w:color="auto" w:fill="auto"/>
            <w:noWrap/>
            <w:vAlign w:val="bottom"/>
            <w:hideMark/>
          </w:tcPr>
          <w:p w:rsidR="002A7C0F" w:rsidRPr="00531B05" w:rsidRDefault="002A7C0F" w:rsidP="00B53FD0">
            <w:pPr>
              <w:spacing w:before="40" w:after="40"/>
              <w:rPr>
                <w:color w:val="000000"/>
                <w:sz w:val="20"/>
                <w:szCs w:val="20"/>
              </w:rPr>
            </w:pPr>
            <w:r w:rsidRPr="00531B05">
              <w:rPr>
                <w:color w:val="000000"/>
                <w:sz w:val="20"/>
                <w:szCs w:val="20"/>
              </w:rPr>
              <w:t>Ashland</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0</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0.49</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0.49</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0</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3,321</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3,321</w:t>
            </w:r>
          </w:p>
        </w:tc>
      </w:tr>
      <w:tr w:rsidR="002A7C0F" w:rsidRPr="00531B05" w:rsidTr="00B53FD0">
        <w:trPr>
          <w:trHeight w:val="300"/>
        </w:trPr>
        <w:tc>
          <w:tcPr>
            <w:tcW w:w="1691" w:type="pct"/>
            <w:shd w:val="clear" w:color="auto" w:fill="auto"/>
            <w:noWrap/>
            <w:vAlign w:val="bottom"/>
            <w:hideMark/>
          </w:tcPr>
          <w:p w:rsidR="002A7C0F" w:rsidRPr="00531B05" w:rsidRDefault="002A7C0F" w:rsidP="00B53FD0">
            <w:pPr>
              <w:spacing w:before="40" w:after="40"/>
              <w:rPr>
                <w:color w:val="000000"/>
                <w:sz w:val="20"/>
                <w:szCs w:val="20"/>
              </w:rPr>
            </w:pPr>
            <w:r w:rsidRPr="00531B05">
              <w:rPr>
                <w:color w:val="000000"/>
                <w:sz w:val="20"/>
                <w:szCs w:val="20"/>
              </w:rPr>
              <w:t>Bedford</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0</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1</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1</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0</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6,700</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6,700</w:t>
            </w:r>
          </w:p>
        </w:tc>
      </w:tr>
      <w:tr w:rsidR="002A7C0F" w:rsidRPr="00531B05" w:rsidTr="00B53FD0">
        <w:trPr>
          <w:trHeight w:val="300"/>
        </w:trPr>
        <w:tc>
          <w:tcPr>
            <w:tcW w:w="1691" w:type="pct"/>
            <w:shd w:val="clear" w:color="auto" w:fill="auto"/>
            <w:noWrap/>
            <w:vAlign w:val="bottom"/>
            <w:hideMark/>
          </w:tcPr>
          <w:p w:rsidR="002A7C0F" w:rsidRPr="00531B05" w:rsidRDefault="002A7C0F" w:rsidP="00B53FD0">
            <w:pPr>
              <w:spacing w:before="40" w:after="40"/>
              <w:rPr>
                <w:color w:val="000000"/>
                <w:sz w:val="20"/>
                <w:szCs w:val="20"/>
              </w:rPr>
            </w:pPr>
            <w:r w:rsidRPr="00531B05">
              <w:rPr>
                <w:color w:val="000000"/>
                <w:sz w:val="20"/>
                <w:szCs w:val="20"/>
              </w:rPr>
              <w:t>Dartmouth</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0</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0.95</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0.95</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0</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6,369</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6,369</w:t>
            </w:r>
          </w:p>
        </w:tc>
      </w:tr>
      <w:tr w:rsidR="002A7C0F" w:rsidRPr="00531B05" w:rsidTr="00B53FD0">
        <w:trPr>
          <w:trHeight w:val="300"/>
        </w:trPr>
        <w:tc>
          <w:tcPr>
            <w:tcW w:w="1691" w:type="pct"/>
            <w:shd w:val="clear" w:color="auto" w:fill="auto"/>
            <w:noWrap/>
            <w:vAlign w:val="bottom"/>
            <w:hideMark/>
          </w:tcPr>
          <w:p w:rsidR="002A7C0F" w:rsidRPr="00531B05" w:rsidRDefault="002A7C0F" w:rsidP="00B53FD0">
            <w:pPr>
              <w:spacing w:before="40" w:after="40"/>
              <w:rPr>
                <w:color w:val="000000"/>
                <w:sz w:val="20"/>
                <w:szCs w:val="20"/>
              </w:rPr>
            </w:pPr>
            <w:r w:rsidRPr="00531B05">
              <w:rPr>
                <w:color w:val="000000"/>
                <w:sz w:val="20"/>
                <w:szCs w:val="20"/>
              </w:rPr>
              <w:t>Malden</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0</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0.1</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0.1</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0</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738</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738</w:t>
            </w:r>
          </w:p>
        </w:tc>
      </w:tr>
      <w:tr w:rsidR="002A7C0F" w:rsidRPr="00531B05" w:rsidTr="00B53FD0">
        <w:trPr>
          <w:trHeight w:val="300"/>
        </w:trPr>
        <w:tc>
          <w:tcPr>
            <w:tcW w:w="1691" w:type="pct"/>
            <w:shd w:val="clear" w:color="auto" w:fill="auto"/>
            <w:noWrap/>
            <w:vAlign w:val="bottom"/>
            <w:hideMark/>
          </w:tcPr>
          <w:p w:rsidR="002A7C0F" w:rsidRPr="00531B05" w:rsidRDefault="002A7C0F" w:rsidP="00B53FD0">
            <w:pPr>
              <w:spacing w:before="40" w:after="40"/>
              <w:rPr>
                <w:color w:val="000000"/>
                <w:sz w:val="20"/>
                <w:szCs w:val="20"/>
              </w:rPr>
            </w:pPr>
            <w:r w:rsidRPr="00531B05">
              <w:rPr>
                <w:color w:val="000000"/>
                <w:sz w:val="20"/>
                <w:szCs w:val="20"/>
              </w:rPr>
              <w:t>Marblehead</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0</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0.59</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0.59</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0</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3,984</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3,984</w:t>
            </w:r>
          </w:p>
        </w:tc>
      </w:tr>
      <w:tr w:rsidR="002A7C0F" w:rsidRPr="00531B05" w:rsidTr="00B53FD0">
        <w:trPr>
          <w:trHeight w:val="300"/>
        </w:trPr>
        <w:tc>
          <w:tcPr>
            <w:tcW w:w="1691" w:type="pct"/>
            <w:shd w:val="clear" w:color="auto" w:fill="auto"/>
            <w:noWrap/>
            <w:vAlign w:val="bottom"/>
            <w:hideMark/>
          </w:tcPr>
          <w:p w:rsidR="002A7C0F" w:rsidRPr="00531B05" w:rsidRDefault="002A7C0F" w:rsidP="00B53FD0">
            <w:pPr>
              <w:spacing w:before="40" w:after="40"/>
              <w:rPr>
                <w:color w:val="000000"/>
                <w:sz w:val="20"/>
                <w:szCs w:val="20"/>
              </w:rPr>
            </w:pPr>
            <w:r w:rsidRPr="00531B05">
              <w:rPr>
                <w:color w:val="000000"/>
                <w:sz w:val="20"/>
                <w:szCs w:val="20"/>
              </w:rPr>
              <w:t>Marshfield</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0</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0.46</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0.46</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0</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3,123</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3,123</w:t>
            </w:r>
          </w:p>
        </w:tc>
      </w:tr>
      <w:tr w:rsidR="002A7C0F" w:rsidRPr="00531B05" w:rsidTr="00B53FD0">
        <w:trPr>
          <w:trHeight w:val="300"/>
        </w:trPr>
        <w:tc>
          <w:tcPr>
            <w:tcW w:w="1691" w:type="pct"/>
            <w:shd w:val="clear" w:color="auto" w:fill="auto"/>
            <w:noWrap/>
            <w:vAlign w:val="bottom"/>
            <w:hideMark/>
          </w:tcPr>
          <w:p w:rsidR="002A7C0F" w:rsidRPr="00531B05" w:rsidRDefault="002A7C0F" w:rsidP="00B53FD0">
            <w:pPr>
              <w:spacing w:before="40" w:after="40"/>
              <w:rPr>
                <w:color w:val="000000"/>
                <w:sz w:val="20"/>
                <w:szCs w:val="20"/>
              </w:rPr>
            </w:pPr>
            <w:r w:rsidRPr="00531B05">
              <w:rPr>
                <w:color w:val="000000"/>
                <w:sz w:val="20"/>
                <w:szCs w:val="20"/>
              </w:rPr>
              <w:t>Mendon Upton</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0</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0.77</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0.77</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0</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5,176</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5,176</w:t>
            </w:r>
          </w:p>
        </w:tc>
      </w:tr>
      <w:tr w:rsidR="002A7C0F" w:rsidRPr="00531B05" w:rsidTr="00B53FD0">
        <w:trPr>
          <w:trHeight w:val="300"/>
        </w:trPr>
        <w:tc>
          <w:tcPr>
            <w:tcW w:w="1691" w:type="pct"/>
            <w:shd w:val="clear" w:color="auto" w:fill="auto"/>
            <w:noWrap/>
            <w:vAlign w:val="bottom"/>
            <w:hideMark/>
          </w:tcPr>
          <w:p w:rsidR="002A7C0F" w:rsidRPr="00531B05" w:rsidRDefault="002A7C0F" w:rsidP="00B53FD0">
            <w:pPr>
              <w:spacing w:before="40" w:after="40"/>
              <w:rPr>
                <w:color w:val="000000"/>
                <w:sz w:val="20"/>
                <w:szCs w:val="20"/>
              </w:rPr>
            </w:pPr>
            <w:r w:rsidRPr="00531B05">
              <w:rPr>
                <w:color w:val="000000"/>
                <w:sz w:val="20"/>
                <w:szCs w:val="20"/>
              </w:rPr>
              <w:t>Newton</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0</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0.66</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0.66</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0</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4,448</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4,448</w:t>
            </w:r>
          </w:p>
        </w:tc>
      </w:tr>
      <w:tr w:rsidR="002A7C0F" w:rsidRPr="00531B05" w:rsidTr="00B53FD0">
        <w:trPr>
          <w:trHeight w:val="300"/>
        </w:trPr>
        <w:tc>
          <w:tcPr>
            <w:tcW w:w="1691" w:type="pct"/>
            <w:shd w:val="clear" w:color="auto" w:fill="auto"/>
            <w:noWrap/>
            <w:vAlign w:val="bottom"/>
            <w:hideMark/>
          </w:tcPr>
          <w:p w:rsidR="002A7C0F" w:rsidRPr="00531B05" w:rsidRDefault="002A7C0F" w:rsidP="00B53FD0">
            <w:pPr>
              <w:spacing w:before="40" w:after="40"/>
              <w:rPr>
                <w:color w:val="000000"/>
                <w:sz w:val="20"/>
                <w:szCs w:val="20"/>
              </w:rPr>
            </w:pPr>
            <w:r w:rsidRPr="00531B05">
              <w:rPr>
                <w:color w:val="000000"/>
                <w:sz w:val="20"/>
                <w:szCs w:val="20"/>
              </w:rPr>
              <w:t xml:space="preserve">North </w:t>
            </w:r>
            <w:proofErr w:type="spellStart"/>
            <w:r w:rsidRPr="00531B05">
              <w:rPr>
                <w:color w:val="000000"/>
                <w:sz w:val="20"/>
                <w:szCs w:val="20"/>
              </w:rPr>
              <w:t>Attleborough</w:t>
            </w:r>
            <w:proofErr w:type="spellEnd"/>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0</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2.48</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2.48</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0</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16,655</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16,655</w:t>
            </w:r>
          </w:p>
        </w:tc>
      </w:tr>
      <w:tr w:rsidR="002A7C0F" w:rsidRPr="00531B05" w:rsidTr="00B53FD0">
        <w:trPr>
          <w:trHeight w:val="300"/>
        </w:trPr>
        <w:tc>
          <w:tcPr>
            <w:tcW w:w="1691" w:type="pct"/>
            <w:shd w:val="clear" w:color="auto" w:fill="auto"/>
            <w:noWrap/>
            <w:vAlign w:val="bottom"/>
            <w:hideMark/>
          </w:tcPr>
          <w:p w:rsidR="002A7C0F" w:rsidRPr="00531B05" w:rsidRDefault="002A7C0F" w:rsidP="00B53FD0">
            <w:pPr>
              <w:spacing w:before="40" w:after="40"/>
              <w:rPr>
                <w:color w:val="000000"/>
                <w:sz w:val="20"/>
                <w:szCs w:val="20"/>
              </w:rPr>
            </w:pPr>
            <w:r w:rsidRPr="00531B05">
              <w:rPr>
                <w:color w:val="000000"/>
                <w:sz w:val="20"/>
                <w:szCs w:val="20"/>
              </w:rPr>
              <w:t>Northampton</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0</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0.89</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0.89</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0</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6,122</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6,122</w:t>
            </w:r>
          </w:p>
        </w:tc>
      </w:tr>
      <w:tr w:rsidR="002A7C0F" w:rsidRPr="00531B05" w:rsidTr="00B53FD0">
        <w:trPr>
          <w:trHeight w:val="300"/>
        </w:trPr>
        <w:tc>
          <w:tcPr>
            <w:tcW w:w="1691" w:type="pct"/>
            <w:shd w:val="clear" w:color="auto" w:fill="auto"/>
            <w:noWrap/>
            <w:vAlign w:val="bottom"/>
            <w:hideMark/>
          </w:tcPr>
          <w:p w:rsidR="002A7C0F" w:rsidRPr="00531B05" w:rsidRDefault="002A7C0F" w:rsidP="00B53FD0">
            <w:pPr>
              <w:spacing w:before="40" w:after="40"/>
              <w:rPr>
                <w:color w:val="000000"/>
                <w:sz w:val="20"/>
                <w:szCs w:val="20"/>
              </w:rPr>
            </w:pPr>
            <w:r w:rsidRPr="00531B05">
              <w:rPr>
                <w:color w:val="000000"/>
                <w:sz w:val="20"/>
                <w:szCs w:val="20"/>
              </w:rPr>
              <w:t>Northborough</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0</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0.53</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0.53</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0</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3,586</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3,586</w:t>
            </w:r>
          </w:p>
        </w:tc>
      </w:tr>
      <w:tr w:rsidR="002A7C0F" w:rsidRPr="00531B05" w:rsidTr="00B53FD0">
        <w:trPr>
          <w:trHeight w:val="300"/>
        </w:trPr>
        <w:tc>
          <w:tcPr>
            <w:tcW w:w="1691" w:type="pct"/>
            <w:shd w:val="clear" w:color="auto" w:fill="auto"/>
            <w:noWrap/>
            <w:vAlign w:val="bottom"/>
            <w:hideMark/>
          </w:tcPr>
          <w:p w:rsidR="002A7C0F" w:rsidRPr="00531B05" w:rsidRDefault="002A7C0F" w:rsidP="00B53FD0">
            <w:pPr>
              <w:spacing w:before="40" w:after="40"/>
              <w:rPr>
                <w:color w:val="000000"/>
                <w:sz w:val="20"/>
                <w:szCs w:val="20"/>
              </w:rPr>
            </w:pPr>
            <w:r w:rsidRPr="00531B05">
              <w:rPr>
                <w:color w:val="000000"/>
                <w:sz w:val="20"/>
                <w:szCs w:val="20"/>
              </w:rPr>
              <w:t>Randolph</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0</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0</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0</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0</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75</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75</w:t>
            </w:r>
          </w:p>
        </w:tc>
      </w:tr>
      <w:tr w:rsidR="002A7C0F" w:rsidRPr="00531B05" w:rsidTr="00B53FD0">
        <w:trPr>
          <w:trHeight w:val="300"/>
        </w:trPr>
        <w:tc>
          <w:tcPr>
            <w:tcW w:w="1691" w:type="pct"/>
            <w:shd w:val="clear" w:color="auto" w:fill="auto"/>
            <w:noWrap/>
            <w:vAlign w:val="bottom"/>
            <w:hideMark/>
          </w:tcPr>
          <w:p w:rsidR="002A7C0F" w:rsidRPr="00531B05" w:rsidRDefault="002A7C0F" w:rsidP="00B53FD0">
            <w:pPr>
              <w:spacing w:before="40" w:after="40"/>
              <w:rPr>
                <w:color w:val="000000"/>
                <w:sz w:val="20"/>
                <w:szCs w:val="20"/>
              </w:rPr>
            </w:pPr>
            <w:r w:rsidRPr="00531B05">
              <w:rPr>
                <w:color w:val="000000"/>
                <w:sz w:val="20"/>
                <w:szCs w:val="20"/>
              </w:rPr>
              <w:t>Sharon</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0</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0.17</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0.17</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0</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1,201</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1,201</w:t>
            </w:r>
          </w:p>
        </w:tc>
      </w:tr>
      <w:tr w:rsidR="002A7C0F" w:rsidRPr="00531B05" w:rsidTr="00B53FD0">
        <w:trPr>
          <w:trHeight w:val="300"/>
        </w:trPr>
        <w:tc>
          <w:tcPr>
            <w:tcW w:w="1691" w:type="pct"/>
            <w:shd w:val="clear" w:color="auto" w:fill="auto"/>
            <w:noWrap/>
            <w:vAlign w:val="bottom"/>
            <w:hideMark/>
          </w:tcPr>
          <w:p w:rsidR="002A7C0F" w:rsidRPr="00531B05" w:rsidRDefault="002A7C0F" w:rsidP="00B53FD0">
            <w:pPr>
              <w:spacing w:before="40" w:after="40"/>
              <w:rPr>
                <w:color w:val="000000"/>
                <w:sz w:val="20"/>
                <w:szCs w:val="20"/>
              </w:rPr>
            </w:pPr>
            <w:r w:rsidRPr="00531B05">
              <w:rPr>
                <w:color w:val="000000"/>
                <w:sz w:val="20"/>
                <w:szCs w:val="20"/>
              </w:rPr>
              <w:t>Southampton</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0</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2</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2</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0</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13,400</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13,400</w:t>
            </w:r>
          </w:p>
        </w:tc>
      </w:tr>
      <w:tr w:rsidR="002A7C0F" w:rsidRPr="00531B05" w:rsidTr="00B53FD0">
        <w:trPr>
          <w:trHeight w:val="300"/>
        </w:trPr>
        <w:tc>
          <w:tcPr>
            <w:tcW w:w="1691" w:type="pct"/>
            <w:shd w:val="clear" w:color="auto" w:fill="auto"/>
            <w:noWrap/>
            <w:vAlign w:val="bottom"/>
            <w:hideMark/>
          </w:tcPr>
          <w:p w:rsidR="002A7C0F" w:rsidRPr="00531B05" w:rsidRDefault="002A7C0F" w:rsidP="00B53FD0">
            <w:pPr>
              <w:spacing w:before="40" w:after="40"/>
              <w:rPr>
                <w:color w:val="000000"/>
                <w:sz w:val="20"/>
                <w:szCs w:val="20"/>
              </w:rPr>
            </w:pPr>
            <w:r w:rsidRPr="00531B05">
              <w:rPr>
                <w:color w:val="000000"/>
                <w:sz w:val="20"/>
                <w:szCs w:val="20"/>
              </w:rPr>
              <w:t>Sturbridge</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0</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1.05</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1.05</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0</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7,106</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7,106</w:t>
            </w:r>
          </w:p>
        </w:tc>
      </w:tr>
      <w:tr w:rsidR="002A7C0F" w:rsidRPr="00531B05" w:rsidTr="00B53FD0">
        <w:trPr>
          <w:trHeight w:val="300"/>
        </w:trPr>
        <w:tc>
          <w:tcPr>
            <w:tcW w:w="1691" w:type="pct"/>
            <w:shd w:val="clear" w:color="auto" w:fill="auto"/>
            <w:noWrap/>
            <w:vAlign w:val="bottom"/>
            <w:hideMark/>
          </w:tcPr>
          <w:p w:rsidR="002A7C0F" w:rsidRPr="00531B05" w:rsidRDefault="002A7C0F" w:rsidP="00B53FD0">
            <w:pPr>
              <w:spacing w:before="40" w:after="40"/>
              <w:rPr>
                <w:color w:val="000000"/>
                <w:sz w:val="20"/>
                <w:szCs w:val="20"/>
              </w:rPr>
            </w:pPr>
            <w:r w:rsidRPr="00531B05">
              <w:rPr>
                <w:color w:val="000000"/>
                <w:sz w:val="20"/>
                <w:szCs w:val="20"/>
              </w:rPr>
              <w:t>Triton</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0</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0.16</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0.16</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0</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1,135</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1,135</w:t>
            </w:r>
          </w:p>
        </w:tc>
      </w:tr>
      <w:tr w:rsidR="002A7C0F" w:rsidRPr="00531B05" w:rsidTr="00B53FD0">
        <w:trPr>
          <w:trHeight w:val="300"/>
        </w:trPr>
        <w:tc>
          <w:tcPr>
            <w:tcW w:w="1691" w:type="pct"/>
            <w:shd w:val="clear" w:color="auto" w:fill="auto"/>
            <w:noWrap/>
            <w:vAlign w:val="bottom"/>
            <w:hideMark/>
          </w:tcPr>
          <w:p w:rsidR="002A7C0F" w:rsidRPr="00531B05" w:rsidRDefault="002A7C0F" w:rsidP="00B53FD0">
            <w:pPr>
              <w:spacing w:before="40" w:after="40"/>
              <w:rPr>
                <w:color w:val="000000"/>
                <w:sz w:val="20"/>
                <w:szCs w:val="20"/>
              </w:rPr>
            </w:pPr>
            <w:r w:rsidRPr="00531B05">
              <w:rPr>
                <w:color w:val="000000"/>
                <w:sz w:val="20"/>
                <w:szCs w:val="20"/>
              </w:rPr>
              <w:t>Wareham</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0</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0.77</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0.77</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0</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5,176</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5,176</w:t>
            </w:r>
          </w:p>
        </w:tc>
      </w:tr>
      <w:tr w:rsidR="002A7C0F" w:rsidRPr="00531B05" w:rsidTr="00B53FD0">
        <w:trPr>
          <w:trHeight w:val="300"/>
        </w:trPr>
        <w:tc>
          <w:tcPr>
            <w:tcW w:w="1691" w:type="pct"/>
            <w:shd w:val="clear" w:color="auto" w:fill="auto"/>
            <w:noWrap/>
            <w:vAlign w:val="bottom"/>
            <w:hideMark/>
          </w:tcPr>
          <w:p w:rsidR="002A7C0F" w:rsidRPr="00531B05" w:rsidRDefault="002A7C0F" w:rsidP="00B53FD0">
            <w:pPr>
              <w:spacing w:before="40" w:after="40"/>
              <w:rPr>
                <w:color w:val="000000"/>
                <w:sz w:val="20"/>
                <w:szCs w:val="20"/>
              </w:rPr>
            </w:pPr>
            <w:r w:rsidRPr="00531B05">
              <w:rPr>
                <w:color w:val="000000"/>
                <w:sz w:val="20"/>
                <w:szCs w:val="20"/>
              </w:rPr>
              <w:t>Watertown</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0</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0.76</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0.76</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0</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5,110</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5,110</w:t>
            </w:r>
          </w:p>
        </w:tc>
      </w:tr>
      <w:tr w:rsidR="002A7C0F" w:rsidRPr="00531B05" w:rsidTr="00B53FD0">
        <w:trPr>
          <w:trHeight w:val="300"/>
        </w:trPr>
        <w:tc>
          <w:tcPr>
            <w:tcW w:w="1691" w:type="pct"/>
            <w:shd w:val="clear" w:color="auto" w:fill="auto"/>
            <w:noWrap/>
            <w:vAlign w:val="bottom"/>
            <w:hideMark/>
          </w:tcPr>
          <w:p w:rsidR="002A7C0F" w:rsidRPr="00531B05" w:rsidRDefault="002A7C0F" w:rsidP="00B53FD0">
            <w:pPr>
              <w:spacing w:before="40" w:after="40"/>
              <w:rPr>
                <w:color w:val="000000"/>
                <w:sz w:val="20"/>
                <w:szCs w:val="20"/>
              </w:rPr>
            </w:pPr>
            <w:r w:rsidRPr="00531B05">
              <w:rPr>
                <w:color w:val="000000"/>
                <w:sz w:val="20"/>
                <w:szCs w:val="20"/>
              </w:rPr>
              <w:t>Woburn</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0</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0.11</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0.11</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0</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804</w:t>
            </w:r>
          </w:p>
        </w:tc>
        <w:tc>
          <w:tcPr>
            <w:tcW w:w="551" w:type="pct"/>
            <w:shd w:val="clear" w:color="auto" w:fill="auto"/>
            <w:noWrap/>
            <w:vAlign w:val="bottom"/>
            <w:hideMark/>
          </w:tcPr>
          <w:p w:rsidR="002A7C0F" w:rsidRPr="00531B05" w:rsidRDefault="002A7C0F" w:rsidP="00B53FD0">
            <w:pPr>
              <w:spacing w:before="40" w:after="40"/>
              <w:jc w:val="right"/>
              <w:rPr>
                <w:color w:val="000000"/>
                <w:sz w:val="20"/>
                <w:szCs w:val="20"/>
              </w:rPr>
            </w:pPr>
            <w:r w:rsidRPr="00531B05">
              <w:rPr>
                <w:color w:val="000000"/>
                <w:sz w:val="20"/>
                <w:szCs w:val="20"/>
              </w:rPr>
              <w:t>804</w:t>
            </w:r>
          </w:p>
        </w:tc>
      </w:tr>
      <w:tr w:rsidR="002A7C0F" w:rsidRPr="00531B05" w:rsidTr="00B53FD0">
        <w:trPr>
          <w:trHeight w:val="300"/>
        </w:trPr>
        <w:tc>
          <w:tcPr>
            <w:tcW w:w="1691" w:type="pct"/>
            <w:shd w:val="clear" w:color="auto" w:fill="auto"/>
            <w:noWrap/>
            <w:vAlign w:val="bottom"/>
            <w:hideMark/>
          </w:tcPr>
          <w:p w:rsidR="002A7C0F" w:rsidRPr="00531B05" w:rsidRDefault="002A7C0F" w:rsidP="00B53FD0">
            <w:pPr>
              <w:spacing w:before="40" w:after="40"/>
              <w:rPr>
                <w:b/>
                <w:color w:val="000000"/>
                <w:sz w:val="20"/>
                <w:szCs w:val="20"/>
              </w:rPr>
            </w:pPr>
            <w:r w:rsidRPr="00531B05">
              <w:rPr>
                <w:b/>
                <w:color w:val="000000"/>
                <w:sz w:val="20"/>
                <w:szCs w:val="20"/>
              </w:rPr>
              <w:t>Totals</w:t>
            </w:r>
          </w:p>
        </w:tc>
        <w:tc>
          <w:tcPr>
            <w:tcW w:w="551" w:type="pct"/>
            <w:shd w:val="clear" w:color="auto" w:fill="auto"/>
            <w:noWrap/>
            <w:vAlign w:val="bottom"/>
            <w:hideMark/>
          </w:tcPr>
          <w:p w:rsidR="002A7C0F" w:rsidRPr="00531B05" w:rsidRDefault="002A7C0F" w:rsidP="00B53FD0">
            <w:pPr>
              <w:spacing w:before="40" w:after="40"/>
              <w:jc w:val="right"/>
              <w:rPr>
                <w:b/>
                <w:color w:val="000000"/>
                <w:sz w:val="20"/>
                <w:szCs w:val="20"/>
              </w:rPr>
            </w:pPr>
            <w:r w:rsidRPr="00531B05">
              <w:rPr>
                <w:b/>
                <w:color w:val="000000"/>
                <w:sz w:val="20"/>
                <w:szCs w:val="20"/>
              </w:rPr>
              <w:t>454</w:t>
            </w:r>
          </w:p>
        </w:tc>
        <w:tc>
          <w:tcPr>
            <w:tcW w:w="551" w:type="pct"/>
            <w:shd w:val="clear" w:color="auto" w:fill="auto"/>
            <w:noWrap/>
            <w:vAlign w:val="bottom"/>
            <w:hideMark/>
          </w:tcPr>
          <w:p w:rsidR="002A7C0F" w:rsidRPr="00531B05" w:rsidRDefault="002A7C0F" w:rsidP="00B53FD0">
            <w:pPr>
              <w:spacing w:before="40" w:after="40"/>
              <w:jc w:val="right"/>
              <w:rPr>
                <w:b/>
                <w:color w:val="000000"/>
                <w:sz w:val="20"/>
                <w:szCs w:val="20"/>
              </w:rPr>
            </w:pPr>
            <w:r w:rsidRPr="00531B05">
              <w:rPr>
                <w:b/>
                <w:color w:val="000000"/>
                <w:sz w:val="20"/>
                <w:szCs w:val="20"/>
              </w:rPr>
              <w:t>496.49</w:t>
            </w:r>
          </w:p>
        </w:tc>
        <w:tc>
          <w:tcPr>
            <w:tcW w:w="551" w:type="pct"/>
            <w:shd w:val="clear" w:color="auto" w:fill="auto"/>
            <w:noWrap/>
            <w:vAlign w:val="bottom"/>
            <w:hideMark/>
          </w:tcPr>
          <w:p w:rsidR="002A7C0F" w:rsidRPr="00531B05" w:rsidRDefault="002A7C0F" w:rsidP="00B53FD0">
            <w:pPr>
              <w:spacing w:before="40" w:after="40"/>
              <w:jc w:val="right"/>
              <w:rPr>
                <w:b/>
                <w:color w:val="000000"/>
                <w:sz w:val="20"/>
                <w:szCs w:val="20"/>
              </w:rPr>
            </w:pPr>
            <w:r w:rsidRPr="00531B05">
              <w:rPr>
                <w:b/>
                <w:color w:val="000000"/>
                <w:sz w:val="20"/>
                <w:szCs w:val="20"/>
              </w:rPr>
              <w:t>43.49</w:t>
            </w:r>
          </w:p>
        </w:tc>
        <w:tc>
          <w:tcPr>
            <w:tcW w:w="551" w:type="pct"/>
            <w:shd w:val="clear" w:color="auto" w:fill="auto"/>
            <w:noWrap/>
            <w:vAlign w:val="bottom"/>
            <w:hideMark/>
          </w:tcPr>
          <w:p w:rsidR="002A7C0F" w:rsidRPr="00531B05" w:rsidRDefault="002A7C0F" w:rsidP="00B53FD0">
            <w:pPr>
              <w:spacing w:before="40" w:after="40"/>
              <w:jc w:val="right"/>
              <w:rPr>
                <w:b/>
                <w:color w:val="000000"/>
                <w:sz w:val="20"/>
                <w:szCs w:val="20"/>
              </w:rPr>
            </w:pPr>
            <w:r w:rsidRPr="00531B05">
              <w:rPr>
                <w:b/>
                <w:color w:val="000000"/>
                <w:sz w:val="20"/>
                <w:szCs w:val="20"/>
              </w:rPr>
              <w:t>3</w:t>
            </w:r>
            <w:r w:rsidR="00931552">
              <w:rPr>
                <w:b/>
                <w:color w:val="000000"/>
                <w:sz w:val="20"/>
                <w:szCs w:val="20"/>
              </w:rPr>
              <w:t>,</w:t>
            </w:r>
            <w:r w:rsidRPr="00531B05">
              <w:rPr>
                <w:b/>
                <w:color w:val="000000"/>
                <w:sz w:val="20"/>
                <w:szCs w:val="20"/>
              </w:rPr>
              <w:t>010</w:t>
            </w:r>
            <w:r w:rsidR="00931552">
              <w:rPr>
                <w:b/>
                <w:color w:val="000000"/>
                <w:sz w:val="20"/>
                <w:szCs w:val="20"/>
              </w:rPr>
              <w:t>,</w:t>
            </w:r>
            <w:r w:rsidRPr="00531B05">
              <w:rPr>
                <w:b/>
                <w:color w:val="000000"/>
                <w:sz w:val="20"/>
                <w:szCs w:val="20"/>
              </w:rPr>
              <w:t>523</w:t>
            </w:r>
          </w:p>
        </w:tc>
        <w:tc>
          <w:tcPr>
            <w:tcW w:w="551" w:type="pct"/>
            <w:shd w:val="clear" w:color="auto" w:fill="auto"/>
            <w:noWrap/>
            <w:vAlign w:val="bottom"/>
            <w:hideMark/>
          </w:tcPr>
          <w:p w:rsidR="002A7C0F" w:rsidRPr="00531B05" w:rsidRDefault="002A7C0F" w:rsidP="00B53FD0">
            <w:pPr>
              <w:spacing w:before="40" w:after="40"/>
              <w:jc w:val="right"/>
              <w:rPr>
                <w:b/>
                <w:color w:val="000000"/>
                <w:sz w:val="20"/>
                <w:szCs w:val="20"/>
              </w:rPr>
            </w:pPr>
            <w:r w:rsidRPr="00531B05">
              <w:rPr>
                <w:b/>
                <w:color w:val="000000"/>
                <w:sz w:val="20"/>
                <w:szCs w:val="20"/>
              </w:rPr>
              <w:t>3</w:t>
            </w:r>
            <w:r w:rsidR="00931552">
              <w:rPr>
                <w:b/>
                <w:color w:val="000000"/>
                <w:sz w:val="20"/>
                <w:szCs w:val="20"/>
              </w:rPr>
              <w:t>,</w:t>
            </w:r>
            <w:r w:rsidRPr="00531B05">
              <w:rPr>
                <w:b/>
                <w:color w:val="000000"/>
                <w:sz w:val="20"/>
                <w:szCs w:val="20"/>
              </w:rPr>
              <w:t>374</w:t>
            </w:r>
            <w:r w:rsidR="00931552">
              <w:rPr>
                <w:b/>
                <w:color w:val="000000"/>
                <w:sz w:val="20"/>
                <w:szCs w:val="20"/>
              </w:rPr>
              <w:t>,</w:t>
            </w:r>
            <w:r w:rsidRPr="00531B05">
              <w:rPr>
                <w:b/>
                <w:color w:val="000000"/>
                <w:sz w:val="20"/>
                <w:szCs w:val="20"/>
              </w:rPr>
              <w:t>280</w:t>
            </w:r>
          </w:p>
        </w:tc>
        <w:tc>
          <w:tcPr>
            <w:tcW w:w="551" w:type="pct"/>
            <w:shd w:val="clear" w:color="auto" w:fill="auto"/>
            <w:noWrap/>
            <w:vAlign w:val="bottom"/>
            <w:hideMark/>
          </w:tcPr>
          <w:p w:rsidR="002A7C0F" w:rsidRPr="00531B05" w:rsidRDefault="002A7C0F" w:rsidP="00B53FD0">
            <w:pPr>
              <w:spacing w:before="40" w:after="40"/>
              <w:jc w:val="right"/>
              <w:rPr>
                <w:b/>
                <w:color w:val="000000"/>
                <w:sz w:val="20"/>
                <w:szCs w:val="20"/>
              </w:rPr>
            </w:pPr>
            <w:r w:rsidRPr="00531B05">
              <w:rPr>
                <w:b/>
                <w:color w:val="000000"/>
                <w:sz w:val="20"/>
                <w:szCs w:val="20"/>
              </w:rPr>
              <w:t>363</w:t>
            </w:r>
            <w:r w:rsidR="00931552">
              <w:rPr>
                <w:b/>
                <w:color w:val="000000"/>
                <w:sz w:val="20"/>
                <w:szCs w:val="20"/>
              </w:rPr>
              <w:t>,</w:t>
            </w:r>
            <w:r w:rsidRPr="00531B05">
              <w:rPr>
                <w:b/>
                <w:color w:val="000000"/>
                <w:sz w:val="20"/>
                <w:szCs w:val="20"/>
              </w:rPr>
              <w:t>757</w:t>
            </w:r>
          </w:p>
        </w:tc>
      </w:tr>
    </w:tbl>
    <w:p w:rsidR="00FA1313" w:rsidRPr="002C2113" w:rsidRDefault="00FA1313" w:rsidP="00FA1313">
      <w:pPr>
        <w:pStyle w:val="HWMLineItem"/>
        <w:ind w:left="0"/>
      </w:pPr>
    </w:p>
    <w:sectPr w:rsidR="00FA1313" w:rsidRPr="002C2113" w:rsidSect="007102D5">
      <w:headerReference w:type="even" r:id="rId21"/>
      <w:headerReference w:type="default" r:id="rId22"/>
      <w:footerReference w:type="default" r:id="rId23"/>
      <w:headerReference w:type="first" r:id="rId24"/>
      <w:pgSz w:w="12240" w:h="15840"/>
      <w:pgMar w:top="1440" w:right="1440" w:bottom="1440" w:left="1440" w:header="720" w:footer="720" w:gutter="0"/>
      <w:pgNumType w:start="1"/>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6364" w:rsidRDefault="00816364" w:rsidP="00FD2C86">
      <w:r>
        <w:separator/>
      </w:r>
    </w:p>
  </w:endnote>
  <w:endnote w:type="continuationSeparator" w:id="0">
    <w:p w:rsidR="00816364" w:rsidRDefault="00816364" w:rsidP="00FD2C8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DaunPenh">
    <w:panose1 w:val="01010101010101010101"/>
    <w:charset w:val="00"/>
    <w:family w:val="auto"/>
    <w:pitch w:val="variable"/>
    <w:sig w:usb0="A00000EF" w:usb1="5000204A" w:usb2="00010000" w:usb3="00000000" w:csb0="00000111" w:csb1="00000000"/>
  </w:font>
  <w:font w:name="MoolBoran">
    <w:panose1 w:val="020B0100010101010101"/>
    <w:charset w:val="00"/>
    <w:family w:val="swiss"/>
    <w:pitch w:val="variable"/>
    <w:sig w:usb0="8000000F" w:usb1="0000204A" w:usb2="0001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3FD0" w:rsidRDefault="00B53FD0" w:rsidP="00D674EF">
    <w:pPr>
      <w:pStyle w:val="Footer"/>
    </w:pPr>
    <w:r>
      <w:tab/>
    </w:r>
    <w:fldSimple w:instr=" PAGE   \* MERGEFORMAT ">
      <w:r w:rsidR="006B453E">
        <w:rPr>
          <w:noProof/>
        </w:rPr>
        <w:t>2</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6364" w:rsidRDefault="00816364" w:rsidP="00FD2C86">
      <w:r>
        <w:separator/>
      </w:r>
    </w:p>
  </w:footnote>
  <w:footnote w:type="continuationSeparator" w:id="0">
    <w:p w:rsidR="00816364" w:rsidRDefault="00816364" w:rsidP="00FD2C86">
      <w:r>
        <w:continuationSeparator/>
      </w:r>
    </w:p>
  </w:footnote>
  <w:footnote w:id="1">
    <w:p w:rsidR="00B53FD0" w:rsidRDefault="00B53FD0">
      <w:pPr>
        <w:pStyle w:val="FootnoteText"/>
      </w:pPr>
      <w:r>
        <w:rPr>
          <w:rStyle w:val="FootnoteReference"/>
        </w:rPr>
        <w:footnoteRef/>
      </w:r>
      <w:r>
        <w:t xml:space="preserve"> The D</w:t>
      </w:r>
      <w:r w:rsidRPr="00E8167F">
        <w:t>epart</w:t>
      </w:r>
      <w:r>
        <w:t>ment, in consultation with the Department of Youth S</w:t>
      </w:r>
      <w:r w:rsidRPr="00E8167F">
        <w:t>ervices</w:t>
      </w:r>
      <w:r>
        <w:t xml:space="preserve"> (DYS)</w:t>
      </w:r>
      <w:r w:rsidRPr="00E8167F">
        <w:t>, determine</w:t>
      </w:r>
      <w:r>
        <w:t>s</w:t>
      </w:r>
      <w:r w:rsidRPr="00E8167F">
        <w:t xml:space="preserve"> the appropriate tuition responsibility for students</w:t>
      </w:r>
      <w:r>
        <w:t xml:space="preserve"> who are in the custody of the Department of C</w:t>
      </w:r>
      <w:r w:rsidRPr="00E8167F">
        <w:t xml:space="preserve">orrections, a sheriff or </w:t>
      </w:r>
      <w:r>
        <w:t>DYS</w:t>
      </w:r>
      <w:r w:rsidRPr="00E8167F">
        <w:t>.</w:t>
      </w:r>
    </w:p>
  </w:footnote>
  <w:footnote w:id="2">
    <w:p w:rsidR="00B53FD0" w:rsidRDefault="00B53FD0" w:rsidP="00394ADD">
      <w:pPr>
        <w:pStyle w:val="FootnoteText"/>
      </w:pPr>
      <w:r>
        <w:rPr>
          <w:rStyle w:val="FootnoteReference"/>
        </w:rPr>
        <w:footnoteRef/>
      </w:r>
      <w:r>
        <w:t xml:space="preserve"> The Department adjusted the school’s final FY2014 tuition payment in November 2014 to reflect the underreporting of 60 FTEs, a difference of $476,009 from what is publically reported on the Department’s website as of June 19, 2014: </w:t>
      </w:r>
      <w:hyperlink r:id="rId1" w:history="1">
        <w:r w:rsidRPr="00F15ACF">
          <w:rPr>
            <w:rStyle w:val="Hyperlink"/>
          </w:rPr>
          <w:t>http://www.doe.mass.edu/finance/schoolchoice/choice14.html</w:t>
        </w:r>
      </w:hyperlink>
      <w:r>
        <w:t>.</w:t>
      </w:r>
    </w:p>
  </w:footnote>
  <w:footnote w:id="3">
    <w:p w:rsidR="00B53FD0" w:rsidRDefault="00B53FD0" w:rsidP="0048631E">
      <w:pPr>
        <w:pStyle w:val="FootnoteText"/>
      </w:pPr>
      <w:r>
        <w:rPr>
          <w:rStyle w:val="FootnoteReference"/>
        </w:rPr>
        <w:footnoteRef/>
      </w:r>
      <w:r>
        <w:t xml:space="preserve"> Data reported to the state by GCVS.</w:t>
      </w:r>
    </w:p>
  </w:footnote>
  <w:footnote w:id="4">
    <w:p w:rsidR="00B53FD0" w:rsidRDefault="00B53FD0" w:rsidP="0048631E">
      <w:pPr>
        <w:pStyle w:val="FootnoteText"/>
      </w:pPr>
      <w:r>
        <w:rPr>
          <w:rStyle w:val="FootnoteReference"/>
        </w:rPr>
        <w:footnoteRef/>
      </w:r>
      <w:r>
        <w:t xml:space="preserve"> In order to provide “apples-to-apples” comparisons between GCVS and the state, these figures represent unique counts of students enrolled in “all-grade” courses (e.g., “Kindergarten-all subjects”, “First Grade-all subjects”, etc.) and do not include students classified as enrolled in a subject-specific course (e.g., “Kindergarten-English language arts”, etc.).</w:t>
      </w:r>
    </w:p>
  </w:footnote>
  <w:footnote w:id="5">
    <w:p w:rsidR="00B53FD0" w:rsidRDefault="00B53FD0" w:rsidP="0048631E">
      <w:pPr>
        <w:pStyle w:val="FootnoteText"/>
      </w:pPr>
      <w:r>
        <w:rPr>
          <w:rStyle w:val="FootnoteReference"/>
        </w:rPr>
        <w:footnoteRef/>
      </w:r>
      <w:r>
        <w:t xml:space="preserve"> “Incomplete” and “Excused” figures are omitted as they represent an insignificant number of students; therefore, not all percentages will add up to 100.</w:t>
      </w:r>
    </w:p>
  </w:footnote>
  <w:footnote w:id="6">
    <w:p w:rsidR="00B53FD0" w:rsidRDefault="00B53FD0" w:rsidP="0048631E">
      <w:pPr>
        <w:pStyle w:val="FootnoteText"/>
      </w:pPr>
      <w:r>
        <w:rPr>
          <w:rStyle w:val="FootnoteReference"/>
        </w:rPr>
        <w:footnoteRef/>
      </w:r>
      <w:r>
        <w:t xml:space="preserve"> In a virtual school, withdrawals usually reflect students who transferred out of the school during the academic year.</w:t>
      </w:r>
    </w:p>
  </w:footnote>
  <w:footnote w:id="7">
    <w:p w:rsidR="00B53FD0" w:rsidRDefault="00B53FD0">
      <w:pPr>
        <w:pStyle w:val="FootnoteText"/>
      </w:pPr>
      <w:r>
        <w:rPr>
          <w:rStyle w:val="FootnoteReference"/>
        </w:rPr>
        <w:footnoteRef/>
      </w:r>
      <w:r>
        <w:t xml:space="preserve"> High school figures represent courses, not students, as the unit of comparison; students are counted multiple times.</w:t>
      </w:r>
    </w:p>
  </w:footnote>
  <w:footnote w:id="8">
    <w:p w:rsidR="00B53FD0" w:rsidRDefault="00B53FD0" w:rsidP="00697CB2">
      <w:pPr>
        <w:pStyle w:val="FootnoteText"/>
      </w:pPr>
      <w:r>
        <w:rPr>
          <w:rStyle w:val="FootnoteReference"/>
        </w:rPr>
        <w:footnoteRef/>
      </w:r>
      <w:r>
        <w:t xml:space="preserve"> In a virtual school, withdrawals usually reflect students who transferred out of the school during the academic year.</w:t>
      </w:r>
    </w:p>
  </w:footnote>
  <w:footnote w:id="9">
    <w:p w:rsidR="00B53FD0" w:rsidRDefault="00B53FD0">
      <w:pPr>
        <w:pStyle w:val="FootnoteText"/>
      </w:pPr>
      <w:r>
        <w:rPr>
          <w:rStyle w:val="FootnoteReference"/>
        </w:rPr>
        <w:footnoteRef/>
      </w:r>
      <w:r>
        <w:t xml:space="preserve"> Chapter 379 of the Acts of 2012, “An Act Establishing Commonwealth Virtual Schools”, permits GCVS to maintain student enrollment of at least 2 percent from Greenfield for the duration of its initial certificate term.</w:t>
      </w:r>
    </w:p>
  </w:footnote>
  <w:footnote w:id="10">
    <w:p w:rsidR="00B53FD0" w:rsidRPr="003073EF" w:rsidRDefault="00B53FD0" w:rsidP="003073EF">
      <w:pPr>
        <w:rPr>
          <w:sz w:val="20"/>
          <w:szCs w:val="20"/>
        </w:rPr>
      </w:pPr>
      <w:r w:rsidRPr="003073EF">
        <w:rPr>
          <w:rStyle w:val="FootnoteReference"/>
          <w:sz w:val="20"/>
          <w:szCs w:val="20"/>
        </w:rPr>
        <w:footnoteRef/>
      </w:r>
      <w:r w:rsidRPr="003073EF">
        <w:rPr>
          <w:sz w:val="20"/>
          <w:szCs w:val="20"/>
        </w:rPr>
        <w:t xml:space="preserve"> TECCA is approved to enroll 1,000 students in 2014-15, 1,500 students in 2015-16, and 2,000 students in 2016-17.</w:t>
      </w:r>
    </w:p>
  </w:footnote>
  <w:footnote w:id="11">
    <w:p w:rsidR="00B53FD0" w:rsidRDefault="00B53FD0" w:rsidP="002A7C0F">
      <w:pPr>
        <w:pStyle w:val="FootnoteText"/>
      </w:pPr>
      <w:r>
        <w:rPr>
          <w:rStyle w:val="FootnoteReference"/>
        </w:rPr>
        <w:footnoteRef/>
      </w:r>
      <w:r>
        <w:t xml:space="preserve"> June 2014 figures reflect a November 2014 adjustment to reflect the underreporting of 60 FTEs, a difference of $476,009 from what is publically reported on the Department’s website as of June 19, 2014: </w:t>
      </w:r>
      <w:hyperlink r:id="rId2" w:history="1">
        <w:r w:rsidRPr="00F15ACF">
          <w:rPr>
            <w:rStyle w:val="Hyperlink"/>
          </w:rPr>
          <w:t>http://www.doe.mass.edu/finance/schoolchoice/choice14.html</w:t>
        </w:r>
      </w:hyperlink>
      <w: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3FD0" w:rsidRDefault="00B53FD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3FD0" w:rsidRDefault="00B53FD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3FD0" w:rsidRDefault="00B53FD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F9B8AB20"/>
    <w:lvl w:ilvl="0">
      <w:start w:val="1"/>
      <w:numFmt w:val="bullet"/>
      <w:pStyle w:val="ESEBullet-Lev1"/>
      <w:lvlText w:val=""/>
      <w:lvlJc w:val="left"/>
      <w:pPr>
        <w:tabs>
          <w:tab w:val="num" w:pos="720"/>
        </w:tabs>
        <w:ind w:left="720" w:hanging="360"/>
      </w:pPr>
      <w:rPr>
        <w:rFonts w:ascii="Symbol" w:hAnsi="Symbol" w:hint="default"/>
      </w:rPr>
    </w:lvl>
  </w:abstractNum>
  <w:abstractNum w:abstractNumId="1">
    <w:nsid w:val="03197B99"/>
    <w:multiLevelType w:val="multilevel"/>
    <w:tmpl w:val="C8888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5151552"/>
    <w:multiLevelType w:val="multilevel"/>
    <w:tmpl w:val="2C90094C"/>
    <w:styleLink w:val="ESEList-Bullets"/>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440"/>
        </w:tabs>
        <w:ind w:left="1440" w:hanging="360"/>
      </w:pPr>
      <w:rPr>
        <w:rFonts w:ascii="Symbol" w:hAnsi="Symbol" w:hint="default"/>
        <w:color w:val="auto"/>
      </w:rPr>
    </w:lvl>
    <w:lvl w:ilvl="3">
      <w:start w:val="1"/>
      <w:numFmt w:val="bullet"/>
      <w:lvlText w:val="o"/>
      <w:lvlJc w:val="left"/>
      <w:pPr>
        <w:tabs>
          <w:tab w:val="num" w:pos="1800"/>
        </w:tabs>
        <w:ind w:left="1800" w:hanging="360"/>
      </w:pPr>
      <w:rPr>
        <w:rFonts w:ascii="Courier New" w:hAnsi="Courier New" w:hint="default"/>
      </w:rPr>
    </w:lvl>
    <w:lvl w:ilvl="4">
      <w:start w:val="1"/>
      <w:numFmt w:val="bullet"/>
      <w:lvlText w:val=""/>
      <w:lvlJc w:val="left"/>
      <w:pPr>
        <w:tabs>
          <w:tab w:val="num" w:pos="2520"/>
        </w:tabs>
        <w:ind w:left="2520" w:hanging="360"/>
      </w:pPr>
      <w:rPr>
        <w:rFonts w:ascii="Symbol" w:hAnsi="Symbol" w:hint="default"/>
        <w:color w:val="auto"/>
      </w:rPr>
    </w:lvl>
    <w:lvl w:ilvl="5">
      <w:start w:val="1"/>
      <w:numFmt w:val="bullet"/>
      <w:lvlText w:val=""/>
      <w:lvlJc w:val="left"/>
      <w:pPr>
        <w:tabs>
          <w:tab w:val="num" w:pos="2880"/>
        </w:tabs>
        <w:ind w:left="2880" w:hanging="360"/>
      </w:pPr>
      <w:rPr>
        <w:rFonts w:ascii="Symbol" w:hAnsi="Symbol" w:hint="default"/>
        <w:color w:val="auto"/>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3">
    <w:nsid w:val="35EF51A0"/>
    <w:multiLevelType w:val="multilevel"/>
    <w:tmpl w:val="7A581B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8C91D69"/>
    <w:multiLevelType w:val="multilevel"/>
    <w:tmpl w:val="51CA06FA"/>
    <w:lvl w:ilvl="0">
      <w:start w:val="1"/>
      <w:numFmt w:val="decimal"/>
      <w:pStyle w:val="ESENumberswspacing"/>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520" w:hanging="360"/>
      </w:pPr>
      <w:rPr>
        <w:rFonts w:hint="default"/>
      </w:rPr>
    </w:lvl>
    <w:lvl w:ilvl="5">
      <w:start w:val="1"/>
      <w:numFmt w:val="lowerRoman"/>
      <w:lvlText w:val="%6."/>
      <w:lvlJc w:val="right"/>
      <w:pPr>
        <w:tabs>
          <w:tab w:val="num" w:pos="2520"/>
        </w:tabs>
        <w:ind w:left="2880" w:hanging="360"/>
      </w:pPr>
      <w:rPr>
        <w:rFonts w:hint="default"/>
      </w:rPr>
    </w:lvl>
    <w:lvl w:ilvl="6">
      <w:start w:val="1"/>
      <w:numFmt w:val="decimal"/>
      <w:lvlText w:val="%7."/>
      <w:lvlJc w:val="left"/>
      <w:pPr>
        <w:tabs>
          <w:tab w:val="num" w:pos="2880"/>
        </w:tabs>
        <w:ind w:left="3240" w:hanging="360"/>
      </w:pPr>
      <w:rPr>
        <w:rFonts w:hint="default"/>
      </w:rPr>
    </w:lvl>
    <w:lvl w:ilvl="7">
      <w:start w:val="1"/>
      <w:numFmt w:val="lowerLetter"/>
      <w:lvlText w:val="%8."/>
      <w:lvlJc w:val="left"/>
      <w:pPr>
        <w:tabs>
          <w:tab w:val="num" w:pos="3240"/>
        </w:tabs>
        <w:ind w:left="3600" w:hanging="360"/>
      </w:pPr>
      <w:rPr>
        <w:rFonts w:hint="default"/>
      </w:rPr>
    </w:lvl>
    <w:lvl w:ilvl="8">
      <w:start w:val="1"/>
      <w:numFmt w:val="lowerRoman"/>
      <w:lvlText w:val="%9."/>
      <w:lvlJc w:val="right"/>
      <w:pPr>
        <w:tabs>
          <w:tab w:val="num" w:pos="3600"/>
        </w:tabs>
        <w:ind w:left="3960" w:hanging="360"/>
      </w:pPr>
      <w:rPr>
        <w:rFonts w:hint="default"/>
      </w:rPr>
    </w:lvl>
  </w:abstractNum>
  <w:abstractNum w:abstractNumId="5">
    <w:nsid w:val="4D5D3FEF"/>
    <w:multiLevelType w:val="multilevel"/>
    <w:tmpl w:val="384E6C8C"/>
    <w:styleLink w:val="ESEList-Numbers"/>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56E30171"/>
    <w:multiLevelType w:val="hybridMultilevel"/>
    <w:tmpl w:val="FB00CEAA"/>
    <w:lvl w:ilvl="0" w:tplc="7CC62072">
      <w:start w:val="1"/>
      <w:numFmt w:val="bullet"/>
      <w:pStyle w:val="ESEBullet-Lev2"/>
      <w:lvlText w:val="o"/>
      <w:lvlJc w:val="left"/>
      <w:pPr>
        <w:tabs>
          <w:tab w:val="num" w:pos="0"/>
        </w:tabs>
        <w:ind w:left="1080" w:hanging="360"/>
      </w:pPr>
      <w:rPr>
        <w:rFonts w:ascii="Courier New" w:hAnsi="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645A143F"/>
    <w:multiLevelType w:val="hybridMultilevel"/>
    <w:tmpl w:val="49083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7DE0B65"/>
    <w:multiLevelType w:val="hybridMultilevel"/>
    <w:tmpl w:val="5184CC80"/>
    <w:lvl w:ilvl="0" w:tplc="F03E0522">
      <w:start w:val="1"/>
      <w:numFmt w:val="bullet"/>
      <w:pStyle w:val="ESEBullet-Lev3"/>
      <w:lvlText w:val=""/>
      <w:lvlJc w:val="left"/>
      <w:pPr>
        <w:tabs>
          <w:tab w:val="num" w:pos="0"/>
        </w:tabs>
        <w:ind w:left="144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 w:numId="2">
    <w:abstractNumId w:val="8"/>
  </w:num>
  <w:num w:numId="3">
    <w:abstractNumId w:val="5"/>
  </w:num>
  <w:num w:numId="4">
    <w:abstractNumId w:val="4"/>
  </w:num>
  <w:num w:numId="5">
    <w:abstractNumId w:val="2"/>
  </w:num>
  <w:num w:numId="6">
    <w:abstractNumId w:val="6"/>
  </w:num>
  <w:num w:numId="7">
    <w:abstractNumId w:val="3"/>
  </w:num>
  <w:num w:numId="8">
    <w:abstractNumId w:val="1"/>
  </w:num>
  <w:num w:numId="9">
    <w:abstractNumId w:val="7"/>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proofState w:spelling="clean" w:grammar="clean"/>
  <w:stylePaneFormatFilter w:val="3001"/>
  <w:defaultTabStop w:val="720"/>
  <w:drawingGridHorizontalSpacing w:val="120"/>
  <w:displayHorizontalDrawingGridEvery w:val="0"/>
  <w:displayVerticalDrawingGridEvery w:val="0"/>
  <w:noPunctuationKerning/>
  <w:characterSpacingControl w:val="doNotCompress"/>
  <w:hdrShapeDefaults>
    <o:shapedefaults v:ext="edit" spidmax="16386"/>
  </w:hdrShapeDefaults>
  <w:footnotePr>
    <w:footnote w:id="-1"/>
    <w:footnote w:id="0"/>
  </w:footnotePr>
  <w:endnotePr>
    <w:numFmt w:val="decimal"/>
    <w:endnote w:id="-1"/>
    <w:endnote w:id="0"/>
  </w:endnotePr>
  <w:compat>
    <w:applyBreakingRules/>
  </w:compat>
  <w:rsids>
    <w:rsidRoot w:val="00DB7732"/>
    <w:rsid w:val="000158C2"/>
    <w:rsid w:val="000234DB"/>
    <w:rsid w:val="00024ADF"/>
    <w:rsid w:val="0003389A"/>
    <w:rsid w:val="00033D3E"/>
    <w:rsid w:val="0004160B"/>
    <w:rsid w:val="000506EE"/>
    <w:rsid w:val="000711BA"/>
    <w:rsid w:val="00076BD2"/>
    <w:rsid w:val="00081097"/>
    <w:rsid w:val="0009274A"/>
    <w:rsid w:val="00092A27"/>
    <w:rsid w:val="000A7F57"/>
    <w:rsid w:val="000C368E"/>
    <w:rsid w:val="000C3B85"/>
    <w:rsid w:val="000C3E65"/>
    <w:rsid w:val="000C5AF1"/>
    <w:rsid w:val="000C7F02"/>
    <w:rsid w:val="000D0E81"/>
    <w:rsid w:val="000D1FA5"/>
    <w:rsid w:val="000D2794"/>
    <w:rsid w:val="000F6FD3"/>
    <w:rsid w:val="00100600"/>
    <w:rsid w:val="001011CF"/>
    <w:rsid w:val="001042D1"/>
    <w:rsid w:val="00134D7B"/>
    <w:rsid w:val="0014102A"/>
    <w:rsid w:val="00144CB4"/>
    <w:rsid w:val="00147F76"/>
    <w:rsid w:val="00152CC8"/>
    <w:rsid w:val="00161A3F"/>
    <w:rsid w:val="001627C6"/>
    <w:rsid w:val="001638D3"/>
    <w:rsid w:val="0016793B"/>
    <w:rsid w:val="0017022D"/>
    <w:rsid w:val="00184ACF"/>
    <w:rsid w:val="00187805"/>
    <w:rsid w:val="001A028D"/>
    <w:rsid w:val="001A5482"/>
    <w:rsid w:val="001B0849"/>
    <w:rsid w:val="001B25AC"/>
    <w:rsid w:val="001C0381"/>
    <w:rsid w:val="001C1CF3"/>
    <w:rsid w:val="001F1CB0"/>
    <w:rsid w:val="002034A0"/>
    <w:rsid w:val="0020634F"/>
    <w:rsid w:val="0020780F"/>
    <w:rsid w:val="00212CA3"/>
    <w:rsid w:val="002625B1"/>
    <w:rsid w:val="00267888"/>
    <w:rsid w:val="00271731"/>
    <w:rsid w:val="00272C35"/>
    <w:rsid w:val="00274356"/>
    <w:rsid w:val="0028399C"/>
    <w:rsid w:val="002869EC"/>
    <w:rsid w:val="00294DFB"/>
    <w:rsid w:val="002A7C0F"/>
    <w:rsid w:val="002C120B"/>
    <w:rsid w:val="002C2113"/>
    <w:rsid w:val="002D1F95"/>
    <w:rsid w:val="002D411F"/>
    <w:rsid w:val="002D750F"/>
    <w:rsid w:val="002E5AE7"/>
    <w:rsid w:val="003073EF"/>
    <w:rsid w:val="00313DEF"/>
    <w:rsid w:val="003151B0"/>
    <w:rsid w:val="00324E05"/>
    <w:rsid w:val="00345DE2"/>
    <w:rsid w:val="00364D32"/>
    <w:rsid w:val="003927B0"/>
    <w:rsid w:val="00394ADD"/>
    <w:rsid w:val="003B1D70"/>
    <w:rsid w:val="003B7BD8"/>
    <w:rsid w:val="003D0635"/>
    <w:rsid w:val="003D6F34"/>
    <w:rsid w:val="003F3636"/>
    <w:rsid w:val="00440BAB"/>
    <w:rsid w:val="0044758D"/>
    <w:rsid w:val="00447AC3"/>
    <w:rsid w:val="004620F7"/>
    <w:rsid w:val="00464491"/>
    <w:rsid w:val="00484A33"/>
    <w:rsid w:val="0048631E"/>
    <w:rsid w:val="004A1A59"/>
    <w:rsid w:val="004B1FCF"/>
    <w:rsid w:val="004C1FFA"/>
    <w:rsid w:val="004D3CD6"/>
    <w:rsid w:val="004D45D4"/>
    <w:rsid w:val="004E0CA6"/>
    <w:rsid w:val="004E5242"/>
    <w:rsid w:val="004E73AC"/>
    <w:rsid w:val="004F1C4B"/>
    <w:rsid w:val="00505EB4"/>
    <w:rsid w:val="005152E7"/>
    <w:rsid w:val="00535EF8"/>
    <w:rsid w:val="00543C6D"/>
    <w:rsid w:val="0057102B"/>
    <w:rsid w:val="005A367D"/>
    <w:rsid w:val="005A42D1"/>
    <w:rsid w:val="005C4FC9"/>
    <w:rsid w:val="005D5612"/>
    <w:rsid w:val="005E00CC"/>
    <w:rsid w:val="005E6ACA"/>
    <w:rsid w:val="005F037D"/>
    <w:rsid w:val="005F152D"/>
    <w:rsid w:val="005F1897"/>
    <w:rsid w:val="00603BD5"/>
    <w:rsid w:val="00615DB8"/>
    <w:rsid w:val="006215FC"/>
    <w:rsid w:val="006269E7"/>
    <w:rsid w:val="00652D27"/>
    <w:rsid w:val="0065736C"/>
    <w:rsid w:val="00675B1B"/>
    <w:rsid w:val="006840EC"/>
    <w:rsid w:val="00690034"/>
    <w:rsid w:val="0069558B"/>
    <w:rsid w:val="00695717"/>
    <w:rsid w:val="00697CB2"/>
    <w:rsid w:val="006B453E"/>
    <w:rsid w:val="006B46E0"/>
    <w:rsid w:val="006C5ACA"/>
    <w:rsid w:val="006C6F88"/>
    <w:rsid w:val="006D1B5E"/>
    <w:rsid w:val="006D2099"/>
    <w:rsid w:val="006D5B45"/>
    <w:rsid w:val="006F4CF2"/>
    <w:rsid w:val="007102D5"/>
    <w:rsid w:val="00712E66"/>
    <w:rsid w:val="00717695"/>
    <w:rsid w:val="007204A2"/>
    <w:rsid w:val="007320F6"/>
    <w:rsid w:val="007376FB"/>
    <w:rsid w:val="00740C0D"/>
    <w:rsid w:val="00741DF2"/>
    <w:rsid w:val="00743532"/>
    <w:rsid w:val="00750148"/>
    <w:rsid w:val="00755977"/>
    <w:rsid w:val="00764ECF"/>
    <w:rsid w:val="00765318"/>
    <w:rsid w:val="0077336E"/>
    <w:rsid w:val="007771D5"/>
    <w:rsid w:val="0077761F"/>
    <w:rsid w:val="007856D3"/>
    <w:rsid w:val="00786A1E"/>
    <w:rsid w:val="00792253"/>
    <w:rsid w:val="007C3083"/>
    <w:rsid w:val="007E763D"/>
    <w:rsid w:val="00803501"/>
    <w:rsid w:val="00816364"/>
    <w:rsid w:val="00826061"/>
    <w:rsid w:val="00832115"/>
    <w:rsid w:val="00833A6A"/>
    <w:rsid w:val="00871349"/>
    <w:rsid w:val="008734A6"/>
    <w:rsid w:val="0088258A"/>
    <w:rsid w:val="00884567"/>
    <w:rsid w:val="008919CE"/>
    <w:rsid w:val="008A2608"/>
    <w:rsid w:val="008B0078"/>
    <w:rsid w:val="008B4A05"/>
    <w:rsid w:val="008C575C"/>
    <w:rsid w:val="008C5B47"/>
    <w:rsid w:val="008C65E5"/>
    <w:rsid w:val="008E260F"/>
    <w:rsid w:val="008F594B"/>
    <w:rsid w:val="00901891"/>
    <w:rsid w:val="00907BC7"/>
    <w:rsid w:val="00917329"/>
    <w:rsid w:val="009217E0"/>
    <w:rsid w:val="009242E6"/>
    <w:rsid w:val="00926796"/>
    <w:rsid w:val="00931552"/>
    <w:rsid w:val="009656CE"/>
    <w:rsid w:val="00967BD0"/>
    <w:rsid w:val="00975F4D"/>
    <w:rsid w:val="00976882"/>
    <w:rsid w:val="009810F2"/>
    <w:rsid w:val="00992913"/>
    <w:rsid w:val="00993FF5"/>
    <w:rsid w:val="00995C0C"/>
    <w:rsid w:val="0099682E"/>
    <w:rsid w:val="009A3016"/>
    <w:rsid w:val="009A5973"/>
    <w:rsid w:val="009C0A05"/>
    <w:rsid w:val="009C4322"/>
    <w:rsid w:val="009C550C"/>
    <w:rsid w:val="009D7BA2"/>
    <w:rsid w:val="009E45FA"/>
    <w:rsid w:val="009E4866"/>
    <w:rsid w:val="009F4EF2"/>
    <w:rsid w:val="00A03535"/>
    <w:rsid w:val="00A11174"/>
    <w:rsid w:val="00A37AF1"/>
    <w:rsid w:val="00A476CE"/>
    <w:rsid w:val="00A5157F"/>
    <w:rsid w:val="00A600C9"/>
    <w:rsid w:val="00A60B29"/>
    <w:rsid w:val="00A6379D"/>
    <w:rsid w:val="00A72209"/>
    <w:rsid w:val="00A73051"/>
    <w:rsid w:val="00A77EB2"/>
    <w:rsid w:val="00A86820"/>
    <w:rsid w:val="00A91469"/>
    <w:rsid w:val="00AA2AF8"/>
    <w:rsid w:val="00AD0A1F"/>
    <w:rsid w:val="00AD298F"/>
    <w:rsid w:val="00AD72FC"/>
    <w:rsid w:val="00AE53BE"/>
    <w:rsid w:val="00AF1841"/>
    <w:rsid w:val="00B129CE"/>
    <w:rsid w:val="00B304E6"/>
    <w:rsid w:val="00B316B3"/>
    <w:rsid w:val="00B36034"/>
    <w:rsid w:val="00B40F0C"/>
    <w:rsid w:val="00B42CA2"/>
    <w:rsid w:val="00B53FD0"/>
    <w:rsid w:val="00B55562"/>
    <w:rsid w:val="00B601E6"/>
    <w:rsid w:val="00B616AF"/>
    <w:rsid w:val="00B61B2F"/>
    <w:rsid w:val="00B630E2"/>
    <w:rsid w:val="00B81EF9"/>
    <w:rsid w:val="00B87F39"/>
    <w:rsid w:val="00B9061D"/>
    <w:rsid w:val="00B97EA1"/>
    <w:rsid w:val="00BA08F1"/>
    <w:rsid w:val="00BC227D"/>
    <w:rsid w:val="00BE39EF"/>
    <w:rsid w:val="00C052D1"/>
    <w:rsid w:val="00C0573F"/>
    <w:rsid w:val="00C107B7"/>
    <w:rsid w:val="00C118B2"/>
    <w:rsid w:val="00C34618"/>
    <w:rsid w:val="00C444A9"/>
    <w:rsid w:val="00C45025"/>
    <w:rsid w:val="00C60C2D"/>
    <w:rsid w:val="00C6738A"/>
    <w:rsid w:val="00C73A65"/>
    <w:rsid w:val="00C90D18"/>
    <w:rsid w:val="00CB5EE8"/>
    <w:rsid w:val="00CC22F1"/>
    <w:rsid w:val="00CD5012"/>
    <w:rsid w:val="00CE1085"/>
    <w:rsid w:val="00CF6B07"/>
    <w:rsid w:val="00D3078C"/>
    <w:rsid w:val="00D40A4A"/>
    <w:rsid w:val="00D40D78"/>
    <w:rsid w:val="00D50388"/>
    <w:rsid w:val="00D53B5E"/>
    <w:rsid w:val="00D551BC"/>
    <w:rsid w:val="00D6244A"/>
    <w:rsid w:val="00D674EF"/>
    <w:rsid w:val="00D72BD5"/>
    <w:rsid w:val="00DB7732"/>
    <w:rsid w:val="00DC2200"/>
    <w:rsid w:val="00DD4A21"/>
    <w:rsid w:val="00DE0201"/>
    <w:rsid w:val="00DE1217"/>
    <w:rsid w:val="00E04B8E"/>
    <w:rsid w:val="00E068D5"/>
    <w:rsid w:val="00E253B2"/>
    <w:rsid w:val="00E26BCC"/>
    <w:rsid w:val="00E34296"/>
    <w:rsid w:val="00E3460D"/>
    <w:rsid w:val="00E40CE7"/>
    <w:rsid w:val="00E5531C"/>
    <w:rsid w:val="00E72815"/>
    <w:rsid w:val="00E81704"/>
    <w:rsid w:val="00E87C56"/>
    <w:rsid w:val="00E94E92"/>
    <w:rsid w:val="00E9508F"/>
    <w:rsid w:val="00E951F4"/>
    <w:rsid w:val="00EB1F6F"/>
    <w:rsid w:val="00EB21ED"/>
    <w:rsid w:val="00EB7F04"/>
    <w:rsid w:val="00ED25CF"/>
    <w:rsid w:val="00F024ED"/>
    <w:rsid w:val="00F03CB1"/>
    <w:rsid w:val="00F13965"/>
    <w:rsid w:val="00F17F04"/>
    <w:rsid w:val="00F25708"/>
    <w:rsid w:val="00F36062"/>
    <w:rsid w:val="00F41324"/>
    <w:rsid w:val="00F44C7B"/>
    <w:rsid w:val="00F47C49"/>
    <w:rsid w:val="00F66EB7"/>
    <w:rsid w:val="00F7310B"/>
    <w:rsid w:val="00F7387F"/>
    <w:rsid w:val="00F82E56"/>
    <w:rsid w:val="00FA0025"/>
    <w:rsid w:val="00FA1313"/>
    <w:rsid w:val="00FA37DE"/>
    <w:rsid w:val="00FB6059"/>
    <w:rsid w:val="00FC06EE"/>
    <w:rsid w:val="00FC0B65"/>
    <w:rsid w:val="00FD2C86"/>
    <w:rsid w:val="00FD69E2"/>
    <w:rsid w:val="00FD72F8"/>
    <w:rsid w:val="00FE5DD3"/>
    <w:rsid w:val="00FF6F28"/>
  </w:rsids>
  <m:mathPr>
    <m:mathFont m:val="Cambria Math"/>
    <m:brkBin m:val="before"/>
    <m:brkBinSub m:val="--"/>
    <m:smallFrac m:val="off"/>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2113"/>
    <w:rPr>
      <w:sz w:val="24"/>
      <w:szCs w:val="24"/>
    </w:rPr>
  </w:style>
  <w:style w:type="paragraph" w:styleId="Heading1">
    <w:name w:val="heading 1"/>
    <w:next w:val="Normal"/>
    <w:link w:val="Heading1Char"/>
    <w:qFormat/>
    <w:rsid w:val="00BE39EF"/>
    <w:pPr>
      <w:keepNext/>
      <w:spacing w:before="280" w:after="120"/>
      <w:outlineLvl w:val="0"/>
    </w:pPr>
    <w:rPr>
      <w:rFonts w:ascii="Arial" w:hAnsi="Arial" w:cs="Arial"/>
      <w:b/>
      <w:bCs/>
      <w:kern w:val="32"/>
      <w:sz w:val="32"/>
      <w:szCs w:val="32"/>
    </w:rPr>
  </w:style>
  <w:style w:type="paragraph" w:styleId="Heading2">
    <w:name w:val="heading 2"/>
    <w:basedOn w:val="Normal"/>
    <w:next w:val="Normal"/>
    <w:qFormat/>
    <w:rsid w:val="0077336E"/>
    <w:pPr>
      <w:keepNext/>
      <w:spacing w:before="240"/>
      <w:outlineLvl w:val="1"/>
    </w:pPr>
    <w:rPr>
      <w:rFonts w:ascii="Arial" w:hAnsi="Arial" w:cs="Arial"/>
      <w:b/>
      <w:bCs/>
      <w:i/>
      <w:iCs/>
      <w:sz w:val="28"/>
      <w:szCs w:val="28"/>
    </w:rPr>
  </w:style>
  <w:style w:type="paragraph" w:styleId="Heading3">
    <w:name w:val="heading 3"/>
    <w:basedOn w:val="Normal"/>
    <w:next w:val="Normal"/>
    <w:qFormat/>
    <w:rsid w:val="009C4322"/>
    <w:pPr>
      <w:keepNext/>
      <w:spacing w:before="240" w:after="60"/>
      <w:outlineLvl w:val="2"/>
    </w:pPr>
    <w:rPr>
      <w:rFonts w:ascii="Arial" w:hAnsi="Arial" w:cs="Arial"/>
      <w:b/>
      <w:bCs/>
      <w:szCs w:val="26"/>
    </w:rPr>
  </w:style>
  <w:style w:type="paragraph" w:styleId="Heading4">
    <w:name w:val="heading 4"/>
    <w:basedOn w:val="Normal"/>
    <w:next w:val="Normal"/>
    <w:qFormat/>
    <w:rsid w:val="00FD2C86"/>
    <w:pPr>
      <w:keepNext/>
      <w:spacing w:before="240" w:after="60"/>
      <w:outlineLvl w:val="3"/>
    </w:pPr>
    <w:rPr>
      <w:rFonts w:ascii="Arial" w:hAnsi="Arial"/>
      <w:bCs/>
      <w:szCs w:val="28"/>
    </w:rPr>
  </w:style>
  <w:style w:type="paragraph" w:styleId="Heading6">
    <w:name w:val="heading 6"/>
    <w:basedOn w:val="Normal"/>
    <w:next w:val="Normal"/>
    <w:qFormat/>
    <w:rsid w:val="000A7F57"/>
    <w:pPr>
      <w:keepNext/>
      <w:outlineLvl w:val="5"/>
    </w:pPr>
    <w:rPr>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SEReportName">
    <w:name w:val="ESE Report Name"/>
    <w:basedOn w:val="Normal"/>
    <w:next w:val="Normal"/>
    <w:qFormat/>
    <w:rsid w:val="00CE1085"/>
    <w:pPr>
      <w:spacing w:line="400" w:lineRule="exact"/>
    </w:pPr>
    <w:rPr>
      <w:rFonts w:ascii="Arial" w:hAnsi="Arial"/>
      <w:b/>
      <w:color w:val="000000"/>
      <w:sz w:val="36"/>
    </w:rPr>
  </w:style>
  <w:style w:type="paragraph" w:customStyle="1" w:styleId="AgencyTitle">
    <w:name w:val="Agency Title"/>
    <w:basedOn w:val="Normal"/>
    <w:semiHidden/>
    <w:rsid w:val="00EB1F6F"/>
    <w:rPr>
      <w:rFonts w:ascii="Arial" w:hAnsi="Arial"/>
      <w:b/>
      <w:sz w:val="18"/>
    </w:rPr>
  </w:style>
  <w:style w:type="paragraph" w:customStyle="1" w:styleId="arial9">
    <w:name w:val="arial9"/>
    <w:basedOn w:val="Normal"/>
    <w:semiHidden/>
    <w:rsid w:val="00EB1F6F"/>
    <w:pPr>
      <w:ind w:right="-108"/>
    </w:pPr>
    <w:rPr>
      <w:rFonts w:ascii="Arial" w:hAnsi="Arial"/>
      <w:sz w:val="18"/>
    </w:rPr>
  </w:style>
  <w:style w:type="paragraph" w:customStyle="1" w:styleId="ESESourceLine">
    <w:name w:val="ESE Source Line"/>
    <w:basedOn w:val="Normal"/>
    <w:next w:val="Normal"/>
    <w:rsid w:val="006C5ACA"/>
    <w:rPr>
      <w:i/>
      <w:sz w:val="20"/>
    </w:rPr>
  </w:style>
  <w:style w:type="paragraph" w:customStyle="1" w:styleId="ESEBullet-Lev1">
    <w:name w:val="ESE Bullet - Lev1"/>
    <w:basedOn w:val="Normal"/>
    <w:qFormat/>
    <w:rsid w:val="008734A6"/>
    <w:pPr>
      <w:numPr>
        <w:numId w:val="1"/>
      </w:numPr>
      <w:spacing w:before="60" w:after="120"/>
    </w:pPr>
  </w:style>
  <w:style w:type="paragraph" w:customStyle="1" w:styleId="ESETableChartFigHeaders">
    <w:name w:val="ESE Table/Chart/Fig Headers"/>
    <w:basedOn w:val="Normal"/>
    <w:next w:val="Normal"/>
    <w:rsid w:val="001B25AC"/>
    <w:pPr>
      <w:spacing w:after="120"/>
    </w:pPr>
    <w:rPr>
      <w:rFonts w:ascii="Arial" w:hAnsi="Arial"/>
      <w:b/>
      <w:sz w:val="22"/>
    </w:rPr>
  </w:style>
  <w:style w:type="paragraph" w:customStyle="1" w:styleId="BoardMembers">
    <w:name w:val="BoardMembers"/>
    <w:basedOn w:val="Normal"/>
    <w:semiHidden/>
    <w:rsid w:val="00FD2C86"/>
    <w:pPr>
      <w:jc w:val="center"/>
    </w:pPr>
    <w:rPr>
      <w:rFonts w:ascii="Arial" w:hAnsi="Arial"/>
      <w:sz w:val="18"/>
      <w:szCs w:val="20"/>
    </w:rPr>
  </w:style>
  <w:style w:type="table" w:customStyle="1" w:styleId="ESETablesOpenStyle">
    <w:name w:val="ESE Tables Open Style"/>
    <w:basedOn w:val="TableNormal"/>
    <w:rsid w:val="001A028D"/>
    <w:pPr>
      <w:jc w:val="center"/>
    </w:pPr>
    <w:rPr>
      <w:rFonts w:ascii="Arial Narrow" w:hAnsi="Arial Narrow"/>
      <w:sz w:val="22"/>
    </w:rPr>
    <w:tblPr>
      <w:tblInd w:w="0" w:type="dxa"/>
      <w:tblBorders>
        <w:top w:val="single" w:sz="12" w:space="0" w:color="auto"/>
        <w:bottom w:val="single" w:sz="12" w:space="0" w:color="auto"/>
      </w:tblBorders>
      <w:tblCellMar>
        <w:top w:w="43" w:type="dxa"/>
        <w:left w:w="115" w:type="dxa"/>
        <w:bottom w:w="43" w:type="dxa"/>
        <w:right w:w="115" w:type="dxa"/>
      </w:tblCellMar>
    </w:tblPr>
    <w:tcPr>
      <w:shd w:val="clear" w:color="auto" w:fill="auto"/>
      <w:vAlign w:val="center"/>
    </w:tcPr>
    <w:tblStylePr w:type="firstRow">
      <w:rPr>
        <w:b/>
      </w:rPr>
      <w:tblPr/>
      <w:tcPr>
        <w:tcBorders>
          <w:bottom w:val="single" w:sz="6" w:space="0" w:color="auto"/>
        </w:tcBorders>
        <w:shd w:val="clear" w:color="auto" w:fill="auto"/>
      </w:tcPr>
    </w:tblStylePr>
    <w:tblStylePr w:type="lastRow">
      <w:rPr>
        <w:b w:val="0"/>
      </w:rPr>
      <w:tblPr/>
      <w:tcPr>
        <w:tcBorders>
          <w:top w:val="nil"/>
        </w:tcBorders>
      </w:tcPr>
    </w:tblStylePr>
    <w:tblStylePr w:type="firstCol">
      <w:pPr>
        <w:jc w:val="left"/>
      </w:pPr>
    </w:tblStylePr>
  </w:style>
  <w:style w:type="paragraph" w:customStyle="1" w:styleId="Italic">
    <w:name w:val="Italic"/>
    <w:aliases w:val="Indented .5&quot;"/>
    <w:basedOn w:val="Normal"/>
    <w:next w:val="Normal"/>
    <w:qFormat/>
    <w:rsid w:val="00274356"/>
    <w:pPr>
      <w:ind w:left="720"/>
    </w:pPr>
    <w:rPr>
      <w:i/>
    </w:rPr>
  </w:style>
  <w:style w:type="paragraph" w:customStyle="1" w:styleId="Permission">
    <w:name w:val="Permission"/>
    <w:basedOn w:val="Normal"/>
    <w:semiHidden/>
    <w:rsid w:val="00345DE2"/>
    <w:pPr>
      <w:jc w:val="center"/>
    </w:pPr>
    <w:rPr>
      <w:rFonts w:ascii="Arial" w:hAnsi="Arial"/>
      <w:i/>
      <w:iCs/>
      <w:sz w:val="18"/>
      <w:szCs w:val="20"/>
    </w:rPr>
  </w:style>
  <w:style w:type="character" w:styleId="PlaceholderText">
    <w:name w:val="Placeholder Text"/>
    <w:uiPriority w:val="99"/>
    <w:semiHidden/>
    <w:rsid w:val="009E45FA"/>
    <w:rPr>
      <w:color w:val="808080"/>
    </w:rPr>
  </w:style>
  <w:style w:type="paragraph" w:styleId="TOCHeading">
    <w:name w:val="TOC Heading"/>
    <w:basedOn w:val="Heading1"/>
    <w:next w:val="Normal"/>
    <w:uiPriority w:val="39"/>
    <w:qFormat/>
    <w:rsid w:val="003F3636"/>
    <w:pPr>
      <w:keepLines/>
      <w:spacing w:before="480" w:after="0" w:line="276" w:lineRule="auto"/>
      <w:outlineLvl w:val="9"/>
    </w:pPr>
    <w:rPr>
      <w:rFonts w:ascii="Cambria" w:hAnsi="Cambria" w:cs="Times New Roman"/>
      <w:color w:val="365F91"/>
      <w:kern w:val="0"/>
      <w:sz w:val="28"/>
      <w:szCs w:val="28"/>
    </w:rPr>
  </w:style>
  <w:style w:type="paragraph" w:customStyle="1" w:styleId="ESETOCHeading">
    <w:name w:val="ESE TOC Heading"/>
    <w:basedOn w:val="TOCHeading"/>
    <w:semiHidden/>
    <w:qFormat/>
    <w:rsid w:val="00AA2AF8"/>
    <w:pPr>
      <w:pBdr>
        <w:bottom w:val="single" w:sz="6" w:space="1" w:color="auto"/>
      </w:pBdr>
    </w:pPr>
    <w:rPr>
      <w:color w:val="auto"/>
    </w:rPr>
  </w:style>
  <w:style w:type="paragraph" w:styleId="Footer">
    <w:name w:val="footer"/>
    <w:basedOn w:val="Normal"/>
    <w:link w:val="FooterChar"/>
    <w:autoRedefine/>
    <w:uiPriority w:val="99"/>
    <w:semiHidden/>
    <w:rsid w:val="00D674EF"/>
    <w:pPr>
      <w:tabs>
        <w:tab w:val="right" w:pos="9360"/>
      </w:tabs>
    </w:pPr>
    <w:rPr>
      <w:i/>
      <w:sz w:val="20"/>
    </w:rPr>
  </w:style>
  <w:style w:type="character" w:customStyle="1" w:styleId="FooterChar">
    <w:name w:val="Footer Char"/>
    <w:link w:val="Footer"/>
    <w:uiPriority w:val="99"/>
    <w:rsid w:val="00D674EF"/>
    <w:rPr>
      <w:i/>
      <w:szCs w:val="24"/>
      <w:lang w:val="en-US" w:eastAsia="en-US" w:bidi="ar-SA"/>
    </w:rPr>
  </w:style>
  <w:style w:type="paragraph" w:customStyle="1" w:styleId="ESEBullet-Lev2">
    <w:name w:val="ESE Bullet - Lev2"/>
    <w:basedOn w:val="ESEBullet-Lev1"/>
    <w:qFormat/>
    <w:rsid w:val="006D1B5E"/>
    <w:pPr>
      <w:numPr>
        <w:numId w:val="6"/>
      </w:numPr>
      <w:tabs>
        <w:tab w:val="clear" w:pos="0"/>
        <w:tab w:val="left" w:pos="1080"/>
      </w:tabs>
    </w:pPr>
  </w:style>
  <w:style w:type="paragraph" w:customStyle="1" w:styleId="ESEBullet-Lev3">
    <w:name w:val="ESE Bullet - Lev3"/>
    <w:basedOn w:val="ESEBullet-Lev2"/>
    <w:qFormat/>
    <w:rsid w:val="006D1B5E"/>
    <w:pPr>
      <w:numPr>
        <w:numId w:val="2"/>
      </w:numPr>
      <w:tabs>
        <w:tab w:val="clear" w:pos="0"/>
        <w:tab w:val="clear" w:pos="1080"/>
        <w:tab w:val="left" w:pos="1440"/>
      </w:tabs>
    </w:pPr>
  </w:style>
  <w:style w:type="paragraph" w:customStyle="1" w:styleId="ESENumberswspacing">
    <w:name w:val="ESE Numbers w/ spacing"/>
    <w:basedOn w:val="Normal"/>
    <w:qFormat/>
    <w:rsid w:val="00765318"/>
    <w:pPr>
      <w:numPr>
        <w:numId w:val="4"/>
      </w:numPr>
      <w:spacing w:before="60" w:after="120"/>
    </w:pPr>
  </w:style>
  <w:style w:type="paragraph" w:styleId="TOC1">
    <w:name w:val="toc 1"/>
    <w:basedOn w:val="Normal"/>
    <w:next w:val="Normal"/>
    <w:uiPriority w:val="39"/>
    <w:rsid w:val="00147F76"/>
    <w:pPr>
      <w:tabs>
        <w:tab w:val="right" w:leader="dot" w:pos="9360"/>
      </w:tabs>
      <w:spacing w:before="240" w:after="120"/>
    </w:pPr>
    <w:rPr>
      <w:rFonts w:ascii="Arial" w:hAnsi="Arial"/>
      <w:b/>
    </w:rPr>
  </w:style>
  <w:style w:type="character" w:styleId="Hyperlink">
    <w:name w:val="Hyperlink"/>
    <w:uiPriority w:val="99"/>
    <w:rsid w:val="00F13965"/>
    <w:rPr>
      <w:color w:val="0000FF"/>
      <w:u w:val="single"/>
    </w:rPr>
  </w:style>
  <w:style w:type="paragraph" w:styleId="TOC2">
    <w:name w:val="toc 2"/>
    <w:basedOn w:val="Normal"/>
    <w:next w:val="Normal"/>
    <w:uiPriority w:val="39"/>
    <w:rsid w:val="00AA2AF8"/>
    <w:pPr>
      <w:spacing w:before="120"/>
      <w:ind w:left="245"/>
    </w:pPr>
    <w:rPr>
      <w:rFonts w:ascii="Arial" w:hAnsi="Arial"/>
    </w:rPr>
  </w:style>
  <w:style w:type="paragraph" w:styleId="TOC3">
    <w:name w:val="toc 3"/>
    <w:basedOn w:val="Normal"/>
    <w:next w:val="Normal"/>
    <w:autoRedefine/>
    <w:uiPriority w:val="39"/>
    <w:rsid w:val="00AA2AF8"/>
    <w:pPr>
      <w:ind w:left="480"/>
    </w:pPr>
    <w:rPr>
      <w:rFonts w:ascii="Arial" w:hAnsi="Arial"/>
      <w:sz w:val="22"/>
    </w:rPr>
  </w:style>
  <w:style w:type="paragraph" w:styleId="TOC4">
    <w:name w:val="toc 4"/>
    <w:basedOn w:val="Normal"/>
    <w:next w:val="Normal"/>
    <w:autoRedefine/>
    <w:semiHidden/>
    <w:rsid w:val="00F13965"/>
    <w:pPr>
      <w:ind w:left="720"/>
    </w:pPr>
  </w:style>
  <w:style w:type="paragraph" w:styleId="TOC5">
    <w:name w:val="toc 5"/>
    <w:basedOn w:val="Normal"/>
    <w:next w:val="Normal"/>
    <w:autoRedefine/>
    <w:semiHidden/>
    <w:rsid w:val="00F13965"/>
    <w:pPr>
      <w:ind w:left="960"/>
    </w:pPr>
  </w:style>
  <w:style w:type="paragraph" w:styleId="Header">
    <w:name w:val="header"/>
    <w:basedOn w:val="Normal"/>
    <w:semiHidden/>
    <w:rsid w:val="00832115"/>
    <w:pPr>
      <w:tabs>
        <w:tab w:val="center" w:pos="4320"/>
        <w:tab w:val="right" w:pos="8640"/>
      </w:tabs>
    </w:pPr>
  </w:style>
  <w:style w:type="table" w:customStyle="1" w:styleId="ESETablesGridStyle">
    <w:name w:val="ESE Tables Grid Style"/>
    <w:basedOn w:val="TableNormal"/>
    <w:rsid w:val="006D1B5E"/>
    <w:pPr>
      <w:jc w:val="center"/>
    </w:pPr>
    <w:rPr>
      <w:rFonts w:ascii="Arial Narrow" w:hAnsi="Arial Narrow"/>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Pr>
    <w:tcPr>
      <w:vAlign w:val="center"/>
    </w:tcPr>
    <w:tblStylePr w:type="firstRow">
      <w:rPr>
        <w:b/>
      </w:rPr>
      <w:tblPr>
        <w:tblCellMar>
          <w:top w:w="43" w:type="dxa"/>
          <w:left w:w="115" w:type="dxa"/>
          <w:bottom w:w="43" w:type="dxa"/>
          <w:right w:w="115" w:type="dxa"/>
        </w:tblCellMar>
      </w:tblPr>
      <w:tcPr>
        <w:tcBorders>
          <w:top w:val="single" w:sz="4" w:space="0" w:color="auto"/>
          <w:left w:val="single" w:sz="4" w:space="0" w:color="auto"/>
          <w:bottom w:val="single" w:sz="12" w:space="0" w:color="auto"/>
          <w:right w:val="single" w:sz="4" w:space="0" w:color="auto"/>
          <w:insideH w:val="nil"/>
          <w:insideV w:val="single" w:sz="4" w:space="0" w:color="auto"/>
          <w:tl2br w:val="nil"/>
          <w:tr2bl w:val="nil"/>
        </w:tcBorders>
      </w:tcPr>
    </w:tblStylePr>
    <w:tblStylePr w:type="firstCol">
      <w:pPr>
        <w:jc w:val="left"/>
      </w:pPr>
      <w:rPr>
        <w:rFonts w:ascii="Cambria" w:hAnsi="Cambria"/>
        <w:sz w:val="22"/>
      </w:rPr>
    </w:tblStylePr>
  </w:style>
  <w:style w:type="paragraph" w:customStyle="1" w:styleId="Extraspacingafter">
    <w:name w:val="Extra spacing after"/>
    <w:basedOn w:val="Normal"/>
    <w:semiHidden/>
    <w:rsid w:val="00FD69E2"/>
    <w:pPr>
      <w:spacing w:after="120"/>
    </w:pPr>
  </w:style>
  <w:style w:type="numbering" w:customStyle="1" w:styleId="ESEList-Numbers">
    <w:name w:val="ESE List - Numbers"/>
    <w:basedOn w:val="NoList"/>
    <w:rsid w:val="00FD69E2"/>
    <w:pPr>
      <w:numPr>
        <w:numId w:val="3"/>
      </w:numPr>
    </w:pPr>
  </w:style>
  <w:style w:type="numbering" w:customStyle="1" w:styleId="ESEList-Bullets">
    <w:name w:val="ESE List - Bullets"/>
    <w:basedOn w:val="NoList"/>
    <w:rsid w:val="006D1B5E"/>
    <w:pPr>
      <w:numPr>
        <w:numId w:val="5"/>
      </w:numPr>
    </w:pPr>
  </w:style>
  <w:style w:type="paragraph" w:styleId="BalloonText">
    <w:name w:val="Balloon Text"/>
    <w:basedOn w:val="Normal"/>
    <w:link w:val="BalloonTextChar"/>
    <w:rsid w:val="00F7310B"/>
    <w:rPr>
      <w:rFonts w:ascii="Tahoma" w:hAnsi="Tahoma" w:cs="Tahoma"/>
      <w:sz w:val="16"/>
      <w:szCs w:val="16"/>
    </w:rPr>
  </w:style>
  <w:style w:type="character" w:customStyle="1" w:styleId="BalloonTextChar">
    <w:name w:val="Balloon Text Char"/>
    <w:basedOn w:val="DefaultParagraphFont"/>
    <w:link w:val="BalloonText"/>
    <w:rsid w:val="00F7310B"/>
    <w:rPr>
      <w:rFonts w:ascii="Tahoma" w:hAnsi="Tahoma" w:cs="Tahoma"/>
      <w:sz w:val="16"/>
      <w:szCs w:val="16"/>
    </w:rPr>
  </w:style>
  <w:style w:type="table" w:styleId="TableGrid">
    <w:name w:val="Table Grid"/>
    <w:basedOn w:val="TableNormal"/>
    <w:rsid w:val="00E253B2"/>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1011CF"/>
    <w:pPr>
      <w:spacing w:before="100" w:beforeAutospacing="1" w:after="100" w:afterAutospacing="1"/>
    </w:pPr>
  </w:style>
  <w:style w:type="paragraph" w:styleId="FootnoteText">
    <w:name w:val="footnote text"/>
    <w:basedOn w:val="Normal"/>
    <w:link w:val="FootnoteTextChar"/>
    <w:rsid w:val="001011CF"/>
    <w:rPr>
      <w:sz w:val="20"/>
      <w:szCs w:val="20"/>
    </w:rPr>
  </w:style>
  <w:style w:type="character" w:customStyle="1" w:styleId="FootnoteTextChar">
    <w:name w:val="Footnote Text Char"/>
    <w:basedOn w:val="DefaultParagraphFont"/>
    <w:link w:val="FootnoteText"/>
    <w:rsid w:val="001011CF"/>
  </w:style>
  <w:style w:type="paragraph" w:styleId="ListParagraph">
    <w:name w:val="List Paragraph"/>
    <w:basedOn w:val="Normal"/>
    <w:uiPriority w:val="34"/>
    <w:qFormat/>
    <w:rsid w:val="00A86820"/>
    <w:pPr>
      <w:ind w:left="720"/>
      <w:contextualSpacing/>
    </w:pPr>
  </w:style>
  <w:style w:type="character" w:styleId="FootnoteReference">
    <w:name w:val="footnote reference"/>
    <w:basedOn w:val="DefaultParagraphFont"/>
    <w:unhideWhenUsed/>
    <w:rsid w:val="00FE5DD3"/>
    <w:rPr>
      <w:vertAlign w:val="superscript"/>
    </w:rPr>
  </w:style>
  <w:style w:type="character" w:customStyle="1" w:styleId="Heading1Char">
    <w:name w:val="Heading 1 Char"/>
    <w:basedOn w:val="DefaultParagraphFont"/>
    <w:link w:val="Heading1"/>
    <w:rsid w:val="003D6F34"/>
    <w:rPr>
      <w:rFonts w:ascii="Arial" w:hAnsi="Arial" w:cs="Arial"/>
      <w:b/>
      <w:bCs/>
      <w:kern w:val="32"/>
      <w:sz w:val="32"/>
      <w:szCs w:val="32"/>
    </w:rPr>
  </w:style>
  <w:style w:type="paragraph" w:customStyle="1" w:styleId="HWMLineItem">
    <w:name w:val="HWM LineItem"/>
    <w:basedOn w:val="Normal"/>
    <w:link w:val="HWMLineItemChar"/>
    <w:autoRedefine/>
    <w:qFormat/>
    <w:rsid w:val="00FA1313"/>
    <w:pPr>
      <w:tabs>
        <w:tab w:val="left" w:pos="1440"/>
      </w:tabs>
      <w:ind w:left="720" w:right="1260"/>
      <w:jc w:val="both"/>
    </w:pPr>
    <w:rPr>
      <w:rFonts w:ascii="Arial" w:eastAsiaTheme="minorEastAsia" w:hAnsi="Arial" w:cs="Arial"/>
      <w:iCs/>
      <w:sz w:val="20"/>
      <w:szCs w:val="20"/>
    </w:rPr>
  </w:style>
  <w:style w:type="character" w:customStyle="1" w:styleId="HWMLineItemChar">
    <w:name w:val="HWM LineItem Char"/>
    <w:basedOn w:val="DefaultParagraphFont"/>
    <w:link w:val="HWMLineItem"/>
    <w:rsid w:val="00FA1313"/>
    <w:rPr>
      <w:rFonts w:ascii="Arial" w:eastAsiaTheme="minorEastAsia" w:hAnsi="Arial" w:cs="Arial"/>
      <w:iCs/>
    </w:rPr>
  </w:style>
  <w:style w:type="character" w:styleId="FollowedHyperlink">
    <w:name w:val="FollowedHyperlink"/>
    <w:basedOn w:val="DefaultParagraphFont"/>
    <w:uiPriority w:val="99"/>
    <w:semiHidden/>
    <w:unhideWhenUsed/>
    <w:rsid w:val="00FA1313"/>
    <w:rPr>
      <w:color w:val="800080"/>
      <w:u w:val="single"/>
    </w:rPr>
  </w:style>
  <w:style w:type="paragraph" w:customStyle="1" w:styleId="xl78">
    <w:name w:val="xl78"/>
    <w:basedOn w:val="Normal"/>
    <w:rsid w:val="00FA1313"/>
    <w:pPr>
      <w:spacing w:before="100" w:beforeAutospacing="1" w:after="100" w:afterAutospacing="1"/>
    </w:pPr>
  </w:style>
  <w:style w:type="paragraph" w:customStyle="1" w:styleId="xl79">
    <w:name w:val="xl79"/>
    <w:basedOn w:val="Normal"/>
    <w:rsid w:val="00FA1313"/>
    <w:pPr>
      <w:spacing w:before="100" w:beforeAutospacing="1" w:after="100" w:afterAutospacing="1"/>
    </w:pPr>
    <w:rPr>
      <w:color w:val="000000"/>
    </w:rPr>
  </w:style>
  <w:style w:type="paragraph" w:customStyle="1" w:styleId="xl80">
    <w:name w:val="xl80"/>
    <w:basedOn w:val="Normal"/>
    <w:rsid w:val="00FA1313"/>
    <w:pPr>
      <w:spacing w:before="100" w:beforeAutospacing="1" w:after="100" w:afterAutospacing="1"/>
    </w:pPr>
  </w:style>
  <w:style w:type="paragraph" w:customStyle="1" w:styleId="xl81">
    <w:name w:val="xl81"/>
    <w:basedOn w:val="Normal"/>
    <w:rsid w:val="00FA1313"/>
    <w:pPr>
      <w:spacing w:before="100" w:beforeAutospacing="1" w:after="100" w:afterAutospacing="1"/>
      <w:jc w:val="center"/>
    </w:pPr>
  </w:style>
  <w:style w:type="paragraph" w:customStyle="1" w:styleId="xl82">
    <w:name w:val="xl82"/>
    <w:basedOn w:val="Normal"/>
    <w:rsid w:val="00FA1313"/>
    <w:pPr>
      <w:spacing w:before="100" w:beforeAutospacing="1" w:after="100" w:afterAutospacing="1"/>
    </w:pPr>
  </w:style>
  <w:style w:type="paragraph" w:customStyle="1" w:styleId="xl83">
    <w:name w:val="xl83"/>
    <w:basedOn w:val="Normal"/>
    <w:rsid w:val="009A5973"/>
    <w:pPr>
      <w:spacing w:before="100" w:beforeAutospacing="1" w:after="100" w:afterAutospacing="1"/>
      <w:jc w:val="center"/>
    </w:pPr>
  </w:style>
  <w:style w:type="paragraph" w:customStyle="1" w:styleId="xl84">
    <w:name w:val="xl84"/>
    <w:basedOn w:val="Normal"/>
    <w:rsid w:val="009A5973"/>
    <w:pPr>
      <w:spacing w:before="100" w:beforeAutospacing="1" w:after="100" w:afterAutospacing="1"/>
      <w:jc w:val="center"/>
    </w:pPr>
  </w:style>
  <w:style w:type="paragraph" w:customStyle="1" w:styleId="xl85">
    <w:name w:val="xl85"/>
    <w:basedOn w:val="Normal"/>
    <w:rsid w:val="009A5973"/>
    <w:pPr>
      <w:spacing w:before="100" w:beforeAutospacing="1" w:after="100" w:afterAutospacing="1"/>
    </w:pPr>
  </w:style>
  <w:style w:type="paragraph" w:customStyle="1" w:styleId="xl86">
    <w:name w:val="xl86"/>
    <w:basedOn w:val="Normal"/>
    <w:rsid w:val="009A5973"/>
    <w:pPr>
      <w:spacing w:before="100" w:beforeAutospacing="1" w:after="100" w:afterAutospacing="1"/>
    </w:pPr>
  </w:style>
  <w:style w:type="paragraph" w:styleId="Revision">
    <w:name w:val="Revision"/>
    <w:hidden/>
    <w:uiPriority w:val="99"/>
    <w:semiHidden/>
    <w:rsid w:val="004620F7"/>
    <w:rPr>
      <w:sz w:val="24"/>
      <w:szCs w:val="24"/>
    </w:rPr>
  </w:style>
  <w:style w:type="paragraph" w:customStyle="1" w:styleId="xl65">
    <w:name w:val="xl65"/>
    <w:basedOn w:val="Normal"/>
    <w:rsid w:val="00697CB2"/>
    <w:pPr>
      <w:pBdr>
        <w:bottom w:val="single" w:sz="12" w:space="0" w:color="auto"/>
        <w:right w:val="single" w:sz="8" w:space="0" w:color="auto"/>
      </w:pBdr>
      <w:spacing w:before="100" w:beforeAutospacing="1" w:after="100" w:afterAutospacing="1"/>
      <w:jc w:val="right"/>
      <w:textAlignment w:val="center"/>
    </w:pPr>
    <w:rPr>
      <w:b/>
      <w:bCs/>
      <w:sz w:val="20"/>
      <w:szCs w:val="20"/>
    </w:rPr>
  </w:style>
  <w:style w:type="paragraph" w:customStyle="1" w:styleId="xl66">
    <w:name w:val="xl66"/>
    <w:basedOn w:val="Normal"/>
    <w:rsid w:val="00697CB2"/>
    <w:pPr>
      <w:pBdr>
        <w:bottom w:val="single" w:sz="12" w:space="0" w:color="auto"/>
        <w:right w:val="single" w:sz="8" w:space="0" w:color="auto"/>
      </w:pBdr>
      <w:spacing w:before="100" w:beforeAutospacing="1" w:after="100" w:afterAutospacing="1"/>
      <w:jc w:val="right"/>
      <w:textAlignment w:val="center"/>
    </w:pPr>
    <w:rPr>
      <w:b/>
      <w:bCs/>
      <w:sz w:val="20"/>
      <w:szCs w:val="20"/>
    </w:rPr>
  </w:style>
  <w:style w:type="paragraph" w:customStyle="1" w:styleId="xl67">
    <w:name w:val="xl67"/>
    <w:basedOn w:val="Normal"/>
    <w:rsid w:val="00697CB2"/>
    <w:pPr>
      <w:pBdr>
        <w:left w:val="single" w:sz="8" w:space="0" w:color="auto"/>
        <w:bottom w:val="single" w:sz="8" w:space="0" w:color="auto"/>
        <w:right w:val="single" w:sz="8" w:space="0" w:color="auto"/>
      </w:pBdr>
      <w:spacing w:before="100" w:beforeAutospacing="1" w:after="100" w:afterAutospacing="1"/>
      <w:textAlignment w:val="center"/>
    </w:pPr>
    <w:rPr>
      <w:color w:val="000000"/>
      <w:sz w:val="20"/>
      <w:szCs w:val="20"/>
    </w:rPr>
  </w:style>
  <w:style w:type="paragraph" w:customStyle="1" w:styleId="xl68">
    <w:name w:val="xl68"/>
    <w:basedOn w:val="Normal"/>
    <w:rsid w:val="00697CB2"/>
    <w:pPr>
      <w:pBdr>
        <w:bottom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69">
    <w:name w:val="xl69"/>
    <w:basedOn w:val="Normal"/>
    <w:rsid w:val="00697CB2"/>
    <w:pPr>
      <w:pBdr>
        <w:bottom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70">
    <w:name w:val="xl70"/>
    <w:basedOn w:val="Normal"/>
    <w:rsid w:val="00697CB2"/>
    <w:pPr>
      <w:pBdr>
        <w:top w:val="single" w:sz="8" w:space="0" w:color="auto"/>
        <w:left w:val="single" w:sz="8" w:space="0" w:color="auto"/>
        <w:bottom w:val="single" w:sz="8" w:space="0" w:color="auto"/>
      </w:pBdr>
      <w:spacing w:before="100" w:beforeAutospacing="1" w:after="100" w:afterAutospacing="1"/>
      <w:jc w:val="center"/>
      <w:textAlignment w:val="center"/>
    </w:pPr>
    <w:rPr>
      <w:sz w:val="20"/>
      <w:szCs w:val="20"/>
    </w:rPr>
  </w:style>
  <w:style w:type="paragraph" w:customStyle="1" w:styleId="xl71">
    <w:name w:val="xl71"/>
    <w:basedOn w:val="Normal"/>
    <w:rsid w:val="00697CB2"/>
    <w:pPr>
      <w:pBdr>
        <w:top w:val="single" w:sz="8" w:space="0" w:color="auto"/>
        <w:bottom w:val="single" w:sz="8" w:space="0" w:color="auto"/>
      </w:pBdr>
      <w:spacing w:before="100" w:beforeAutospacing="1" w:after="100" w:afterAutospacing="1"/>
      <w:jc w:val="center"/>
      <w:textAlignment w:val="center"/>
    </w:pPr>
    <w:rPr>
      <w:sz w:val="20"/>
      <w:szCs w:val="20"/>
    </w:rPr>
  </w:style>
  <w:style w:type="paragraph" w:customStyle="1" w:styleId="xl72">
    <w:name w:val="xl72"/>
    <w:basedOn w:val="Normal"/>
    <w:rsid w:val="00697CB2"/>
    <w:pPr>
      <w:pBdr>
        <w:top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73">
    <w:name w:val="xl73"/>
    <w:basedOn w:val="Normal"/>
    <w:rsid w:val="00697CB2"/>
    <w:pPr>
      <w:pBdr>
        <w:top w:val="single" w:sz="8" w:space="0" w:color="auto"/>
        <w:left w:val="single" w:sz="8" w:space="0" w:color="auto"/>
        <w:right w:val="single" w:sz="8" w:space="0" w:color="auto"/>
      </w:pBdr>
      <w:spacing w:before="100" w:beforeAutospacing="1" w:after="100" w:afterAutospacing="1"/>
      <w:textAlignment w:val="center"/>
    </w:pPr>
    <w:rPr>
      <w:b/>
      <w:bCs/>
      <w:sz w:val="20"/>
      <w:szCs w:val="20"/>
    </w:rPr>
  </w:style>
  <w:style w:type="paragraph" w:customStyle="1" w:styleId="xl74">
    <w:name w:val="xl74"/>
    <w:basedOn w:val="Normal"/>
    <w:rsid w:val="00697CB2"/>
    <w:pPr>
      <w:pBdr>
        <w:left w:val="single" w:sz="8" w:space="0" w:color="auto"/>
        <w:bottom w:val="single" w:sz="12" w:space="0" w:color="auto"/>
        <w:right w:val="single" w:sz="8" w:space="0" w:color="auto"/>
      </w:pBdr>
      <w:spacing w:before="100" w:beforeAutospacing="1" w:after="100" w:afterAutospacing="1"/>
      <w:textAlignment w:val="center"/>
    </w:pPr>
    <w:rPr>
      <w:b/>
      <w:bCs/>
      <w:sz w:val="20"/>
      <w:szCs w:val="20"/>
    </w:rPr>
  </w:style>
  <w:style w:type="paragraph" w:customStyle="1" w:styleId="xl75">
    <w:name w:val="xl75"/>
    <w:basedOn w:val="Normal"/>
    <w:rsid w:val="00697CB2"/>
    <w:pPr>
      <w:pBdr>
        <w:top w:val="single" w:sz="8" w:space="0" w:color="auto"/>
        <w:left w:val="single" w:sz="8" w:space="0" w:color="auto"/>
        <w:bottom w:val="single" w:sz="8" w:space="0" w:color="auto"/>
      </w:pBdr>
      <w:spacing w:before="100" w:beforeAutospacing="1" w:after="100" w:afterAutospacing="1"/>
      <w:jc w:val="center"/>
      <w:textAlignment w:val="center"/>
    </w:pPr>
    <w:rPr>
      <w:b/>
      <w:bCs/>
      <w:sz w:val="20"/>
      <w:szCs w:val="20"/>
    </w:rPr>
  </w:style>
  <w:style w:type="paragraph" w:customStyle="1" w:styleId="xl76">
    <w:name w:val="xl76"/>
    <w:basedOn w:val="Normal"/>
    <w:rsid w:val="00697CB2"/>
    <w:pPr>
      <w:pBdr>
        <w:top w:val="single" w:sz="8" w:space="0" w:color="auto"/>
        <w:bottom w:val="single" w:sz="8" w:space="0" w:color="auto"/>
      </w:pBdr>
      <w:spacing w:before="100" w:beforeAutospacing="1" w:after="100" w:afterAutospacing="1"/>
      <w:jc w:val="center"/>
      <w:textAlignment w:val="center"/>
    </w:pPr>
    <w:rPr>
      <w:b/>
      <w:bCs/>
      <w:sz w:val="20"/>
      <w:szCs w:val="20"/>
    </w:rPr>
  </w:style>
  <w:style w:type="paragraph" w:customStyle="1" w:styleId="xl77">
    <w:name w:val="xl77"/>
    <w:basedOn w:val="Normal"/>
    <w:rsid w:val="00697CB2"/>
    <w:pPr>
      <w:pBdr>
        <w:top w:val="single" w:sz="8" w:space="0" w:color="auto"/>
        <w:bottom w:val="single" w:sz="8" w:space="0" w:color="auto"/>
        <w:right w:val="single" w:sz="8" w:space="0" w:color="auto"/>
      </w:pBdr>
      <w:spacing w:before="100" w:beforeAutospacing="1" w:after="100" w:afterAutospacing="1"/>
      <w:jc w:val="center"/>
      <w:textAlignment w:val="center"/>
    </w:pPr>
    <w:rPr>
      <w:b/>
      <w:bCs/>
      <w:sz w:val="20"/>
      <w:szCs w:val="20"/>
    </w:rPr>
  </w:style>
</w:styles>
</file>

<file path=word/webSettings.xml><?xml version="1.0" encoding="utf-8"?>
<w:webSettings xmlns:r="http://schemas.openxmlformats.org/officeDocument/2006/relationships" xmlns:w="http://schemas.openxmlformats.org/wordprocessingml/2006/main">
  <w:divs>
    <w:div w:id="14423688">
      <w:bodyDiv w:val="1"/>
      <w:marLeft w:val="0"/>
      <w:marRight w:val="0"/>
      <w:marTop w:val="0"/>
      <w:marBottom w:val="0"/>
      <w:divBdr>
        <w:top w:val="none" w:sz="0" w:space="0" w:color="auto"/>
        <w:left w:val="none" w:sz="0" w:space="0" w:color="auto"/>
        <w:bottom w:val="none" w:sz="0" w:space="0" w:color="auto"/>
        <w:right w:val="none" w:sz="0" w:space="0" w:color="auto"/>
      </w:divBdr>
    </w:div>
    <w:div w:id="327102549">
      <w:bodyDiv w:val="1"/>
      <w:marLeft w:val="0"/>
      <w:marRight w:val="0"/>
      <w:marTop w:val="0"/>
      <w:marBottom w:val="0"/>
      <w:divBdr>
        <w:top w:val="none" w:sz="0" w:space="0" w:color="auto"/>
        <w:left w:val="none" w:sz="0" w:space="0" w:color="auto"/>
        <w:bottom w:val="none" w:sz="0" w:space="0" w:color="auto"/>
        <w:right w:val="none" w:sz="0" w:space="0" w:color="auto"/>
      </w:divBdr>
    </w:div>
    <w:div w:id="526872546">
      <w:bodyDiv w:val="1"/>
      <w:marLeft w:val="0"/>
      <w:marRight w:val="0"/>
      <w:marTop w:val="0"/>
      <w:marBottom w:val="0"/>
      <w:divBdr>
        <w:top w:val="none" w:sz="0" w:space="0" w:color="auto"/>
        <w:left w:val="none" w:sz="0" w:space="0" w:color="auto"/>
        <w:bottom w:val="none" w:sz="0" w:space="0" w:color="auto"/>
        <w:right w:val="none" w:sz="0" w:space="0" w:color="auto"/>
      </w:divBdr>
    </w:div>
    <w:div w:id="583341749">
      <w:bodyDiv w:val="1"/>
      <w:marLeft w:val="0"/>
      <w:marRight w:val="0"/>
      <w:marTop w:val="0"/>
      <w:marBottom w:val="0"/>
      <w:divBdr>
        <w:top w:val="none" w:sz="0" w:space="0" w:color="auto"/>
        <w:left w:val="none" w:sz="0" w:space="0" w:color="auto"/>
        <w:bottom w:val="none" w:sz="0" w:space="0" w:color="auto"/>
        <w:right w:val="none" w:sz="0" w:space="0" w:color="auto"/>
      </w:divBdr>
    </w:div>
    <w:div w:id="596134024">
      <w:bodyDiv w:val="1"/>
      <w:marLeft w:val="0"/>
      <w:marRight w:val="0"/>
      <w:marTop w:val="0"/>
      <w:marBottom w:val="0"/>
      <w:divBdr>
        <w:top w:val="none" w:sz="0" w:space="0" w:color="auto"/>
        <w:left w:val="none" w:sz="0" w:space="0" w:color="auto"/>
        <w:bottom w:val="none" w:sz="0" w:space="0" w:color="auto"/>
        <w:right w:val="none" w:sz="0" w:space="0" w:color="auto"/>
      </w:divBdr>
    </w:div>
    <w:div w:id="624428689">
      <w:bodyDiv w:val="1"/>
      <w:marLeft w:val="0"/>
      <w:marRight w:val="0"/>
      <w:marTop w:val="0"/>
      <w:marBottom w:val="0"/>
      <w:divBdr>
        <w:top w:val="none" w:sz="0" w:space="0" w:color="auto"/>
        <w:left w:val="none" w:sz="0" w:space="0" w:color="auto"/>
        <w:bottom w:val="none" w:sz="0" w:space="0" w:color="auto"/>
        <w:right w:val="none" w:sz="0" w:space="0" w:color="auto"/>
      </w:divBdr>
    </w:div>
    <w:div w:id="1097287106">
      <w:bodyDiv w:val="1"/>
      <w:marLeft w:val="0"/>
      <w:marRight w:val="0"/>
      <w:marTop w:val="0"/>
      <w:marBottom w:val="0"/>
      <w:divBdr>
        <w:top w:val="none" w:sz="0" w:space="0" w:color="auto"/>
        <w:left w:val="none" w:sz="0" w:space="0" w:color="auto"/>
        <w:bottom w:val="none" w:sz="0" w:space="0" w:color="auto"/>
        <w:right w:val="none" w:sz="0" w:space="0" w:color="auto"/>
      </w:divBdr>
    </w:div>
    <w:div w:id="1191650567">
      <w:bodyDiv w:val="1"/>
      <w:marLeft w:val="0"/>
      <w:marRight w:val="0"/>
      <w:marTop w:val="0"/>
      <w:marBottom w:val="0"/>
      <w:divBdr>
        <w:top w:val="none" w:sz="0" w:space="0" w:color="auto"/>
        <w:left w:val="none" w:sz="0" w:space="0" w:color="auto"/>
        <w:bottom w:val="none" w:sz="0" w:space="0" w:color="auto"/>
        <w:right w:val="none" w:sz="0" w:space="0" w:color="auto"/>
      </w:divBdr>
      <w:divsChild>
        <w:div w:id="1553419882">
          <w:marLeft w:val="0"/>
          <w:marRight w:val="0"/>
          <w:marTop w:val="0"/>
          <w:marBottom w:val="0"/>
          <w:divBdr>
            <w:top w:val="none" w:sz="0" w:space="0" w:color="auto"/>
            <w:left w:val="none" w:sz="0" w:space="0" w:color="auto"/>
            <w:bottom w:val="none" w:sz="0" w:space="0" w:color="auto"/>
            <w:right w:val="none" w:sz="0" w:space="0" w:color="auto"/>
          </w:divBdr>
          <w:divsChild>
            <w:div w:id="1374190453">
              <w:marLeft w:val="0"/>
              <w:marRight w:val="0"/>
              <w:marTop w:val="0"/>
              <w:marBottom w:val="0"/>
              <w:divBdr>
                <w:top w:val="none" w:sz="0" w:space="0" w:color="auto"/>
                <w:left w:val="none" w:sz="0" w:space="0" w:color="auto"/>
                <w:bottom w:val="none" w:sz="0" w:space="0" w:color="auto"/>
                <w:right w:val="none" w:sz="0" w:space="0" w:color="auto"/>
              </w:divBdr>
              <w:divsChild>
                <w:div w:id="783889380">
                  <w:marLeft w:val="0"/>
                  <w:marRight w:val="0"/>
                  <w:marTop w:val="0"/>
                  <w:marBottom w:val="0"/>
                  <w:divBdr>
                    <w:top w:val="none" w:sz="0" w:space="0" w:color="auto"/>
                    <w:left w:val="none" w:sz="0" w:space="0" w:color="auto"/>
                    <w:bottom w:val="none" w:sz="0" w:space="0" w:color="auto"/>
                    <w:right w:val="none" w:sz="0" w:space="0" w:color="auto"/>
                  </w:divBdr>
                  <w:divsChild>
                    <w:div w:id="1649244530">
                      <w:marLeft w:val="2325"/>
                      <w:marRight w:val="0"/>
                      <w:marTop w:val="0"/>
                      <w:marBottom w:val="0"/>
                      <w:divBdr>
                        <w:top w:val="none" w:sz="0" w:space="0" w:color="auto"/>
                        <w:left w:val="none" w:sz="0" w:space="0" w:color="auto"/>
                        <w:bottom w:val="none" w:sz="0" w:space="0" w:color="auto"/>
                        <w:right w:val="none" w:sz="0" w:space="0" w:color="auto"/>
                      </w:divBdr>
                      <w:divsChild>
                        <w:div w:id="762266047">
                          <w:marLeft w:val="0"/>
                          <w:marRight w:val="0"/>
                          <w:marTop w:val="0"/>
                          <w:marBottom w:val="0"/>
                          <w:divBdr>
                            <w:top w:val="none" w:sz="0" w:space="0" w:color="auto"/>
                            <w:left w:val="none" w:sz="0" w:space="0" w:color="auto"/>
                            <w:bottom w:val="none" w:sz="0" w:space="0" w:color="auto"/>
                            <w:right w:val="none" w:sz="0" w:space="0" w:color="auto"/>
                          </w:divBdr>
                          <w:divsChild>
                            <w:div w:id="82335217">
                              <w:marLeft w:val="0"/>
                              <w:marRight w:val="0"/>
                              <w:marTop w:val="0"/>
                              <w:marBottom w:val="0"/>
                              <w:divBdr>
                                <w:top w:val="none" w:sz="0" w:space="0" w:color="auto"/>
                                <w:left w:val="none" w:sz="0" w:space="0" w:color="auto"/>
                                <w:bottom w:val="none" w:sz="0" w:space="0" w:color="auto"/>
                                <w:right w:val="none" w:sz="0" w:space="0" w:color="auto"/>
                              </w:divBdr>
                              <w:divsChild>
                                <w:div w:id="1531525581">
                                  <w:marLeft w:val="0"/>
                                  <w:marRight w:val="0"/>
                                  <w:marTop w:val="0"/>
                                  <w:marBottom w:val="0"/>
                                  <w:divBdr>
                                    <w:top w:val="none" w:sz="0" w:space="0" w:color="auto"/>
                                    <w:left w:val="none" w:sz="0" w:space="0" w:color="auto"/>
                                    <w:bottom w:val="none" w:sz="0" w:space="0" w:color="auto"/>
                                    <w:right w:val="none" w:sz="0" w:space="0" w:color="auto"/>
                                  </w:divBdr>
                                  <w:divsChild>
                                    <w:div w:id="1400783248">
                                      <w:marLeft w:val="0"/>
                                      <w:marRight w:val="0"/>
                                      <w:marTop w:val="0"/>
                                      <w:marBottom w:val="0"/>
                                      <w:divBdr>
                                        <w:top w:val="none" w:sz="0" w:space="0" w:color="auto"/>
                                        <w:left w:val="none" w:sz="0" w:space="0" w:color="auto"/>
                                        <w:bottom w:val="none" w:sz="0" w:space="0" w:color="auto"/>
                                        <w:right w:val="none" w:sz="0" w:space="0" w:color="auto"/>
                                      </w:divBdr>
                                      <w:divsChild>
                                        <w:div w:id="1055085856">
                                          <w:marLeft w:val="0"/>
                                          <w:marRight w:val="0"/>
                                          <w:marTop w:val="0"/>
                                          <w:marBottom w:val="0"/>
                                          <w:divBdr>
                                            <w:top w:val="none" w:sz="0" w:space="0" w:color="auto"/>
                                            <w:left w:val="none" w:sz="0" w:space="0" w:color="auto"/>
                                            <w:bottom w:val="none" w:sz="0" w:space="0" w:color="auto"/>
                                            <w:right w:val="none" w:sz="0" w:space="0" w:color="auto"/>
                                          </w:divBdr>
                                          <w:divsChild>
                                            <w:div w:id="1943414054">
                                              <w:marLeft w:val="0"/>
                                              <w:marRight w:val="0"/>
                                              <w:marTop w:val="0"/>
                                              <w:marBottom w:val="0"/>
                                              <w:divBdr>
                                                <w:top w:val="none" w:sz="0" w:space="0" w:color="auto"/>
                                                <w:left w:val="none" w:sz="0" w:space="0" w:color="auto"/>
                                                <w:bottom w:val="none" w:sz="0" w:space="0" w:color="auto"/>
                                                <w:right w:val="none" w:sz="0" w:space="0" w:color="auto"/>
                                              </w:divBdr>
                                              <w:divsChild>
                                                <w:div w:id="2041853915">
                                                  <w:marLeft w:val="0"/>
                                                  <w:marRight w:val="0"/>
                                                  <w:marTop w:val="0"/>
                                                  <w:marBottom w:val="0"/>
                                                  <w:divBdr>
                                                    <w:top w:val="none" w:sz="0" w:space="0" w:color="auto"/>
                                                    <w:left w:val="none" w:sz="0" w:space="0" w:color="auto"/>
                                                    <w:bottom w:val="none" w:sz="0" w:space="0" w:color="auto"/>
                                                    <w:right w:val="none" w:sz="0" w:space="0" w:color="auto"/>
                                                  </w:divBdr>
                                                  <w:divsChild>
                                                    <w:div w:id="1441342853">
                                                      <w:marLeft w:val="0"/>
                                                      <w:marRight w:val="0"/>
                                                      <w:marTop w:val="0"/>
                                                      <w:marBottom w:val="0"/>
                                                      <w:divBdr>
                                                        <w:top w:val="none" w:sz="0" w:space="0" w:color="auto"/>
                                                        <w:left w:val="none" w:sz="0" w:space="0" w:color="auto"/>
                                                        <w:bottom w:val="none" w:sz="0" w:space="0" w:color="auto"/>
                                                        <w:right w:val="none" w:sz="0" w:space="0" w:color="auto"/>
                                                      </w:divBdr>
                                                      <w:divsChild>
                                                        <w:div w:id="1213008012">
                                                          <w:marLeft w:val="0"/>
                                                          <w:marRight w:val="0"/>
                                                          <w:marTop w:val="0"/>
                                                          <w:marBottom w:val="0"/>
                                                          <w:divBdr>
                                                            <w:top w:val="none" w:sz="0" w:space="0" w:color="auto"/>
                                                            <w:left w:val="none" w:sz="0" w:space="0" w:color="auto"/>
                                                            <w:bottom w:val="none" w:sz="0" w:space="0" w:color="auto"/>
                                                            <w:right w:val="none" w:sz="0" w:space="0" w:color="auto"/>
                                                          </w:divBdr>
                                                        </w:div>
                                                        <w:div w:id="1685206533">
                                                          <w:marLeft w:val="0"/>
                                                          <w:marRight w:val="0"/>
                                                          <w:marTop w:val="0"/>
                                                          <w:marBottom w:val="0"/>
                                                          <w:divBdr>
                                                            <w:top w:val="none" w:sz="0" w:space="0" w:color="auto"/>
                                                            <w:left w:val="none" w:sz="0" w:space="0" w:color="auto"/>
                                                            <w:bottom w:val="none" w:sz="0" w:space="0" w:color="auto"/>
                                                            <w:right w:val="none" w:sz="0" w:space="0" w:color="auto"/>
                                                          </w:divBdr>
                                                        </w:div>
                                                        <w:div w:id="2041782376">
                                                          <w:marLeft w:val="0"/>
                                                          <w:marRight w:val="0"/>
                                                          <w:marTop w:val="0"/>
                                                          <w:marBottom w:val="0"/>
                                                          <w:divBdr>
                                                            <w:top w:val="none" w:sz="0" w:space="0" w:color="auto"/>
                                                            <w:left w:val="none" w:sz="0" w:space="0" w:color="auto"/>
                                                            <w:bottom w:val="none" w:sz="0" w:space="0" w:color="auto"/>
                                                            <w:right w:val="none" w:sz="0" w:space="0" w:color="auto"/>
                                                          </w:divBdr>
                                                        </w:div>
                                                        <w:div w:id="1254171415">
                                                          <w:marLeft w:val="0"/>
                                                          <w:marRight w:val="0"/>
                                                          <w:marTop w:val="0"/>
                                                          <w:marBottom w:val="0"/>
                                                          <w:divBdr>
                                                            <w:top w:val="none" w:sz="0" w:space="0" w:color="auto"/>
                                                            <w:left w:val="none" w:sz="0" w:space="0" w:color="auto"/>
                                                            <w:bottom w:val="none" w:sz="0" w:space="0" w:color="auto"/>
                                                            <w:right w:val="none" w:sz="0" w:space="0" w:color="auto"/>
                                                          </w:divBdr>
                                                        </w:div>
                                                        <w:div w:id="1086803605">
                                                          <w:marLeft w:val="0"/>
                                                          <w:marRight w:val="0"/>
                                                          <w:marTop w:val="0"/>
                                                          <w:marBottom w:val="0"/>
                                                          <w:divBdr>
                                                            <w:top w:val="none" w:sz="0" w:space="0" w:color="auto"/>
                                                            <w:left w:val="none" w:sz="0" w:space="0" w:color="auto"/>
                                                            <w:bottom w:val="none" w:sz="0" w:space="0" w:color="auto"/>
                                                            <w:right w:val="none" w:sz="0" w:space="0" w:color="auto"/>
                                                          </w:divBdr>
                                                        </w:div>
                                                        <w:div w:id="1525552349">
                                                          <w:marLeft w:val="0"/>
                                                          <w:marRight w:val="0"/>
                                                          <w:marTop w:val="0"/>
                                                          <w:marBottom w:val="0"/>
                                                          <w:divBdr>
                                                            <w:top w:val="none" w:sz="0" w:space="0" w:color="auto"/>
                                                            <w:left w:val="none" w:sz="0" w:space="0" w:color="auto"/>
                                                            <w:bottom w:val="none" w:sz="0" w:space="0" w:color="auto"/>
                                                            <w:right w:val="none" w:sz="0" w:space="0" w:color="auto"/>
                                                          </w:divBdr>
                                                        </w:div>
                                                        <w:div w:id="1909921011">
                                                          <w:marLeft w:val="0"/>
                                                          <w:marRight w:val="0"/>
                                                          <w:marTop w:val="0"/>
                                                          <w:marBottom w:val="0"/>
                                                          <w:divBdr>
                                                            <w:top w:val="none" w:sz="0" w:space="0" w:color="auto"/>
                                                            <w:left w:val="none" w:sz="0" w:space="0" w:color="auto"/>
                                                            <w:bottom w:val="none" w:sz="0" w:space="0" w:color="auto"/>
                                                            <w:right w:val="none" w:sz="0" w:space="0" w:color="auto"/>
                                                          </w:divBdr>
                                                        </w:div>
                                                        <w:div w:id="806705373">
                                                          <w:marLeft w:val="0"/>
                                                          <w:marRight w:val="0"/>
                                                          <w:marTop w:val="0"/>
                                                          <w:marBottom w:val="0"/>
                                                          <w:divBdr>
                                                            <w:top w:val="none" w:sz="0" w:space="0" w:color="auto"/>
                                                            <w:left w:val="none" w:sz="0" w:space="0" w:color="auto"/>
                                                            <w:bottom w:val="none" w:sz="0" w:space="0" w:color="auto"/>
                                                            <w:right w:val="none" w:sz="0" w:space="0" w:color="auto"/>
                                                          </w:divBdr>
                                                        </w:div>
                                                        <w:div w:id="771514579">
                                                          <w:marLeft w:val="0"/>
                                                          <w:marRight w:val="0"/>
                                                          <w:marTop w:val="0"/>
                                                          <w:marBottom w:val="0"/>
                                                          <w:divBdr>
                                                            <w:top w:val="none" w:sz="0" w:space="0" w:color="auto"/>
                                                            <w:left w:val="none" w:sz="0" w:space="0" w:color="auto"/>
                                                            <w:bottom w:val="none" w:sz="0" w:space="0" w:color="auto"/>
                                                            <w:right w:val="none" w:sz="0" w:space="0" w:color="auto"/>
                                                          </w:divBdr>
                                                        </w:div>
                                                        <w:div w:id="696352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32567971">
      <w:bodyDiv w:val="1"/>
      <w:marLeft w:val="0"/>
      <w:marRight w:val="0"/>
      <w:marTop w:val="0"/>
      <w:marBottom w:val="0"/>
      <w:divBdr>
        <w:top w:val="none" w:sz="0" w:space="0" w:color="auto"/>
        <w:left w:val="none" w:sz="0" w:space="0" w:color="auto"/>
        <w:bottom w:val="none" w:sz="0" w:space="0" w:color="auto"/>
        <w:right w:val="none" w:sz="0" w:space="0" w:color="auto"/>
      </w:divBdr>
    </w:div>
    <w:div w:id="1360548670">
      <w:bodyDiv w:val="1"/>
      <w:marLeft w:val="0"/>
      <w:marRight w:val="0"/>
      <w:marTop w:val="0"/>
      <w:marBottom w:val="0"/>
      <w:divBdr>
        <w:top w:val="none" w:sz="0" w:space="0" w:color="auto"/>
        <w:left w:val="none" w:sz="0" w:space="0" w:color="auto"/>
        <w:bottom w:val="none" w:sz="0" w:space="0" w:color="auto"/>
        <w:right w:val="none" w:sz="0" w:space="0" w:color="auto"/>
      </w:divBdr>
    </w:div>
    <w:div w:id="1842743495">
      <w:bodyDiv w:val="1"/>
      <w:marLeft w:val="0"/>
      <w:marRight w:val="0"/>
      <w:marTop w:val="0"/>
      <w:marBottom w:val="0"/>
      <w:divBdr>
        <w:top w:val="none" w:sz="0" w:space="0" w:color="auto"/>
        <w:left w:val="none" w:sz="0" w:space="0" w:color="auto"/>
        <w:bottom w:val="none" w:sz="0" w:space="0" w:color="auto"/>
        <w:right w:val="none" w:sz="0" w:space="0" w:color="auto"/>
      </w:divBdr>
    </w:div>
    <w:div w:id="1917011938">
      <w:bodyDiv w:val="1"/>
      <w:marLeft w:val="0"/>
      <w:marRight w:val="0"/>
      <w:marTop w:val="0"/>
      <w:marBottom w:val="0"/>
      <w:divBdr>
        <w:top w:val="none" w:sz="0" w:space="0" w:color="auto"/>
        <w:left w:val="none" w:sz="0" w:space="0" w:color="auto"/>
        <w:bottom w:val="none" w:sz="0" w:space="0" w:color="auto"/>
        <w:right w:val="none" w:sz="0" w:space="0" w:color="auto"/>
      </w:divBdr>
    </w:div>
    <w:div w:id="2028366172">
      <w:bodyDiv w:val="1"/>
      <w:marLeft w:val="0"/>
      <w:marRight w:val="0"/>
      <w:marTop w:val="0"/>
      <w:marBottom w:val="0"/>
      <w:divBdr>
        <w:top w:val="none" w:sz="0" w:space="0" w:color="auto"/>
        <w:left w:val="none" w:sz="0" w:space="0" w:color="auto"/>
        <w:bottom w:val="none" w:sz="0" w:space="0" w:color="auto"/>
        <w:right w:val="none" w:sz="0" w:space="0" w:color="auto"/>
      </w:divBdr>
      <w:divsChild>
        <w:div w:id="981271700">
          <w:marLeft w:val="0"/>
          <w:marRight w:val="0"/>
          <w:marTop w:val="0"/>
          <w:marBottom w:val="0"/>
          <w:divBdr>
            <w:top w:val="none" w:sz="0" w:space="0" w:color="auto"/>
            <w:left w:val="none" w:sz="0" w:space="0" w:color="auto"/>
            <w:bottom w:val="none" w:sz="0" w:space="0" w:color="auto"/>
            <w:right w:val="none" w:sz="0" w:space="0" w:color="auto"/>
          </w:divBdr>
        </w:div>
      </w:divsChild>
    </w:div>
    <w:div w:id="2072733016">
      <w:bodyDiv w:val="1"/>
      <w:marLeft w:val="0"/>
      <w:marRight w:val="0"/>
      <w:marTop w:val="0"/>
      <w:marBottom w:val="0"/>
      <w:divBdr>
        <w:top w:val="none" w:sz="0" w:space="0" w:color="auto"/>
        <w:left w:val="none" w:sz="0" w:space="0" w:color="auto"/>
        <w:bottom w:val="none" w:sz="0" w:space="0" w:color="auto"/>
        <w:right w:val="none" w:sz="0" w:space="0" w:color="auto"/>
      </w:divBdr>
    </w:div>
    <w:div w:id="2107142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mailto:jgwatkin@doe.mass.edu"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doe.mass.edu/boe/docs/2013-06/item3.html"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cchuang@doe.mass.edu" TargetMode="External"/><Relationship Id="rId20" Type="http://schemas.openxmlformats.org/officeDocument/2006/relationships/hyperlink" Target="http://www.doe.mass.edu/boe/docs/2014-02/item4.html"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yperlink" Target="http://www.doe.mass.edu/boe/docs/2013-01/item4.html" TargetMode="External"/><Relationship Id="rId23"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www.doe.mass.edu/boe/docs/2013-06/item3.htm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header" Target="header2.xml"/></Relationships>
</file>

<file path=word/_rels/footnotes.xml.rels><?xml version="1.0" encoding="UTF-8" standalone="yes"?>
<Relationships xmlns="http://schemas.openxmlformats.org/package/2006/relationships"><Relationship Id="rId2" Type="http://schemas.openxmlformats.org/officeDocument/2006/relationships/hyperlink" Target="http://www.doe.mass.edu/finance/schoolchoice/choice14.html" TargetMode="External"/><Relationship Id="rId1" Type="http://schemas.openxmlformats.org/officeDocument/2006/relationships/hyperlink" Target="http://www.doe.mass.edu/finance/schoolchoice/choice14.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PersistId xmlns="733efe1c-5bbe-4968-87dc-d400e65c879f">true</_dlc_DocIdPersistId>
    <_dlc_DocId xmlns="733efe1c-5bbe-4968-87dc-d400e65c879f">DESE-231-15263</_dlc_DocId>
    <_dlc_DocIdUrl xmlns="733efe1c-5bbe-4968-87dc-d400e65c879f">
      <Url>https://sharepoint.doemass.org/ese/webteam/cps/_layouts/DocIdRedir.aspx?ID=DESE-231-15263</Url>
      <Description>DESE-231-15263</Description>
    </_dlc_DocIdUrl>
    <_vti_RoutingExistingProperties xmlns="0a4e05da-b9bc-4326-ad73-01ef31b95567" xsi:nil="true"/>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fe35eebca4745372fa53d5050364ca0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69b118e19905d1ad78f6c228cdaca31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858556-B976-4E67-AE26-0710575E71DF}">
  <ds:schemaRefs>
    <ds:schemaRef ds:uri="http://schemas.microsoft.com/office/2006/metadata/properties"/>
    <ds:schemaRef ds:uri="http://schemas.microsoft.com/office/infopath/2007/PartnerControls"/>
    <ds:schemaRef ds:uri="733efe1c-5bbe-4968-87dc-d400e65c879f"/>
    <ds:schemaRef ds:uri="0a4e05da-b9bc-4326-ad73-01ef31b95567"/>
  </ds:schemaRefs>
</ds:datastoreItem>
</file>

<file path=customXml/itemProps2.xml><?xml version="1.0" encoding="utf-8"?>
<ds:datastoreItem xmlns:ds="http://schemas.openxmlformats.org/officeDocument/2006/customXml" ds:itemID="{1CCC9FBD-AB39-435C-B3D6-1ADE2D8F63C2}">
  <ds:schemaRefs>
    <ds:schemaRef ds:uri="http://schemas.microsoft.com/sharepoint/events"/>
  </ds:schemaRefs>
</ds:datastoreItem>
</file>

<file path=customXml/itemProps3.xml><?xml version="1.0" encoding="utf-8"?>
<ds:datastoreItem xmlns:ds="http://schemas.openxmlformats.org/officeDocument/2006/customXml" ds:itemID="{3B32FA8F-2C8E-4232-87B2-05B3C0C5A8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C2B753A-E080-4835-AB3D-5C3365EA084D}">
  <ds:schemaRefs>
    <ds:schemaRef ds:uri="http://schemas.microsoft.com/sharepoint/v3/contenttype/forms"/>
  </ds:schemaRefs>
</ds:datastoreItem>
</file>

<file path=customXml/itemProps5.xml><?xml version="1.0" encoding="utf-8"?>
<ds:datastoreItem xmlns:ds="http://schemas.openxmlformats.org/officeDocument/2006/customXml" ds:itemID="{928DDA66-0705-4F1B-8727-14B75F549F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25</Pages>
  <Words>10638</Words>
  <Characters>56492</Characters>
  <Application>Microsoft Office Word</Application>
  <DocSecurity>0</DocSecurity>
  <Lines>2259</Lines>
  <Paragraphs>1864</Paragraphs>
  <ScaleCrop>false</ScaleCrop>
  <HeadingPairs>
    <vt:vector size="2" baseType="variant">
      <vt:variant>
        <vt:lpstr>Title</vt:lpstr>
      </vt:variant>
      <vt:variant>
        <vt:i4>1</vt:i4>
      </vt:variant>
    </vt:vector>
  </HeadingPairs>
  <TitlesOfParts>
    <vt:vector size="1" baseType="lpstr">
      <vt:lpstr>FY14 Leg Report- Commonwealth Virtual Schools</vt:lpstr>
    </vt:vector>
  </TitlesOfParts>
  <Company/>
  <LinksUpToDate>false</LinksUpToDate>
  <CharactersWithSpaces>65266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FY14 Leg Report- Commonwealth Virtual Schools</dc:title>
  <dc:creator>ESE</dc:creator>
  <cp:lastModifiedBy>dzou</cp:lastModifiedBy>
  <cp:revision>3</cp:revision>
  <cp:lastPrinted>2014-12-04T22:49:00Z</cp:lastPrinted>
  <dcterms:created xsi:type="dcterms:W3CDTF">2015-04-17T14:43:00Z</dcterms:created>
  <dcterms:modified xsi:type="dcterms:W3CDTF">2015-04-17T17:58:00Z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17 2015</vt:lpwstr>
  </property>
</Properties>
</file>