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990"/>
        <w:gridCol w:w="7020"/>
        <w:gridCol w:w="2070"/>
      </w:tblGrid>
      <w:tr w:rsidR="005F037D" w:rsidTr="0077761F">
        <w:trPr>
          <w:gridAfter w:val="1"/>
          <w:wAfter w:w="2070" w:type="dxa"/>
          <w:trHeight w:val="5040"/>
        </w:trPr>
        <w:tc>
          <w:tcPr>
            <w:tcW w:w="8010" w:type="dxa"/>
            <w:gridSpan w:val="2"/>
          </w:tcPr>
          <w:p w:rsidR="005F037D" w:rsidRDefault="005F037D" w:rsidP="00193A65">
            <w:pPr>
              <w:keepNext/>
              <w:tabs>
                <w:tab w:val="left" w:pos="725"/>
                <w:tab w:val="left" w:pos="890"/>
              </w:tabs>
            </w:pPr>
          </w:p>
          <w:p w:rsidR="005F037D" w:rsidRDefault="00741DF2" w:rsidP="00CE1085">
            <w:r>
              <w:rPr>
                <w:noProof/>
                <w:lang w:eastAsia="zh-CN"/>
              </w:rPr>
              <w:drawing>
                <wp:inline distT="0" distB="0" distL="0" distR="0">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rsidTr="0077761F">
        <w:trPr>
          <w:gridAfter w:val="1"/>
          <w:wAfter w:w="2070" w:type="dxa"/>
          <w:cantSplit/>
          <w:trHeight w:val="200"/>
        </w:trPr>
        <w:tc>
          <w:tcPr>
            <w:tcW w:w="990" w:type="dxa"/>
            <w:vMerge w:val="restart"/>
            <w:vAlign w:val="bottom"/>
          </w:tcPr>
          <w:p w:rsidR="005F037D" w:rsidRPr="00274356" w:rsidRDefault="005F037D" w:rsidP="00274356"/>
        </w:tc>
        <w:tc>
          <w:tcPr>
            <w:tcW w:w="7020" w:type="dxa"/>
            <w:vAlign w:val="bottom"/>
          </w:tcPr>
          <w:p w:rsidR="000B2128" w:rsidRDefault="000B2128" w:rsidP="000B2128">
            <w:pPr>
              <w:pStyle w:val="ESEReportName"/>
            </w:pPr>
            <w:r>
              <w:t xml:space="preserve">Report to the Legislature: </w:t>
            </w:r>
          </w:p>
          <w:p w:rsidR="005F037D" w:rsidRPr="00F66EB7" w:rsidRDefault="000B2128" w:rsidP="000B2128">
            <w:pPr>
              <w:pStyle w:val="ESEReportName"/>
            </w:pPr>
            <w:r w:rsidRPr="009B5896">
              <w:t>Annual Report on</w:t>
            </w:r>
            <w:r>
              <w:t xml:space="preserve"> Students with Disabilities 2013</w:t>
            </w:r>
            <w:r w:rsidRPr="009B5896">
              <w:t>-201</w:t>
            </w:r>
            <w:r>
              <w:t>4</w:t>
            </w:r>
          </w:p>
        </w:tc>
      </w:tr>
      <w:tr w:rsidR="005F037D" w:rsidTr="0077761F">
        <w:trPr>
          <w:gridAfter w:val="1"/>
          <w:wAfter w:w="2070" w:type="dxa"/>
          <w:cantSplit/>
          <w:trHeight w:val="240"/>
        </w:trPr>
        <w:tc>
          <w:tcPr>
            <w:tcW w:w="990" w:type="dxa"/>
            <w:vMerge/>
            <w:vAlign w:val="bottom"/>
          </w:tcPr>
          <w:p w:rsidR="005F037D" w:rsidRDefault="005F037D">
            <w:pPr>
              <w:spacing w:line="400" w:lineRule="exact"/>
              <w:rPr>
                <w:rFonts w:ascii="Arial" w:hAnsi="Arial"/>
                <w:color w:val="000000"/>
              </w:rPr>
            </w:pPr>
          </w:p>
        </w:tc>
        <w:tc>
          <w:tcPr>
            <w:tcW w:w="7020" w:type="dxa"/>
          </w:tcPr>
          <w:p w:rsidR="005F037D" w:rsidRPr="00EB1F6F" w:rsidRDefault="008212C8">
            <w:r>
              <w:pict>
                <v:rect id="_x0000_i1025" style="width:0;height:1.5pt" o:hrstd="t" o:hr="t" fillcolor="#aaa" stroked="f"/>
              </w:pict>
            </w:r>
          </w:p>
        </w:tc>
      </w:tr>
      <w:tr w:rsidR="005F037D" w:rsidTr="0077761F">
        <w:trPr>
          <w:gridAfter w:val="1"/>
          <w:wAfter w:w="2070" w:type="dxa"/>
          <w:cantSplit/>
          <w:trHeight w:val="760"/>
        </w:trPr>
        <w:tc>
          <w:tcPr>
            <w:tcW w:w="990" w:type="dxa"/>
            <w:vMerge/>
            <w:vAlign w:val="bottom"/>
          </w:tcPr>
          <w:p w:rsidR="005F037D" w:rsidRDefault="005F037D">
            <w:pPr>
              <w:spacing w:line="400" w:lineRule="exact"/>
              <w:rPr>
                <w:rFonts w:ascii="Arial" w:hAnsi="Arial"/>
                <w:color w:val="000000"/>
              </w:rPr>
            </w:pPr>
          </w:p>
        </w:tc>
        <w:tc>
          <w:tcPr>
            <w:tcW w:w="7020" w:type="dxa"/>
          </w:tcPr>
          <w:p w:rsidR="000B2128" w:rsidRDefault="000B2128" w:rsidP="000B2128">
            <w:pPr>
              <w:pStyle w:val="arial9"/>
            </w:pPr>
            <w:r>
              <w:t>Chapter 159, Acts of 2000</w:t>
            </w:r>
          </w:p>
          <w:p w:rsidR="000B2128" w:rsidRDefault="00BE568F" w:rsidP="000B2128">
            <w:pPr>
              <w:pStyle w:val="arial9"/>
            </w:pPr>
            <w:r>
              <w:t>December 2014</w:t>
            </w:r>
          </w:p>
          <w:p w:rsidR="005F037D" w:rsidRDefault="005F037D"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EB1F6F">
            <w:pPr>
              <w:pStyle w:val="arial9"/>
            </w:pPr>
          </w:p>
          <w:p w:rsidR="0029686C" w:rsidRDefault="0029686C" w:rsidP="0029686C">
            <w:pPr>
              <w:pStyle w:val="AgencyTitle"/>
            </w:pPr>
            <w:r>
              <w:t>Massachusetts Department of Elementary and Secondary Education</w:t>
            </w:r>
          </w:p>
          <w:p w:rsidR="0029686C" w:rsidRDefault="0029686C" w:rsidP="0029686C">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r>
              <w:rPr>
                <w:snapToGrid w:val="0"/>
              </w:rPr>
              <w:t>-4906</w:t>
            </w:r>
          </w:p>
          <w:p w:rsidR="0029686C" w:rsidRPr="0020780F" w:rsidRDefault="0029686C" w:rsidP="0029686C">
            <w:pPr>
              <w:pStyle w:val="arial9"/>
              <w:rPr>
                <w:snapToGrid w:val="0"/>
              </w:rPr>
            </w:pPr>
            <w:r>
              <w:rPr>
                <w:snapToGrid w:val="0"/>
              </w:rPr>
              <w:t xml:space="preserve">Phone 781-338-3000  </w:t>
            </w:r>
            <w:r w:rsidRPr="0020780F">
              <w:rPr>
                <w:snapToGrid w:val="0"/>
              </w:rPr>
              <w:t>TTY: N.E.T. Relay 800-439-2370</w:t>
            </w:r>
          </w:p>
          <w:p w:rsidR="0029686C" w:rsidRDefault="0029686C" w:rsidP="0029686C">
            <w:pPr>
              <w:pStyle w:val="arial9"/>
            </w:pPr>
            <w:r>
              <w:rPr>
                <w:snapToGrid w:val="0"/>
              </w:rPr>
              <w:t>www.doe.mass.edu</w:t>
            </w:r>
          </w:p>
        </w:tc>
      </w:tr>
      <w:tr w:rsidR="00C118B2" w:rsidTr="0077761F">
        <w:tblPrEx>
          <w:tblCellMar>
            <w:left w:w="108" w:type="dxa"/>
            <w:right w:w="108" w:type="dxa"/>
          </w:tblCellMar>
        </w:tblPrEx>
        <w:trPr>
          <w:trHeight w:val="8235"/>
        </w:trPr>
        <w:tc>
          <w:tcPr>
            <w:tcW w:w="10080" w:type="dxa"/>
            <w:gridSpan w:val="3"/>
          </w:tcPr>
          <w:p w:rsidR="00C118B2" w:rsidRPr="00345DE2" w:rsidRDefault="00741DF2" w:rsidP="00100600">
            <w:pPr>
              <w:jc w:val="center"/>
            </w:pPr>
            <w:r>
              <w:rPr>
                <w:noProof/>
                <w:lang w:eastAsia="zh-CN"/>
              </w:rPr>
              <w:lastRenderedPageBreak/>
              <w:drawing>
                <wp:inline distT="0" distB="0" distL="0" distR="0">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C118B2" w:rsidRPr="00345DE2" w:rsidRDefault="00C118B2" w:rsidP="00345DE2"/>
          <w:p w:rsidR="00C118B2" w:rsidRPr="00345DE2" w:rsidRDefault="00C118B2" w:rsidP="00345DE2"/>
          <w:p w:rsidR="00C118B2" w:rsidRDefault="00C118B2" w:rsidP="00100600">
            <w:pPr>
              <w:pStyle w:val="BoardMembers"/>
            </w:pPr>
            <w:r>
              <w:t xml:space="preserve">This document was prepared by the </w:t>
            </w:r>
            <w:r>
              <w:br/>
              <w:t xml:space="preserve">Massachusetts Department of </w:t>
            </w:r>
            <w:r w:rsidR="00440BAB" w:rsidRPr="00440BAB">
              <w:t xml:space="preserve">Elementary and Secondary </w:t>
            </w:r>
            <w:r>
              <w:t>Education</w:t>
            </w:r>
          </w:p>
          <w:p w:rsidR="00CC22F1" w:rsidRDefault="00CC22F1" w:rsidP="008734A6">
            <w:pPr>
              <w:pStyle w:val="BoardMembers"/>
            </w:pPr>
            <w:r w:rsidRPr="00CC22F1">
              <w:t>Mitchell D. Chester, Ed.D</w:t>
            </w:r>
            <w:r w:rsidR="00AD298F">
              <w:t>.</w:t>
            </w:r>
          </w:p>
          <w:p w:rsidR="00C118B2" w:rsidRDefault="00C118B2" w:rsidP="008734A6">
            <w:pPr>
              <w:pStyle w:val="BoardMembers"/>
            </w:pPr>
            <w:r>
              <w:t xml:space="preserve">Commissioner </w:t>
            </w:r>
          </w:p>
          <w:p w:rsidR="00C118B2" w:rsidRDefault="00C118B2" w:rsidP="00345DE2"/>
          <w:p w:rsidR="00B61B2F" w:rsidRPr="00345DE2" w:rsidRDefault="00B61B2F" w:rsidP="00345DE2"/>
          <w:p w:rsidR="007C3083" w:rsidRDefault="007C3083" w:rsidP="007C3083">
            <w:pPr>
              <w:pStyle w:val="BoardMembers"/>
              <w:rPr>
                <w:b/>
              </w:rPr>
            </w:pPr>
            <w:r>
              <w:rPr>
                <w:b/>
              </w:rPr>
              <w:t>Board of Elementary and Secondary Education Members</w:t>
            </w:r>
          </w:p>
          <w:p w:rsidR="00E773BB" w:rsidRPr="00CB2DCE" w:rsidRDefault="00E773BB" w:rsidP="00E773BB">
            <w:pPr>
              <w:jc w:val="center"/>
              <w:rPr>
                <w:rFonts w:ascii="Arial" w:hAnsi="Arial" w:cs="Arial"/>
                <w:color w:val="000000"/>
                <w:sz w:val="18"/>
                <w:szCs w:val="18"/>
              </w:rPr>
            </w:pPr>
            <w:r w:rsidRPr="00CB2DCE">
              <w:rPr>
                <w:rFonts w:ascii="Arial" w:hAnsi="Arial" w:cs="Arial"/>
                <w:bCs/>
                <w:color w:val="000000"/>
                <w:sz w:val="18"/>
                <w:szCs w:val="18"/>
              </w:rPr>
              <w:t>Ms. Margaret McKenna, Chair, Boston</w:t>
            </w:r>
          </w:p>
          <w:p w:rsidR="00E773BB" w:rsidRPr="00CB2DCE" w:rsidRDefault="00E773BB" w:rsidP="00E773BB">
            <w:pPr>
              <w:jc w:val="center"/>
              <w:rPr>
                <w:rFonts w:ascii="Arial" w:hAnsi="Arial" w:cs="Arial"/>
                <w:color w:val="000000"/>
                <w:sz w:val="18"/>
                <w:szCs w:val="18"/>
              </w:rPr>
            </w:pPr>
            <w:r w:rsidRPr="00CB2DCE">
              <w:rPr>
                <w:rFonts w:ascii="Arial" w:hAnsi="Arial" w:cs="Arial"/>
                <w:bCs/>
                <w:color w:val="000000"/>
                <w:sz w:val="18"/>
                <w:szCs w:val="18"/>
              </w:rPr>
              <w:t>Dr. Vanessa Calderón-Rosado, Milton</w:t>
            </w:r>
          </w:p>
          <w:p w:rsidR="00E773BB" w:rsidRPr="00CB2DCE" w:rsidRDefault="00E773BB" w:rsidP="00E773BB">
            <w:pPr>
              <w:jc w:val="center"/>
              <w:rPr>
                <w:rFonts w:ascii="Arial" w:hAnsi="Arial" w:cs="Arial"/>
                <w:color w:val="000000"/>
                <w:sz w:val="18"/>
                <w:szCs w:val="18"/>
              </w:rPr>
            </w:pPr>
            <w:r w:rsidRPr="00CB2DCE">
              <w:rPr>
                <w:rFonts w:ascii="Arial" w:hAnsi="Arial" w:cs="Arial"/>
                <w:bCs/>
                <w:color w:val="000000"/>
                <w:sz w:val="18"/>
                <w:szCs w:val="18"/>
              </w:rPr>
              <w:t>Ms. Harneen Chernow, Jamaica Plain</w:t>
            </w:r>
          </w:p>
          <w:p w:rsidR="00E773BB" w:rsidRPr="00CB2DCE" w:rsidRDefault="00E773BB" w:rsidP="00E773BB">
            <w:pPr>
              <w:jc w:val="center"/>
              <w:rPr>
                <w:rFonts w:ascii="Arial" w:hAnsi="Arial" w:cs="Arial"/>
                <w:color w:val="000000"/>
                <w:sz w:val="18"/>
                <w:szCs w:val="18"/>
              </w:rPr>
            </w:pPr>
            <w:r w:rsidRPr="00CB2DCE">
              <w:rPr>
                <w:rFonts w:ascii="Arial" w:hAnsi="Arial" w:cs="Arial"/>
                <w:bCs/>
                <w:color w:val="000000"/>
                <w:sz w:val="18"/>
                <w:szCs w:val="18"/>
              </w:rPr>
              <w:t>Ms. Katherine Craven, Brookline</w:t>
            </w:r>
          </w:p>
          <w:p w:rsidR="00E773BB" w:rsidRPr="00CB2DCE" w:rsidRDefault="00E773BB" w:rsidP="00E773BB">
            <w:pPr>
              <w:jc w:val="center"/>
              <w:rPr>
                <w:rFonts w:ascii="Arial" w:hAnsi="Arial" w:cs="Arial"/>
                <w:color w:val="000000"/>
                <w:sz w:val="18"/>
                <w:szCs w:val="18"/>
              </w:rPr>
            </w:pPr>
            <w:r w:rsidRPr="00CB2DCE">
              <w:rPr>
                <w:rFonts w:ascii="Arial" w:hAnsi="Arial" w:cs="Arial"/>
                <w:bCs/>
                <w:color w:val="000000"/>
                <w:sz w:val="18"/>
                <w:szCs w:val="18"/>
              </w:rPr>
              <w:t>Ms. Karen Daniels, Milton</w:t>
            </w:r>
          </w:p>
          <w:p w:rsidR="00E773BB" w:rsidRPr="00CB2DCE" w:rsidRDefault="00E773BB" w:rsidP="00E773BB">
            <w:pPr>
              <w:jc w:val="center"/>
              <w:rPr>
                <w:rFonts w:ascii="Arial" w:hAnsi="Arial" w:cs="Arial"/>
                <w:color w:val="000000"/>
                <w:sz w:val="18"/>
                <w:szCs w:val="18"/>
              </w:rPr>
            </w:pPr>
            <w:r w:rsidRPr="00CB2DCE">
              <w:rPr>
                <w:rFonts w:ascii="Arial" w:hAnsi="Arial" w:cs="Arial"/>
                <w:bCs/>
                <w:color w:val="000000"/>
                <w:sz w:val="18"/>
                <w:szCs w:val="18"/>
              </w:rPr>
              <w:t>Dr. Matthew Malone, Secretary of Education, Roslindale</w:t>
            </w:r>
          </w:p>
          <w:p w:rsidR="00E773BB" w:rsidRPr="00CB2DCE" w:rsidRDefault="00E773BB" w:rsidP="00E773BB">
            <w:pPr>
              <w:jc w:val="center"/>
              <w:rPr>
                <w:rFonts w:ascii="Arial" w:hAnsi="Arial" w:cs="Arial"/>
                <w:color w:val="000000"/>
                <w:sz w:val="18"/>
                <w:szCs w:val="18"/>
              </w:rPr>
            </w:pPr>
            <w:r w:rsidRPr="00CB2DCE">
              <w:rPr>
                <w:rFonts w:ascii="Arial" w:hAnsi="Arial" w:cs="Arial"/>
                <w:bCs/>
                <w:color w:val="000000"/>
                <w:sz w:val="18"/>
                <w:szCs w:val="18"/>
              </w:rPr>
              <w:t>Mr. James Morton, Springfield</w:t>
            </w:r>
          </w:p>
          <w:p w:rsidR="00E773BB" w:rsidRPr="00CB2DCE" w:rsidRDefault="00E773BB" w:rsidP="00E773BB">
            <w:pPr>
              <w:jc w:val="center"/>
              <w:rPr>
                <w:rFonts w:ascii="Arial" w:hAnsi="Arial" w:cs="Arial"/>
                <w:color w:val="000000"/>
                <w:sz w:val="18"/>
                <w:szCs w:val="18"/>
              </w:rPr>
            </w:pPr>
            <w:r w:rsidRPr="00CB2DCE">
              <w:rPr>
                <w:rFonts w:ascii="Arial" w:hAnsi="Arial" w:cs="Arial"/>
                <w:bCs/>
                <w:color w:val="000000"/>
                <w:sz w:val="18"/>
                <w:szCs w:val="18"/>
              </w:rPr>
              <w:t>Dr. Pendred Noyce, Weston</w:t>
            </w:r>
          </w:p>
          <w:p w:rsidR="00E773BB" w:rsidRPr="00CB2DCE" w:rsidRDefault="00E773BB" w:rsidP="00E773BB">
            <w:pPr>
              <w:jc w:val="center"/>
              <w:rPr>
                <w:rFonts w:ascii="Arial" w:hAnsi="Arial" w:cs="Arial"/>
                <w:color w:val="000000"/>
                <w:sz w:val="18"/>
                <w:szCs w:val="18"/>
              </w:rPr>
            </w:pPr>
            <w:r w:rsidRPr="00CB2DCE">
              <w:rPr>
                <w:rFonts w:ascii="Arial" w:hAnsi="Arial" w:cs="Arial"/>
                <w:bCs/>
                <w:color w:val="000000"/>
                <w:sz w:val="18"/>
                <w:szCs w:val="18"/>
              </w:rPr>
              <w:t xml:space="preserve">Mr. David Roach, Sutton </w:t>
            </w:r>
          </w:p>
          <w:p w:rsidR="00E773BB" w:rsidRPr="00CB2DCE" w:rsidRDefault="00E773BB" w:rsidP="00E773BB">
            <w:pPr>
              <w:jc w:val="center"/>
              <w:rPr>
                <w:rFonts w:ascii="Arial" w:hAnsi="Arial" w:cs="Arial"/>
                <w:color w:val="000000"/>
                <w:sz w:val="18"/>
                <w:szCs w:val="18"/>
              </w:rPr>
            </w:pPr>
            <w:r>
              <w:rPr>
                <w:rFonts w:ascii="Arial" w:hAnsi="Arial" w:cs="Arial"/>
                <w:bCs/>
                <w:color w:val="000000"/>
                <w:sz w:val="18"/>
                <w:szCs w:val="18"/>
              </w:rPr>
              <w:t xml:space="preserve">Ms. </w:t>
            </w:r>
            <w:r w:rsidRPr="00CB2DCE">
              <w:rPr>
                <w:rFonts w:ascii="Arial" w:hAnsi="Arial" w:cs="Arial"/>
                <w:bCs/>
                <w:color w:val="000000"/>
                <w:sz w:val="18"/>
                <w:szCs w:val="18"/>
              </w:rPr>
              <w:t>Mary Ann Stewart, Lexington</w:t>
            </w:r>
          </w:p>
          <w:p w:rsidR="00E773BB" w:rsidRPr="00CB2DCE" w:rsidRDefault="00E773BB" w:rsidP="00E773BB">
            <w:pPr>
              <w:jc w:val="center"/>
              <w:rPr>
                <w:rFonts w:ascii="Arial" w:hAnsi="Arial" w:cs="Arial"/>
                <w:color w:val="000000"/>
                <w:sz w:val="18"/>
                <w:szCs w:val="18"/>
              </w:rPr>
            </w:pPr>
            <w:r w:rsidRPr="00CB2DCE">
              <w:rPr>
                <w:rFonts w:ascii="Arial" w:hAnsi="Arial" w:cs="Arial"/>
                <w:bCs/>
                <w:color w:val="000000"/>
                <w:sz w:val="18"/>
                <w:szCs w:val="18"/>
              </w:rPr>
              <w:t>Mr. Donald Willyard, Chair, Student Advisory Council, Revere</w:t>
            </w:r>
          </w:p>
          <w:p w:rsidR="00ED25CF" w:rsidRDefault="00ED25CF" w:rsidP="00ED25CF">
            <w:pPr>
              <w:pStyle w:val="BoardMembers"/>
            </w:pPr>
          </w:p>
          <w:p w:rsidR="00ED25CF" w:rsidRDefault="00ED25CF" w:rsidP="00ED25CF">
            <w:pPr>
              <w:pStyle w:val="BoardMembers"/>
            </w:pPr>
            <w:r>
              <w:t>Mitchell D. Chester, Ed.D., Commissioner and Secretary to the Board</w:t>
            </w:r>
          </w:p>
          <w:p w:rsidR="00AD72FC" w:rsidRDefault="00AD72FC" w:rsidP="00AD72FC">
            <w:pPr>
              <w:autoSpaceDE w:val="0"/>
              <w:autoSpaceDN w:val="0"/>
              <w:adjustRightInd w:val="0"/>
              <w:jc w:val="center"/>
            </w:pPr>
          </w:p>
          <w:p w:rsidR="00B61B2F" w:rsidRPr="00345DE2" w:rsidRDefault="00B61B2F" w:rsidP="00AD72FC">
            <w:pPr>
              <w:autoSpaceDE w:val="0"/>
              <w:autoSpaceDN w:val="0"/>
              <w:adjustRightInd w:val="0"/>
              <w:jc w:val="center"/>
            </w:pPr>
          </w:p>
          <w:p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rsidR="00C118B2" w:rsidRDefault="00C118B2" w:rsidP="008734A6">
            <w:pPr>
              <w:pStyle w:val="BoardMembers"/>
            </w:pPr>
            <w:r>
              <w:t>We do not discriminate on the basis of age, color, disability, national origin, race, religion, sex</w:t>
            </w:r>
            <w:r w:rsidR="0099682E">
              <w:t>, gender identity,</w:t>
            </w:r>
            <w:r>
              <w:t xml:space="preserve"> or sexual orientation. </w:t>
            </w:r>
          </w:p>
          <w:p w:rsidR="00C118B2" w:rsidRDefault="00C118B2" w:rsidP="008734A6">
            <w:pPr>
              <w:pStyle w:val="BoardMembers"/>
            </w:pPr>
            <w:r>
              <w:t xml:space="preserve"> Inquiries regarding the Department’s compliance with Title IX and other civil rights laws may be directed to the </w:t>
            </w:r>
          </w:p>
          <w:p w:rsidR="00C118B2" w:rsidRDefault="00C118B2" w:rsidP="008734A6">
            <w:pPr>
              <w:pStyle w:val="BoardMembers"/>
            </w:pPr>
            <w:r>
              <w:t xml:space="preserve">Human Resources Director, </w:t>
            </w:r>
            <w:r w:rsidR="005152E7">
              <w:rPr>
                <w:snapToGrid w:val="0"/>
              </w:rPr>
              <w:t xml:space="preserve">75 Pleasant </w:t>
            </w:r>
            <w:r>
              <w:t>St., Malden, MA 02148</w:t>
            </w:r>
            <w:r w:rsidR="007102D5">
              <w:t>-4906. Phone:</w:t>
            </w:r>
            <w:r>
              <w:t xml:space="preserve"> 781-338-6105.</w:t>
            </w:r>
          </w:p>
          <w:p w:rsidR="00C118B2" w:rsidRDefault="00C118B2" w:rsidP="00345DE2"/>
          <w:p w:rsidR="00B61B2F" w:rsidRPr="00345DE2" w:rsidRDefault="00B61B2F" w:rsidP="00345DE2"/>
          <w:p w:rsidR="00C118B2" w:rsidRDefault="00C118B2" w:rsidP="008734A6">
            <w:pPr>
              <w:pStyle w:val="BoardMembers"/>
            </w:pPr>
            <w:r>
              <w:t>© 20</w:t>
            </w:r>
            <w:r w:rsidR="00E72815">
              <w:t>1</w:t>
            </w:r>
            <w:r w:rsidR="00712E66">
              <w:t>4</w:t>
            </w:r>
            <w:r>
              <w:t xml:space="preserve"> Massachusetts Department of </w:t>
            </w:r>
            <w:r w:rsidR="00440BAB" w:rsidRPr="00440BAB">
              <w:t xml:space="preserve">Elementary and Secondary </w:t>
            </w:r>
            <w:r>
              <w:t>Education</w:t>
            </w:r>
          </w:p>
          <w:p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rsidR="00C118B2" w:rsidRPr="00345DE2" w:rsidRDefault="00C118B2" w:rsidP="00345DE2"/>
          <w:p w:rsidR="00C118B2" w:rsidRDefault="00C118B2" w:rsidP="00345DE2">
            <w:pPr>
              <w:pStyle w:val="Permission"/>
            </w:pPr>
            <w:r>
              <w:t>This document printed on recycled paper</w:t>
            </w:r>
          </w:p>
          <w:p w:rsidR="00C118B2" w:rsidRPr="00345DE2" w:rsidRDefault="00C118B2" w:rsidP="00345DE2"/>
          <w:p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rsidR="00C118B2" w:rsidRDefault="005152E7" w:rsidP="008734A6">
            <w:pPr>
              <w:pStyle w:val="BoardMembers"/>
            </w:pPr>
            <w:r>
              <w:rPr>
                <w:snapToGrid w:val="0"/>
              </w:rPr>
              <w:t xml:space="preserve">75 Pleasant </w:t>
            </w:r>
            <w:r w:rsidR="00C118B2">
              <w:t xml:space="preserve">Street, </w:t>
            </w:r>
            <w:smartTag w:uri="urn:schemas-microsoft-com:office:smarttags" w:element="place">
              <w:smartTag w:uri="urn:schemas-microsoft-com:office:smarttags" w:element="City">
                <w:r w:rsidR="00C118B2">
                  <w:t>Malden</w:t>
                </w:r>
              </w:smartTag>
              <w:r w:rsidR="00C118B2">
                <w:t xml:space="preserve">, </w:t>
              </w:r>
              <w:smartTag w:uri="urn:schemas-microsoft-com:office:smarttags" w:element="State">
                <w:r w:rsidR="00C118B2">
                  <w:t>MA</w:t>
                </w:r>
              </w:smartTag>
              <w:r w:rsidR="00C118B2">
                <w:t xml:space="preserve"> </w:t>
              </w:r>
              <w:smartTag w:uri="urn:schemas-microsoft-com:office:smarttags" w:element="PostalCode">
                <w:r w:rsidR="00C118B2">
                  <w:t>02148</w:t>
                </w:r>
              </w:smartTag>
            </w:smartTag>
            <w:r w:rsidR="00C118B2">
              <w:t>-</w:t>
            </w:r>
            <w:r w:rsidR="00740C0D">
              <w:t>4906</w:t>
            </w:r>
          </w:p>
          <w:p w:rsidR="0020780F" w:rsidRDefault="0020780F" w:rsidP="008734A6">
            <w:pPr>
              <w:pStyle w:val="BoardMembers"/>
            </w:pPr>
            <w:r w:rsidRPr="0020780F">
              <w:t>Phone 781-338-3000  TTY: N.E.T. Relay 800-439-2370</w:t>
            </w:r>
          </w:p>
          <w:p w:rsidR="00C118B2" w:rsidRDefault="00C118B2" w:rsidP="008734A6">
            <w:pPr>
              <w:pStyle w:val="BoardMembers"/>
            </w:pPr>
            <w:r>
              <w:t>www.doe.mass.edu</w:t>
            </w:r>
          </w:p>
          <w:p w:rsidR="00C118B2" w:rsidRPr="00345DE2" w:rsidRDefault="00C118B2" w:rsidP="00345DE2"/>
          <w:p w:rsidR="00C118B2" w:rsidRDefault="00741DF2" w:rsidP="00C118B2">
            <w:pPr>
              <w:jc w:val="center"/>
              <w:rPr>
                <w:sz w:val="18"/>
              </w:rPr>
            </w:pPr>
            <w:r>
              <w:rPr>
                <w:noProof/>
                <w:lang w:eastAsia="zh-CN"/>
              </w:rPr>
              <w:drawing>
                <wp:inline distT="0" distB="0" distL="0" distR="0">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rsidR="004D45D4" w:rsidRDefault="004D45D4" w:rsidP="00C118B2"/>
    <w:p w:rsidR="00FA0025" w:rsidRPr="003B1D70" w:rsidRDefault="004D45D4" w:rsidP="007102D5">
      <w:pPr>
        <w:ind w:left="540" w:firstLine="720"/>
        <w:rPr>
          <w:rFonts w:ascii="Arial" w:hAnsi="Arial" w:cs="Arial"/>
        </w:rPr>
      </w:pPr>
      <w:r>
        <w:br w:type="page"/>
      </w:r>
      <w:r w:rsidR="00741DF2">
        <w:rPr>
          <w:rFonts w:ascii="Arial" w:hAnsi="Arial" w:cs="Arial"/>
          <w:i/>
          <w:noProof/>
          <w:sz w:val="40"/>
          <w:lang w:eastAsia="zh-CN"/>
        </w:rPr>
        <w:lastRenderedPageBreak/>
        <w:drawing>
          <wp:anchor distT="0" distB="0" distL="114300" distR="274320" simplePos="0" relativeHeight="251658240"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sidR="00FA0025" w:rsidRPr="003B1D70">
        <w:rPr>
          <w:rFonts w:ascii="Arial" w:hAnsi="Arial" w:cs="Arial"/>
          <w:b/>
          <w:i/>
          <w:sz w:val="40"/>
        </w:rPr>
        <w:t>Massachusetts Department of</w:t>
      </w:r>
    </w:p>
    <w:p w:rsidR="00FA0025" w:rsidRPr="004C1FFA" w:rsidRDefault="00FA0025" w:rsidP="004C1FFA">
      <w:pPr>
        <w:ind w:left="1260"/>
        <w:rPr>
          <w:rFonts w:ascii="Century Schoolbook" w:hAnsi="Century Schoolbook"/>
        </w:rPr>
      </w:pPr>
      <w:r w:rsidRPr="003B1D70">
        <w:rPr>
          <w:rFonts w:ascii="Arial" w:hAnsi="Arial" w:cs="Arial"/>
          <w:b/>
          <w:i/>
          <w:sz w:val="40"/>
        </w:rPr>
        <w:t xml:space="preserve">Elementary </w:t>
      </w:r>
      <w:r w:rsidR="002C2113" w:rsidRPr="003B1D70">
        <w:rPr>
          <w:rFonts w:ascii="Arial" w:hAnsi="Arial" w:cs="Arial"/>
          <w:b/>
          <w:i/>
          <w:sz w:val="40"/>
        </w:rPr>
        <w:t>&amp;</w:t>
      </w:r>
      <w:r w:rsidRPr="003B1D70">
        <w:rPr>
          <w:rFonts w:ascii="Arial" w:hAnsi="Arial" w:cs="Arial"/>
          <w:b/>
          <w:i/>
          <w:sz w:val="40"/>
        </w:rPr>
        <w:t xml:space="preserve"> Secondary Education</w:t>
      </w:r>
    </w:p>
    <w:p w:rsidR="00FA0025" w:rsidRPr="00FA0025" w:rsidRDefault="008212C8" w:rsidP="002C2113">
      <w:pPr>
        <w:ind w:left="1260"/>
      </w:pPr>
      <w:r>
        <w:rPr>
          <w:noProof/>
        </w:rPr>
        <w:pict>
          <v:line id="_x0000_s1026" alt="Horizontal line" style="position:absolute;left:0;text-align:left;z-index:251657216" from="62.4pt,5.1pt" to="473.35pt,5.1pt" o:allowincell="f" strokeweight="1pt"/>
        </w:pict>
      </w:r>
    </w:p>
    <w:p w:rsidR="00FA0025" w:rsidRPr="00FA0025" w:rsidRDefault="003B1D70" w:rsidP="002C2113">
      <w:pPr>
        <w:tabs>
          <w:tab w:val="right" w:pos="9360"/>
        </w:tabs>
        <w:ind w:left="1260"/>
        <w:rPr>
          <w:rFonts w:ascii="Arial" w:hAnsi="Arial" w:cs="Arial"/>
          <w:i/>
          <w:sz w:val="16"/>
          <w:szCs w:val="16"/>
        </w:rPr>
      </w:pPr>
      <w:r>
        <w:rPr>
          <w:rFonts w:ascii="Arial" w:hAnsi="Arial" w:cs="Arial"/>
          <w:i/>
          <w:sz w:val="16"/>
          <w:szCs w:val="16"/>
        </w:rPr>
        <w:t xml:space="preserve">75 Pleasant </w:t>
      </w:r>
      <w:proofErr w:type="gramStart"/>
      <w:r w:rsidR="002C2113">
        <w:rPr>
          <w:rFonts w:ascii="Arial" w:hAnsi="Arial" w:cs="Arial"/>
          <w:i/>
          <w:sz w:val="16"/>
          <w:szCs w:val="16"/>
        </w:rPr>
        <w:t>Street</w:t>
      </w:r>
      <w:proofErr w:type="gramEnd"/>
      <w:r>
        <w:rPr>
          <w:rFonts w:ascii="Arial" w:hAnsi="Arial" w:cs="Arial"/>
          <w:i/>
          <w:sz w:val="16"/>
          <w:szCs w:val="16"/>
        </w:rPr>
        <w:t>, Malden, Massachusetts 02148-4906</w:t>
      </w:r>
      <w:r w:rsidR="00FA0025" w:rsidRPr="00FA0025">
        <w:rPr>
          <w:rFonts w:ascii="Arial" w:hAnsi="Arial" w:cs="Arial"/>
          <w:i/>
          <w:sz w:val="16"/>
          <w:szCs w:val="16"/>
        </w:rPr>
        <w:tab/>
        <w:t>Telephone: (781) 338-3000</w:t>
      </w:r>
    </w:p>
    <w:p w:rsidR="00FA0025" w:rsidRPr="00FA0025" w:rsidRDefault="00FA0025" w:rsidP="002C2113">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FA0025" w:rsidRPr="00C974A6" w:rsidRDefault="00FA0025" w:rsidP="00FA0025">
      <w:pPr>
        <w:ind w:left="720"/>
        <w:rPr>
          <w:rFonts w:ascii="Arial" w:hAnsi="Arial"/>
          <w:i/>
          <w:sz w:val="16"/>
          <w:szCs w:val="16"/>
        </w:rPr>
      </w:pPr>
    </w:p>
    <w:p w:rsidR="00FA0025" w:rsidRDefault="00FA0025" w:rsidP="00FA0025">
      <w:pPr>
        <w:ind w:left="720"/>
        <w:rPr>
          <w:rFonts w:ascii="Arial" w:hAnsi="Arial"/>
          <w:i/>
          <w:sz w:val="18"/>
        </w:rPr>
        <w:sectPr w:rsidR="00FA0025" w:rsidSect="007102D5">
          <w:endnotePr>
            <w:numFmt w:val="decimal"/>
          </w:endnotePr>
          <w:pgSz w:w="12240" w:h="15840"/>
          <w:pgMar w:top="1440" w:right="1440" w:bottom="1440" w:left="1440" w:header="1440" w:footer="1440" w:gutter="0"/>
          <w:cols w:space="720"/>
          <w:noEndnote/>
          <w:docGrid w:linePitch="326"/>
        </w:sectPr>
      </w:pPr>
    </w:p>
    <w:p w:rsidR="00FF24F8" w:rsidRDefault="00FF24F8" w:rsidP="007E03DD">
      <w:pPr>
        <w:spacing w:after="120"/>
      </w:pPr>
    </w:p>
    <w:p w:rsidR="006A6079" w:rsidRDefault="00BF5860" w:rsidP="007E03DD">
      <w:pPr>
        <w:spacing w:after="120"/>
      </w:pPr>
      <w:r>
        <w:t>December 2014</w:t>
      </w:r>
    </w:p>
    <w:p w:rsidR="00FF24F8" w:rsidRPr="0072770E" w:rsidRDefault="00FF24F8" w:rsidP="007E03DD">
      <w:pPr>
        <w:spacing w:after="120"/>
      </w:pPr>
    </w:p>
    <w:p w:rsidR="006A6079" w:rsidRPr="0072770E" w:rsidRDefault="006A6079" w:rsidP="007E03DD">
      <w:pPr>
        <w:pStyle w:val="BodyTextIndent"/>
        <w:ind w:left="0"/>
      </w:pPr>
      <w:r w:rsidRPr="0072770E">
        <w:t xml:space="preserve">Dear Members of the General Court:         </w:t>
      </w:r>
    </w:p>
    <w:p w:rsidR="00A753FD" w:rsidRDefault="006A6079" w:rsidP="0020208B">
      <w:pPr>
        <w:pStyle w:val="BodyTextIndent"/>
        <w:spacing w:after="0"/>
        <w:ind w:left="0"/>
        <w:rPr>
          <w:i/>
        </w:rPr>
      </w:pPr>
      <w:r w:rsidRPr="0072770E">
        <w:t xml:space="preserve">I am pleased to submit this </w:t>
      </w:r>
      <w:r w:rsidR="00C52649">
        <w:rPr>
          <w:i/>
        </w:rPr>
        <w:t>Report to the Legislature:</w:t>
      </w:r>
      <w:r w:rsidR="007F4348">
        <w:rPr>
          <w:i/>
        </w:rPr>
        <w:t xml:space="preserve"> </w:t>
      </w:r>
      <w:r w:rsidRPr="0072770E">
        <w:rPr>
          <w:i/>
        </w:rPr>
        <w:t>Annual Report on Students with Disabilities 2013-2014</w:t>
      </w:r>
      <w:r w:rsidRPr="0072770E">
        <w:t xml:space="preserve">. This report has been provided to the Legislature on an annual basis since 2000 when the legislature amended the language of G.L. c. 71B to align Massachusetts special education terminology with the federal </w:t>
      </w:r>
      <w:r w:rsidRPr="0072770E">
        <w:rPr>
          <w:i/>
        </w:rPr>
        <w:t>Individuals with Disabilities Education Act (IDEA).</w:t>
      </w:r>
    </w:p>
    <w:p w:rsidR="0020208B" w:rsidRPr="0072770E" w:rsidRDefault="0020208B" w:rsidP="0020208B">
      <w:pPr>
        <w:pStyle w:val="BodyTextIndent"/>
        <w:spacing w:after="0"/>
        <w:ind w:left="0"/>
      </w:pPr>
    </w:p>
    <w:p w:rsidR="00A14695" w:rsidRDefault="006A6079" w:rsidP="0020208B">
      <w:pPr>
        <w:pStyle w:val="BodyTextIndent"/>
        <w:spacing w:after="0"/>
        <w:ind w:left="0"/>
      </w:pPr>
      <w:r w:rsidRPr="0072770E">
        <w:t>This year we report to you in the context of a major change in the way state systems of special education are evaluated by the federal Office of Special Education Programs</w:t>
      </w:r>
      <w:r w:rsidR="00D9616C">
        <w:t xml:space="preserve"> (OSEP). </w:t>
      </w:r>
      <w:r w:rsidR="0030023F" w:rsidRPr="0072770E">
        <w:t xml:space="preserve">As required by the 2004 </w:t>
      </w:r>
      <w:r w:rsidR="00651863">
        <w:t>Reauthorization of</w:t>
      </w:r>
      <w:r w:rsidR="0030023F" w:rsidRPr="0072770E">
        <w:t xml:space="preserve"> IDEA, </w:t>
      </w:r>
      <w:r w:rsidR="00A753FD" w:rsidRPr="0072770E">
        <w:t xml:space="preserve">the Department submitted an </w:t>
      </w:r>
      <w:hyperlink r:id="rId15" w:history="1">
        <w:r w:rsidR="00A753FD" w:rsidRPr="0072770E">
          <w:rPr>
            <w:rStyle w:val="Hyperlink"/>
          </w:rPr>
          <w:t>annual report</w:t>
        </w:r>
      </w:hyperlink>
      <w:r w:rsidR="00A753FD" w:rsidRPr="0072770E">
        <w:t xml:space="preserve"> on </w:t>
      </w:r>
      <w:r w:rsidR="0030023F" w:rsidRPr="0072770E">
        <w:t xml:space="preserve">20 </w:t>
      </w:r>
      <w:r w:rsidR="00A753FD" w:rsidRPr="0072770E">
        <w:t>compliance and performance</w:t>
      </w:r>
      <w:r w:rsidR="0030023F" w:rsidRPr="0072770E">
        <w:t xml:space="preserve"> indicators</w:t>
      </w:r>
      <w:r w:rsidR="00A753FD" w:rsidRPr="0072770E">
        <w:t xml:space="preserve"> to OSEP on February 1, 2014. </w:t>
      </w:r>
      <w:r w:rsidRPr="0072770E">
        <w:t>OSEP’s accountability system</w:t>
      </w:r>
      <w:r w:rsidR="0030023F" w:rsidRPr="0072770E">
        <w:t xml:space="preserve"> has historically</w:t>
      </w:r>
      <w:r w:rsidRPr="0072770E">
        <w:t xml:space="preserve"> placed heav</w:t>
      </w:r>
      <w:r w:rsidR="00B8051D">
        <w:t xml:space="preserve">y emphasis on compliance alone. </w:t>
      </w:r>
      <w:r w:rsidR="00A753FD" w:rsidRPr="0072770E">
        <w:t>This year</w:t>
      </w:r>
      <w:r w:rsidRPr="0072770E">
        <w:t xml:space="preserve"> </w:t>
      </w:r>
      <w:r w:rsidR="00A14695" w:rsidRPr="0072770E">
        <w:t xml:space="preserve">OSEP launched a </w:t>
      </w:r>
      <w:r w:rsidRPr="0072770E">
        <w:t xml:space="preserve">new Results Driven Accountability (RDA) framework which focuses on states’ </w:t>
      </w:r>
      <w:r w:rsidR="00A753FD" w:rsidRPr="0072770E">
        <w:t xml:space="preserve">record of improving educational results and functional outcomes for students with disabilities. </w:t>
      </w:r>
      <w:r w:rsidR="00A14695" w:rsidRPr="0072770E">
        <w:t xml:space="preserve">Under this new framework, OSEP has determined that Massachusetts “meets requirements” on the basis of our students with disabilities’ performance on the National Assessment of Educational Progress (NAEP) and their participation rate in the MCAS, taken together with a high statewide rate of compliance. </w:t>
      </w:r>
      <w:r w:rsidR="00683F90" w:rsidRPr="0072770E">
        <w:t>The full report can be see</w:t>
      </w:r>
      <w:r w:rsidR="00D15484" w:rsidRPr="0072770E">
        <w:t>n</w:t>
      </w:r>
      <w:r w:rsidR="00683F90" w:rsidRPr="0072770E">
        <w:t xml:space="preserve"> here:</w:t>
      </w:r>
      <w:r w:rsidR="0020208B">
        <w:t xml:space="preserve"> </w:t>
      </w:r>
      <w:hyperlink r:id="rId16" w:anchor="ma" w:history="1">
        <w:r w:rsidR="00683F90" w:rsidRPr="0072770E">
          <w:rPr>
            <w:rStyle w:val="Hyperlink"/>
          </w:rPr>
          <w:t>www2.ed.gov/fund/data/report/idea/partbspap/allyears.html#ma</w:t>
        </w:r>
      </w:hyperlink>
      <w:r w:rsidR="00C4655C" w:rsidRPr="0072770E">
        <w:t xml:space="preserve">. </w:t>
      </w:r>
    </w:p>
    <w:p w:rsidR="0020208B" w:rsidRPr="0072770E" w:rsidRDefault="0020208B" w:rsidP="0020208B">
      <w:pPr>
        <w:pStyle w:val="BodyTextIndent"/>
        <w:spacing w:after="0"/>
        <w:ind w:left="0"/>
      </w:pPr>
    </w:p>
    <w:p w:rsidR="00BF24E7" w:rsidRDefault="00A14695" w:rsidP="0020208B">
      <w:pPr>
        <w:pStyle w:val="BodyTextIndent"/>
        <w:spacing w:after="0"/>
        <w:ind w:left="0"/>
      </w:pPr>
      <w:r w:rsidRPr="0072770E">
        <w:t>OSEP’s new emphasis on results aligns with our state’s lo</w:t>
      </w:r>
      <w:r w:rsidR="00683F90" w:rsidRPr="0072770E">
        <w:t>ngstanding commitment to improving</w:t>
      </w:r>
      <w:r w:rsidRPr="0072770E">
        <w:t xml:space="preserve"> outcomes for all students. </w:t>
      </w:r>
      <w:r w:rsidR="00683F90" w:rsidRPr="0072770E">
        <w:t xml:space="preserve">As part of that commitment, </w:t>
      </w:r>
      <w:r w:rsidR="00811A36" w:rsidRPr="0072770E">
        <w:t xml:space="preserve">in 2011 </w:t>
      </w:r>
      <w:r w:rsidR="00683F90" w:rsidRPr="0072770E">
        <w:t xml:space="preserve">the </w:t>
      </w:r>
      <w:r w:rsidR="004149BD" w:rsidRPr="0072770E">
        <w:t>Department</w:t>
      </w:r>
      <w:r w:rsidR="00683F90" w:rsidRPr="0072770E">
        <w:t xml:space="preserve"> commissioned Harvard Professor Thomas Hehir to investigate the </w:t>
      </w:r>
      <w:r w:rsidR="00550B7B">
        <w:t xml:space="preserve">status </w:t>
      </w:r>
      <w:r w:rsidR="00683F90" w:rsidRPr="0072770E">
        <w:t>of special education in Massachusetts</w:t>
      </w:r>
      <w:r w:rsidR="00947E7D" w:rsidRPr="0072770E">
        <w:t xml:space="preserve"> and to make specific recommendations</w:t>
      </w:r>
      <w:r w:rsidR="00811A36" w:rsidRPr="0072770E">
        <w:t xml:space="preserve"> in </w:t>
      </w:r>
      <w:hyperlink r:id="rId17" w:history="1">
        <w:r w:rsidR="00811A36" w:rsidRPr="0072770E">
          <w:rPr>
            <w:rStyle w:val="Hyperlink"/>
          </w:rPr>
          <w:t>three reports</w:t>
        </w:r>
      </w:hyperlink>
      <w:r w:rsidR="002A3E86" w:rsidRPr="0072770E">
        <w:t>,</w:t>
      </w:r>
      <w:r w:rsidR="00811A36" w:rsidRPr="0072770E">
        <w:t xml:space="preserve"> published from 2012-2013</w:t>
      </w:r>
      <w:r w:rsidR="002A3E86" w:rsidRPr="0072770E">
        <w:t>,</w:t>
      </w:r>
      <w:r w:rsidR="00811A36" w:rsidRPr="0072770E">
        <w:t xml:space="preserve"> on</w:t>
      </w:r>
      <w:r w:rsidR="00683F90" w:rsidRPr="0072770E">
        <w:t xml:space="preserve"> special education overall, career-vocational technical education, </w:t>
      </w:r>
      <w:r w:rsidR="00811A36" w:rsidRPr="0072770E">
        <w:t xml:space="preserve">and out-of-district placements. </w:t>
      </w:r>
      <w:r w:rsidR="00683F90" w:rsidRPr="0072770E">
        <w:t>In September 2014, Dr. Hehir</w:t>
      </w:r>
      <w:r w:rsidR="00E92F5C" w:rsidRPr="0072770E">
        <w:t xml:space="preserve"> and Associates</w:t>
      </w:r>
      <w:r w:rsidR="00683F90" w:rsidRPr="0072770E">
        <w:t xml:space="preserve"> published a </w:t>
      </w:r>
      <w:hyperlink r:id="rId18" w:history="1">
        <w:r w:rsidR="00683F90" w:rsidRPr="0072770E">
          <w:rPr>
            <w:rStyle w:val="Hyperlink"/>
          </w:rPr>
          <w:t>synthesis report</w:t>
        </w:r>
      </w:hyperlink>
      <w:r w:rsidR="00947E7D" w:rsidRPr="0072770E">
        <w:t xml:space="preserve"> with targeted recommendations to address the summary findings of his research. These findings</w:t>
      </w:r>
      <w:r w:rsidR="009023F5">
        <w:t xml:space="preserve"> are: </w:t>
      </w:r>
    </w:p>
    <w:p w:rsidR="00C27D7C" w:rsidRDefault="00C27D7C" w:rsidP="0020208B">
      <w:pPr>
        <w:pStyle w:val="BodyTextIndent"/>
        <w:spacing w:after="0"/>
        <w:ind w:left="0"/>
      </w:pPr>
    </w:p>
    <w:p w:rsidR="00BF24E7" w:rsidRDefault="00BF24E7" w:rsidP="0020208B">
      <w:pPr>
        <w:pStyle w:val="BodyTextIndent"/>
        <w:numPr>
          <w:ilvl w:val="0"/>
          <w:numId w:val="19"/>
        </w:numPr>
        <w:spacing w:after="0"/>
      </w:pPr>
      <w:r w:rsidRPr="00BF24E7">
        <w:t>There are substantial differences in the identification, placement, and performance of low-income and non-low-income students with disabilities.</w:t>
      </w:r>
      <w:r>
        <w:rPr>
          <w:b/>
        </w:rPr>
        <w:t xml:space="preserve"> </w:t>
      </w:r>
      <w:r w:rsidR="009E24C5">
        <w:t>Students from low-income families are almost twice as likely to be identified as disabled compared to students from non-low-income families.</w:t>
      </w:r>
    </w:p>
    <w:p w:rsidR="00BF24E7" w:rsidRDefault="00BF24E7" w:rsidP="0020208B">
      <w:pPr>
        <w:pStyle w:val="BodyTextIndent"/>
        <w:numPr>
          <w:ilvl w:val="0"/>
          <w:numId w:val="19"/>
        </w:numPr>
        <w:spacing w:after="0"/>
      </w:pPr>
      <w:r w:rsidRPr="00BF24E7">
        <w:t>Students with disabilities who had full inclusion placements appeared to outperform similar students who were not included to the same extent in general education classrooms with their non-disabled peers.</w:t>
      </w:r>
      <w:r w:rsidR="009E24C5">
        <w:t xml:space="preserve"> Among students with disabilities, students from low-income families and students of color are substantially more likely to be educated in </w:t>
      </w:r>
      <w:r w:rsidR="009E24C5">
        <w:lastRenderedPageBreak/>
        <w:t>settings that are substantially separate from non-disabled students than are white and non-low-income students with disabilities.</w:t>
      </w:r>
    </w:p>
    <w:p w:rsidR="00BF24E7" w:rsidRPr="00BF24E7" w:rsidRDefault="00BF24E7" w:rsidP="0020208B">
      <w:pPr>
        <w:pStyle w:val="BodyTextIndent"/>
        <w:numPr>
          <w:ilvl w:val="0"/>
          <w:numId w:val="19"/>
        </w:numPr>
        <w:spacing w:after="0"/>
        <w:rPr>
          <w:noProof/>
        </w:rPr>
      </w:pPr>
      <w:r w:rsidRPr="00BF24E7">
        <w:rPr>
          <w:noProof/>
        </w:rPr>
        <w:t>Inclusive options for students with disabilities in traditional public schools were limited after the elementary school level.</w:t>
      </w:r>
    </w:p>
    <w:p w:rsidR="00BF24E7" w:rsidRDefault="00BF24E7" w:rsidP="00A62261">
      <w:pPr>
        <w:pStyle w:val="BodyTextIndent"/>
        <w:numPr>
          <w:ilvl w:val="0"/>
          <w:numId w:val="19"/>
        </w:numPr>
        <w:spacing w:after="0"/>
      </w:pPr>
      <w:r w:rsidRPr="00BF24E7">
        <w:rPr>
          <w:noProof/>
        </w:rPr>
        <w:t xml:space="preserve">There were meaningful differences from district to district in special education identification, placement, and performance.  </w:t>
      </w:r>
    </w:p>
    <w:p w:rsidR="00A62261" w:rsidRPr="00BF24E7" w:rsidRDefault="00A62261" w:rsidP="00A62261">
      <w:pPr>
        <w:pStyle w:val="BodyTextIndent"/>
        <w:spacing w:after="0"/>
        <w:ind w:left="720"/>
      </w:pPr>
    </w:p>
    <w:p w:rsidR="00A14695" w:rsidRDefault="009023F5" w:rsidP="00A62261">
      <w:pPr>
        <w:pStyle w:val="BodyTextIndent"/>
        <w:spacing w:after="0"/>
        <w:ind w:left="0"/>
        <w:rPr>
          <w:noProof/>
        </w:rPr>
      </w:pPr>
      <w:r>
        <w:t>All report findings</w:t>
      </w:r>
      <w:r w:rsidR="004149BD" w:rsidRPr="0072770E">
        <w:t xml:space="preserve"> and recommendations will be discussed in this </w:t>
      </w:r>
      <w:r w:rsidR="00761B2A">
        <w:t xml:space="preserve">legislative </w:t>
      </w:r>
      <w:r w:rsidR="004149BD" w:rsidRPr="0072770E">
        <w:t xml:space="preserve">report. </w:t>
      </w:r>
      <w:r>
        <w:rPr>
          <w:noProof/>
        </w:rPr>
        <w:t xml:space="preserve">The complete set of four </w:t>
      </w:r>
      <w:r w:rsidR="00761B2A">
        <w:rPr>
          <w:noProof/>
        </w:rPr>
        <w:t xml:space="preserve">research </w:t>
      </w:r>
      <w:r>
        <w:rPr>
          <w:noProof/>
        </w:rPr>
        <w:t>reports</w:t>
      </w:r>
      <w:r w:rsidR="001D3171" w:rsidRPr="0072770E">
        <w:rPr>
          <w:noProof/>
        </w:rPr>
        <w:t xml:space="preserve"> can be found here: </w:t>
      </w:r>
      <w:hyperlink r:id="rId19" w:history="1">
        <w:r w:rsidR="0048390F">
          <w:rPr>
            <w:rStyle w:val="Hyperlink"/>
            <w:noProof/>
          </w:rPr>
          <w:t>http://www.doe.mass.edu/sped/hehir/</w:t>
        </w:r>
      </w:hyperlink>
      <w:r w:rsidR="008A0D63" w:rsidRPr="0072770E">
        <w:rPr>
          <w:noProof/>
        </w:rPr>
        <w:t>.</w:t>
      </w:r>
    </w:p>
    <w:p w:rsidR="0020208B" w:rsidRPr="0072770E" w:rsidRDefault="0020208B" w:rsidP="0020208B">
      <w:pPr>
        <w:pStyle w:val="BodyTextIndent"/>
        <w:spacing w:after="0"/>
        <w:ind w:left="0"/>
        <w:rPr>
          <w:noProof/>
        </w:rPr>
      </w:pPr>
    </w:p>
    <w:p w:rsidR="008A0D63" w:rsidRPr="0072770E" w:rsidRDefault="00C4655C" w:rsidP="0020208B">
      <w:pPr>
        <w:pStyle w:val="BodyTextIndent"/>
        <w:spacing w:after="0"/>
        <w:ind w:left="0"/>
        <w:rPr>
          <w:noProof/>
        </w:rPr>
      </w:pPr>
      <w:r w:rsidRPr="0072770E">
        <w:rPr>
          <w:noProof/>
        </w:rPr>
        <w:t xml:space="preserve">In the coming years, </w:t>
      </w:r>
      <w:r w:rsidR="00A80830">
        <w:rPr>
          <w:noProof/>
        </w:rPr>
        <w:t>the Department will amplify its</w:t>
      </w:r>
      <w:r w:rsidRPr="0072770E">
        <w:rPr>
          <w:noProof/>
        </w:rPr>
        <w:t xml:space="preserve"> efforts to address the </w:t>
      </w:r>
      <w:r w:rsidR="005E059D" w:rsidRPr="0072770E">
        <w:rPr>
          <w:noProof/>
        </w:rPr>
        <w:t>needs</w:t>
      </w:r>
      <w:r w:rsidRPr="0072770E">
        <w:rPr>
          <w:noProof/>
        </w:rPr>
        <w:t xml:space="preserve"> identified through Professor Hehir</w:t>
      </w:r>
      <w:r w:rsidR="005E059D" w:rsidRPr="0072770E">
        <w:rPr>
          <w:noProof/>
        </w:rPr>
        <w:t xml:space="preserve">’s research and will continue </w:t>
      </w:r>
      <w:r w:rsidR="008A064E" w:rsidRPr="0072770E">
        <w:rPr>
          <w:noProof/>
        </w:rPr>
        <w:t>to support and challenge</w:t>
      </w:r>
      <w:r w:rsidRPr="0072770E">
        <w:rPr>
          <w:noProof/>
        </w:rPr>
        <w:t xml:space="preserve"> our districts to </w:t>
      </w:r>
      <w:r w:rsidR="005E059D" w:rsidRPr="0072770E">
        <w:rPr>
          <w:noProof/>
        </w:rPr>
        <w:t>improve student</w:t>
      </w:r>
      <w:r w:rsidR="000E5FB3" w:rsidRPr="0072770E">
        <w:rPr>
          <w:noProof/>
        </w:rPr>
        <w:t>s’</w:t>
      </w:r>
      <w:r w:rsidR="005E059D" w:rsidRPr="0072770E">
        <w:rPr>
          <w:noProof/>
        </w:rPr>
        <w:t xml:space="preserve"> academic and functional outcomes. This report highlights our current efforts, achievements, and works in progress.</w:t>
      </w:r>
    </w:p>
    <w:p w:rsidR="0020208B" w:rsidRDefault="0020208B" w:rsidP="0020208B">
      <w:pPr>
        <w:pStyle w:val="BodyTextIndent"/>
        <w:spacing w:after="0"/>
        <w:ind w:left="0"/>
        <w:rPr>
          <w:noProof/>
        </w:rPr>
      </w:pPr>
    </w:p>
    <w:p w:rsidR="00FF6A91" w:rsidRDefault="00FF6A91" w:rsidP="0020208B">
      <w:pPr>
        <w:pStyle w:val="BodyTextIndent"/>
        <w:spacing w:after="0"/>
        <w:ind w:left="0"/>
        <w:rPr>
          <w:noProof/>
        </w:rPr>
      </w:pPr>
      <w:r w:rsidRPr="0072770E">
        <w:rPr>
          <w:noProof/>
        </w:rPr>
        <w:t>If you have any questions, please feel free to contact me.</w:t>
      </w:r>
    </w:p>
    <w:p w:rsidR="0020208B" w:rsidRPr="0072770E" w:rsidRDefault="0020208B" w:rsidP="0020208B">
      <w:pPr>
        <w:pStyle w:val="BodyTextIndent"/>
        <w:spacing w:after="0"/>
        <w:ind w:left="0"/>
        <w:rPr>
          <w:noProof/>
        </w:rPr>
      </w:pPr>
    </w:p>
    <w:p w:rsidR="00FF6A91" w:rsidRPr="0072770E" w:rsidRDefault="00FF6A91" w:rsidP="0020208B">
      <w:pPr>
        <w:pStyle w:val="BodyTextIndent"/>
        <w:spacing w:after="0"/>
        <w:ind w:left="0"/>
        <w:rPr>
          <w:noProof/>
        </w:rPr>
      </w:pPr>
      <w:r w:rsidRPr="0072770E">
        <w:rPr>
          <w:noProof/>
        </w:rPr>
        <w:t>Sincerely,</w:t>
      </w:r>
    </w:p>
    <w:p w:rsidR="00FF6A91" w:rsidRDefault="00FF6A91" w:rsidP="0020208B">
      <w:pPr>
        <w:pStyle w:val="BodyTextIndent"/>
        <w:spacing w:after="0"/>
        <w:ind w:left="0"/>
        <w:rPr>
          <w:noProof/>
        </w:rPr>
      </w:pPr>
    </w:p>
    <w:p w:rsidR="00FF24F8" w:rsidRPr="0072770E" w:rsidRDefault="00FF24F8" w:rsidP="0020208B">
      <w:pPr>
        <w:pStyle w:val="BodyTextIndent"/>
        <w:spacing w:after="0"/>
        <w:ind w:left="0"/>
        <w:rPr>
          <w:noProof/>
        </w:rPr>
      </w:pPr>
    </w:p>
    <w:p w:rsidR="00FF6A91" w:rsidRPr="0072770E" w:rsidRDefault="00FF6A91" w:rsidP="0020208B">
      <w:pPr>
        <w:pStyle w:val="BodyTextIndent"/>
        <w:spacing w:after="0"/>
        <w:ind w:left="0"/>
        <w:rPr>
          <w:noProof/>
        </w:rPr>
      </w:pPr>
      <w:r w:rsidRPr="0072770E">
        <w:rPr>
          <w:noProof/>
        </w:rPr>
        <w:t>Mitchell D. Chester, Ed.D.</w:t>
      </w:r>
    </w:p>
    <w:p w:rsidR="002C2113" w:rsidRPr="0072770E" w:rsidRDefault="00FF6A91" w:rsidP="0020208B">
      <w:pPr>
        <w:pStyle w:val="BodyTextIndent"/>
        <w:spacing w:after="0"/>
        <w:ind w:left="0"/>
        <w:sectPr w:rsidR="002C2113" w:rsidRPr="0072770E" w:rsidSect="007102D5">
          <w:endnotePr>
            <w:numFmt w:val="decimal"/>
          </w:endnotePr>
          <w:type w:val="continuous"/>
          <w:pgSz w:w="12240" w:h="15840"/>
          <w:pgMar w:top="1440" w:right="1440" w:bottom="1440" w:left="1440" w:header="1440" w:footer="1440" w:gutter="0"/>
          <w:cols w:space="720"/>
          <w:noEndnote/>
          <w:docGrid w:linePitch="326"/>
        </w:sectPr>
      </w:pPr>
      <w:r w:rsidRPr="0072770E">
        <w:rPr>
          <w:noProof/>
        </w:rPr>
        <w:t>Commissioner of Elementary and Secondary Education</w:t>
      </w:r>
    </w:p>
    <w:p w:rsidR="00B8051D" w:rsidRDefault="003F3636" w:rsidP="00B8051D">
      <w:pPr>
        <w:pStyle w:val="Heading3"/>
        <w:rPr>
          <w:rFonts w:asciiTheme="minorHAnsi" w:eastAsiaTheme="minorEastAsia" w:hAnsiTheme="minorHAnsi" w:cstheme="minorBidi"/>
          <w:noProof/>
          <w:szCs w:val="22"/>
        </w:rPr>
      </w:pPr>
      <w:bookmarkStart w:id="0" w:name="_Toc402781184"/>
      <w:bookmarkStart w:id="1" w:name="_Toc405293139"/>
      <w:r w:rsidRPr="00AF15A9">
        <w:lastRenderedPageBreak/>
        <w:t>Table of Contents</w:t>
      </w:r>
      <w:bookmarkEnd w:id="0"/>
      <w:bookmarkEnd w:id="1"/>
      <w:r w:rsidR="008212C8" w:rsidRPr="008212C8">
        <w:rPr>
          <w:rFonts w:ascii="Times New Roman" w:hAnsi="Times New Roman"/>
          <w:sz w:val="22"/>
        </w:rPr>
        <w:fldChar w:fldCharType="begin"/>
      </w:r>
      <w:r w:rsidRPr="00AF15A9">
        <w:rPr>
          <w:rFonts w:ascii="Times New Roman" w:hAnsi="Times New Roman"/>
        </w:rPr>
        <w:instrText xml:space="preserve"> TOC \o "1-3" \h \z \u </w:instrText>
      </w:r>
      <w:r w:rsidR="008212C8" w:rsidRPr="008212C8">
        <w:rPr>
          <w:rFonts w:ascii="Times New Roman" w:hAnsi="Times New Roman"/>
          <w:sz w:val="22"/>
        </w:rPr>
        <w:fldChar w:fldCharType="separate"/>
      </w:r>
    </w:p>
    <w:p w:rsidR="00B8051D" w:rsidRDefault="008212C8" w:rsidP="00DC065E">
      <w:pPr>
        <w:pStyle w:val="TOC1"/>
        <w:tabs>
          <w:tab w:val="left" w:pos="360"/>
        </w:tabs>
        <w:rPr>
          <w:rFonts w:asciiTheme="minorHAnsi" w:eastAsiaTheme="minorEastAsia" w:hAnsiTheme="minorHAnsi" w:cstheme="minorBidi"/>
          <w:b w:val="0"/>
          <w:noProof/>
          <w:sz w:val="22"/>
          <w:szCs w:val="22"/>
        </w:rPr>
      </w:pPr>
      <w:hyperlink w:anchor="_Toc405293140" w:history="1">
        <w:r w:rsidR="00B8051D" w:rsidRPr="001E6E15">
          <w:rPr>
            <w:rStyle w:val="Hyperlink"/>
            <w:noProof/>
          </w:rPr>
          <w:t>I.</w:t>
        </w:r>
        <w:r w:rsidR="00DC065E">
          <w:rPr>
            <w:rFonts w:asciiTheme="minorHAnsi" w:eastAsiaTheme="minorEastAsia" w:hAnsiTheme="minorHAnsi" w:cstheme="minorBidi"/>
            <w:b w:val="0"/>
            <w:noProof/>
            <w:sz w:val="22"/>
            <w:szCs w:val="22"/>
          </w:rPr>
          <w:t xml:space="preserve">    </w:t>
        </w:r>
        <w:r w:rsidR="00B8051D" w:rsidRPr="001E6E15">
          <w:rPr>
            <w:rStyle w:val="Hyperlink"/>
            <w:noProof/>
          </w:rPr>
          <w:t>Introduction</w:t>
        </w:r>
        <w:r w:rsidR="00B8051D">
          <w:rPr>
            <w:noProof/>
            <w:webHidden/>
          </w:rPr>
          <w:tab/>
        </w:r>
        <w:r>
          <w:rPr>
            <w:noProof/>
            <w:webHidden/>
          </w:rPr>
          <w:fldChar w:fldCharType="begin"/>
        </w:r>
        <w:r w:rsidR="00B8051D">
          <w:rPr>
            <w:noProof/>
            <w:webHidden/>
          </w:rPr>
          <w:instrText xml:space="preserve"> PAGEREF _Toc405293140 \h </w:instrText>
        </w:r>
        <w:r>
          <w:rPr>
            <w:noProof/>
            <w:webHidden/>
          </w:rPr>
        </w:r>
        <w:r>
          <w:rPr>
            <w:noProof/>
            <w:webHidden/>
          </w:rPr>
          <w:fldChar w:fldCharType="separate"/>
        </w:r>
        <w:r w:rsidR="0020208B">
          <w:rPr>
            <w:noProof/>
            <w:webHidden/>
          </w:rPr>
          <w:t>1</w:t>
        </w:r>
        <w:r>
          <w:rPr>
            <w:noProof/>
            <w:webHidden/>
          </w:rPr>
          <w:fldChar w:fldCharType="end"/>
        </w:r>
      </w:hyperlink>
    </w:p>
    <w:p w:rsidR="00B8051D" w:rsidRDefault="008212C8">
      <w:pPr>
        <w:pStyle w:val="TOC1"/>
        <w:tabs>
          <w:tab w:val="left" w:pos="720"/>
        </w:tabs>
        <w:rPr>
          <w:rFonts w:asciiTheme="minorHAnsi" w:eastAsiaTheme="minorEastAsia" w:hAnsiTheme="minorHAnsi" w:cstheme="minorBidi"/>
          <w:b w:val="0"/>
          <w:noProof/>
          <w:sz w:val="22"/>
          <w:szCs w:val="22"/>
        </w:rPr>
      </w:pPr>
      <w:hyperlink w:anchor="_Toc405293141" w:history="1">
        <w:r w:rsidR="00B8051D" w:rsidRPr="001E6E15">
          <w:rPr>
            <w:rStyle w:val="Hyperlink"/>
            <w:noProof/>
          </w:rPr>
          <w:t xml:space="preserve">II. </w:t>
        </w:r>
        <w:r w:rsidR="00DC065E">
          <w:rPr>
            <w:rStyle w:val="Hyperlink"/>
            <w:noProof/>
          </w:rPr>
          <w:t xml:space="preserve"> </w:t>
        </w:r>
        <w:r w:rsidR="00B8051D" w:rsidRPr="001E6E15">
          <w:rPr>
            <w:rStyle w:val="Hyperlink"/>
            <w:noProof/>
          </w:rPr>
          <w:t>Background: Enrollment and Finances</w:t>
        </w:r>
        <w:r w:rsidR="00B8051D">
          <w:rPr>
            <w:noProof/>
            <w:webHidden/>
          </w:rPr>
          <w:tab/>
        </w:r>
        <w:r>
          <w:rPr>
            <w:noProof/>
            <w:webHidden/>
          </w:rPr>
          <w:fldChar w:fldCharType="begin"/>
        </w:r>
        <w:r w:rsidR="00B8051D">
          <w:rPr>
            <w:noProof/>
            <w:webHidden/>
          </w:rPr>
          <w:instrText xml:space="preserve"> PAGEREF _Toc405293141 \h </w:instrText>
        </w:r>
        <w:r>
          <w:rPr>
            <w:noProof/>
            <w:webHidden/>
          </w:rPr>
        </w:r>
        <w:r>
          <w:rPr>
            <w:noProof/>
            <w:webHidden/>
          </w:rPr>
          <w:fldChar w:fldCharType="separate"/>
        </w:r>
        <w:r w:rsidR="0020208B">
          <w:rPr>
            <w:noProof/>
            <w:webHidden/>
          </w:rPr>
          <w:t>1</w:t>
        </w:r>
        <w:r>
          <w:rPr>
            <w:noProof/>
            <w:webHidden/>
          </w:rPr>
          <w:fldChar w:fldCharType="end"/>
        </w:r>
      </w:hyperlink>
    </w:p>
    <w:p w:rsidR="00B8051D" w:rsidRDefault="008212C8">
      <w:pPr>
        <w:pStyle w:val="TOC2"/>
        <w:tabs>
          <w:tab w:val="left" w:pos="960"/>
          <w:tab w:val="right" w:leader="dot" w:pos="9350"/>
        </w:tabs>
        <w:rPr>
          <w:rFonts w:asciiTheme="minorHAnsi" w:eastAsiaTheme="minorEastAsia" w:hAnsiTheme="minorHAnsi" w:cstheme="minorBidi"/>
          <w:noProof/>
          <w:sz w:val="22"/>
          <w:szCs w:val="22"/>
        </w:rPr>
      </w:pPr>
      <w:hyperlink w:anchor="_Toc405293142" w:history="1">
        <w:r w:rsidR="00B8051D" w:rsidRPr="001E6E15">
          <w:rPr>
            <w:rStyle w:val="Hyperlink"/>
            <w:noProof/>
          </w:rPr>
          <w:t>A. Longitudinal Enrollment</w:t>
        </w:r>
        <w:r w:rsidR="00B8051D">
          <w:rPr>
            <w:noProof/>
            <w:webHidden/>
          </w:rPr>
          <w:tab/>
        </w:r>
        <w:r>
          <w:rPr>
            <w:noProof/>
            <w:webHidden/>
          </w:rPr>
          <w:fldChar w:fldCharType="begin"/>
        </w:r>
        <w:r w:rsidR="00B8051D">
          <w:rPr>
            <w:noProof/>
            <w:webHidden/>
          </w:rPr>
          <w:instrText xml:space="preserve"> PAGEREF _Toc405293142 \h </w:instrText>
        </w:r>
        <w:r>
          <w:rPr>
            <w:noProof/>
            <w:webHidden/>
          </w:rPr>
        </w:r>
        <w:r>
          <w:rPr>
            <w:noProof/>
            <w:webHidden/>
          </w:rPr>
          <w:fldChar w:fldCharType="separate"/>
        </w:r>
        <w:r w:rsidR="0020208B">
          <w:rPr>
            <w:noProof/>
            <w:webHidden/>
          </w:rPr>
          <w:t>1</w:t>
        </w:r>
        <w:r>
          <w:rPr>
            <w:noProof/>
            <w:webHidden/>
          </w:rPr>
          <w:fldChar w:fldCharType="end"/>
        </w:r>
      </w:hyperlink>
    </w:p>
    <w:p w:rsidR="00B8051D" w:rsidRDefault="008212C8">
      <w:pPr>
        <w:pStyle w:val="TOC2"/>
        <w:tabs>
          <w:tab w:val="left" w:pos="960"/>
          <w:tab w:val="right" w:leader="dot" w:pos="9350"/>
        </w:tabs>
        <w:rPr>
          <w:rFonts w:asciiTheme="minorHAnsi" w:eastAsiaTheme="minorEastAsia" w:hAnsiTheme="minorHAnsi" w:cstheme="minorBidi"/>
          <w:noProof/>
          <w:sz w:val="22"/>
          <w:szCs w:val="22"/>
        </w:rPr>
      </w:pPr>
      <w:hyperlink w:anchor="_Toc405293143" w:history="1">
        <w:r w:rsidR="00B8051D" w:rsidRPr="001E6E15">
          <w:rPr>
            <w:rStyle w:val="Hyperlink"/>
            <w:noProof/>
          </w:rPr>
          <w:t>B. Student Identification by Disability Category</w:t>
        </w:r>
        <w:r w:rsidR="00B8051D">
          <w:rPr>
            <w:noProof/>
            <w:webHidden/>
          </w:rPr>
          <w:tab/>
        </w:r>
        <w:r>
          <w:rPr>
            <w:noProof/>
            <w:webHidden/>
          </w:rPr>
          <w:fldChar w:fldCharType="begin"/>
        </w:r>
        <w:r w:rsidR="00B8051D">
          <w:rPr>
            <w:noProof/>
            <w:webHidden/>
          </w:rPr>
          <w:instrText xml:space="preserve"> PAGEREF _Toc405293143 \h </w:instrText>
        </w:r>
        <w:r>
          <w:rPr>
            <w:noProof/>
            <w:webHidden/>
          </w:rPr>
        </w:r>
        <w:r>
          <w:rPr>
            <w:noProof/>
            <w:webHidden/>
          </w:rPr>
          <w:fldChar w:fldCharType="separate"/>
        </w:r>
        <w:r w:rsidR="0020208B">
          <w:rPr>
            <w:noProof/>
            <w:webHidden/>
          </w:rPr>
          <w:t>2</w:t>
        </w:r>
        <w:r>
          <w:rPr>
            <w:noProof/>
            <w:webHidden/>
          </w:rPr>
          <w:fldChar w:fldCharType="end"/>
        </w:r>
      </w:hyperlink>
    </w:p>
    <w:p w:rsidR="00B8051D" w:rsidRDefault="008212C8">
      <w:pPr>
        <w:pStyle w:val="TOC2"/>
        <w:tabs>
          <w:tab w:val="left" w:pos="720"/>
          <w:tab w:val="right" w:leader="dot" w:pos="9350"/>
        </w:tabs>
        <w:rPr>
          <w:rFonts w:asciiTheme="minorHAnsi" w:eastAsiaTheme="minorEastAsia" w:hAnsiTheme="minorHAnsi" w:cstheme="minorBidi"/>
          <w:noProof/>
          <w:sz w:val="22"/>
          <w:szCs w:val="22"/>
        </w:rPr>
      </w:pPr>
      <w:hyperlink w:anchor="_Toc405293144" w:history="1">
        <w:r w:rsidR="00B8051D" w:rsidRPr="001E6E15">
          <w:rPr>
            <w:rStyle w:val="Hyperlink"/>
            <w:noProof/>
          </w:rPr>
          <w:t>C.</w:t>
        </w:r>
        <w:r w:rsidR="00193A65">
          <w:rPr>
            <w:rStyle w:val="Hyperlink"/>
            <w:noProof/>
          </w:rPr>
          <w:t xml:space="preserve"> </w:t>
        </w:r>
        <w:r w:rsidR="00B8051D" w:rsidRPr="001E6E15">
          <w:rPr>
            <w:rStyle w:val="Hyperlink"/>
            <w:noProof/>
          </w:rPr>
          <w:t>Percentage of Students with Disa</w:t>
        </w:r>
        <w:r w:rsidR="003B41FE">
          <w:rPr>
            <w:rStyle w:val="Hyperlink"/>
            <w:noProof/>
          </w:rPr>
          <w:t xml:space="preserve">bilities by Special Population </w:t>
        </w:r>
        <w:r w:rsidR="00B8051D" w:rsidRPr="001E6E15">
          <w:rPr>
            <w:rStyle w:val="Hyperlink"/>
            <w:noProof/>
          </w:rPr>
          <w:t>Status</w:t>
        </w:r>
        <w:r w:rsidR="00B8051D">
          <w:rPr>
            <w:noProof/>
            <w:webHidden/>
          </w:rPr>
          <w:tab/>
        </w:r>
        <w:r>
          <w:rPr>
            <w:noProof/>
            <w:webHidden/>
          </w:rPr>
          <w:fldChar w:fldCharType="begin"/>
        </w:r>
        <w:r w:rsidR="00B8051D">
          <w:rPr>
            <w:noProof/>
            <w:webHidden/>
          </w:rPr>
          <w:instrText xml:space="preserve"> PAGEREF _Toc405293144 \h </w:instrText>
        </w:r>
        <w:r>
          <w:rPr>
            <w:noProof/>
            <w:webHidden/>
          </w:rPr>
        </w:r>
        <w:r>
          <w:rPr>
            <w:noProof/>
            <w:webHidden/>
          </w:rPr>
          <w:fldChar w:fldCharType="separate"/>
        </w:r>
        <w:r w:rsidR="0020208B">
          <w:rPr>
            <w:noProof/>
            <w:webHidden/>
          </w:rPr>
          <w:t>3</w:t>
        </w:r>
        <w:r>
          <w:rPr>
            <w:noProof/>
            <w:webHidden/>
          </w:rPr>
          <w:fldChar w:fldCharType="end"/>
        </w:r>
      </w:hyperlink>
    </w:p>
    <w:p w:rsidR="00B8051D" w:rsidRDefault="008212C8" w:rsidP="00E81F3F">
      <w:pPr>
        <w:pStyle w:val="TOC2"/>
        <w:tabs>
          <w:tab w:val="left" w:pos="540"/>
          <w:tab w:val="right" w:leader="dot" w:pos="9350"/>
        </w:tabs>
        <w:rPr>
          <w:rFonts w:asciiTheme="minorHAnsi" w:eastAsiaTheme="minorEastAsia" w:hAnsiTheme="minorHAnsi" w:cstheme="minorBidi"/>
          <w:noProof/>
          <w:sz w:val="22"/>
          <w:szCs w:val="22"/>
        </w:rPr>
      </w:pPr>
      <w:hyperlink w:anchor="_Toc405293145" w:history="1">
        <w:r w:rsidR="00B8051D" w:rsidRPr="001E6E15">
          <w:rPr>
            <w:rStyle w:val="Hyperlink"/>
            <w:noProof/>
          </w:rPr>
          <w:t>D.</w:t>
        </w:r>
        <w:r w:rsidR="00193A65">
          <w:rPr>
            <w:rStyle w:val="Hyperlink"/>
            <w:noProof/>
          </w:rPr>
          <w:t xml:space="preserve"> </w:t>
        </w:r>
        <w:r w:rsidR="00B8051D" w:rsidRPr="001E6E15">
          <w:rPr>
            <w:rStyle w:val="Hyperlink"/>
            <w:noProof/>
          </w:rPr>
          <w:t>Percentage of Students with Dis</w:t>
        </w:r>
        <w:r w:rsidR="003B41FE">
          <w:rPr>
            <w:rStyle w:val="Hyperlink"/>
            <w:noProof/>
          </w:rPr>
          <w:t xml:space="preserve">abilities Who Receive Services </w:t>
        </w:r>
        <w:r w:rsidR="00B8051D" w:rsidRPr="001E6E15">
          <w:rPr>
            <w:rStyle w:val="Hyperlink"/>
            <w:noProof/>
          </w:rPr>
          <w:t xml:space="preserve">by Educational </w:t>
        </w:r>
        <w:r w:rsidR="00E81F3F">
          <w:rPr>
            <w:rStyle w:val="Hyperlink"/>
            <w:noProof/>
          </w:rPr>
          <w:t xml:space="preserve">                </w:t>
        </w:r>
        <w:r w:rsidR="00E81F3F">
          <w:rPr>
            <w:rStyle w:val="Hyperlink"/>
            <w:noProof/>
          </w:rPr>
          <w:tab/>
        </w:r>
        <w:r w:rsidR="00B8051D" w:rsidRPr="001E6E15">
          <w:rPr>
            <w:rStyle w:val="Hyperlink"/>
            <w:noProof/>
          </w:rPr>
          <w:t>Environment</w:t>
        </w:r>
        <w:r w:rsidR="00B8051D">
          <w:rPr>
            <w:noProof/>
            <w:webHidden/>
          </w:rPr>
          <w:tab/>
        </w:r>
        <w:r>
          <w:rPr>
            <w:noProof/>
            <w:webHidden/>
          </w:rPr>
          <w:fldChar w:fldCharType="begin"/>
        </w:r>
        <w:r w:rsidR="00B8051D">
          <w:rPr>
            <w:noProof/>
            <w:webHidden/>
          </w:rPr>
          <w:instrText xml:space="preserve"> PAGEREF _Toc405293145 \h </w:instrText>
        </w:r>
        <w:r>
          <w:rPr>
            <w:noProof/>
            <w:webHidden/>
          </w:rPr>
        </w:r>
        <w:r>
          <w:rPr>
            <w:noProof/>
            <w:webHidden/>
          </w:rPr>
          <w:fldChar w:fldCharType="separate"/>
        </w:r>
        <w:r w:rsidR="0020208B">
          <w:rPr>
            <w:noProof/>
            <w:webHidden/>
          </w:rPr>
          <w:t>4</w:t>
        </w:r>
        <w:r>
          <w:rPr>
            <w:noProof/>
            <w:webHidden/>
          </w:rPr>
          <w:fldChar w:fldCharType="end"/>
        </w:r>
      </w:hyperlink>
    </w:p>
    <w:p w:rsidR="00B8051D" w:rsidRDefault="008212C8" w:rsidP="00E81F3F">
      <w:pPr>
        <w:pStyle w:val="TOC2"/>
        <w:tabs>
          <w:tab w:val="left" w:pos="540"/>
          <w:tab w:val="left" w:pos="720"/>
          <w:tab w:val="right" w:leader="dot" w:pos="9350"/>
        </w:tabs>
        <w:rPr>
          <w:rFonts w:asciiTheme="minorHAnsi" w:eastAsiaTheme="minorEastAsia" w:hAnsiTheme="minorHAnsi" w:cstheme="minorBidi"/>
          <w:noProof/>
          <w:sz w:val="22"/>
          <w:szCs w:val="22"/>
        </w:rPr>
      </w:pPr>
      <w:hyperlink w:anchor="_Toc405293146" w:history="1">
        <w:r w:rsidR="00B8051D" w:rsidRPr="001E6E15">
          <w:rPr>
            <w:rStyle w:val="Hyperlink"/>
            <w:noProof/>
          </w:rPr>
          <w:t>E.</w:t>
        </w:r>
        <w:r w:rsidR="00193A65">
          <w:rPr>
            <w:rStyle w:val="Hyperlink"/>
            <w:noProof/>
          </w:rPr>
          <w:t xml:space="preserve"> </w:t>
        </w:r>
        <w:r w:rsidR="00B8051D" w:rsidRPr="001E6E15">
          <w:rPr>
            <w:rStyle w:val="Hyperlink"/>
            <w:noProof/>
          </w:rPr>
          <w:t>Financial Summary</w:t>
        </w:r>
        <w:r w:rsidR="00B8051D">
          <w:rPr>
            <w:noProof/>
            <w:webHidden/>
          </w:rPr>
          <w:tab/>
        </w:r>
        <w:r>
          <w:rPr>
            <w:noProof/>
            <w:webHidden/>
          </w:rPr>
          <w:fldChar w:fldCharType="begin"/>
        </w:r>
        <w:r w:rsidR="00B8051D">
          <w:rPr>
            <w:noProof/>
            <w:webHidden/>
          </w:rPr>
          <w:instrText xml:space="preserve"> PAGEREF _Toc405293146 \h </w:instrText>
        </w:r>
        <w:r>
          <w:rPr>
            <w:noProof/>
            <w:webHidden/>
          </w:rPr>
        </w:r>
        <w:r>
          <w:rPr>
            <w:noProof/>
            <w:webHidden/>
          </w:rPr>
          <w:fldChar w:fldCharType="separate"/>
        </w:r>
        <w:r w:rsidR="0020208B">
          <w:rPr>
            <w:noProof/>
            <w:webHidden/>
          </w:rPr>
          <w:t>5</w:t>
        </w:r>
        <w:r>
          <w:rPr>
            <w:noProof/>
            <w:webHidden/>
          </w:rPr>
          <w:fldChar w:fldCharType="end"/>
        </w:r>
      </w:hyperlink>
    </w:p>
    <w:p w:rsidR="00B8051D" w:rsidRDefault="008212C8" w:rsidP="00FF1A59">
      <w:pPr>
        <w:pStyle w:val="TOC2"/>
        <w:tabs>
          <w:tab w:val="left" w:pos="540"/>
          <w:tab w:val="left" w:pos="720"/>
          <w:tab w:val="right" w:leader="dot" w:pos="9350"/>
        </w:tabs>
        <w:rPr>
          <w:rFonts w:asciiTheme="minorHAnsi" w:eastAsiaTheme="minorEastAsia" w:hAnsiTheme="minorHAnsi" w:cstheme="minorBidi"/>
          <w:noProof/>
          <w:sz w:val="22"/>
          <w:szCs w:val="22"/>
        </w:rPr>
      </w:pPr>
      <w:hyperlink w:anchor="_Toc405293147" w:history="1">
        <w:r w:rsidR="00B8051D" w:rsidRPr="001E6E15">
          <w:rPr>
            <w:rStyle w:val="Hyperlink"/>
            <w:noProof/>
          </w:rPr>
          <w:t>F.</w:t>
        </w:r>
        <w:r w:rsidR="00193A65">
          <w:rPr>
            <w:rStyle w:val="Hyperlink"/>
            <w:noProof/>
          </w:rPr>
          <w:t xml:space="preserve"> </w:t>
        </w:r>
        <w:r w:rsidR="00B8051D" w:rsidRPr="001E6E15">
          <w:rPr>
            <w:rStyle w:val="Hyperlink"/>
            <w:noProof/>
          </w:rPr>
          <w:t>School-Based Medicaid</w:t>
        </w:r>
        <w:r w:rsidR="00B8051D">
          <w:rPr>
            <w:noProof/>
            <w:webHidden/>
          </w:rPr>
          <w:tab/>
        </w:r>
        <w:r>
          <w:rPr>
            <w:noProof/>
            <w:webHidden/>
          </w:rPr>
          <w:fldChar w:fldCharType="begin"/>
        </w:r>
        <w:r w:rsidR="00B8051D">
          <w:rPr>
            <w:noProof/>
            <w:webHidden/>
          </w:rPr>
          <w:instrText xml:space="preserve"> PAGEREF _Toc405293147 \h </w:instrText>
        </w:r>
        <w:r>
          <w:rPr>
            <w:noProof/>
            <w:webHidden/>
          </w:rPr>
        </w:r>
        <w:r>
          <w:rPr>
            <w:noProof/>
            <w:webHidden/>
          </w:rPr>
          <w:fldChar w:fldCharType="separate"/>
        </w:r>
        <w:r w:rsidR="0020208B">
          <w:rPr>
            <w:noProof/>
            <w:webHidden/>
          </w:rPr>
          <w:t>5</w:t>
        </w:r>
        <w:r>
          <w:rPr>
            <w:noProof/>
            <w:webHidden/>
          </w:rPr>
          <w:fldChar w:fldCharType="end"/>
        </w:r>
      </w:hyperlink>
    </w:p>
    <w:p w:rsidR="00B8051D" w:rsidRDefault="008212C8" w:rsidP="00DC065E">
      <w:pPr>
        <w:pStyle w:val="TOC1"/>
        <w:tabs>
          <w:tab w:val="left" w:pos="360"/>
          <w:tab w:val="left" w:pos="450"/>
          <w:tab w:val="left" w:pos="720"/>
        </w:tabs>
        <w:rPr>
          <w:rFonts w:asciiTheme="minorHAnsi" w:eastAsiaTheme="minorEastAsia" w:hAnsiTheme="minorHAnsi" w:cstheme="minorBidi"/>
          <w:b w:val="0"/>
          <w:noProof/>
          <w:sz w:val="22"/>
          <w:szCs w:val="22"/>
        </w:rPr>
      </w:pPr>
      <w:hyperlink w:anchor="_Toc405293148" w:history="1">
        <w:r w:rsidR="00B8051D" w:rsidRPr="001E6E15">
          <w:rPr>
            <w:rStyle w:val="Hyperlink"/>
            <w:noProof/>
          </w:rPr>
          <w:t>III. Results Driven Accountability</w:t>
        </w:r>
        <w:r w:rsidR="00B8051D">
          <w:rPr>
            <w:noProof/>
            <w:webHidden/>
          </w:rPr>
          <w:tab/>
        </w:r>
        <w:r>
          <w:rPr>
            <w:noProof/>
            <w:webHidden/>
          </w:rPr>
          <w:fldChar w:fldCharType="begin"/>
        </w:r>
        <w:r w:rsidR="00B8051D">
          <w:rPr>
            <w:noProof/>
            <w:webHidden/>
          </w:rPr>
          <w:instrText xml:space="preserve"> PAGEREF _Toc405293148 \h </w:instrText>
        </w:r>
        <w:r>
          <w:rPr>
            <w:noProof/>
            <w:webHidden/>
          </w:rPr>
        </w:r>
        <w:r>
          <w:rPr>
            <w:noProof/>
            <w:webHidden/>
          </w:rPr>
          <w:fldChar w:fldCharType="separate"/>
        </w:r>
        <w:r w:rsidR="0020208B">
          <w:rPr>
            <w:noProof/>
            <w:webHidden/>
          </w:rPr>
          <w:t>7</w:t>
        </w:r>
        <w:r>
          <w:rPr>
            <w:noProof/>
            <w:webHidden/>
          </w:rPr>
          <w:fldChar w:fldCharType="end"/>
        </w:r>
      </w:hyperlink>
    </w:p>
    <w:p w:rsidR="00B8051D" w:rsidRDefault="008212C8" w:rsidP="003011FD">
      <w:pPr>
        <w:pStyle w:val="TOC1"/>
        <w:tabs>
          <w:tab w:val="left" w:pos="360"/>
          <w:tab w:val="left" w:pos="720"/>
        </w:tabs>
        <w:rPr>
          <w:rFonts w:asciiTheme="minorHAnsi" w:eastAsiaTheme="minorEastAsia" w:hAnsiTheme="minorHAnsi" w:cstheme="minorBidi"/>
          <w:b w:val="0"/>
          <w:noProof/>
          <w:sz w:val="22"/>
          <w:szCs w:val="22"/>
        </w:rPr>
      </w:pPr>
      <w:hyperlink w:anchor="_Toc405293149" w:history="1">
        <w:r w:rsidR="00B8051D" w:rsidRPr="001E6E15">
          <w:rPr>
            <w:rStyle w:val="Hyperlink"/>
            <w:noProof/>
          </w:rPr>
          <w:t>IV. Review of Special Education in the</w:t>
        </w:r>
        <w:r w:rsidR="00046BD9">
          <w:rPr>
            <w:rStyle w:val="Hyperlink"/>
            <w:noProof/>
          </w:rPr>
          <w:t xml:space="preserve"> Commonwealth of  Massachusetts</w:t>
        </w:r>
        <w:r w:rsidR="00B8051D">
          <w:rPr>
            <w:noProof/>
            <w:webHidden/>
          </w:rPr>
          <w:tab/>
        </w:r>
        <w:r>
          <w:rPr>
            <w:noProof/>
            <w:webHidden/>
          </w:rPr>
          <w:fldChar w:fldCharType="begin"/>
        </w:r>
        <w:r w:rsidR="00B8051D">
          <w:rPr>
            <w:noProof/>
            <w:webHidden/>
          </w:rPr>
          <w:instrText xml:space="preserve"> PAGEREF _Toc405293149 \h </w:instrText>
        </w:r>
        <w:r>
          <w:rPr>
            <w:noProof/>
            <w:webHidden/>
          </w:rPr>
        </w:r>
        <w:r>
          <w:rPr>
            <w:noProof/>
            <w:webHidden/>
          </w:rPr>
          <w:fldChar w:fldCharType="separate"/>
        </w:r>
        <w:r w:rsidR="0020208B">
          <w:rPr>
            <w:noProof/>
            <w:webHidden/>
          </w:rPr>
          <w:t>9</w:t>
        </w:r>
        <w:r>
          <w:rPr>
            <w:noProof/>
            <w:webHidden/>
          </w:rPr>
          <w:fldChar w:fldCharType="end"/>
        </w:r>
      </w:hyperlink>
    </w:p>
    <w:p w:rsidR="00B8051D" w:rsidRDefault="008212C8" w:rsidP="00DC065E">
      <w:pPr>
        <w:pStyle w:val="TOC1"/>
        <w:tabs>
          <w:tab w:val="left" w:pos="360"/>
          <w:tab w:val="left" w:pos="720"/>
        </w:tabs>
        <w:rPr>
          <w:rFonts w:asciiTheme="minorHAnsi" w:eastAsiaTheme="minorEastAsia" w:hAnsiTheme="minorHAnsi" w:cstheme="minorBidi"/>
          <w:b w:val="0"/>
          <w:noProof/>
          <w:sz w:val="22"/>
          <w:szCs w:val="22"/>
        </w:rPr>
      </w:pPr>
      <w:hyperlink w:anchor="_Toc405293150" w:history="1">
        <w:r w:rsidR="00B8051D" w:rsidRPr="001E6E15">
          <w:rPr>
            <w:rStyle w:val="Hyperlink"/>
            <w:noProof/>
          </w:rPr>
          <w:t xml:space="preserve">V. </w:t>
        </w:r>
        <w:r w:rsidR="00DC065E">
          <w:rPr>
            <w:rFonts w:asciiTheme="minorHAnsi" w:eastAsiaTheme="minorEastAsia" w:hAnsiTheme="minorHAnsi" w:cstheme="minorBidi"/>
            <w:b w:val="0"/>
            <w:noProof/>
            <w:sz w:val="22"/>
            <w:szCs w:val="22"/>
          </w:rPr>
          <w:t xml:space="preserve"> </w:t>
        </w:r>
        <w:r w:rsidR="00B8051D" w:rsidRPr="001E6E15">
          <w:rPr>
            <w:rStyle w:val="Hyperlink"/>
            <w:noProof/>
          </w:rPr>
          <w:t>FY14 in Review</w:t>
        </w:r>
        <w:r w:rsidR="00B8051D">
          <w:rPr>
            <w:noProof/>
            <w:webHidden/>
          </w:rPr>
          <w:tab/>
        </w:r>
        <w:r>
          <w:rPr>
            <w:noProof/>
            <w:webHidden/>
          </w:rPr>
          <w:fldChar w:fldCharType="begin"/>
        </w:r>
        <w:r w:rsidR="00B8051D">
          <w:rPr>
            <w:noProof/>
            <w:webHidden/>
          </w:rPr>
          <w:instrText xml:space="preserve"> PAGEREF _Toc405293150 \h </w:instrText>
        </w:r>
        <w:r>
          <w:rPr>
            <w:noProof/>
            <w:webHidden/>
          </w:rPr>
        </w:r>
        <w:r>
          <w:rPr>
            <w:noProof/>
            <w:webHidden/>
          </w:rPr>
          <w:fldChar w:fldCharType="separate"/>
        </w:r>
        <w:r w:rsidR="0020208B">
          <w:rPr>
            <w:noProof/>
            <w:webHidden/>
          </w:rPr>
          <w:t>11</w:t>
        </w:r>
        <w:r>
          <w:rPr>
            <w:noProof/>
            <w:webHidden/>
          </w:rPr>
          <w:fldChar w:fldCharType="end"/>
        </w:r>
      </w:hyperlink>
    </w:p>
    <w:p w:rsidR="00B8051D" w:rsidRDefault="008212C8" w:rsidP="003011FD">
      <w:pPr>
        <w:pStyle w:val="TOC2"/>
        <w:tabs>
          <w:tab w:val="left" w:pos="540"/>
          <w:tab w:val="left" w:pos="960"/>
          <w:tab w:val="right" w:leader="dot" w:pos="9350"/>
        </w:tabs>
        <w:rPr>
          <w:rFonts w:asciiTheme="minorHAnsi" w:eastAsiaTheme="minorEastAsia" w:hAnsiTheme="minorHAnsi" w:cstheme="minorBidi"/>
          <w:noProof/>
          <w:sz w:val="22"/>
          <w:szCs w:val="22"/>
        </w:rPr>
      </w:pPr>
      <w:hyperlink w:anchor="_Toc405293151" w:history="1">
        <w:r w:rsidR="00B8051D" w:rsidRPr="001E6E15">
          <w:rPr>
            <w:rStyle w:val="Hyperlink"/>
            <w:noProof/>
          </w:rPr>
          <w:t>A. Office of Special Education Planning &amp; Policy Development</w:t>
        </w:r>
        <w:r w:rsidR="00B8051D">
          <w:rPr>
            <w:noProof/>
            <w:webHidden/>
          </w:rPr>
          <w:tab/>
        </w:r>
        <w:r>
          <w:rPr>
            <w:noProof/>
            <w:webHidden/>
          </w:rPr>
          <w:fldChar w:fldCharType="begin"/>
        </w:r>
        <w:r w:rsidR="00B8051D">
          <w:rPr>
            <w:noProof/>
            <w:webHidden/>
          </w:rPr>
          <w:instrText xml:space="preserve"> PAGEREF _Toc405293151 \h </w:instrText>
        </w:r>
        <w:r>
          <w:rPr>
            <w:noProof/>
            <w:webHidden/>
          </w:rPr>
        </w:r>
        <w:r>
          <w:rPr>
            <w:noProof/>
            <w:webHidden/>
          </w:rPr>
          <w:fldChar w:fldCharType="separate"/>
        </w:r>
        <w:r w:rsidR="0020208B">
          <w:rPr>
            <w:noProof/>
            <w:webHidden/>
          </w:rPr>
          <w:t>11</w:t>
        </w:r>
        <w:r>
          <w:rPr>
            <w:noProof/>
            <w:webHidden/>
          </w:rPr>
          <w:fldChar w:fldCharType="end"/>
        </w:r>
      </w:hyperlink>
    </w:p>
    <w:p w:rsidR="00B8051D" w:rsidRDefault="008212C8">
      <w:pPr>
        <w:pStyle w:val="TOC3"/>
        <w:tabs>
          <w:tab w:val="right" w:leader="dot" w:pos="9350"/>
        </w:tabs>
        <w:rPr>
          <w:rFonts w:asciiTheme="minorHAnsi" w:eastAsiaTheme="minorEastAsia" w:hAnsiTheme="minorHAnsi" w:cstheme="minorBidi"/>
          <w:noProof/>
          <w:szCs w:val="22"/>
        </w:rPr>
      </w:pPr>
      <w:hyperlink w:anchor="_Toc405293152" w:history="1">
        <w:r w:rsidR="00B8051D" w:rsidRPr="001E6E15">
          <w:rPr>
            <w:rStyle w:val="Hyperlink"/>
            <w:noProof/>
          </w:rPr>
          <w:t>1. Massachusetts IEP Improvement Project</w:t>
        </w:r>
        <w:r w:rsidR="00B8051D">
          <w:rPr>
            <w:noProof/>
            <w:webHidden/>
          </w:rPr>
          <w:tab/>
        </w:r>
        <w:r>
          <w:rPr>
            <w:noProof/>
            <w:webHidden/>
          </w:rPr>
          <w:fldChar w:fldCharType="begin"/>
        </w:r>
        <w:r w:rsidR="00B8051D">
          <w:rPr>
            <w:noProof/>
            <w:webHidden/>
          </w:rPr>
          <w:instrText xml:space="preserve"> PAGEREF _Toc405293152 \h </w:instrText>
        </w:r>
        <w:r>
          <w:rPr>
            <w:noProof/>
            <w:webHidden/>
          </w:rPr>
        </w:r>
        <w:r>
          <w:rPr>
            <w:noProof/>
            <w:webHidden/>
          </w:rPr>
          <w:fldChar w:fldCharType="separate"/>
        </w:r>
        <w:r w:rsidR="0020208B">
          <w:rPr>
            <w:noProof/>
            <w:webHidden/>
          </w:rPr>
          <w:t>11</w:t>
        </w:r>
        <w:r>
          <w:rPr>
            <w:noProof/>
            <w:webHidden/>
          </w:rPr>
          <w:fldChar w:fldCharType="end"/>
        </w:r>
      </w:hyperlink>
    </w:p>
    <w:p w:rsidR="00B8051D" w:rsidRDefault="008212C8">
      <w:pPr>
        <w:pStyle w:val="TOC3"/>
        <w:tabs>
          <w:tab w:val="right" w:leader="dot" w:pos="9350"/>
        </w:tabs>
        <w:rPr>
          <w:rFonts w:asciiTheme="minorHAnsi" w:eastAsiaTheme="minorEastAsia" w:hAnsiTheme="minorHAnsi" w:cstheme="minorBidi"/>
          <w:noProof/>
          <w:szCs w:val="22"/>
        </w:rPr>
      </w:pPr>
      <w:hyperlink w:anchor="_Toc405293153" w:history="1">
        <w:r w:rsidR="00B8051D" w:rsidRPr="001E6E15">
          <w:rPr>
            <w:rStyle w:val="Hyperlink"/>
            <w:noProof/>
          </w:rPr>
          <w:t>2. State Systemic Improvement Plan (SSIP)</w:t>
        </w:r>
        <w:r w:rsidR="00B8051D">
          <w:rPr>
            <w:noProof/>
            <w:webHidden/>
          </w:rPr>
          <w:tab/>
        </w:r>
        <w:r>
          <w:rPr>
            <w:noProof/>
            <w:webHidden/>
          </w:rPr>
          <w:fldChar w:fldCharType="begin"/>
        </w:r>
        <w:r w:rsidR="00B8051D">
          <w:rPr>
            <w:noProof/>
            <w:webHidden/>
          </w:rPr>
          <w:instrText xml:space="preserve"> PAGEREF _Toc405293153 \h </w:instrText>
        </w:r>
        <w:r>
          <w:rPr>
            <w:noProof/>
            <w:webHidden/>
          </w:rPr>
        </w:r>
        <w:r>
          <w:rPr>
            <w:noProof/>
            <w:webHidden/>
          </w:rPr>
          <w:fldChar w:fldCharType="separate"/>
        </w:r>
        <w:r w:rsidR="0020208B">
          <w:rPr>
            <w:noProof/>
            <w:webHidden/>
          </w:rPr>
          <w:t>12</w:t>
        </w:r>
        <w:r>
          <w:rPr>
            <w:noProof/>
            <w:webHidden/>
          </w:rPr>
          <w:fldChar w:fldCharType="end"/>
        </w:r>
      </w:hyperlink>
    </w:p>
    <w:p w:rsidR="00B8051D" w:rsidRDefault="008212C8">
      <w:pPr>
        <w:pStyle w:val="TOC3"/>
        <w:tabs>
          <w:tab w:val="right" w:leader="dot" w:pos="9350"/>
        </w:tabs>
        <w:rPr>
          <w:rFonts w:asciiTheme="minorHAnsi" w:eastAsiaTheme="minorEastAsia" w:hAnsiTheme="minorHAnsi" w:cstheme="minorBidi"/>
          <w:noProof/>
          <w:szCs w:val="22"/>
        </w:rPr>
      </w:pPr>
      <w:hyperlink w:anchor="_Toc405293154" w:history="1">
        <w:r w:rsidR="0024493D">
          <w:rPr>
            <w:rStyle w:val="Hyperlink"/>
            <w:noProof/>
          </w:rPr>
          <w:t>3</w:t>
        </w:r>
        <w:r w:rsidR="00B8051D" w:rsidRPr="001E6E15">
          <w:rPr>
            <w:rStyle w:val="Hyperlink"/>
            <w:noProof/>
          </w:rPr>
          <w:t>. Early Childhood Special Education</w:t>
        </w:r>
        <w:r w:rsidR="00B8051D">
          <w:rPr>
            <w:noProof/>
            <w:webHidden/>
          </w:rPr>
          <w:tab/>
        </w:r>
        <w:r>
          <w:rPr>
            <w:noProof/>
            <w:webHidden/>
          </w:rPr>
          <w:fldChar w:fldCharType="begin"/>
        </w:r>
        <w:r w:rsidR="00B8051D">
          <w:rPr>
            <w:noProof/>
            <w:webHidden/>
          </w:rPr>
          <w:instrText xml:space="preserve"> PAGEREF _Toc405293154 \h </w:instrText>
        </w:r>
        <w:r>
          <w:rPr>
            <w:noProof/>
            <w:webHidden/>
          </w:rPr>
        </w:r>
        <w:r>
          <w:rPr>
            <w:noProof/>
            <w:webHidden/>
          </w:rPr>
          <w:fldChar w:fldCharType="separate"/>
        </w:r>
        <w:r w:rsidR="0020208B">
          <w:rPr>
            <w:noProof/>
            <w:webHidden/>
          </w:rPr>
          <w:t>12</w:t>
        </w:r>
        <w:r>
          <w:rPr>
            <w:noProof/>
            <w:webHidden/>
          </w:rPr>
          <w:fldChar w:fldCharType="end"/>
        </w:r>
      </w:hyperlink>
    </w:p>
    <w:p w:rsidR="00B8051D" w:rsidRDefault="008212C8">
      <w:pPr>
        <w:pStyle w:val="TOC3"/>
        <w:tabs>
          <w:tab w:val="right" w:leader="dot" w:pos="9350"/>
        </w:tabs>
        <w:rPr>
          <w:rFonts w:asciiTheme="minorHAnsi" w:eastAsiaTheme="minorEastAsia" w:hAnsiTheme="minorHAnsi" w:cstheme="minorBidi"/>
          <w:noProof/>
          <w:szCs w:val="22"/>
        </w:rPr>
      </w:pPr>
      <w:hyperlink w:anchor="_Toc405293155" w:history="1">
        <w:r w:rsidR="0024493D">
          <w:rPr>
            <w:rStyle w:val="Hyperlink"/>
            <w:noProof/>
          </w:rPr>
          <w:t>4</w:t>
        </w:r>
        <w:r w:rsidR="00B8051D" w:rsidRPr="001E6E15">
          <w:rPr>
            <w:rStyle w:val="Hyperlink"/>
            <w:noProof/>
          </w:rPr>
          <w:t>. Secondary Transition</w:t>
        </w:r>
        <w:r w:rsidR="00B8051D">
          <w:rPr>
            <w:noProof/>
            <w:webHidden/>
          </w:rPr>
          <w:tab/>
        </w:r>
        <w:r>
          <w:rPr>
            <w:noProof/>
            <w:webHidden/>
          </w:rPr>
          <w:fldChar w:fldCharType="begin"/>
        </w:r>
        <w:r w:rsidR="00B8051D">
          <w:rPr>
            <w:noProof/>
            <w:webHidden/>
          </w:rPr>
          <w:instrText xml:space="preserve"> PAGEREF _Toc405293155 \h </w:instrText>
        </w:r>
        <w:r>
          <w:rPr>
            <w:noProof/>
            <w:webHidden/>
          </w:rPr>
        </w:r>
        <w:r>
          <w:rPr>
            <w:noProof/>
            <w:webHidden/>
          </w:rPr>
          <w:fldChar w:fldCharType="separate"/>
        </w:r>
        <w:r w:rsidR="0020208B">
          <w:rPr>
            <w:noProof/>
            <w:webHidden/>
          </w:rPr>
          <w:t>13</w:t>
        </w:r>
        <w:r>
          <w:rPr>
            <w:noProof/>
            <w:webHidden/>
          </w:rPr>
          <w:fldChar w:fldCharType="end"/>
        </w:r>
      </w:hyperlink>
    </w:p>
    <w:p w:rsidR="00B8051D" w:rsidRDefault="008212C8">
      <w:pPr>
        <w:pStyle w:val="TOC2"/>
        <w:tabs>
          <w:tab w:val="left" w:pos="960"/>
          <w:tab w:val="right" w:leader="dot" w:pos="9350"/>
        </w:tabs>
        <w:rPr>
          <w:rFonts w:asciiTheme="minorHAnsi" w:eastAsiaTheme="minorEastAsia" w:hAnsiTheme="minorHAnsi" w:cstheme="minorBidi"/>
          <w:noProof/>
          <w:sz w:val="22"/>
          <w:szCs w:val="22"/>
        </w:rPr>
      </w:pPr>
      <w:hyperlink w:anchor="_Toc405293156" w:history="1">
        <w:r w:rsidR="00B8051D" w:rsidRPr="001E6E15">
          <w:rPr>
            <w:rStyle w:val="Hyperlink"/>
            <w:noProof/>
          </w:rPr>
          <w:t>B. Office of Tiered System of Support (OTSS)</w:t>
        </w:r>
        <w:r w:rsidR="00B8051D">
          <w:rPr>
            <w:noProof/>
            <w:webHidden/>
          </w:rPr>
          <w:tab/>
        </w:r>
        <w:r>
          <w:rPr>
            <w:noProof/>
            <w:webHidden/>
          </w:rPr>
          <w:fldChar w:fldCharType="begin"/>
        </w:r>
        <w:r w:rsidR="00B8051D">
          <w:rPr>
            <w:noProof/>
            <w:webHidden/>
          </w:rPr>
          <w:instrText xml:space="preserve"> PAGEREF _Toc405293156 \h </w:instrText>
        </w:r>
        <w:r>
          <w:rPr>
            <w:noProof/>
            <w:webHidden/>
          </w:rPr>
        </w:r>
        <w:r>
          <w:rPr>
            <w:noProof/>
            <w:webHidden/>
          </w:rPr>
          <w:fldChar w:fldCharType="separate"/>
        </w:r>
        <w:r w:rsidR="0020208B">
          <w:rPr>
            <w:noProof/>
            <w:webHidden/>
          </w:rPr>
          <w:t>13</w:t>
        </w:r>
        <w:r>
          <w:rPr>
            <w:noProof/>
            <w:webHidden/>
          </w:rPr>
          <w:fldChar w:fldCharType="end"/>
        </w:r>
      </w:hyperlink>
    </w:p>
    <w:p w:rsidR="00B8051D" w:rsidRDefault="008212C8">
      <w:pPr>
        <w:pStyle w:val="TOC3"/>
        <w:tabs>
          <w:tab w:val="right" w:leader="dot" w:pos="9350"/>
        </w:tabs>
        <w:rPr>
          <w:rFonts w:asciiTheme="minorHAnsi" w:eastAsiaTheme="minorEastAsia" w:hAnsiTheme="minorHAnsi" w:cstheme="minorBidi"/>
          <w:noProof/>
          <w:szCs w:val="22"/>
        </w:rPr>
      </w:pPr>
      <w:hyperlink w:anchor="_Toc405293157" w:history="1">
        <w:r w:rsidR="00B8051D" w:rsidRPr="001E6E15">
          <w:rPr>
            <w:rStyle w:val="Hyperlink"/>
            <w:noProof/>
          </w:rPr>
          <w:t>1. Professional Development</w:t>
        </w:r>
        <w:r w:rsidR="00B8051D">
          <w:rPr>
            <w:noProof/>
            <w:webHidden/>
          </w:rPr>
          <w:tab/>
        </w:r>
        <w:r>
          <w:rPr>
            <w:noProof/>
            <w:webHidden/>
          </w:rPr>
          <w:fldChar w:fldCharType="begin"/>
        </w:r>
        <w:r w:rsidR="00B8051D">
          <w:rPr>
            <w:noProof/>
            <w:webHidden/>
          </w:rPr>
          <w:instrText xml:space="preserve"> PAGEREF _Toc405293157 \h </w:instrText>
        </w:r>
        <w:r>
          <w:rPr>
            <w:noProof/>
            <w:webHidden/>
          </w:rPr>
        </w:r>
        <w:r>
          <w:rPr>
            <w:noProof/>
            <w:webHidden/>
          </w:rPr>
          <w:fldChar w:fldCharType="separate"/>
        </w:r>
        <w:r w:rsidR="0020208B">
          <w:rPr>
            <w:noProof/>
            <w:webHidden/>
          </w:rPr>
          <w:t>14</w:t>
        </w:r>
        <w:r>
          <w:rPr>
            <w:noProof/>
            <w:webHidden/>
          </w:rPr>
          <w:fldChar w:fldCharType="end"/>
        </w:r>
      </w:hyperlink>
    </w:p>
    <w:p w:rsidR="00B8051D" w:rsidRDefault="008212C8">
      <w:pPr>
        <w:pStyle w:val="TOC3"/>
        <w:tabs>
          <w:tab w:val="right" w:leader="dot" w:pos="9350"/>
        </w:tabs>
        <w:rPr>
          <w:rFonts w:asciiTheme="minorHAnsi" w:eastAsiaTheme="minorEastAsia" w:hAnsiTheme="minorHAnsi" w:cstheme="minorBidi"/>
          <w:noProof/>
          <w:szCs w:val="22"/>
        </w:rPr>
      </w:pPr>
      <w:hyperlink w:anchor="_Toc405293158" w:history="1">
        <w:r w:rsidR="00802F05">
          <w:rPr>
            <w:rStyle w:val="Hyperlink"/>
            <w:noProof/>
          </w:rPr>
          <w:t>2</w:t>
        </w:r>
        <w:r w:rsidR="00B8051D" w:rsidRPr="001E6E15">
          <w:rPr>
            <w:rStyle w:val="Hyperlink"/>
            <w:noProof/>
          </w:rPr>
          <w:t>. OTSS Website</w:t>
        </w:r>
        <w:r w:rsidR="00B8051D">
          <w:rPr>
            <w:noProof/>
            <w:webHidden/>
          </w:rPr>
          <w:tab/>
        </w:r>
        <w:r>
          <w:rPr>
            <w:noProof/>
            <w:webHidden/>
          </w:rPr>
          <w:fldChar w:fldCharType="begin"/>
        </w:r>
        <w:r w:rsidR="00B8051D">
          <w:rPr>
            <w:noProof/>
            <w:webHidden/>
          </w:rPr>
          <w:instrText xml:space="preserve"> PAGEREF _Toc405293158 \h </w:instrText>
        </w:r>
        <w:r>
          <w:rPr>
            <w:noProof/>
            <w:webHidden/>
          </w:rPr>
        </w:r>
        <w:r>
          <w:rPr>
            <w:noProof/>
            <w:webHidden/>
          </w:rPr>
          <w:fldChar w:fldCharType="separate"/>
        </w:r>
        <w:r w:rsidR="0020208B">
          <w:rPr>
            <w:noProof/>
            <w:webHidden/>
          </w:rPr>
          <w:t>15</w:t>
        </w:r>
        <w:r>
          <w:rPr>
            <w:noProof/>
            <w:webHidden/>
          </w:rPr>
          <w:fldChar w:fldCharType="end"/>
        </w:r>
      </w:hyperlink>
    </w:p>
    <w:p w:rsidR="00B8051D" w:rsidRDefault="008212C8">
      <w:pPr>
        <w:pStyle w:val="TOC2"/>
        <w:tabs>
          <w:tab w:val="left" w:pos="960"/>
          <w:tab w:val="right" w:leader="dot" w:pos="9350"/>
        </w:tabs>
        <w:rPr>
          <w:rFonts w:asciiTheme="minorHAnsi" w:eastAsiaTheme="minorEastAsia" w:hAnsiTheme="minorHAnsi" w:cstheme="minorBidi"/>
          <w:noProof/>
          <w:sz w:val="22"/>
          <w:szCs w:val="22"/>
        </w:rPr>
      </w:pPr>
      <w:hyperlink w:anchor="_Toc405293159" w:history="1">
        <w:r w:rsidR="00B8051D" w:rsidRPr="001E6E15">
          <w:rPr>
            <w:rStyle w:val="Hyperlink"/>
            <w:noProof/>
          </w:rPr>
          <w:t>C. Educational Collaboratives</w:t>
        </w:r>
        <w:r w:rsidR="00B8051D">
          <w:rPr>
            <w:noProof/>
            <w:webHidden/>
          </w:rPr>
          <w:tab/>
        </w:r>
        <w:r>
          <w:rPr>
            <w:noProof/>
            <w:webHidden/>
          </w:rPr>
          <w:fldChar w:fldCharType="begin"/>
        </w:r>
        <w:r w:rsidR="00B8051D">
          <w:rPr>
            <w:noProof/>
            <w:webHidden/>
          </w:rPr>
          <w:instrText xml:space="preserve"> PAGEREF _Toc405293159 \h </w:instrText>
        </w:r>
        <w:r>
          <w:rPr>
            <w:noProof/>
            <w:webHidden/>
          </w:rPr>
        </w:r>
        <w:r>
          <w:rPr>
            <w:noProof/>
            <w:webHidden/>
          </w:rPr>
          <w:fldChar w:fldCharType="separate"/>
        </w:r>
        <w:r w:rsidR="0020208B">
          <w:rPr>
            <w:noProof/>
            <w:webHidden/>
          </w:rPr>
          <w:t>15</w:t>
        </w:r>
        <w:r>
          <w:rPr>
            <w:noProof/>
            <w:webHidden/>
          </w:rPr>
          <w:fldChar w:fldCharType="end"/>
        </w:r>
      </w:hyperlink>
    </w:p>
    <w:p w:rsidR="00B8051D" w:rsidRDefault="008212C8">
      <w:pPr>
        <w:pStyle w:val="TOC2"/>
        <w:tabs>
          <w:tab w:val="left" w:pos="960"/>
          <w:tab w:val="right" w:leader="dot" w:pos="9350"/>
        </w:tabs>
        <w:rPr>
          <w:rFonts w:asciiTheme="minorHAnsi" w:eastAsiaTheme="minorEastAsia" w:hAnsiTheme="minorHAnsi" w:cstheme="minorBidi"/>
          <w:noProof/>
          <w:sz w:val="22"/>
          <w:szCs w:val="22"/>
        </w:rPr>
      </w:pPr>
      <w:hyperlink w:anchor="_Toc405293160" w:history="1">
        <w:r w:rsidR="00B8051D" w:rsidRPr="001E6E15">
          <w:rPr>
            <w:rStyle w:val="Hyperlink"/>
            <w:noProof/>
          </w:rPr>
          <w:t>D. Bureau of Special Education Appeals</w:t>
        </w:r>
        <w:r w:rsidR="00B8051D">
          <w:rPr>
            <w:noProof/>
            <w:webHidden/>
          </w:rPr>
          <w:tab/>
        </w:r>
        <w:r>
          <w:rPr>
            <w:noProof/>
            <w:webHidden/>
          </w:rPr>
          <w:fldChar w:fldCharType="begin"/>
        </w:r>
        <w:r w:rsidR="00B8051D">
          <w:rPr>
            <w:noProof/>
            <w:webHidden/>
          </w:rPr>
          <w:instrText xml:space="preserve"> PAGEREF _Toc405293160 \h </w:instrText>
        </w:r>
        <w:r>
          <w:rPr>
            <w:noProof/>
            <w:webHidden/>
          </w:rPr>
        </w:r>
        <w:r>
          <w:rPr>
            <w:noProof/>
            <w:webHidden/>
          </w:rPr>
          <w:fldChar w:fldCharType="separate"/>
        </w:r>
        <w:r w:rsidR="0020208B">
          <w:rPr>
            <w:noProof/>
            <w:webHidden/>
          </w:rPr>
          <w:t>16</w:t>
        </w:r>
        <w:r>
          <w:rPr>
            <w:noProof/>
            <w:webHidden/>
          </w:rPr>
          <w:fldChar w:fldCharType="end"/>
        </w:r>
      </w:hyperlink>
    </w:p>
    <w:p w:rsidR="00B8051D" w:rsidRDefault="008212C8">
      <w:pPr>
        <w:pStyle w:val="TOC3"/>
        <w:tabs>
          <w:tab w:val="right" w:leader="dot" w:pos="9350"/>
        </w:tabs>
        <w:rPr>
          <w:rFonts w:asciiTheme="minorHAnsi" w:eastAsiaTheme="minorEastAsia" w:hAnsiTheme="minorHAnsi" w:cstheme="minorBidi"/>
          <w:noProof/>
          <w:szCs w:val="22"/>
        </w:rPr>
      </w:pPr>
      <w:hyperlink w:anchor="_Toc405293161" w:history="1">
        <w:r w:rsidR="00B8051D" w:rsidRPr="001E6E15">
          <w:rPr>
            <w:rStyle w:val="Hyperlink"/>
            <w:noProof/>
          </w:rPr>
          <w:t>1. Rejected IEPs</w:t>
        </w:r>
        <w:r w:rsidR="00B8051D">
          <w:rPr>
            <w:noProof/>
            <w:webHidden/>
          </w:rPr>
          <w:tab/>
        </w:r>
        <w:r>
          <w:rPr>
            <w:noProof/>
            <w:webHidden/>
          </w:rPr>
          <w:fldChar w:fldCharType="begin"/>
        </w:r>
        <w:r w:rsidR="00B8051D">
          <w:rPr>
            <w:noProof/>
            <w:webHidden/>
          </w:rPr>
          <w:instrText xml:space="preserve"> PAGEREF _Toc405293161 \h </w:instrText>
        </w:r>
        <w:r>
          <w:rPr>
            <w:noProof/>
            <w:webHidden/>
          </w:rPr>
        </w:r>
        <w:r>
          <w:rPr>
            <w:noProof/>
            <w:webHidden/>
          </w:rPr>
          <w:fldChar w:fldCharType="separate"/>
        </w:r>
        <w:r w:rsidR="0020208B">
          <w:rPr>
            <w:noProof/>
            <w:webHidden/>
          </w:rPr>
          <w:t>17</w:t>
        </w:r>
        <w:r>
          <w:rPr>
            <w:noProof/>
            <w:webHidden/>
          </w:rPr>
          <w:fldChar w:fldCharType="end"/>
        </w:r>
      </w:hyperlink>
    </w:p>
    <w:p w:rsidR="00B8051D" w:rsidRDefault="008212C8">
      <w:pPr>
        <w:pStyle w:val="TOC3"/>
        <w:tabs>
          <w:tab w:val="right" w:leader="dot" w:pos="9350"/>
        </w:tabs>
        <w:rPr>
          <w:rFonts w:asciiTheme="minorHAnsi" w:eastAsiaTheme="minorEastAsia" w:hAnsiTheme="minorHAnsi" w:cstheme="minorBidi"/>
          <w:noProof/>
          <w:szCs w:val="22"/>
        </w:rPr>
      </w:pPr>
      <w:hyperlink w:anchor="_Toc405293162" w:history="1">
        <w:r w:rsidR="00B8051D" w:rsidRPr="001E6E15">
          <w:rPr>
            <w:rStyle w:val="Hyperlink"/>
            <w:noProof/>
          </w:rPr>
          <w:t>2. Facilitated IEP TEAM Meetings</w:t>
        </w:r>
        <w:r w:rsidR="00B8051D">
          <w:rPr>
            <w:noProof/>
            <w:webHidden/>
          </w:rPr>
          <w:tab/>
        </w:r>
        <w:r>
          <w:rPr>
            <w:noProof/>
            <w:webHidden/>
          </w:rPr>
          <w:fldChar w:fldCharType="begin"/>
        </w:r>
        <w:r w:rsidR="00B8051D">
          <w:rPr>
            <w:noProof/>
            <w:webHidden/>
          </w:rPr>
          <w:instrText xml:space="preserve"> PAGEREF _Toc405293162 \h </w:instrText>
        </w:r>
        <w:r>
          <w:rPr>
            <w:noProof/>
            <w:webHidden/>
          </w:rPr>
        </w:r>
        <w:r>
          <w:rPr>
            <w:noProof/>
            <w:webHidden/>
          </w:rPr>
          <w:fldChar w:fldCharType="separate"/>
        </w:r>
        <w:r w:rsidR="0020208B">
          <w:rPr>
            <w:noProof/>
            <w:webHidden/>
          </w:rPr>
          <w:t>17</w:t>
        </w:r>
        <w:r>
          <w:rPr>
            <w:noProof/>
            <w:webHidden/>
          </w:rPr>
          <w:fldChar w:fldCharType="end"/>
        </w:r>
      </w:hyperlink>
    </w:p>
    <w:p w:rsidR="00B8051D" w:rsidRDefault="008212C8">
      <w:pPr>
        <w:pStyle w:val="TOC3"/>
        <w:tabs>
          <w:tab w:val="right" w:leader="dot" w:pos="9350"/>
        </w:tabs>
        <w:rPr>
          <w:rFonts w:asciiTheme="minorHAnsi" w:eastAsiaTheme="minorEastAsia" w:hAnsiTheme="minorHAnsi" w:cstheme="minorBidi"/>
          <w:noProof/>
          <w:szCs w:val="22"/>
        </w:rPr>
      </w:pPr>
      <w:hyperlink w:anchor="_Toc405293163" w:history="1">
        <w:r w:rsidR="00B8051D" w:rsidRPr="001E6E15">
          <w:rPr>
            <w:rStyle w:val="Hyperlink"/>
            <w:noProof/>
          </w:rPr>
          <w:t>3. Mediation</w:t>
        </w:r>
        <w:r w:rsidR="00B8051D">
          <w:rPr>
            <w:noProof/>
            <w:webHidden/>
          </w:rPr>
          <w:tab/>
        </w:r>
        <w:r>
          <w:rPr>
            <w:noProof/>
            <w:webHidden/>
          </w:rPr>
          <w:fldChar w:fldCharType="begin"/>
        </w:r>
        <w:r w:rsidR="00B8051D">
          <w:rPr>
            <w:noProof/>
            <w:webHidden/>
          </w:rPr>
          <w:instrText xml:space="preserve"> PAGEREF _Toc405293163 \h </w:instrText>
        </w:r>
        <w:r>
          <w:rPr>
            <w:noProof/>
            <w:webHidden/>
          </w:rPr>
        </w:r>
        <w:r>
          <w:rPr>
            <w:noProof/>
            <w:webHidden/>
          </w:rPr>
          <w:fldChar w:fldCharType="separate"/>
        </w:r>
        <w:r w:rsidR="0020208B">
          <w:rPr>
            <w:noProof/>
            <w:webHidden/>
          </w:rPr>
          <w:t>17</w:t>
        </w:r>
        <w:r>
          <w:rPr>
            <w:noProof/>
            <w:webHidden/>
          </w:rPr>
          <w:fldChar w:fldCharType="end"/>
        </w:r>
      </w:hyperlink>
    </w:p>
    <w:p w:rsidR="00B8051D" w:rsidRDefault="008212C8">
      <w:pPr>
        <w:pStyle w:val="TOC3"/>
        <w:tabs>
          <w:tab w:val="right" w:leader="dot" w:pos="9350"/>
        </w:tabs>
        <w:rPr>
          <w:rFonts w:asciiTheme="minorHAnsi" w:eastAsiaTheme="minorEastAsia" w:hAnsiTheme="minorHAnsi" w:cstheme="minorBidi"/>
          <w:noProof/>
          <w:szCs w:val="22"/>
        </w:rPr>
      </w:pPr>
      <w:hyperlink w:anchor="_Toc405293164" w:history="1">
        <w:r w:rsidR="00B8051D" w:rsidRPr="001E6E15">
          <w:rPr>
            <w:rStyle w:val="Hyperlink"/>
            <w:noProof/>
          </w:rPr>
          <w:t>4. Due Process Hearings</w:t>
        </w:r>
        <w:r w:rsidR="00B8051D">
          <w:rPr>
            <w:noProof/>
            <w:webHidden/>
          </w:rPr>
          <w:tab/>
        </w:r>
        <w:r>
          <w:rPr>
            <w:noProof/>
            <w:webHidden/>
          </w:rPr>
          <w:fldChar w:fldCharType="begin"/>
        </w:r>
        <w:r w:rsidR="00B8051D">
          <w:rPr>
            <w:noProof/>
            <w:webHidden/>
          </w:rPr>
          <w:instrText xml:space="preserve"> PAGEREF _Toc405293164 \h </w:instrText>
        </w:r>
        <w:r>
          <w:rPr>
            <w:noProof/>
            <w:webHidden/>
          </w:rPr>
        </w:r>
        <w:r>
          <w:rPr>
            <w:noProof/>
            <w:webHidden/>
          </w:rPr>
          <w:fldChar w:fldCharType="separate"/>
        </w:r>
        <w:r w:rsidR="0020208B">
          <w:rPr>
            <w:noProof/>
            <w:webHidden/>
          </w:rPr>
          <w:t>17</w:t>
        </w:r>
        <w:r>
          <w:rPr>
            <w:noProof/>
            <w:webHidden/>
          </w:rPr>
          <w:fldChar w:fldCharType="end"/>
        </w:r>
      </w:hyperlink>
    </w:p>
    <w:p w:rsidR="00B8051D" w:rsidRDefault="008212C8">
      <w:pPr>
        <w:pStyle w:val="TOC3"/>
        <w:tabs>
          <w:tab w:val="right" w:leader="dot" w:pos="9350"/>
        </w:tabs>
        <w:rPr>
          <w:rFonts w:asciiTheme="minorHAnsi" w:eastAsiaTheme="minorEastAsia" w:hAnsiTheme="minorHAnsi" w:cstheme="minorBidi"/>
          <w:noProof/>
          <w:szCs w:val="22"/>
        </w:rPr>
      </w:pPr>
      <w:hyperlink w:anchor="_Toc405293165" w:history="1">
        <w:r w:rsidR="00B8051D" w:rsidRPr="001E6E15">
          <w:rPr>
            <w:rStyle w:val="Hyperlink"/>
            <w:noProof/>
          </w:rPr>
          <w:t>5. Prevailing Party</w:t>
        </w:r>
        <w:r w:rsidR="00B8051D">
          <w:rPr>
            <w:noProof/>
            <w:webHidden/>
          </w:rPr>
          <w:tab/>
        </w:r>
        <w:r>
          <w:rPr>
            <w:noProof/>
            <w:webHidden/>
          </w:rPr>
          <w:fldChar w:fldCharType="begin"/>
        </w:r>
        <w:r w:rsidR="00B8051D">
          <w:rPr>
            <w:noProof/>
            <w:webHidden/>
          </w:rPr>
          <w:instrText xml:space="preserve"> PAGEREF _Toc405293165 \h </w:instrText>
        </w:r>
        <w:r>
          <w:rPr>
            <w:noProof/>
            <w:webHidden/>
          </w:rPr>
        </w:r>
        <w:r>
          <w:rPr>
            <w:noProof/>
            <w:webHidden/>
          </w:rPr>
          <w:fldChar w:fldCharType="separate"/>
        </w:r>
        <w:r w:rsidR="0020208B">
          <w:rPr>
            <w:noProof/>
            <w:webHidden/>
          </w:rPr>
          <w:t>17</w:t>
        </w:r>
        <w:r>
          <w:rPr>
            <w:noProof/>
            <w:webHidden/>
          </w:rPr>
          <w:fldChar w:fldCharType="end"/>
        </w:r>
      </w:hyperlink>
    </w:p>
    <w:p w:rsidR="00B8051D" w:rsidRDefault="008212C8" w:rsidP="00731666">
      <w:pPr>
        <w:pStyle w:val="TOC1"/>
        <w:tabs>
          <w:tab w:val="left" w:pos="360"/>
          <w:tab w:val="left" w:pos="720"/>
        </w:tabs>
        <w:rPr>
          <w:rFonts w:asciiTheme="minorHAnsi" w:eastAsiaTheme="minorEastAsia" w:hAnsiTheme="minorHAnsi" w:cstheme="minorBidi"/>
          <w:b w:val="0"/>
          <w:noProof/>
          <w:sz w:val="22"/>
          <w:szCs w:val="22"/>
        </w:rPr>
      </w:pPr>
      <w:hyperlink w:anchor="_Toc405293166" w:history="1">
        <w:r w:rsidR="00B8051D" w:rsidRPr="001E6E15">
          <w:rPr>
            <w:rStyle w:val="Hyperlink"/>
            <w:noProof/>
          </w:rPr>
          <w:t>VI. For More Information</w:t>
        </w:r>
        <w:r w:rsidR="00B8051D">
          <w:rPr>
            <w:noProof/>
            <w:webHidden/>
          </w:rPr>
          <w:tab/>
        </w:r>
        <w:r>
          <w:rPr>
            <w:noProof/>
            <w:webHidden/>
          </w:rPr>
          <w:fldChar w:fldCharType="begin"/>
        </w:r>
        <w:r w:rsidR="00B8051D">
          <w:rPr>
            <w:noProof/>
            <w:webHidden/>
          </w:rPr>
          <w:instrText xml:space="preserve"> PAGEREF _Toc405293166 \h </w:instrText>
        </w:r>
        <w:r>
          <w:rPr>
            <w:noProof/>
            <w:webHidden/>
          </w:rPr>
        </w:r>
        <w:r>
          <w:rPr>
            <w:noProof/>
            <w:webHidden/>
          </w:rPr>
          <w:fldChar w:fldCharType="separate"/>
        </w:r>
        <w:r w:rsidR="0020208B">
          <w:rPr>
            <w:noProof/>
            <w:webHidden/>
          </w:rPr>
          <w:t>17</w:t>
        </w:r>
        <w:r>
          <w:rPr>
            <w:noProof/>
            <w:webHidden/>
          </w:rPr>
          <w:fldChar w:fldCharType="end"/>
        </w:r>
      </w:hyperlink>
    </w:p>
    <w:p w:rsidR="00FD2C86" w:rsidRPr="00490033" w:rsidRDefault="008212C8">
      <w:pPr>
        <w:sectPr w:rsidR="00FD2C86" w:rsidRPr="00490033" w:rsidSect="007102D5">
          <w:pgSz w:w="12240" w:h="15840"/>
          <w:pgMar w:top="1440" w:right="1440" w:bottom="1440" w:left="1440" w:header="720" w:footer="720" w:gutter="0"/>
          <w:cols w:space="720"/>
          <w:docGrid w:linePitch="326"/>
        </w:sectPr>
      </w:pPr>
      <w:r w:rsidRPr="00AF15A9">
        <w:fldChar w:fldCharType="end"/>
      </w:r>
    </w:p>
    <w:p w:rsidR="00144CB4" w:rsidRDefault="00CB262E" w:rsidP="00185426">
      <w:pPr>
        <w:pStyle w:val="Heading1"/>
        <w:spacing w:before="0"/>
      </w:pPr>
      <w:bookmarkStart w:id="2" w:name="_Toc405293140"/>
      <w:r>
        <w:lastRenderedPageBreak/>
        <w:t>I.</w:t>
      </w:r>
      <w:r>
        <w:tab/>
      </w:r>
      <w:r w:rsidR="00144CB4">
        <w:t>Introduction</w:t>
      </w:r>
      <w:bookmarkEnd w:id="2"/>
    </w:p>
    <w:p w:rsidR="00C349FF" w:rsidRPr="0072770E" w:rsidRDefault="00C349FF" w:rsidP="00185426">
      <w:pPr>
        <w:spacing w:after="120"/>
        <w:rPr>
          <w:i/>
          <w:iCs/>
        </w:rPr>
      </w:pPr>
      <w:r w:rsidRPr="0072770E">
        <w:t xml:space="preserve">The Department of Elementary and Secondary Education (“the Department”) respectfully submits this Report to the Legislature pursuant to Chapter 159 of the Acts of 2000, Section 432, which reads in relevant part: </w:t>
      </w:r>
      <w:r w:rsidRPr="0072770E">
        <w:rPr>
          <w:i/>
          <w:iCs/>
        </w:rPr>
        <w:tab/>
      </w:r>
    </w:p>
    <w:p w:rsidR="00FD2C86" w:rsidRDefault="00C349FF" w:rsidP="00185426">
      <w:pPr>
        <w:tabs>
          <w:tab w:val="left" w:pos="720"/>
        </w:tabs>
        <w:spacing w:after="120"/>
        <w:rPr>
          <w:i/>
          <w:iCs/>
        </w:rPr>
      </w:pPr>
      <w:r w:rsidRPr="0072770E">
        <w:rPr>
          <w:i/>
          <w:iCs/>
        </w:rPr>
        <w:tab/>
        <w:t>“The Department …… shall annually . . . report to the General Court on the implementation of [special education law]. Such report shall include … cost increases or savings in cities or towns, . . . the extent of the development</w:t>
      </w:r>
      <w:r w:rsidR="0084450C" w:rsidRPr="0072770E">
        <w:rPr>
          <w:i/>
          <w:iCs/>
        </w:rPr>
        <w:t xml:space="preserve"> of educational collaboratives </w:t>
      </w:r>
      <w:r w:rsidR="0072770E">
        <w:rPr>
          <w:i/>
          <w:iCs/>
        </w:rPr>
        <w:t xml:space="preserve">to provide necessary services, </w:t>
      </w:r>
      <w:r w:rsidRPr="0072770E">
        <w:rPr>
          <w:i/>
          <w:iCs/>
        </w:rPr>
        <w:t>the increase or decrease of the number of children served, federal non-compliance issues and other such matters as said Department deems appropriate. Such report shall be filed with the clerks of the House of Representatives and the Senate who shall forward the same to the Joint Committee on Education, Arts and Humanities and the House and Senate Committees on Ways and Means…”</w:t>
      </w:r>
    </w:p>
    <w:p w:rsidR="0077595B" w:rsidRPr="0072770E" w:rsidRDefault="0077595B" w:rsidP="00185426">
      <w:pPr>
        <w:tabs>
          <w:tab w:val="left" w:pos="720"/>
        </w:tabs>
        <w:spacing w:after="120"/>
      </w:pPr>
    </w:p>
    <w:p w:rsidR="006152E4" w:rsidRPr="00CD4510" w:rsidRDefault="006152E4" w:rsidP="00185426">
      <w:pPr>
        <w:pStyle w:val="Heading1"/>
        <w:spacing w:before="0"/>
      </w:pPr>
      <w:bookmarkStart w:id="3" w:name="_Toc378583121"/>
      <w:bookmarkStart w:id="4" w:name="_Toc374012648"/>
      <w:bookmarkStart w:id="5" w:name="_Toc342312302"/>
      <w:bookmarkStart w:id="6" w:name="_Toc309819244"/>
      <w:bookmarkStart w:id="7" w:name="_Toc378598374"/>
      <w:bookmarkStart w:id="8" w:name="_Toc405293141"/>
      <w:r w:rsidRPr="00CD4510">
        <w:t xml:space="preserve">II. </w:t>
      </w:r>
      <w:r w:rsidRPr="00CD4510">
        <w:tab/>
      </w:r>
      <w:bookmarkEnd w:id="3"/>
      <w:bookmarkEnd w:id="4"/>
      <w:bookmarkEnd w:id="5"/>
      <w:bookmarkEnd w:id="6"/>
      <w:bookmarkEnd w:id="7"/>
      <w:r w:rsidR="00CB262E" w:rsidRPr="00CD4510">
        <w:t>Background: Enrollment and Finances</w:t>
      </w:r>
      <w:bookmarkEnd w:id="8"/>
    </w:p>
    <w:p w:rsidR="00CD4510" w:rsidRPr="0072770E" w:rsidRDefault="00973627" w:rsidP="00185426">
      <w:pPr>
        <w:spacing w:after="120"/>
        <w:rPr>
          <w:i/>
        </w:rPr>
      </w:pPr>
      <w:r w:rsidRPr="0072770E">
        <w:rPr>
          <w:i/>
        </w:rPr>
        <w:t>This</w:t>
      </w:r>
      <w:r w:rsidR="008C1D07" w:rsidRPr="0072770E">
        <w:rPr>
          <w:i/>
        </w:rPr>
        <w:t xml:space="preserve"> section</w:t>
      </w:r>
      <w:r w:rsidRPr="0072770E">
        <w:rPr>
          <w:i/>
        </w:rPr>
        <w:t xml:space="preserve"> on Enrollment and Finances</w:t>
      </w:r>
      <w:r w:rsidR="008C1D07" w:rsidRPr="0072770E">
        <w:rPr>
          <w:i/>
        </w:rPr>
        <w:t xml:space="preserve"> offer</w:t>
      </w:r>
      <w:r w:rsidR="00CD4510" w:rsidRPr="0072770E">
        <w:rPr>
          <w:i/>
        </w:rPr>
        <w:t>s</w:t>
      </w:r>
      <w:r w:rsidR="008C1D07" w:rsidRPr="0072770E">
        <w:rPr>
          <w:i/>
        </w:rPr>
        <w:t xml:space="preserve"> data required by the statute</w:t>
      </w:r>
      <w:r w:rsidR="00EE08E0" w:rsidRPr="0072770E">
        <w:rPr>
          <w:i/>
        </w:rPr>
        <w:t xml:space="preserve"> and provides</w:t>
      </w:r>
      <w:r w:rsidR="008C1D07" w:rsidRPr="0072770E">
        <w:rPr>
          <w:i/>
        </w:rPr>
        <w:t xml:space="preserve"> context for subse</w:t>
      </w:r>
      <w:r w:rsidR="00486B5F" w:rsidRPr="0072770E">
        <w:rPr>
          <w:i/>
        </w:rPr>
        <w:t xml:space="preserve">quent discussion of </w:t>
      </w:r>
      <w:r w:rsidR="005F254E">
        <w:rPr>
          <w:i/>
        </w:rPr>
        <w:t>Department</w:t>
      </w:r>
      <w:r w:rsidR="00E440FF" w:rsidRPr="0072770E">
        <w:rPr>
          <w:i/>
        </w:rPr>
        <w:t xml:space="preserve"> activities. Information from the</w:t>
      </w:r>
      <w:r w:rsidR="00550B7B">
        <w:rPr>
          <w:i/>
        </w:rPr>
        <w:t xml:space="preserve"> commissioned research</w:t>
      </w:r>
      <w:r w:rsidR="00E440FF" w:rsidRPr="0072770E">
        <w:rPr>
          <w:i/>
        </w:rPr>
        <w:t xml:space="preserve"> </w:t>
      </w:r>
      <w:hyperlink r:id="rId20" w:history="1">
        <w:r w:rsidR="00E440FF" w:rsidRPr="0072770E">
          <w:rPr>
            <w:rStyle w:val="Hyperlink"/>
            <w:i/>
          </w:rPr>
          <w:t>reports</w:t>
        </w:r>
      </w:hyperlink>
      <w:r w:rsidR="00E440FF" w:rsidRPr="0072770E">
        <w:rPr>
          <w:i/>
        </w:rPr>
        <w:t xml:space="preserve"> is embedded throughout.</w:t>
      </w:r>
      <w:r w:rsidR="003C754D" w:rsidRPr="0072770E">
        <w:rPr>
          <w:i/>
        </w:rPr>
        <w:t xml:space="preserve"> A full summary of the 2014 </w:t>
      </w:r>
      <w:hyperlink r:id="rId21" w:history="1">
        <w:r w:rsidR="003C754D" w:rsidRPr="0072770E">
          <w:rPr>
            <w:rStyle w:val="Hyperlink"/>
            <w:i/>
          </w:rPr>
          <w:t>synthesis report</w:t>
        </w:r>
      </w:hyperlink>
      <w:r w:rsidR="003C754D" w:rsidRPr="0072770E">
        <w:rPr>
          <w:i/>
        </w:rPr>
        <w:t xml:space="preserve"> can be read in </w:t>
      </w:r>
      <w:hyperlink w:anchor="_IV.__Review" w:history="1">
        <w:r w:rsidR="003C754D" w:rsidRPr="00685BBE">
          <w:rPr>
            <w:rStyle w:val="Hyperlink"/>
            <w:i/>
          </w:rPr>
          <w:t>Section IV</w:t>
        </w:r>
      </w:hyperlink>
      <w:r w:rsidR="003C754D" w:rsidRPr="0072770E">
        <w:rPr>
          <w:i/>
        </w:rPr>
        <w:t xml:space="preserve"> below.</w:t>
      </w:r>
    </w:p>
    <w:p w:rsidR="006A3D65" w:rsidRPr="006D7C62" w:rsidRDefault="006A3D65" w:rsidP="00185426">
      <w:pPr>
        <w:pStyle w:val="Heading2"/>
        <w:spacing w:before="0" w:after="120"/>
      </w:pPr>
      <w:bookmarkStart w:id="9" w:name="_Toc378583122"/>
      <w:bookmarkStart w:id="10" w:name="_Toc374012649"/>
      <w:bookmarkStart w:id="11" w:name="_Toc342312303"/>
      <w:bookmarkStart w:id="12" w:name="_Toc309819245"/>
      <w:bookmarkStart w:id="13" w:name="_Toc378598375"/>
      <w:bookmarkStart w:id="14" w:name="_Toc405293142"/>
      <w:r w:rsidRPr="006D7C62">
        <w:t xml:space="preserve">A. </w:t>
      </w:r>
      <w:r w:rsidRPr="006D7C62">
        <w:tab/>
        <w:t>Longitudinal Enrollment</w:t>
      </w:r>
      <w:bookmarkEnd w:id="9"/>
      <w:bookmarkEnd w:id="10"/>
      <w:bookmarkEnd w:id="11"/>
      <w:bookmarkEnd w:id="12"/>
      <w:bookmarkEnd w:id="13"/>
      <w:bookmarkEnd w:id="14"/>
      <w:r w:rsidRPr="006D7C62">
        <w:t xml:space="preserve"> </w:t>
      </w:r>
    </w:p>
    <w:p w:rsidR="007E03DD" w:rsidRDefault="006A3D65" w:rsidP="00CB4210">
      <w:pPr>
        <w:spacing w:after="120"/>
        <w:rPr>
          <w:b/>
          <w:color w:val="000000" w:themeColor="text1"/>
        </w:rPr>
      </w:pPr>
      <w:r w:rsidRPr="0072770E">
        <w:t>Both Massachusetts’ total student enrollment and the number of students receiving special education services increased slightly from school year 2012-2013 (FY13) to 2013-14 (FY14). While there have</w:t>
      </w:r>
      <w:r w:rsidR="00C71F4F" w:rsidRPr="0072770E">
        <w:t xml:space="preserve"> </w:t>
      </w:r>
      <w:r w:rsidRPr="0072770E">
        <w:t>been small fluctuations in enrollment over the last four years</w:t>
      </w:r>
      <w:r w:rsidR="00A21C89" w:rsidRPr="0072770E">
        <w:t>, there has been no proportionate</w:t>
      </w:r>
      <w:r w:rsidRPr="0072770E">
        <w:t xml:space="preserve"> change in</w:t>
      </w:r>
      <w:r w:rsidR="00C71F4F" w:rsidRPr="0072770E">
        <w:t xml:space="preserve"> the</w:t>
      </w:r>
      <w:r w:rsidRPr="0072770E">
        <w:t xml:space="preserve"> number of students receiving special educatio</w:t>
      </w:r>
      <w:r w:rsidR="00C71F4F" w:rsidRPr="0072770E">
        <w:t xml:space="preserve">n services since FY09 (Table 1). The percentage of students with disabilities enrolled in Massachusetts public schools has held steady at </w:t>
      </w:r>
      <w:r w:rsidR="00234B44" w:rsidRPr="0072770E">
        <w:t>1</w:t>
      </w:r>
      <w:r w:rsidR="00FB7602" w:rsidRPr="0072770E">
        <w:t>7 percent</w:t>
      </w:r>
      <w:r w:rsidR="00C71F4F" w:rsidRPr="0072770E">
        <w:t xml:space="preserve"> for </w:t>
      </w:r>
      <w:r w:rsidR="00FF1A59">
        <w:t>5</w:t>
      </w:r>
      <w:r w:rsidR="00C71F4F" w:rsidRPr="0072770E">
        <w:t xml:space="preserve"> years.</w:t>
      </w:r>
      <w:r w:rsidR="00062D11" w:rsidRPr="0072770E">
        <w:t xml:space="preserve"> </w:t>
      </w:r>
    </w:p>
    <w:p w:rsidR="006A3D65" w:rsidRPr="0072770E" w:rsidRDefault="006A3D65" w:rsidP="007E03DD">
      <w:pPr>
        <w:spacing w:after="240"/>
        <w:ind w:left="180"/>
        <w:rPr>
          <w:b/>
        </w:rPr>
      </w:pPr>
      <w:r w:rsidRPr="0072770E">
        <w:rPr>
          <w:b/>
          <w:color w:val="000000" w:themeColor="text1"/>
        </w:rPr>
        <w:t>Table 1: Number</w:t>
      </w:r>
      <w:r w:rsidRPr="0072770E">
        <w:rPr>
          <w:b/>
        </w:rPr>
        <w:t xml:space="preserve"> and Percentage of Students with Disabilities, FY05–FY14</w:t>
      </w:r>
    </w:p>
    <w:tbl>
      <w:tblPr>
        <w:tblW w:w="8820" w:type="dxa"/>
        <w:tblInd w:w="108" w:type="dxa"/>
        <w:tblLook w:val="04A0"/>
      </w:tblPr>
      <w:tblGrid>
        <w:gridCol w:w="2160"/>
        <w:gridCol w:w="2160"/>
        <w:gridCol w:w="2160"/>
        <w:gridCol w:w="2340"/>
      </w:tblGrid>
      <w:tr w:rsidR="006A3D65" w:rsidTr="00C4655C">
        <w:trPr>
          <w:trHeight w:val="796"/>
        </w:trPr>
        <w:tc>
          <w:tcPr>
            <w:tcW w:w="2160" w:type="dxa"/>
            <w:tcBorders>
              <w:top w:val="single" w:sz="12" w:space="0" w:color="auto"/>
              <w:left w:val="nil"/>
              <w:bottom w:val="single" w:sz="12" w:space="0" w:color="auto"/>
              <w:right w:val="nil"/>
            </w:tcBorders>
            <w:vAlign w:val="center"/>
            <w:hideMark/>
          </w:tcPr>
          <w:p w:rsidR="006A3D65" w:rsidRPr="007E03DD" w:rsidRDefault="006A3D65" w:rsidP="00C4655C">
            <w:pPr>
              <w:rPr>
                <w:sz w:val="20"/>
                <w:szCs w:val="20"/>
              </w:rPr>
            </w:pPr>
            <w:r w:rsidRPr="007E03DD">
              <w:rPr>
                <w:sz w:val="20"/>
                <w:szCs w:val="20"/>
              </w:rPr>
              <w:t>School Year</w:t>
            </w:r>
          </w:p>
        </w:tc>
        <w:tc>
          <w:tcPr>
            <w:tcW w:w="2160" w:type="dxa"/>
            <w:tcBorders>
              <w:top w:val="single" w:sz="12" w:space="0" w:color="auto"/>
              <w:left w:val="nil"/>
              <w:bottom w:val="single" w:sz="12" w:space="0" w:color="auto"/>
              <w:right w:val="nil"/>
            </w:tcBorders>
            <w:vAlign w:val="center"/>
            <w:hideMark/>
          </w:tcPr>
          <w:p w:rsidR="006A3D65" w:rsidRPr="007E03DD" w:rsidRDefault="006A3D65" w:rsidP="00C4655C">
            <w:pPr>
              <w:rPr>
                <w:rFonts w:cs="Calibri"/>
                <w:sz w:val="20"/>
                <w:szCs w:val="20"/>
              </w:rPr>
            </w:pPr>
            <w:r w:rsidRPr="007E03DD">
              <w:rPr>
                <w:sz w:val="20"/>
                <w:szCs w:val="20"/>
              </w:rPr>
              <w:t>Total Special</w:t>
            </w:r>
          </w:p>
          <w:p w:rsidR="006A3D65" w:rsidRPr="007E03DD" w:rsidRDefault="006A3D65" w:rsidP="00C4655C">
            <w:pPr>
              <w:rPr>
                <w:rFonts w:cs="Calibri"/>
                <w:sz w:val="20"/>
                <w:szCs w:val="20"/>
              </w:rPr>
            </w:pPr>
            <w:r w:rsidRPr="007E03DD">
              <w:rPr>
                <w:sz w:val="20"/>
                <w:szCs w:val="20"/>
              </w:rPr>
              <w:t>Education Enrollment</w:t>
            </w:r>
          </w:p>
        </w:tc>
        <w:tc>
          <w:tcPr>
            <w:tcW w:w="2160" w:type="dxa"/>
            <w:tcBorders>
              <w:top w:val="single" w:sz="12" w:space="0" w:color="auto"/>
              <w:left w:val="nil"/>
              <w:bottom w:val="single" w:sz="12" w:space="0" w:color="auto"/>
              <w:right w:val="nil"/>
            </w:tcBorders>
            <w:vAlign w:val="center"/>
            <w:hideMark/>
          </w:tcPr>
          <w:p w:rsidR="006A3D65" w:rsidRPr="007E03DD" w:rsidRDefault="006A3D65" w:rsidP="00C4655C">
            <w:pPr>
              <w:rPr>
                <w:sz w:val="20"/>
                <w:szCs w:val="20"/>
              </w:rPr>
            </w:pPr>
            <w:r w:rsidRPr="007E03DD">
              <w:rPr>
                <w:sz w:val="20"/>
                <w:szCs w:val="20"/>
              </w:rPr>
              <w:t>Total Enrollment</w:t>
            </w:r>
          </w:p>
        </w:tc>
        <w:tc>
          <w:tcPr>
            <w:tcW w:w="2340" w:type="dxa"/>
            <w:tcBorders>
              <w:top w:val="single" w:sz="12" w:space="0" w:color="auto"/>
              <w:left w:val="nil"/>
              <w:bottom w:val="single" w:sz="12" w:space="0" w:color="auto"/>
              <w:right w:val="nil"/>
            </w:tcBorders>
            <w:vAlign w:val="center"/>
            <w:hideMark/>
          </w:tcPr>
          <w:p w:rsidR="006A3D65" w:rsidRPr="007E03DD" w:rsidRDefault="006A3D65" w:rsidP="00C4655C">
            <w:pPr>
              <w:rPr>
                <w:rFonts w:cs="Calibri"/>
                <w:sz w:val="20"/>
                <w:szCs w:val="20"/>
              </w:rPr>
            </w:pPr>
            <w:r w:rsidRPr="007E03DD">
              <w:rPr>
                <w:sz w:val="20"/>
                <w:szCs w:val="20"/>
              </w:rPr>
              <w:t>Percentage of Students with Disabilities</w:t>
            </w:r>
          </w:p>
        </w:tc>
      </w:tr>
      <w:tr w:rsidR="006A3D65" w:rsidTr="00C4655C">
        <w:trPr>
          <w:trHeight w:val="305"/>
        </w:trPr>
        <w:tc>
          <w:tcPr>
            <w:tcW w:w="2160" w:type="dxa"/>
            <w:vAlign w:val="bottom"/>
            <w:hideMark/>
          </w:tcPr>
          <w:p w:rsidR="006A3D65" w:rsidRPr="007E03DD" w:rsidRDefault="006A3D65" w:rsidP="007E03DD">
            <w:pPr>
              <w:ind w:left="342"/>
              <w:rPr>
                <w:sz w:val="20"/>
                <w:szCs w:val="20"/>
              </w:rPr>
            </w:pPr>
            <w:r w:rsidRPr="007E03DD">
              <w:rPr>
                <w:sz w:val="20"/>
                <w:szCs w:val="20"/>
              </w:rPr>
              <w:t>2004-05</w:t>
            </w:r>
          </w:p>
        </w:tc>
        <w:tc>
          <w:tcPr>
            <w:tcW w:w="2160" w:type="dxa"/>
            <w:vAlign w:val="bottom"/>
            <w:hideMark/>
          </w:tcPr>
          <w:p w:rsidR="006A3D65" w:rsidRPr="007E03DD" w:rsidRDefault="006A3D65" w:rsidP="007E03DD">
            <w:pPr>
              <w:ind w:left="342"/>
              <w:rPr>
                <w:rFonts w:cs="Calibri"/>
                <w:sz w:val="20"/>
                <w:szCs w:val="20"/>
              </w:rPr>
            </w:pPr>
            <w:r w:rsidRPr="007E03DD">
              <w:rPr>
                <w:sz w:val="20"/>
                <w:szCs w:val="20"/>
              </w:rPr>
              <w:t>157,108</w:t>
            </w:r>
          </w:p>
        </w:tc>
        <w:tc>
          <w:tcPr>
            <w:tcW w:w="2160" w:type="dxa"/>
            <w:vAlign w:val="bottom"/>
            <w:hideMark/>
          </w:tcPr>
          <w:p w:rsidR="006A3D65" w:rsidRPr="007E03DD" w:rsidRDefault="006A3D65" w:rsidP="007E03DD">
            <w:pPr>
              <w:ind w:left="432"/>
              <w:rPr>
                <w:rFonts w:cs="Calibri"/>
                <w:sz w:val="20"/>
                <w:szCs w:val="20"/>
              </w:rPr>
            </w:pPr>
            <w:r w:rsidRPr="007E03DD">
              <w:rPr>
                <w:sz w:val="20"/>
                <w:szCs w:val="20"/>
              </w:rPr>
              <w:t>986,662</w:t>
            </w:r>
          </w:p>
        </w:tc>
        <w:tc>
          <w:tcPr>
            <w:tcW w:w="2340" w:type="dxa"/>
            <w:vAlign w:val="bottom"/>
            <w:hideMark/>
          </w:tcPr>
          <w:p w:rsidR="006A3D65" w:rsidRPr="007E03DD" w:rsidRDefault="006A3D65" w:rsidP="007E03DD">
            <w:pPr>
              <w:ind w:left="342"/>
              <w:rPr>
                <w:rFonts w:cs="Calibri"/>
                <w:sz w:val="20"/>
                <w:szCs w:val="20"/>
              </w:rPr>
            </w:pPr>
            <w:r w:rsidRPr="007E03DD">
              <w:rPr>
                <w:sz w:val="20"/>
                <w:szCs w:val="20"/>
              </w:rPr>
              <w:t>15.9%</w:t>
            </w:r>
          </w:p>
        </w:tc>
      </w:tr>
      <w:tr w:rsidR="006A3D65" w:rsidTr="00C4655C">
        <w:trPr>
          <w:trHeight w:val="305"/>
        </w:trPr>
        <w:tc>
          <w:tcPr>
            <w:tcW w:w="2160" w:type="dxa"/>
            <w:vAlign w:val="bottom"/>
            <w:hideMark/>
          </w:tcPr>
          <w:p w:rsidR="006A3D65" w:rsidRPr="007E03DD" w:rsidRDefault="006A3D65" w:rsidP="007E03DD">
            <w:pPr>
              <w:ind w:left="342"/>
              <w:rPr>
                <w:sz w:val="20"/>
                <w:szCs w:val="20"/>
              </w:rPr>
            </w:pPr>
            <w:r w:rsidRPr="007E03DD">
              <w:rPr>
                <w:sz w:val="20"/>
                <w:szCs w:val="20"/>
              </w:rPr>
              <w:t>2005-06</w:t>
            </w:r>
          </w:p>
        </w:tc>
        <w:tc>
          <w:tcPr>
            <w:tcW w:w="2160" w:type="dxa"/>
            <w:vAlign w:val="bottom"/>
            <w:hideMark/>
          </w:tcPr>
          <w:p w:rsidR="006A3D65" w:rsidRPr="007E03DD" w:rsidRDefault="006A3D65" w:rsidP="007E03DD">
            <w:pPr>
              <w:ind w:left="342"/>
              <w:rPr>
                <w:rFonts w:cs="Calibri"/>
                <w:sz w:val="20"/>
                <w:szCs w:val="20"/>
              </w:rPr>
            </w:pPr>
            <w:r w:rsidRPr="007E03DD">
              <w:rPr>
                <w:sz w:val="20"/>
                <w:szCs w:val="20"/>
              </w:rPr>
              <w:t>160,752</w:t>
            </w:r>
          </w:p>
        </w:tc>
        <w:tc>
          <w:tcPr>
            <w:tcW w:w="2160" w:type="dxa"/>
            <w:vAlign w:val="bottom"/>
            <w:hideMark/>
          </w:tcPr>
          <w:p w:rsidR="006A3D65" w:rsidRPr="007E03DD" w:rsidRDefault="006A3D65" w:rsidP="007E03DD">
            <w:pPr>
              <w:ind w:left="432"/>
              <w:rPr>
                <w:rFonts w:cs="Calibri"/>
                <w:sz w:val="20"/>
                <w:szCs w:val="20"/>
              </w:rPr>
            </w:pPr>
            <w:r w:rsidRPr="007E03DD">
              <w:rPr>
                <w:sz w:val="20"/>
                <w:szCs w:val="20"/>
              </w:rPr>
              <w:t>983,439</w:t>
            </w:r>
          </w:p>
        </w:tc>
        <w:tc>
          <w:tcPr>
            <w:tcW w:w="2340" w:type="dxa"/>
            <w:vAlign w:val="bottom"/>
            <w:hideMark/>
          </w:tcPr>
          <w:p w:rsidR="006A3D65" w:rsidRPr="007E03DD" w:rsidRDefault="006A3D65" w:rsidP="007E03DD">
            <w:pPr>
              <w:ind w:left="342"/>
              <w:rPr>
                <w:rFonts w:cs="Calibri"/>
                <w:sz w:val="20"/>
                <w:szCs w:val="20"/>
              </w:rPr>
            </w:pPr>
            <w:r w:rsidRPr="007E03DD">
              <w:rPr>
                <w:sz w:val="20"/>
                <w:szCs w:val="20"/>
              </w:rPr>
              <w:t>16.4%</w:t>
            </w:r>
          </w:p>
        </w:tc>
      </w:tr>
      <w:tr w:rsidR="006A3D65" w:rsidTr="00C4655C">
        <w:trPr>
          <w:trHeight w:val="305"/>
        </w:trPr>
        <w:tc>
          <w:tcPr>
            <w:tcW w:w="2160" w:type="dxa"/>
            <w:vAlign w:val="bottom"/>
            <w:hideMark/>
          </w:tcPr>
          <w:p w:rsidR="006A3D65" w:rsidRPr="007E03DD" w:rsidRDefault="006A3D65" w:rsidP="007E03DD">
            <w:pPr>
              <w:ind w:left="342"/>
              <w:rPr>
                <w:sz w:val="20"/>
                <w:szCs w:val="20"/>
              </w:rPr>
            </w:pPr>
            <w:r w:rsidRPr="007E03DD">
              <w:rPr>
                <w:sz w:val="20"/>
                <w:szCs w:val="20"/>
              </w:rPr>
              <w:t>2006-07</w:t>
            </w:r>
          </w:p>
        </w:tc>
        <w:tc>
          <w:tcPr>
            <w:tcW w:w="2160" w:type="dxa"/>
            <w:vAlign w:val="bottom"/>
            <w:hideMark/>
          </w:tcPr>
          <w:p w:rsidR="006A3D65" w:rsidRPr="007E03DD" w:rsidRDefault="006A3D65" w:rsidP="007E03DD">
            <w:pPr>
              <w:ind w:left="342"/>
              <w:rPr>
                <w:rFonts w:cs="Calibri"/>
                <w:sz w:val="20"/>
                <w:szCs w:val="20"/>
              </w:rPr>
            </w:pPr>
            <w:r w:rsidRPr="007E03DD">
              <w:rPr>
                <w:sz w:val="20"/>
                <w:szCs w:val="20"/>
              </w:rPr>
              <w:t>163,396</w:t>
            </w:r>
          </w:p>
        </w:tc>
        <w:tc>
          <w:tcPr>
            <w:tcW w:w="2160" w:type="dxa"/>
            <w:vAlign w:val="bottom"/>
            <w:hideMark/>
          </w:tcPr>
          <w:p w:rsidR="006A3D65" w:rsidRPr="007E03DD" w:rsidRDefault="006A3D65" w:rsidP="007E03DD">
            <w:pPr>
              <w:ind w:left="432"/>
              <w:rPr>
                <w:rFonts w:cs="Calibri"/>
                <w:sz w:val="20"/>
                <w:szCs w:val="20"/>
              </w:rPr>
            </w:pPr>
            <w:r w:rsidRPr="007E03DD">
              <w:rPr>
                <w:sz w:val="20"/>
                <w:szCs w:val="20"/>
              </w:rPr>
              <w:t>979,851</w:t>
            </w:r>
          </w:p>
        </w:tc>
        <w:tc>
          <w:tcPr>
            <w:tcW w:w="2340" w:type="dxa"/>
            <w:vAlign w:val="bottom"/>
            <w:hideMark/>
          </w:tcPr>
          <w:p w:rsidR="006A3D65" w:rsidRPr="007E03DD" w:rsidRDefault="006A3D65" w:rsidP="007E03DD">
            <w:pPr>
              <w:ind w:left="342"/>
              <w:rPr>
                <w:rFonts w:cs="Calibri"/>
                <w:sz w:val="20"/>
                <w:szCs w:val="20"/>
              </w:rPr>
            </w:pPr>
            <w:r w:rsidRPr="007E03DD">
              <w:rPr>
                <w:sz w:val="20"/>
                <w:szCs w:val="20"/>
              </w:rPr>
              <w:t>16.7%</w:t>
            </w:r>
          </w:p>
        </w:tc>
      </w:tr>
      <w:tr w:rsidR="006A3D65" w:rsidTr="00C4655C">
        <w:trPr>
          <w:trHeight w:val="305"/>
        </w:trPr>
        <w:tc>
          <w:tcPr>
            <w:tcW w:w="2160" w:type="dxa"/>
            <w:vAlign w:val="bottom"/>
            <w:hideMark/>
          </w:tcPr>
          <w:p w:rsidR="006A3D65" w:rsidRPr="007E03DD" w:rsidRDefault="006A3D65" w:rsidP="007E03DD">
            <w:pPr>
              <w:ind w:left="342"/>
              <w:rPr>
                <w:sz w:val="20"/>
                <w:szCs w:val="20"/>
              </w:rPr>
            </w:pPr>
            <w:r w:rsidRPr="007E03DD">
              <w:rPr>
                <w:sz w:val="20"/>
                <w:szCs w:val="20"/>
              </w:rPr>
              <w:t>2007-08</w:t>
            </w:r>
          </w:p>
        </w:tc>
        <w:tc>
          <w:tcPr>
            <w:tcW w:w="2160" w:type="dxa"/>
            <w:vAlign w:val="bottom"/>
            <w:hideMark/>
          </w:tcPr>
          <w:p w:rsidR="006A3D65" w:rsidRPr="007E03DD" w:rsidRDefault="006A3D65" w:rsidP="007E03DD">
            <w:pPr>
              <w:ind w:left="342"/>
              <w:rPr>
                <w:rFonts w:cs="Calibri"/>
                <w:sz w:val="20"/>
                <w:szCs w:val="20"/>
              </w:rPr>
            </w:pPr>
            <w:r w:rsidRPr="007E03DD">
              <w:rPr>
                <w:sz w:val="20"/>
                <w:szCs w:val="20"/>
              </w:rPr>
              <w:t>164,298</w:t>
            </w:r>
          </w:p>
        </w:tc>
        <w:tc>
          <w:tcPr>
            <w:tcW w:w="2160" w:type="dxa"/>
            <w:vAlign w:val="bottom"/>
            <w:hideMark/>
          </w:tcPr>
          <w:p w:rsidR="006A3D65" w:rsidRPr="007E03DD" w:rsidRDefault="006A3D65" w:rsidP="007E03DD">
            <w:pPr>
              <w:ind w:left="432"/>
              <w:rPr>
                <w:rFonts w:cs="Calibri"/>
                <w:sz w:val="20"/>
                <w:szCs w:val="20"/>
              </w:rPr>
            </w:pPr>
            <w:r w:rsidRPr="007E03DD">
              <w:rPr>
                <w:sz w:val="20"/>
                <w:szCs w:val="20"/>
              </w:rPr>
              <w:t>972,178</w:t>
            </w:r>
          </w:p>
        </w:tc>
        <w:tc>
          <w:tcPr>
            <w:tcW w:w="2340" w:type="dxa"/>
            <w:vAlign w:val="bottom"/>
            <w:hideMark/>
          </w:tcPr>
          <w:p w:rsidR="006A3D65" w:rsidRPr="007E03DD" w:rsidRDefault="006A3D65" w:rsidP="007E03DD">
            <w:pPr>
              <w:ind w:left="342"/>
              <w:rPr>
                <w:rFonts w:cs="Calibri"/>
                <w:sz w:val="20"/>
                <w:szCs w:val="20"/>
              </w:rPr>
            </w:pPr>
            <w:r w:rsidRPr="007E03DD">
              <w:rPr>
                <w:sz w:val="20"/>
                <w:szCs w:val="20"/>
              </w:rPr>
              <w:t>16.9%</w:t>
            </w:r>
          </w:p>
        </w:tc>
      </w:tr>
      <w:tr w:rsidR="006A3D65" w:rsidTr="00C4655C">
        <w:trPr>
          <w:trHeight w:val="305"/>
        </w:trPr>
        <w:tc>
          <w:tcPr>
            <w:tcW w:w="2160" w:type="dxa"/>
            <w:vAlign w:val="bottom"/>
            <w:hideMark/>
          </w:tcPr>
          <w:p w:rsidR="006A3D65" w:rsidRPr="007E03DD" w:rsidRDefault="006A3D65" w:rsidP="007E03DD">
            <w:pPr>
              <w:ind w:left="342"/>
              <w:rPr>
                <w:sz w:val="20"/>
                <w:szCs w:val="20"/>
              </w:rPr>
            </w:pPr>
            <w:r w:rsidRPr="007E03DD">
              <w:rPr>
                <w:sz w:val="20"/>
                <w:szCs w:val="20"/>
              </w:rPr>
              <w:t>2008-09</w:t>
            </w:r>
          </w:p>
        </w:tc>
        <w:tc>
          <w:tcPr>
            <w:tcW w:w="2160" w:type="dxa"/>
            <w:vAlign w:val="bottom"/>
            <w:hideMark/>
          </w:tcPr>
          <w:p w:rsidR="006A3D65" w:rsidRPr="007E03DD" w:rsidRDefault="006A3D65" w:rsidP="007E03DD">
            <w:pPr>
              <w:ind w:left="342"/>
              <w:rPr>
                <w:rFonts w:cs="Calibri"/>
                <w:sz w:val="20"/>
                <w:szCs w:val="20"/>
              </w:rPr>
            </w:pPr>
            <w:r w:rsidRPr="007E03DD">
              <w:rPr>
                <w:sz w:val="20"/>
                <w:szCs w:val="20"/>
              </w:rPr>
              <w:t>166,037</w:t>
            </w:r>
          </w:p>
        </w:tc>
        <w:tc>
          <w:tcPr>
            <w:tcW w:w="2160" w:type="dxa"/>
            <w:vAlign w:val="bottom"/>
            <w:hideMark/>
          </w:tcPr>
          <w:p w:rsidR="006A3D65" w:rsidRPr="007E03DD" w:rsidRDefault="006A3D65" w:rsidP="007E03DD">
            <w:pPr>
              <w:ind w:left="432"/>
              <w:rPr>
                <w:rFonts w:cs="Calibri"/>
                <w:sz w:val="20"/>
                <w:szCs w:val="20"/>
              </w:rPr>
            </w:pPr>
            <w:r w:rsidRPr="007E03DD">
              <w:rPr>
                <w:sz w:val="20"/>
                <w:szCs w:val="20"/>
              </w:rPr>
              <w:t>970,059</w:t>
            </w:r>
          </w:p>
        </w:tc>
        <w:tc>
          <w:tcPr>
            <w:tcW w:w="2340" w:type="dxa"/>
            <w:vAlign w:val="bottom"/>
            <w:hideMark/>
          </w:tcPr>
          <w:p w:rsidR="006A3D65" w:rsidRPr="007E03DD" w:rsidRDefault="006A3D65" w:rsidP="007E03DD">
            <w:pPr>
              <w:ind w:left="342"/>
              <w:rPr>
                <w:rFonts w:cs="Calibri"/>
                <w:sz w:val="20"/>
                <w:szCs w:val="20"/>
              </w:rPr>
            </w:pPr>
            <w:r w:rsidRPr="007E03DD">
              <w:rPr>
                <w:sz w:val="20"/>
                <w:szCs w:val="20"/>
              </w:rPr>
              <w:t>17.1%</w:t>
            </w:r>
          </w:p>
        </w:tc>
      </w:tr>
      <w:tr w:rsidR="006A3D65" w:rsidTr="00C4655C">
        <w:trPr>
          <w:trHeight w:val="305"/>
        </w:trPr>
        <w:tc>
          <w:tcPr>
            <w:tcW w:w="2160" w:type="dxa"/>
            <w:vAlign w:val="bottom"/>
            <w:hideMark/>
          </w:tcPr>
          <w:p w:rsidR="006A3D65" w:rsidRPr="007E03DD" w:rsidRDefault="006A3D65" w:rsidP="007E03DD">
            <w:pPr>
              <w:ind w:left="342"/>
              <w:rPr>
                <w:sz w:val="20"/>
                <w:szCs w:val="20"/>
              </w:rPr>
            </w:pPr>
            <w:r w:rsidRPr="007E03DD">
              <w:rPr>
                <w:sz w:val="20"/>
                <w:szCs w:val="20"/>
              </w:rPr>
              <w:t>2009-10</w:t>
            </w:r>
          </w:p>
        </w:tc>
        <w:tc>
          <w:tcPr>
            <w:tcW w:w="2160" w:type="dxa"/>
            <w:vAlign w:val="bottom"/>
            <w:hideMark/>
          </w:tcPr>
          <w:p w:rsidR="006A3D65" w:rsidRPr="007E03DD" w:rsidRDefault="006A3D65" w:rsidP="007E03DD">
            <w:pPr>
              <w:ind w:left="342"/>
              <w:rPr>
                <w:rFonts w:cs="Calibri"/>
                <w:sz w:val="20"/>
                <w:szCs w:val="20"/>
              </w:rPr>
            </w:pPr>
            <w:r w:rsidRPr="007E03DD">
              <w:rPr>
                <w:sz w:val="20"/>
                <w:szCs w:val="20"/>
              </w:rPr>
              <w:t>164,847</w:t>
            </w:r>
          </w:p>
        </w:tc>
        <w:tc>
          <w:tcPr>
            <w:tcW w:w="2160" w:type="dxa"/>
            <w:vAlign w:val="bottom"/>
            <w:hideMark/>
          </w:tcPr>
          <w:p w:rsidR="006A3D65" w:rsidRPr="007E03DD" w:rsidRDefault="006A3D65" w:rsidP="007E03DD">
            <w:pPr>
              <w:ind w:left="432"/>
              <w:rPr>
                <w:rFonts w:cs="Calibri"/>
                <w:sz w:val="20"/>
                <w:szCs w:val="20"/>
              </w:rPr>
            </w:pPr>
            <w:r w:rsidRPr="007E03DD">
              <w:rPr>
                <w:sz w:val="20"/>
                <w:szCs w:val="20"/>
              </w:rPr>
              <w:t>967,951</w:t>
            </w:r>
          </w:p>
        </w:tc>
        <w:tc>
          <w:tcPr>
            <w:tcW w:w="2340" w:type="dxa"/>
            <w:vAlign w:val="bottom"/>
            <w:hideMark/>
          </w:tcPr>
          <w:p w:rsidR="006A3D65" w:rsidRPr="007E03DD" w:rsidRDefault="006A3D65" w:rsidP="007E03DD">
            <w:pPr>
              <w:ind w:left="342"/>
              <w:rPr>
                <w:rFonts w:cs="Calibri"/>
                <w:sz w:val="20"/>
                <w:szCs w:val="20"/>
              </w:rPr>
            </w:pPr>
            <w:r w:rsidRPr="007E03DD">
              <w:rPr>
                <w:sz w:val="20"/>
                <w:szCs w:val="20"/>
              </w:rPr>
              <w:t>17.0%</w:t>
            </w:r>
          </w:p>
        </w:tc>
      </w:tr>
      <w:tr w:rsidR="006A3D65" w:rsidTr="00C4655C">
        <w:trPr>
          <w:trHeight w:val="305"/>
        </w:trPr>
        <w:tc>
          <w:tcPr>
            <w:tcW w:w="2160" w:type="dxa"/>
            <w:vAlign w:val="bottom"/>
            <w:hideMark/>
          </w:tcPr>
          <w:p w:rsidR="006A3D65" w:rsidRPr="007E03DD" w:rsidRDefault="006A3D65" w:rsidP="007E03DD">
            <w:pPr>
              <w:ind w:left="342"/>
              <w:rPr>
                <w:sz w:val="20"/>
                <w:szCs w:val="20"/>
              </w:rPr>
            </w:pPr>
            <w:r w:rsidRPr="007E03DD">
              <w:rPr>
                <w:sz w:val="20"/>
                <w:szCs w:val="20"/>
              </w:rPr>
              <w:t>2010-11</w:t>
            </w:r>
          </w:p>
        </w:tc>
        <w:tc>
          <w:tcPr>
            <w:tcW w:w="2160" w:type="dxa"/>
            <w:vAlign w:val="bottom"/>
            <w:hideMark/>
          </w:tcPr>
          <w:p w:rsidR="006A3D65" w:rsidRPr="007E03DD" w:rsidRDefault="006A3D65" w:rsidP="007E03DD">
            <w:pPr>
              <w:ind w:left="342"/>
              <w:rPr>
                <w:rFonts w:cs="Calibri"/>
                <w:sz w:val="20"/>
                <w:szCs w:val="20"/>
              </w:rPr>
            </w:pPr>
            <w:r w:rsidRPr="007E03DD">
              <w:rPr>
                <w:sz w:val="20"/>
                <w:szCs w:val="20"/>
              </w:rPr>
              <w:t>164,711</w:t>
            </w:r>
          </w:p>
        </w:tc>
        <w:tc>
          <w:tcPr>
            <w:tcW w:w="2160" w:type="dxa"/>
            <w:vAlign w:val="bottom"/>
            <w:hideMark/>
          </w:tcPr>
          <w:p w:rsidR="006A3D65" w:rsidRPr="007E03DD" w:rsidRDefault="006A3D65" w:rsidP="007E03DD">
            <w:pPr>
              <w:ind w:left="432"/>
              <w:rPr>
                <w:rFonts w:cs="Calibri"/>
                <w:sz w:val="20"/>
                <w:szCs w:val="20"/>
              </w:rPr>
            </w:pPr>
            <w:r w:rsidRPr="007E03DD">
              <w:rPr>
                <w:sz w:val="20"/>
                <w:szCs w:val="20"/>
              </w:rPr>
              <w:t>966,395</w:t>
            </w:r>
          </w:p>
        </w:tc>
        <w:tc>
          <w:tcPr>
            <w:tcW w:w="2340" w:type="dxa"/>
            <w:vAlign w:val="bottom"/>
            <w:hideMark/>
          </w:tcPr>
          <w:p w:rsidR="006A3D65" w:rsidRPr="007E03DD" w:rsidRDefault="006A3D65" w:rsidP="007E03DD">
            <w:pPr>
              <w:ind w:left="342"/>
              <w:rPr>
                <w:rFonts w:cs="Calibri"/>
                <w:sz w:val="20"/>
                <w:szCs w:val="20"/>
              </w:rPr>
            </w:pPr>
            <w:r w:rsidRPr="007E03DD">
              <w:rPr>
                <w:sz w:val="20"/>
                <w:szCs w:val="20"/>
              </w:rPr>
              <w:t>17.0%</w:t>
            </w:r>
          </w:p>
        </w:tc>
      </w:tr>
      <w:tr w:rsidR="006A3D65" w:rsidTr="00C4655C">
        <w:trPr>
          <w:trHeight w:val="321"/>
        </w:trPr>
        <w:tc>
          <w:tcPr>
            <w:tcW w:w="2160" w:type="dxa"/>
            <w:vAlign w:val="bottom"/>
            <w:hideMark/>
          </w:tcPr>
          <w:p w:rsidR="006A3D65" w:rsidRPr="007E03DD" w:rsidRDefault="006A3D65" w:rsidP="007E03DD">
            <w:pPr>
              <w:ind w:left="342"/>
              <w:rPr>
                <w:sz w:val="20"/>
                <w:szCs w:val="20"/>
              </w:rPr>
            </w:pPr>
            <w:r w:rsidRPr="007E03DD">
              <w:rPr>
                <w:sz w:val="20"/>
                <w:szCs w:val="20"/>
              </w:rPr>
              <w:t>2011-12</w:t>
            </w:r>
          </w:p>
        </w:tc>
        <w:tc>
          <w:tcPr>
            <w:tcW w:w="2160" w:type="dxa"/>
            <w:vAlign w:val="bottom"/>
            <w:hideMark/>
          </w:tcPr>
          <w:p w:rsidR="006A3D65" w:rsidRPr="007E03DD" w:rsidRDefault="006A3D65" w:rsidP="007E03DD">
            <w:pPr>
              <w:ind w:left="342"/>
              <w:rPr>
                <w:rFonts w:cs="Calibri"/>
                <w:sz w:val="20"/>
                <w:szCs w:val="20"/>
              </w:rPr>
            </w:pPr>
            <w:r w:rsidRPr="007E03DD">
              <w:rPr>
                <w:sz w:val="20"/>
                <w:szCs w:val="20"/>
              </w:rPr>
              <w:t>163,679</w:t>
            </w:r>
          </w:p>
        </w:tc>
        <w:tc>
          <w:tcPr>
            <w:tcW w:w="2160" w:type="dxa"/>
            <w:vAlign w:val="bottom"/>
            <w:hideMark/>
          </w:tcPr>
          <w:p w:rsidR="006A3D65" w:rsidRPr="007E03DD" w:rsidRDefault="006A3D65" w:rsidP="007E03DD">
            <w:pPr>
              <w:ind w:left="432"/>
              <w:rPr>
                <w:rFonts w:cs="Calibri"/>
                <w:sz w:val="20"/>
                <w:szCs w:val="20"/>
              </w:rPr>
            </w:pPr>
            <w:r w:rsidRPr="007E03DD">
              <w:rPr>
                <w:sz w:val="20"/>
                <w:szCs w:val="20"/>
              </w:rPr>
              <w:t>964,198</w:t>
            </w:r>
          </w:p>
        </w:tc>
        <w:tc>
          <w:tcPr>
            <w:tcW w:w="2340" w:type="dxa"/>
            <w:vAlign w:val="bottom"/>
            <w:hideMark/>
          </w:tcPr>
          <w:p w:rsidR="006A3D65" w:rsidRPr="007E03DD" w:rsidRDefault="006A3D65" w:rsidP="007E03DD">
            <w:pPr>
              <w:ind w:left="342"/>
              <w:rPr>
                <w:rFonts w:cs="Calibri"/>
                <w:sz w:val="20"/>
                <w:szCs w:val="20"/>
              </w:rPr>
            </w:pPr>
            <w:r w:rsidRPr="007E03DD">
              <w:rPr>
                <w:rFonts w:cs="Calibri"/>
                <w:sz w:val="20"/>
                <w:szCs w:val="20"/>
              </w:rPr>
              <w:t>17.0%</w:t>
            </w:r>
          </w:p>
        </w:tc>
      </w:tr>
      <w:tr w:rsidR="006A3D65" w:rsidTr="00C4655C">
        <w:trPr>
          <w:trHeight w:val="321"/>
        </w:trPr>
        <w:tc>
          <w:tcPr>
            <w:tcW w:w="2160" w:type="dxa"/>
            <w:tcBorders>
              <w:top w:val="nil"/>
              <w:left w:val="nil"/>
              <w:bottom w:val="nil"/>
              <w:right w:val="nil"/>
            </w:tcBorders>
            <w:vAlign w:val="bottom"/>
            <w:hideMark/>
          </w:tcPr>
          <w:p w:rsidR="006A3D65" w:rsidRPr="007E03DD" w:rsidRDefault="006A3D65" w:rsidP="007E03DD">
            <w:pPr>
              <w:ind w:left="342"/>
              <w:rPr>
                <w:sz w:val="20"/>
                <w:szCs w:val="20"/>
              </w:rPr>
            </w:pPr>
            <w:r w:rsidRPr="007E03DD">
              <w:rPr>
                <w:sz w:val="20"/>
                <w:szCs w:val="20"/>
              </w:rPr>
              <w:t>2012-13</w:t>
            </w:r>
          </w:p>
        </w:tc>
        <w:tc>
          <w:tcPr>
            <w:tcW w:w="2160" w:type="dxa"/>
            <w:tcBorders>
              <w:top w:val="nil"/>
              <w:left w:val="nil"/>
              <w:bottom w:val="nil"/>
              <w:right w:val="nil"/>
            </w:tcBorders>
            <w:vAlign w:val="bottom"/>
            <w:hideMark/>
          </w:tcPr>
          <w:p w:rsidR="006A3D65" w:rsidRPr="007E03DD" w:rsidRDefault="006A3D65" w:rsidP="007E03DD">
            <w:pPr>
              <w:ind w:left="342"/>
              <w:rPr>
                <w:sz w:val="20"/>
                <w:szCs w:val="20"/>
              </w:rPr>
            </w:pPr>
            <w:r w:rsidRPr="007E03DD">
              <w:rPr>
                <w:sz w:val="20"/>
                <w:szCs w:val="20"/>
              </w:rPr>
              <w:t>163,921</w:t>
            </w:r>
          </w:p>
        </w:tc>
        <w:tc>
          <w:tcPr>
            <w:tcW w:w="2160" w:type="dxa"/>
            <w:tcBorders>
              <w:top w:val="nil"/>
              <w:left w:val="nil"/>
              <w:bottom w:val="nil"/>
              <w:right w:val="nil"/>
            </w:tcBorders>
            <w:vAlign w:val="bottom"/>
            <w:hideMark/>
          </w:tcPr>
          <w:p w:rsidR="006A3D65" w:rsidRPr="007E03DD" w:rsidRDefault="006A3D65" w:rsidP="007E03DD">
            <w:pPr>
              <w:ind w:left="432"/>
              <w:rPr>
                <w:sz w:val="20"/>
                <w:szCs w:val="20"/>
              </w:rPr>
            </w:pPr>
            <w:r w:rsidRPr="007E03DD">
              <w:rPr>
                <w:sz w:val="20"/>
                <w:szCs w:val="20"/>
              </w:rPr>
              <w:t>965,602</w:t>
            </w:r>
          </w:p>
        </w:tc>
        <w:tc>
          <w:tcPr>
            <w:tcW w:w="2340" w:type="dxa"/>
            <w:tcBorders>
              <w:top w:val="nil"/>
              <w:left w:val="nil"/>
              <w:bottom w:val="nil"/>
              <w:right w:val="nil"/>
            </w:tcBorders>
            <w:vAlign w:val="bottom"/>
            <w:hideMark/>
          </w:tcPr>
          <w:p w:rsidR="006A3D65" w:rsidRPr="007E03DD" w:rsidRDefault="006A3D65" w:rsidP="007E03DD">
            <w:pPr>
              <w:ind w:left="342"/>
              <w:rPr>
                <w:sz w:val="20"/>
                <w:szCs w:val="20"/>
              </w:rPr>
            </w:pPr>
            <w:r w:rsidRPr="007E03DD">
              <w:rPr>
                <w:sz w:val="20"/>
                <w:szCs w:val="20"/>
              </w:rPr>
              <w:t>17.0%</w:t>
            </w:r>
          </w:p>
        </w:tc>
      </w:tr>
      <w:tr w:rsidR="006A3D65" w:rsidTr="00C4655C">
        <w:trPr>
          <w:trHeight w:val="321"/>
        </w:trPr>
        <w:tc>
          <w:tcPr>
            <w:tcW w:w="2160" w:type="dxa"/>
            <w:tcBorders>
              <w:top w:val="nil"/>
              <w:left w:val="nil"/>
              <w:bottom w:val="single" w:sz="12" w:space="0" w:color="auto"/>
              <w:right w:val="nil"/>
            </w:tcBorders>
            <w:vAlign w:val="bottom"/>
            <w:hideMark/>
          </w:tcPr>
          <w:p w:rsidR="006A3D65" w:rsidRPr="007E03DD" w:rsidRDefault="006A3D65" w:rsidP="007E03DD">
            <w:pPr>
              <w:ind w:left="342"/>
              <w:rPr>
                <w:sz w:val="20"/>
                <w:szCs w:val="20"/>
              </w:rPr>
            </w:pPr>
            <w:r w:rsidRPr="007E03DD">
              <w:rPr>
                <w:sz w:val="20"/>
                <w:szCs w:val="20"/>
              </w:rPr>
              <w:t>2013-14</w:t>
            </w:r>
          </w:p>
        </w:tc>
        <w:tc>
          <w:tcPr>
            <w:tcW w:w="2160" w:type="dxa"/>
            <w:tcBorders>
              <w:top w:val="nil"/>
              <w:left w:val="nil"/>
              <w:bottom w:val="single" w:sz="12" w:space="0" w:color="auto"/>
              <w:right w:val="nil"/>
            </w:tcBorders>
            <w:vAlign w:val="bottom"/>
            <w:hideMark/>
          </w:tcPr>
          <w:p w:rsidR="006A3D65" w:rsidRPr="007E03DD" w:rsidRDefault="006A3D65" w:rsidP="007E03DD">
            <w:pPr>
              <w:ind w:left="342"/>
              <w:rPr>
                <w:color w:val="000000"/>
                <w:sz w:val="20"/>
                <w:szCs w:val="20"/>
              </w:rPr>
            </w:pPr>
            <w:r w:rsidRPr="007E03DD">
              <w:rPr>
                <w:color w:val="000000"/>
                <w:sz w:val="20"/>
                <w:szCs w:val="20"/>
              </w:rPr>
              <w:t>164,366</w:t>
            </w:r>
          </w:p>
        </w:tc>
        <w:tc>
          <w:tcPr>
            <w:tcW w:w="2160" w:type="dxa"/>
            <w:tcBorders>
              <w:top w:val="nil"/>
              <w:left w:val="nil"/>
              <w:bottom w:val="single" w:sz="12" w:space="0" w:color="auto"/>
              <w:right w:val="nil"/>
            </w:tcBorders>
            <w:vAlign w:val="bottom"/>
            <w:hideMark/>
          </w:tcPr>
          <w:p w:rsidR="006A3D65" w:rsidRPr="007E03DD" w:rsidRDefault="006A3D65" w:rsidP="007E03DD">
            <w:pPr>
              <w:ind w:left="432"/>
              <w:rPr>
                <w:sz w:val="20"/>
                <w:szCs w:val="20"/>
              </w:rPr>
            </w:pPr>
            <w:r w:rsidRPr="007E03DD">
              <w:rPr>
                <w:sz w:val="20"/>
                <w:szCs w:val="20"/>
              </w:rPr>
              <w:t>966,360</w:t>
            </w:r>
          </w:p>
        </w:tc>
        <w:tc>
          <w:tcPr>
            <w:tcW w:w="2340" w:type="dxa"/>
            <w:tcBorders>
              <w:top w:val="nil"/>
              <w:left w:val="nil"/>
              <w:bottom w:val="single" w:sz="12" w:space="0" w:color="auto"/>
              <w:right w:val="nil"/>
            </w:tcBorders>
            <w:vAlign w:val="bottom"/>
            <w:hideMark/>
          </w:tcPr>
          <w:p w:rsidR="006A3D65" w:rsidRPr="007E03DD" w:rsidRDefault="006A3D65" w:rsidP="007E03DD">
            <w:pPr>
              <w:ind w:left="342"/>
              <w:rPr>
                <w:sz w:val="20"/>
                <w:szCs w:val="20"/>
              </w:rPr>
            </w:pPr>
            <w:r w:rsidRPr="007E03DD">
              <w:rPr>
                <w:sz w:val="20"/>
                <w:szCs w:val="20"/>
              </w:rPr>
              <w:t>17.0%</w:t>
            </w:r>
          </w:p>
        </w:tc>
      </w:tr>
    </w:tbl>
    <w:p w:rsidR="00BC47E6" w:rsidRDefault="006A3D65" w:rsidP="00C921E3">
      <w:pPr>
        <w:spacing w:after="120"/>
      </w:pPr>
      <w:bookmarkStart w:id="15" w:name="_Toc378583123"/>
      <w:bookmarkStart w:id="16" w:name="_Toc374012650"/>
      <w:bookmarkStart w:id="17" w:name="_Toc342312304"/>
      <w:bookmarkStart w:id="18" w:name="_Toc378585456"/>
      <w:r w:rsidRPr="00CB262E">
        <w:rPr>
          <w:i/>
          <w:sz w:val="18"/>
          <w:szCs w:val="18"/>
        </w:rPr>
        <w:t>Source: Massachusetts Student Information Management System</w:t>
      </w:r>
      <w:bookmarkEnd w:id="15"/>
      <w:bookmarkEnd w:id="16"/>
      <w:bookmarkEnd w:id="17"/>
      <w:bookmarkEnd w:id="18"/>
      <w:r w:rsidRPr="00CB262E">
        <w:rPr>
          <w:i/>
          <w:sz w:val="18"/>
          <w:szCs w:val="18"/>
        </w:rPr>
        <w:t xml:space="preserve"> </w:t>
      </w:r>
      <w:r w:rsidRPr="00CB262E">
        <w:rPr>
          <w:i/>
          <w:sz w:val="18"/>
          <w:szCs w:val="18"/>
        </w:rPr>
        <w:br/>
      </w:r>
    </w:p>
    <w:p w:rsidR="0047676C" w:rsidRDefault="0047676C" w:rsidP="00C921E3">
      <w:pPr>
        <w:pStyle w:val="Heading2"/>
        <w:spacing w:before="0" w:after="120"/>
      </w:pPr>
      <w:bookmarkStart w:id="19" w:name="_Toc342312307"/>
      <w:bookmarkStart w:id="20" w:name="_Toc374012653"/>
      <w:bookmarkStart w:id="21" w:name="_Toc378583126"/>
      <w:bookmarkStart w:id="22" w:name="_Toc378598378"/>
      <w:bookmarkStart w:id="23" w:name="_Toc405293143"/>
      <w:r w:rsidRPr="00BC47E6">
        <w:t xml:space="preserve">B. </w:t>
      </w:r>
      <w:bookmarkStart w:id="24" w:name="_Toc309819248"/>
      <w:r w:rsidRPr="00BC47E6">
        <w:tab/>
        <w:t>Student Identification by Disability Category</w:t>
      </w:r>
      <w:bookmarkEnd w:id="19"/>
      <w:bookmarkEnd w:id="20"/>
      <w:bookmarkEnd w:id="21"/>
      <w:bookmarkEnd w:id="22"/>
      <w:bookmarkEnd w:id="23"/>
      <w:bookmarkEnd w:id="24"/>
    </w:p>
    <w:p w:rsidR="000F0E6D" w:rsidRDefault="0047676C" w:rsidP="00C921E3">
      <w:pPr>
        <w:spacing w:after="120"/>
      </w:pPr>
      <w:r w:rsidRPr="0072770E">
        <w:t xml:space="preserve">The following table identifies numbers and percentages of students with disabilities by disability category. FY10 and FY14 data are used to illustrate change over a five-year period within categories. </w:t>
      </w:r>
    </w:p>
    <w:p w:rsidR="0047676C" w:rsidRPr="0072770E" w:rsidRDefault="0047676C" w:rsidP="00C921E3">
      <w:pPr>
        <w:spacing w:after="120"/>
      </w:pPr>
      <w:r w:rsidRPr="0072770E">
        <w:rPr>
          <w:b/>
        </w:rPr>
        <w:t>Table 2: Number and Percentage of Disability Categories Ages 3-21 (FY10 and FY14)</w:t>
      </w:r>
    </w:p>
    <w:tbl>
      <w:tblPr>
        <w:tblStyle w:val="ESETablesOpenStyle"/>
        <w:tblW w:w="0" w:type="auto"/>
        <w:tblLook w:val="04A0"/>
      </w:tblPr>
      <w:tblGrid>
        <w:gridCol w:w="2895"/>
        <w:gridCol w:w="1800"/>
        <w:gridCol w:w="1000"/>
        <w:gridCol w:w="1800"/>
        <w:gridCol w:w="1260"/>
      </w:tblGrid>
      <w:tr w:rsidR="00EF247B" w:rsidRPr="007E03DD" w:rsidTr="00F95A47">
        <w:trPr>
          <w:cnfStyle w:val="100000000000"/>
          <w:trHeight w:val="330"/>
        </w:trPr>
        <w:tc>
          <w:tcPr>
            <w:cnfStyle w:val="001000000000"/>
            <w:tcW w:w="2895" w:type="dxa"/>
            <w:vMerge w:val="restart"/>
            <w:hideMark/>
          </w:tcPr>
          <w:p w:rsidR="00EF247B" w:rsidRPr="007E03DD" w:rsidRDefault="00EF247B" w:rsidP="007E03DD">
            <w:pPr>
              <w:rPr>
                <w:rFonts w:ascii="Times New Roman" w:hAnsi="Times New Roman"/>
                <w:szCs w:val="22"/>
              </w:rPr>
            </w:pPr>
            <w:r w:rsidRPr="007E03DD">
              <w:rPr>
                <w:rFonts w:ascii="Times New Roman" w:hAnsi="Times New Roman"/>
                <w:szCs w:val="22"/>
              </w:rPr>
              <w:t>Primary Disability</w:t>
            </w:r>
          </w:p>
        </w:tc>
        <w:tc>
          <w:tcPr>
            <w:tcW w:w="2800" w:type="dxa"/>
            <w:gridSpan w:val="2"/>
            <w:hideMark/>
          </w:tcPr>
          <w:p w:rsidR="00EF247B" w:rsidRPr="007E03DD" w:rsidRDefault="00EF247B" w:rsidP="007E03DD">
            <w:pPr>
              <w:cnfStyle w:val="100000000000"/>
              <w:rPr>
                <w:rFonts w:ascii="Times New Roman" w:hAnsi="Times New Roman"/>
                <w:szCs w:val="22"/>
              </w:rPr>
            </w:pPr>
            <w:r w:rsidRPr="007E03DD">
              <w:rPr>
                <w:rFonts w:ascii="Times New Roman" w:hAnsi="Times New Roman"/>
                <w:szCs w:val="22"/>
              </w:rPr>
              <w:t>FY10</w:t>
            </w:r>
          </w:p>
        </w:tc>
        <w:tc>
          <w:tcPr>
            <w:tcW w:w="3060" w:type="dxa"/>
            <w:gridSpan w:val="2"/>
            <w:hideMark/>
          </w:tcPr>
          <w:p w:rsidR="00EF247B" w:rsidRPr="007E03DD" w:rsidRDefault="00EF247B" w:rsidP="007E03DD">
            <w:pPr>
              <w:cnfStyle w:val="100000000000"/>
              <w:rPr>
                <w:rFonts w:ascii="Times New Roman" w:hAnsi="Times New Roman"/>
                <w:szCs w:val="22"/>
              </w:rPr>
            </w:pPr>
            <w:r w:rsidRPr="007E03DD">
              <w:rPr>
                <w:rFonts w:ascii="Times New Roman" w:hAnsi="Times New Roman"/>
                <w:szCs w:val="22"/>
              </w:rPr>
              <w:t>FY14</w:t>
            </w:r>
          </w:p>
        </w:tc>
      </w:tr>
      <w:tr w:rsidR="00EF247B" w:rsidRPr="007E03DD" w:rsidTr="00F95A47">
        <w:trPr>
          <w:trHeight w:val="315"/>
        </w:trPr>
        <w:tc>
          <w:tcPr>
            <w:cnfStyle w:val="001000000000"/>
            <w:tcW w:w="2895" w:type="dxa"/>
            <w:vMerge/>
            <w:hideMark/>
          </w:tcPr>
          <w:p w:rsidR="00EF247B" w:rsidRPr="007E03DD" w:rsidRDefault="00EF247B" w:rsidP="007E03DD">
            <w:pPr>
              <w:rPr>
                <w:rFonts w:ascii="Times New Roman" w:hAnsi="Times New Roman"/>
                <w:szCs w:val="22"/>
              </w:rPr>
            </w:pPr>
          </w:p>
        </w:tc>
        <w:tc>
          <w:tcPr>
            <w:tcW w:w="1800" w:type="dxa"/>
            <w:hideMark/>
          </w:tcPr>
          <w:p w:rsidR="00EF247B" w:rsidRPr="007E03DD" w:rsidRDefault="00EF247B" w:rsidP="007E03DD">
            <w:pPr>
              <w:cnfStyle w:val="000000000000"/>
              <w:rPr>
                <w:rFonts w:ascii="Times New Roman" w:hAnsi="Times New Roman"/>
                <w:szCs w:val="22"/>
              </w:rPr>
            </w:pPr>
            <w:r w:rsidRPr="007E03DD">
              <w:rPr>
                <w:rFonts w:ascii="Times New Roman" w:hAnsi="Times New Roman"/>
                <w:szCs w:val="22"/>
              </w:rPr>
              <w:t>#</w:t>
            </w:r>
          </w:p>
        </w:tc>
        <w:tc>
          <w:tcPr>
            <w:tcW w:w="1000" w:type="dxa"/>
            <w:hideMark/>
          </w:tcPr>
          <w:p w:rsidR="00EF247B" w:rsidRPr="007E03DD" w:rsidRDefault="00EF247B" w:rsidP="007E03DD">
            <w:pPr>
              <w:cnfStyle w:val="000000000000"/>
              <w:rPr>
                <w:rFonts w:ascii="Times New Roman" w:hAnsi="Times New Roman"/>
                <w:szCs w:val="22"/>
              </w:rPr>
            </w:pPr>
            <w:r w:rsidRPr="007E03DD">
              <w:rPr>
                <w:rFonts w:ascii="Times New Roman" w:hAnsi="Times New Roman"/>
                <w:szCs w:val="22"/>
              </w:rPr>
              <w:t>%</w:t>
            </w:r>
          </w:p>
        </w:tc>
        <w:tc>
          <w:tcPr>
            <w:tcW w:w="1800" w:type="dxa"/>
            <w:hideMark/>
          </w:tcPr>
          <w:p w:rsidR="00EF247B" w:rsidRPr="007E03DD" w:rsidRDefault="00EF247B" w:rsidP="007E03DD">
            <w:pPr>
              <w:cnfStyle w:val="000000000000"/>
              <w:rPr>
                <w:rFonts w:ascii="Times New Roman" w:hAnsi="Times New Roman"/>
                <w:szCs w:val="22"/>
              </w:rPr>
            </w:pPr>
            <w:r w:rsidRPr="007E03DD">
              <w:rPr>
                <w:rFonts w:ascii="Times New Roman" w:hAnsi="Times New Roman"/>
                <w:szCs w:val="22"/>
              </w:rPr>
              <w:t>#</w:t>
            </w:r>
          </w:p>
        </w:tc>
        <w:tc>
          <w:tcPr>
            <w:tcW w:w="1260" w:type="dxa"/>
            <w:hideMark/>
          </w:tcPr>
          <w:p w:rsidR="00EF247B" w:rsidRPr="007E03DD" w:rsidRDefault="00EF247B" w:rsidP="007E03DD">
            <w:pPr>
              <w:cnfStyle w:val="000000000000"/>
              <w:rPr>
                <w:rFonts w:ascii="Times New Roman" w:hAnsi="Times New Roman"/>
                <w:szCs w:val="22"/>
              </w:rPr>
            </w:pPr>
            <w:r w:rsidRPr="007E03DD">
              <w:rPr>
                <w:rFonts w:ascii="Times New Roman" w:hAnsi="Times New Roman"/>
                <w:szCs w:val="22"/>
              </w:rPr>
              <w:t>%</w:t>
            </w:r>
          </w:p>
        </w:tc>
      </w:tr>
      <w:tr w:rsidR="00EF247B" w:rsidRPr="007E03DD" w:rsidTr="00F95A47">
        <w:trPr>
          <w:trHeight w:val="288"/>
        </w:trPr>
        <w:tc>
          <w:tcPr>
            <w:cnfStyle w:val="001000000000"/>
            <w:tcW w:w="2895" w:type="dxa"/>
            <w:hideMark/>
          </w:tcPr>
          <w:p w:rsidR="00EF247B" w:rsidRPr="007E03DD" w:rsidRDefault="00EF247B" w:rsidP="007E03DD">
            <w:pPr>
              <w:rPr>
                <w:rFonts w:ascii="Times New Roman" w:hAnsi="Times New Roman"/>
                <w:sz w:val="20"/>
                <w:szCs w:val="20"/>
              </w:rPr>
            </w:pPr>
            <w:r w:rsidRPr="007E03DD">
              <w:rPr>
                <w:rFonts w:ascii="Times New Roman" w:hAnsi="Times New Roman"/>
                <w:sz w:val="20"/>
                <w:szCs w:val="20"/>
              </w:rPr>
              <w:t>Specific Learning Disability</w:t>
            </w:r>
          </w:p>
        </w:tc>
        <w:tc>
          <w:tcPr>
            <w:tcW w:w="18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55,263</w:t>
            </w:r>
          </w:p>
        </w:tc>
        <w:tc>
          <w:tcPr>
            <w:tcW w:w="10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3</w:t>
            </w:r>
            <w:r w:rsidR="00277681" w:rsidRPr="007E03DD">
              <w:rPr>
                <w:rFonts w:ascii="Times New Roman" w:hAnsi="Times New Roman"/>
                <w:sz w:val="20"/>
                <w:szCs w:val="20"/>
              </w:rPr>
              <w:t>3.5</w:t>
            </w:r>
          </w:p>
        </w:tc>
        <w:tc>
          <w:tcPr>
            <w:tcW w:w="18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43,432</w:t>
            </w:r>
          </w:p>
        </w:tc>
        <w:tc>
          <w:tcPr>
            <w:tcW w:w="126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26</w:t>
            </w:r>
            <w:r w:rsidR="005475A5" w:rsidRPr="007E03DD">
              <w:rPr>
                <w:rFonts w:ascii="Times New Roman" w:hAnsi="Times New Roman"/>
                <w:sz w:val="20"/>
                <w:szCs w:val="20"/>
              </w:rPr>
              <w:t>.4</w:t>
            </w:r>
          </w:p>
        </w:tc>
      </w:tr>
      <w:tr w:rsidR="00EF247B" w:rsidRPr="007E03DD" w:rsidTr="00F95A47">
        <w:trPr>
          <w:trHeight w:val="288"/>
        </w:trPr>
        <w:tc>
          <w:tcPr>
            <w:cnfStyle w:val="001000000000"/>
            <w:tcW w:w="2895" w:type="dxa"/>
            <w:hideMark/>
          </w:tcPr>
          <w:p w:rsidR="00EF247B" w:rsidRPr="007E03DD" w:rsidRDefault="00EF247B" w:rsidP="007E03DD">
            <w:pPr>
              <w:rPr>
                <w:rFonts w:ascii="Times New Roman" w:hAnsi="Times New Roman"/>
                <w:sz w:val="20"/>
                <w:szCs w:val="20"/>
              </w:rPr>
            </w:pPr>
            <w:r w:rsidRPr="007E03DD">
              <w:rPr>
                <w:rFonts w:ascii="Times New Roman" w:hAnsi="Times New Roman"/>
                <w:sz w:val="20"/>
                <w:szCs w:val="20"/>
              </w:rPr>
              <w:t>Communication</w:t>
            </w:r>
          </w:p>
        </w:tc>
        <w:tc>
          <w:tcPr>
            <w:tcW w:w="18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28,932</w:t>
            </w:r>
          </w:p>
        </w:tc>
        <w:tc>
          <w:tcPr>
            <w:tcW w:w="10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1</w:t>
            </w:r>
            <w:r w:rsidR="00277681" w:rsidRPr="007E03DD">
              <w:rPr>
                <w:rFonts w:ascii="Times New Roman" w:hAnsi="Times New Roman"/>
                <w:sz w:val="20"/>
                <w:szCs w:val="20"/>
              </w:rPr>
              <w:t>7.6</w:t>
            </w:r>
          </w:p>
        </w:tc>
        <w:tc>
          <w:tcPr>
            <w:tcW w:w="18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28,216</w:t>
            </w:r>
          </w:p>
        </w:tc>
        <w:tc>
          <w:tcPr>
            <w:tcW w:w="126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17</w:t>
            </w:r>
            <w:r w:rsidR="005475A5" w:rsidRPr="007E03DD">
              <w:rPr>
                <w:rFonts w:ascii="Times New Roman" w:hAnsi="Times New Roman"/>
                <w:sz w:val="20"/>
                <w:szCs w:val="20"/>
              </w:rPr>
              <w:t>.2</w:t>
            </w:r>
          </w:p>
        </w:tc>
      </w:tr>
      <w:tr w:rsidR="00EF247B" w:rsidRPr="007E03DD" w:rsidTr="00F95A47">
        <w:trPr>
          <w:trHeight w:val="288"/>
        </w:trPr>
        <w:tc>
          <w:tcPr>
            <w:cnfStyle w:val="001000000000"/>
            <w:tcW w:w="2895" w:type="dxa"/>
            <w:hideMark/>
          </w:tcPr>
          <w:p w:rsidR="00EF247B" w:rsidRPr="007E03DD" w:rsidRDefault="00EF247B" w:rsidP="007E03DD">
            <w:pPr>
              <w:rPr>
                <w:rFonts w:ascii="Times New Roman" w:hAnsi="Times New Roman"/>
                <w:sz w:val="20"/>
                <w:szCs w:val="20"/>
              </w:rPr>
            </w:pPr>
            <w:r w:rsidRPr="007E03DD">
              <w:rPr>
                <w:rFonts w:ascii="Times New Roman" w:hAnsi="Times New Roman"/>
                <w:sz w:val="20"/>
                <w:szCs w:val="20"/>
              </w:rPr>
              <w:t>Health</w:t>
            </w:r>
          </w:p>
        </w:tc>
        <w:tc>
          <w:tcPr>
            <w:tcW w:w="18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12,758</w:t>
            </w:r>
          </w:p>
        </w:tc>
        <w:tc>
          <w:tcPr>
            <w:tcW w:w="10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7.7</w:t>
            </w:r>
          </w:p>
        </w:tc>
        <w:tc>
          <w:tcPr>
            <w:tcW w:w="18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18,229</w:t>
            </w:r>
          </w:p>
        </w:tc>
        <w:tc>
          <w:tcPr>
            <w:tcW w:w="126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11</w:t>
            </w:r>
            <w:r w:rsidR="005475A5" w:rsidRPr="007E03DD">
              <w:rPr>
                <w:rFonts w:ascii="Times New Roman" w:hAnsi="Times New Roman"/>
                <w:sz w:val="20"/>
                <w:szCs w:val="20"/>
              </w:rPr>
              <w:t>.1</w:t>
            </w:r>
          </w:p>
        </w:tc>
      </w:tr>
      <w:tr w:rsidR="00EF247B" w:rsidRPr="007E03DD" w:rsidTr="00F95A47">
        <w:trPr>
          <w:trHeight w:val="288"/>
        </w:trPr>
        <w:tc>
          <w:tcPr>
            <w:cnfStyle w:val="001000000000"/>
            <w:tcW w:w="2895" w:type="dxa"/>
            <w:hideMark/>
          </w:tcPr>
          <w:p w:rsidR="00EF247B" w:rsidRPr="007E03DD" w:rsidRDefault="00EF247B" w:rsidP="007E03DD">
            <w:pPr>
              <w:rPr>
                <w:rFonts w:ascii="Times New Roman" w:hAnsi="Times New Roman"/>
                <w:sz w:val="20"/>
                <w:szCs w:val="20"/>
              </w:rPr>
            </w:pPr>
            <w:r w:rsidRPr="007E03DD">
              <w:rPr>
                <w:rFonts w:ascii="Times New Roman" w:hAnsi="Times New Roman"/>
                <w:sz w:val="20"/>
                <w:szCs w:val="20"/>
              </w:rPr>
              <w:t>Developmental Delay</w:t>
            </w:r>
          </w:p>
        </w:tc>
        <w:tc>
          <w:tcPr>
            <w:tcW w:w="18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17,357</w:t>
            </w:r>
          </w:p>
        </w:tc>
        <w:tc>
          <w:tcPr>
            <w:tcW w:w="1000" w:type="dxa"/>
            <w:hideMark/>
          </w:tcPr>
          <w:p w:rsidR="00EF247B" w:rsidRPr="007E03DD" w:rsidRDefault="00277681" w:rsidP="007E03DD">
            <w:pPr>
              <w:cnfStyle w:val="000000000000"/>
              <w:rPr>
                <w:rFonts w:ascii="Times New Roman" w:hAnsi="Times New Roman"/>
                <w:sz w:val="20"/>
                <w:szCs w:val="20"/>
              </w:rPr>
            </w:pPr>
            <w:r w:rsidRPr="007E03DD">
              <w:rPr>
                <w:rFonts w:ascii="Times New Roman" w:hAnsi="Times New Roman"/>
                <w:sz w:val="20"/>
                <w:szCs w:val="20"/>
              </w:rPr>
              <w:t>10.5</w:t>
            </w:r>
          </w:p>
        </w:tc>
        <w:tc>
          <w:tcPr>
            <w:tcW w:w="18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17,629</w:t>
            </w:r>
          </w:p>
        </w:tc>
        <w:tc>
          <w:tcPr>
            <w:tcW w:w="126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1</w:t>
            </w:r>
            <w:r w:rsidR="005475A5" w:rsidRPr="007E03DD">
              <w:rPr>
                <w:rFonts w:ascii="Times New Roman" w:hAnsi="Times New Roman"/>
                <w:sz w:val="20"/>
                <w:szCs w:val="20"/>
              </w:rPr>
              <w:t>0.7</w:t>
            </w:r>
          </w:p>
        </w:tc>
      </w:tr>
      <w:tr w:rsidR="00EF247B" w:rsidRPr="007E03DD" w:rsidTr="00F95A47">
        <w:trPr>
          <w:trHeight w:val="288"/>
        </w:trPr>
        <w:tc>
          <w:tcPr>
            <w:cnfStyle w:val="001000000000"/>
            <w:tcW w:w="2895" w:type="dxa"/>
            <w:hideMark/>
          </w:tcPr>
          <w:p w:rsidR="00EF247B" w:rsidRPr="007E03DD" w:rsidRDefault="00EF247B" w:rsidP="007E03DD">
            <w:pPr>
              <w:rPr>
                <w:rFonts w:ascii="Times New Roman" w:hAnsi="Times New Roman"/>
                <w:sz w:val="20"/>
                <w:szCs w:val="20"/>
              </w:rPr>
            </w:pPr>
            <w:r w:rsidRPr="007E03DD">
              <w:rPr>
                <w:rFonts w:ascii="Times New Roman" w:hAnsi="Times New Roman"/>
                <w:sz w:val="20"/>
                <w:szCs w:val="20"/>
              </w:rPr>
              <w:t>Autism</w:t>
            </w:r>
          </w:p>
        </w:tc>
        <w:tc>
          <w:tcPr>
            <w:tcW w:w="18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10,781</w:t>
            </w:r>
          </w:p>
        </w:tc>
        <w:tc>
          <w:tcPr>
            <w:tcW w:w="10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6.5</w:t>
            </w:r>
          </w:p>
        </w:tc>
        <w:tc>
          <w:tcPr>
            <w:tcW w:w="1800" w:type="dxa"/>
            <w:hideMark/>
          </w:tcPr>
          <w:p w:rsidR="00EF247B" w:rsidRPr="007E03DD" w:rsidRDefault="00ED3E23" w:rsidP="007E03DD">
            <w:pPr>
              <w:cnfStyle w:val="000000000000"/>
              <w:rPr>
                <w:rFonts w:ascii="Times New Roman" w:hAnsi="Times New Roman"/>
                <w:sz w:val="20"/>
                <w:szCs w:val="20"/>
              </w:rPr>
            </w:pPr>
            <w:r w:rsidRPr="009A1337">
              <w:rPr>
                <w:rFonts w:ascii="Times New Roman" w:hAnsi="Times New Roman"/>
                <w:sz w:val="20"/>
                <w:szCs w:val="20"/>
              </w:rPr>
              <w:t>16</w:t>
            </w:r>
            <w:r>
              <w:rPr>
                <w:rFonts w:ascii="Times New Roman" w:hAnsi="Times New Roman"/>
                <w:sz w:val="20"/>
                <w:szCs w:val="20"/>
              </w:rPr>
              <w:t>,</w:t>
            </w:r>
            <w:r w:rsidRPr="009A1337">
              <w:rPr>
                <w:rFonts w:ascii="Times New Roman" w:hAnsi="Times New Roman"/>
                <w:sz w:val="20"/>
                <w:szCs w:val="20"/>
              </w:rPr>
              <w:t>245</w:t>
            </w:r>
          </w:p>
        </w:tc>
        <w:tc>
          <w:tcPr>
            <w:tcW w:w="1260" w:type="dxa"/>
            <w:hideMark/>
          </w:tcPr>
          <w:p w:rsidR="00EF247B" w:rsidRPr="007E03DD" w:rsidRDefault="005475A5" w:rsidP="007E03DD">
            <w:pPr>
              <w:cnfStyle w:val="000000000000"/>
              <w:rPr>
                <w:rFonts w:ascii="Times New Roman" w:hAnsi="Times New Roman"/>
                <w:sz w:val="20"/>
                <w:szCs w:val="20"/>
              </w:rPr>
            </w:pPr>
            <w:r w:rsidRPr="007E03DD">
              <w:rPr>
                <w:rFonts w:ascii="Times New Roman" w:hAnsi="Times New Roman"/>
                <w:sz w:val="20"/>
                <w:szCs w:val="20"/>
              </w:rPr>
              <w:t>9.9</w:t>
            </w:r>
          </w:p>
        </w:tc>
      </w:tr>
      <w:tr w:rsidR="00EF247B" w:rsidRPr="007E03DD" w:rsidTr="00F95A47">
        <w:trPr>
          <w:trHeight w:val="288"/>
        </w:trPr>
        <w:tc>
          <w:tcPr>
            <w:cnfStyle w:val="001000000000"/>
            <w:tcW w:w="2895" w:type="dxa"/>
            <w:hideMark/>
          </w:tcPr>
          <w:p w:rsidR="00EF247B" w:rsidRPr="007E03DD" w:rsidRDefault="00EF247B" w:rsidP="007E03DD">
            <w:pPr>
              <w:rPr>
                <w:rFonts w:ascii="Times New Roman" w:hAnsi="Times New Roman"/>
                <w:sz w:val="20"/>
                <w:szCs w:val="20"/>
              </w:rPr>
            </w:pPr>
            <w:r w:rsidRPr="007E03DD">
              <w:rPr>
                <w:rFonts w:ascii="Times New Roman" w:hAnsi="Times New Roman"/>
                <w:sz w:val="20"/>
                <w:szCs w:val="20"/>
              </w:rPr>
              <w:t>Emotional</w:t>
            </w:r>
          </w:p>
        </w:tc>
        <w:tc>
          <w:tcPr>
            <w:tcW w:w="18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13,849</w:t>
            </w:r>
          </w:p>
        </w:tc>
        <w:tc>
          <w:tcPr>
            <w:tcW w:w="10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8.4</w:t>
            </w:r>
          </w:p>
        </w:tc>
        <w:tc>
          <w:tcPr>
            <w:tcW w:w="18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14,496</w:t>
            </w:r>
          </w:p>
        </w:tc>
        <w:tc>
          <w:tcPr>
            <w:tcW w:w="126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8.8</w:t>
            </w:r>
          </w:p>
        </w:tc>
      </w:tr>
      <w:tr w:rsidR="00EF247B" w:rsidRPr="007E03DD" w:rsidTr="00F95A47">
        <w:trPr>
          <w:trHeight w:val="288"/>
        </w:trPr>
        <w:tc>
          <w:tcPr>
            <w:cnfStyle w:val="001000000000"/>
            <w:tcW w:w="2895" w:type="dxa"/>
            <w:hideMark/>
          </w:tcPr>
          <w:p w:rsidR="00EF247B" w:rsidRPr="007E03DD" w:rsidRDefault="00EF247B" w:rsidP="007E03DD">
            <w:pPr>
              <w:rPr>
                <w:rFonts w:ascii="Times New Roman" w:hAnsi="Times New Roman"/>
                <w:sz w:val="20"/>
                <w:szCs w:val="20"/>
              </w:rPr>
            </w:pPr>
            <w:r w:rsidRPr="007E03DD">
              <w:rPr>
                <w:rFonts w:ascii="Times New Roman" w:hAnsi="Times New Roman"/>
                <w:sz w:val="20"/>
                <w:szCs w:val="20"/>
              </w:rPr>
              <w:t>Intellectual</w:t>
            </w:r>
          </w:p>
        </w:tc>
        <w:tc>
          <w:tcPr>
            <w:tcW w:w="18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10,682</w:t>
            </w:r>
          </w:p>
        </w:tc>
        <w:tc>
          <w:tcPr>
            <w:tcW w:w="10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6.5</w:t>
            </w:r>
          </w:p>
        </w:tc>
        <w:tc>
          <w:tcPr>
            <w:tcW w:w="18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9,440</w:t>
            </w:r>
          </w:p>
        </w:tc>
        <w:tc>
          <w:tcPr>
            <w:tcW w:w="126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5.7</w:t>
            </w:r>
          </w:p>
        </w:tc>
      </w:tr>
      <w:tr w:rsidR="00EF247B" w:rsidRPr="007E03DD" w:rsidTr="00F95A47">
        <w:trPr>
          <w:trHeight w:val="288"/>
        </w:trPr>
        <w:tc>
          <w:tcPr>
            <w:cnfStyle w:val="001000000000"/>
            <w:tcW w:w="2895" w:type="dxa"/>
            <w:hideMark/>
          </w:tcPr>
          <w:p w:rsidR="00EF247B" w:rsidRPr="007E03DD" w:rsidRDefault="00EF247B" w:rsidP="007E03DD">
            <w:pPr>
              <w:rPr>
                <w:rFonts w:ascii="Times New Roman" w:hAnsi="Times New Roman"/>
                <w:sz w:val="20"/>
                <w:szCs w:val="20"/>
              </w:rPr>
            </w:pPr>
            <w:r w:rsidRPr="007E03DD">
              <w:rPr>
                <w:rFonts w:ascii="Times New Roman" w:hAnsi="Times New Roman"/>
                <w:sz w:val="20"/>
                <w:szCs w:val="20"/>
              </w:rPr>
              <w:t>Neurological</w:t>
            </w:r>
          </w:p>
        </w:tc>
        <w:tc>
          <w:tcPr>
            <w:tcW w:w="18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7,013</w:t>
            </w:r>
          </w:p>
        </w:tc>
        <w:tc>
          <w:tcPr>
            <w:tcW w:w="10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4.3</w:t>
            </w:r>
          </w:p>
        </w:tc>
        <w:tc>
          <w:tcPr>
            <w:tcW w:w="18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8,800</w:t>
            </w:r>
          </w:p>
        </w:tc>
        <w:tc>
          <w:tcPr>
            <w:tcW w:w="126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5.4</w:t>
            </w:r>
          </w:p>
        </w:tc>
      </w:tr>
      <w:tr w:rsidR="00EF247B" w:rsidRPr="007E03DD" w:rsidTr="00F95A47">
        <w:trPr>
          <w:trHeight w:val="288"/>
        </w:trPr>
        <w:tc>
          <w:tcPr>
            <w:cnfStyle w:val="001000000000"/>
            <w:tcW w:w="2895" w:type="dxa"/>
            <w:hideMark/>
          </w:tcPr>
          <w:p w:rsidR="00EF247B" w:rsidRPr="007E03DD" w:rsidRDefault="00EF247B" w:rsidP="007E03DD">
            <w:pPr>
              <w:rPr>
                <w:rFonts w:ascii="Times New Roman" w:hAnsi="Times New Roman"/>
                <w:sz w:val="20"/>
                <w:szCs w:val="20"/>
              </w:rPr>
            </w:pPr>
            <w:r w:rsidRPr="007E03DD">
              <w:rPr>
                <w:rFonts w:ascii="Times New Roman" w:hAnsi="Times New Roman"/>
                <w:sz w:val="20"/>
                <w:szCs w:val="20"/>
              </w:rPr>
              <w:t>Multiple Disabilities</w:t>
            </w:r>
          </w:p>
        </w:tc>
        <w:tc>
          <w:tcPr>
            <w:tcW w:w="18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4,667</w:t>
            </w:r>
          </w:p>
        </w:tc>
        <w:tc>
          <w:tcPr>
            <w:tcW w:w="10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2.8</w:t>
            </w:r>
          </w:p>
        </w:tc>
        <w:tc>
          <w:tcPr>
            <w:tcW w:w="18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4,531</w:t>
            </w:r>
          </w:p>
        </w:tc>
        <w:tc>
          <w:tcPr>
            <w:tcW w:w="126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2.8</w:t>
            </w:r>
          </w:p>
        </w:tc>
      </w:tr>
      <w:tr w:rsidR="00EF247B" w:rsidRPr="007E03DD" w:rsidTr="00F95A47">
        <w:trPr>
          <w:trHeight w:val="288"/>
        </w:trPr>
        <w:tc>
          <w:tcPr>
            <w:cnfStyle w:val="001000000000"/>
            <w:tcW w:w="2895" w:type="dxa"/>
            <w:hideMark/>
          </w:tcPr>
          <w:p w:rsidR="00EF247B" w:rsidRPr="007E03DD" w:rsidRDefault="00EF247B" w:rsidP="007E03DD">
            <w:pPr>
              <w:rPr>
                <w:rFonts w:ascii="Times New Roman" w:hAnsi="Times New Roman"/>
                <w:sz w:val="20"/>
                <w:szCs w:val="20"/>
              </w:rPr>
            </w:pPr>
            <w:r w:rsidRPr="007E03DD">
              <w:rPr>
                <w:rFonts w:ascii="Times New Roman" w:hAnsi="Times New Roman"/>
                <w:sz w:val="20"/>
                <w:szCs w:val="20"/>
              </w:rPr>
              <w:t>Physical</w:t>
            </w:r>
          </w:p>
        </w:tc>
        <w:tc>
          <w:tcPr>
            <w:tcW w:w="18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1,537</w:t>
            </w:r>
          </w:p>
        </w:tc>
        <w:tc>
          <w:tcPr>
            <w:tcW w:w="10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0.9</w:t>
            </w:r>
          </w:p>
        </w:tc>
        <w:tc>
          <w:tcPr>
            <w:tcW w:w="18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1,298</w:t>
            </w:r>
          </w:p>
        </w:tc>
        <w:tc>
          <w:tcPr>
            <w:tcW w:w="126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0.8</w:t>
            </w:r>
          </w:p>
        </w:tc>
      </w:tr>
      <w:tr w:rsidR="00EF247B" w:rsidRPr="007E03DD" w:rsidTr="00F95A47">
        <w:trPr>
          <w:trHeight w:val="288"/>
        </w:trPr>
        <w:tc>
          <w:tcPr>
            <w:cnfStyle w:val="001000000000"/>
            <w:tcW w:w="2895" w:type="dxa"/>
            <w:hideMark/>
          </w:tcPr>
          <w:p w:rsidR="00EF247B" w:rsidRPr="007E03DD" w:rsidRDefault="00EF247B" w:rsidP="007E03DD">
            <w:pPr>
              <w:rPr>
                <w:rFonts w:ascii="Times New Roman" w:hAnsi="Times New Roman"/>
                <w:sz w:val="20"/>
                <w:szCs w:val="20"/>
              </w:rPr>
            </w:pPr>
            <w:r w:rsidRPr="007E03DD">
              <w:rPr>
                <w:rFonts w:ascii="Times New Roman" w:hAnsi="Times New Roman"/>
                <w:sz w:val="20"/>
                <w:szCs w:val="20"/>
              </w:rPr>
              <w:t>Sensory/Hard of Hearing</w:t>
            </w:r>
          </w:p>
        </w:tc>
        <w:tc>
          <w:tcPr>
            <w:tcW w:w="18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1,233</w:t>
            </w:r>
          </w:p>
        </w:tc>
        <w:tc>
          <w:tcPr>
            <w:tcW w:w="10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0.7</w:t>
            </w:r>
          </w:p>
        </w:tc>
        <w:tc>
          <w:tcPr>
            <w:tcW w:w="18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1,219</w:t>
            </w:r>
          </w:p>
        </w:tc>
        <w:tc>
          <w:tcPr>
            <w:tcW w:w="126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0.7</w:t>
            </w:r>
          </w:p>
        </w:tc>
      </w:tr>
      <w:tr w:rsidR="00EF247B" w:rsidRPr="007E03DD" w:rsidTr="00F95A47">
        <w:trPr>
          <w:trHeight w:val="288"/>
        </w:trPr>
        <w:tc>
          <w:tcPr>
            <w:cnfStyle w:val="001000000000"/>
            <w:tcW w:w="2895" w:type="dxa"/>
            <w:hideMark/>
          </w:tcPr>
          <w:p w:rsidR="00EF247B" w:rsidRPr="007E03DD" w:rsidRDefault="00EF247B" w:rsidP="007E03DD">
            <w:pPr>
              <w:rPr>
                <w:rFonts w:ascii="Times New Roman" w:hAnsi="Times New Roman"/>
                <w:sz w:val="20"/>
                <w:szCs w:val="20"/>
              </w:rPr>
            </w:pPr>
            <w:r w:rsidRPr="007E03DD">
              <w:rPr>
                <w:rFonts w:ascii="Times New Roman" w:hAnsi="Times New Roman"/>
                <w:sz w:val="20"/>
                <w:szCs w:val="20"/>
              </w:rPr>
              <w:t>Sensory/Vision Impairment</w:t>
            </w:r>
          </w:p>
        </w:tc>
        <w:tc>
          <w:tcPr>
            <w:tcW w:w="18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582</w:t>
            </w:r>
          </w:p>
        </w:tc>
        <w:tc>
          <w:tcPr>
            <w:tcW w:w="10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0.4</w:t>
            </w:r>
          </w:p>
        </w:tc>
        <w:tc>
          <w:tcPr>
            <w:tcW w:w="18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625</w:t>
            </w:r>
          </w:p>
        </w:tc>
        <w:tc>
          <w:tcPr>
            <w:tcW w:w="126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0.4</w:t>
            </w:r>
          </w:p>
        </w:tc>
      </w:tr>
      <w:tr w:rsidR="00EF247B" w:rsidRPr="007E03DD" w:rsidTr="00F95A47">
        <w:trPr>
          <w:trHeight w:val="288"/>
        </w:trPr>
        <w:tc>
          <w:tcPr>
            <w:cnfStyle w:val="001000000000"/>
            <w:tcW w:w="2895" w:type="dxa"/>
            <w:hideMark/>
          </w:tcPr>
          <w:p w:rsidR="00EF247B" w:rsidRPr="007E03DD" w:rsidRDefault="00EF247B" w:rsidP="007E03DD">
            <w:pPr>
              <w:rPr>
                <w:rFonts w:ascii="Times New Roman" w:hAnsi="Times New Roman"/>
                <w:sz w:val="20"/>
                <w:szCs w:val="20"/>
              </w:rPr>
            </w:pPr>
            <w:r w:rsidRPr="007E03DD">
              <w:rPr>
                <w:rFonts w:ascii="Times New Roman" w:hAnsi="Times New Roman"/>
                <w:sz w:val="20"/>
                <w:szCs w:val="20"/>
              </w:rPr>
              <w:t>Sensory/Deaf/Blind</w:t>
            </w:r>
          </w:p>
        </w:tc>
        <w:tc>
          <w:tcPr>
            <w:tcW w:w="18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193</w:t>
            </w:r>
          </w:p>
        </w:tc>
        <w:tc>
          <w:tcPr>
            <w:tcW w:w="10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0.1</w:t>
            </w:r>
          </w:p>
        </w:tc>
        <w:tc>
          <w:tcPr>
            <w:tcW w:w="180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176</w:t>
            </w:r>
          </w:p>
        </w:tc>
        <w:tc>
          <w:tcPr>
            <w:tcW w:w="1260" w:type="dxa"/>
            <w:hideMark/>
          </w:tcPr>
          <w:p w:rsidR="00EF247B" w:rsidRPr="007E03DD" w:rsidRDefault="00EF247B" w:rsidP="007E03DD">
            <w:pPr>
              <w:cnfStyle w:val="000000000000"/>
              <w:rPr>
                <w:rFonts w:ascii="Times New Roman" w:hAnsi="Times New Roman"/>
                <w:sz w:val="20"/>
                <w:szCs w:val="20"/>
              </w:rPr>
            </w:pPr>
            <w:r w:rsidRPr="007E03DD">
              <w:rPr>
                <w:rFonts w:ascii="Times New Roman" w:hAnsi="Times New Roman"/>
                <w:sz w:val="20"/>
                <w:szCs w:val="20"/>
              </w:rPr>
              <w:t>0.1</w:t>
            </w:r>
          </w:p>
        </w:tc>
      </w:tr>
      <w:tr w:rsidR="00EF247B" w:rsidRPr="007E03DD" w:rsidTr="00F95A47">
        <w:trPr>
          <w:trHeight w:val="615"/>
        </w:trPr>
        <w:tc>
          <w:tcPr>
            <w:cnfStyle w:val="001000000000"/>
            <w:tcW w:w="2895" w:type="dxa"/>
            <w:hideMark/>
          </w:tcPr>
          <w:p w:rsidR="00EF247B" w:rsidRPr="007E03DD" w:rsidRDefault="00EF247B" w:rsidP="007E03DD">
            <w:pPr>
              <w:rPr>
                <w:rFonts w:ascii="Times New Roman" w:hAnsi="Times New Roman"/>
                <w:szCs w:val="22"/>
              </w:rPr>
            </w:pPr>
            <w:r w:rsidRPr="007E03DD">
              <w:rPr>
                <w:rFonts w:ascii="Times New Roman" w:hAnsi="Times New Roman"/>
                <w:szCs w:val="22"/>
              </w:rPr>
              <w:t>SPED Total</w:t>
            </w:r>
          </w:p>
        </w:tc>
        <w:tc>
          <w:tcPr>
            <w:tcW w:w="1800" w:type="dxa"/>
            <w:hideMark/>
          </w:tcPr>
          <w:p w:rsidR="00EF247B" w:rsidRPr="007E03DD" w:rsidRDefault="00EF247B" w:rsidP="007E03DD">
            <w:pPr>
              <w:cnfStyle w:val="000000000000"/>
              <w:rPr>
                <w:rFonts w:ascii="Times New Roman" w:hAnsi="Times New Roman"/>
                <w:szCs w:val="22"/>
              </w:rPr>
            </w:pPr>
            <w:r w:rsidRPr="007E03DD">
              <w:rPr>
                <w:rFonts w:ascii="Times New Roman" w:hAnsi="Times New Roman"/>
                <w:szCs w:val="22"/>
              </w:rPr>
              <w:t>164,847</w:t>
            </w:r>
          </w:p>
        </w:tc>
        <w:tc>
          <w:tcPr>
            <w:tcW w:w="1000" w:type="dxa"/>
            <w:hideMark/>
          </w:tcPr>
          <w:p w:rsidR="00EF247B" w:rsidRPr="007E03DD" w:rsidRDefault="00EF247B" w:rsidP="007E03DD">
            <w:pPr>
              <w:cnfStyle w:val="000000000000"/>
              <w:rPr>
                <w:rFonts w:ascii="Times New Roman" w:hAnsi="Times New Roman"/>
                <w:szCs w:val="22"/>
              </w:rPr>
            </w:pPr>
            <w:r w:rsidRPr="007E03DD">
              <w:rPr>
                <w:rFonts w:ascii="Times New Roman" w:hAnsi="Times New Roman"/>
                <w:bCs/>
                <w:szCs w:val="22"/>
              </w:rPr>
              <w:t>100</w:t>
            </w:r>
          </w:p>
        </w:tc>
        <w:tc>
          <w:tcPr>
            <w:tcW w:w="1800" w:type="dxa"/>
            <w:hideMark/>
          </w:tcPr>
          <w:p w:rsidR="00EF247B" w:rsidRPr="007E03DD" w:rsidRDefault="00EF247B" w:rsidP="007E03DD">
            <w:pPr>
              <w:cnfStyle w:val="000000000000"/>
              <w:rPr>
                <w:rFonts w:ascii="Times New Roman" w:hAnsi="Times New Roman"/>
                <w:szCs w:val="22"/>
              </w:rPr>
            </w:pPr>
            <w:r w:rsidRPr="007E03DD">
              <w:rPr>
                <w:rFonts w:ascii="Times New Roman" w:hAnsi="Times New Roman"/>
                <w:bCs/>
                <w:szCs w:val="22"/>
              </w:rPr>
              <w:t>164,336</w:t>
            </w:r>
          </w:p>
        </w:tc>
        <w:tc>
          <w:tcPr>
            <w:tcW w:w="1260" w:type="dxa"/>
            <w:hideMark/>
          </w:tcPr>
          <w:p w:rsidR="00EF247B" w:rsidRPr="007E03DD" w:rsidRDefault="00EF247B" w:rsidP="007E03DD">
            <w:pPr>
              <w:cnfStyle w:val="000000000000"/>
              <w:rPr>
                <w:rFonts w:ascii="Times New Roman" w:hAnsi="Times New Roman"/>
                <w:szCs w:val="22"/>
              </w:rPr>
            </w:pPr>
            <w:r w:rsidRPr="007E03DD">
              <w:rPr>
                <w:rFonts w:ascii="Times New Roman" w:hAnsi="Times New Roman"/>
                <w:bCs/>
                <w:szCs w:val="22"/>
              </w:rPr>
              <w:t>100</w:t>
            </w:r>
          </w:p>
        </w:tc>
      </w:tr>
    </w:tbl>
    <w:p w:rsidR="0047676C" w:rsidRPr="00CB262E" w:rsidRDefault="0047676C" w:rsidP="00123285">
      <w:pPr>
        <w:spacing w:after="240"/>
        <w:rPr>
          <w:i/>
          <w:sz w:val="18"/>
          <w:szCs w:val="18"/>
        </w:rPr>
      </w:pPr>
      <w:r w:rsidRPr="00CB262E">
        <w:rPr>
          <w:i/>
          <w:sz w:val="18"/>
          <w:szCs w:val="18"/>
        </w:rPr>
        <w:t>Source: Massachusetts Student Information Management System</w:t>
      </w:r>
    </w:p>
    <w:p w:rsidR="00F3413C" w:rsidRPr="00096F2A" w:rsidRDefault="0047676C" w:rsidP="007E03DD">
      <w:pPr>
        <w:spacing w:after="120"/>
      </w:pPr>
      <w:r w:rsidRPr="00096F2A">
        <w:t>Students with disabilities in the categories of Specific Learning Disability, Communication</w:t>
      </w:r>
      <w:r w:rsidR="000C5002" w:rsidRPr="00096F2A">
        <w:t xml:space="preserve"> Impairment</w:t>
      </w:r>
      <w:r w:rsidRPr="00096F2A">
        <w:t xml:space="preserve">, and </w:t>
      </w:r>
      <w:r w:rsidR="000C5002" w:rsidRPr="00096F2A">
        <w:t>Health Impairment</w:t>
      </w:r>
      <w:r w:rsidRPr="00096F2A">
        <w:t xml:space="preserve"> represent approximately </w:t>
      </w:r>
      <w:r w:rsidR="000C5002" w:rsidRPr="00096F2A">
        <w:t>54.7</w:t>
      </w:r>
      <w:r w:rsidRPr="00096F2A">
        <w:t xml:space="preserve"> percent of all students receiving special educa</w:t>
      </w:r>
      <w:r w:rsidR="0034424D" w:rsidRPr="00096F2A">
        <w:t>tion services in Massachusetts. Collectively, these are often referred to as “high incidence disabilities”</w:t>
      </w:r>
      <w:r w:rsidR="00F3413C" w:rsidRPr="00096F2A">
        <w:t xml:space="preserve"> </w:t>
      </w:r>
      <w:r w:rsidR="007F3A66" w:rsidRPr="00096F2A">
        <w:t xml:space="preserve">and </w:t>
      </w:r>
      <w:r w:rsidR="00F3413C" w:rsidRPr="00096F2A">
        <w:t xml:space="preserve">are </w:t>
      </w:r>
      <w:r w:rsidR="0034424D" w:rsidRPr="00096F2A">
        <w:t xml:space="preserve">the disabilities most commonly found in the general population globally. </w:t>
      </w:r>
      <w:r w:rsidR="00F3413C" w:rsidRPr="00096F2A">
        <w:t>Dr. Thomas Hehir</w:t>
      </w:r>
      <w:r w:rsidR="00E92F5C" w:rsidRPr="00096F2A">
        <w:t xml:space="preserve"> and Associates, in their</w:t>
      </w:r>
      <w:r w:rsidR="00F3413C" w:rsidRPr="00096F2A">
        <w:t xml:space="preserve"> 2012 </w:t>
      </w:r>
      <w:r w:rsidR="00F3413C" w:rsidRPr="00096F2A">
        <w:rPr>
          <w:i/>
        </w:rPr>
        <w:t>Review of Special Education in the Commonwealth of Massachusetts</w:t>
      </w:r>
      <w:r w:rsidR="00F3413C" w:rsidRPr="00096F2A">
        <w:t xml:space="preserve">, observed, “Nearly two out of every three Massachusetts students with a disability are identified as belonging in one of these three categories and due to the potentially subjective nature of their diagnosis, rates of identification for these categories may be more sensitive to policy decisions than rates for the more strictly defined categories. Further, we see evidence throughout the commonwealth that indicates that children with similar profiles may fall differentially into one of these three categories, depending on the designation conventions of different school districts.” </w:t>
      </w:r>
    </w:p>
    <w:p w:rsidR="000D1C7A" w:rsidRPr="00096F2A" w:rsidRDefault="00523DDB" w:rsidP="007E03DD">
      <w:pPr>
        <w:spacing w:after="120"/>
      </w:pPr>
      <w:r w:rsidRPr="00096F2A">
        <w:t>An</w:t>
      </w:r>
      <w:r w:rsidR="0047676C" w:rsidRPr="00096F2A">
        <w:t xml:space="preserve"> analysis of changes over the five year period (FY10 to FY14) shows th</w:t>
      </w:r>
      <w:r w:rsidR="00123285" w:rsidRPr="00096F2A">
        <w:t>at the percentage of students i</w:t>
      </w:r>
      <w:r w:rsidR="0047676C" w:rsidRPr="00096F2A">
        <w:t>dentified under the category of Specific Learning Disability has decreased by 7.1 percentage points during this period</w:t>
      </w:r>
      <w:r w:rsidR="00F3413C" w:rsidRPr="00096F2A">
        <w:t xml:space="preserve">, while Health Impairment has increased by </w:t>
      </w:r>
      <w:r w:rsidR="0011791A" w:rsidRPr="00096F2A">
        <w:t>3.4 percentage points, from 7.7</w:t>
      </w:r>
      <w:r w:rsidR="00FB7602" w:rsidRPr="00096F2A">
        <w:t xml:space="preserve"> percent</w:t>
      </w:r>
      <w:r w:rsidR="0011791A" w:rsidRPr="00096F2A">
        <w:t xml:space="preserve"> in 2010 to 11.1</w:t>
      </w:r>
      <w:r w:rsidR="00E343C8">
        <w:t xml:space="preserve"> </w:t>
      </w:r>
      <w:r w:rsidR="00FB7602" w:rsidRPr="00096F2A">
        <w:t>percent</w:t>
      </w:r>
      <w:r w:rsidR="0011791A" w:rsidRPr="00096F2A">
        <w:t xml:space="preserve"> </w:t>
      </w:r>
      <w:r w:rsidR="00F3413C" w:rsidRPr="00096F2A">
        <w:t>in the 2014 school year.</w:t>
      </w:r>
      <w:r w:rsidR="00633842" w:rsidRPr="00096F2A">
        <w:t xml:space="preserve"> </w:t>
      </w:r>
      <w:r w:rsidR="00A21C89" w:rsidRPr="00096F2A">
        <w:t>Consistent</w:t>
      </w:r>
      <w:r w:rsidR="00F3413C" w:rsidRPr="00096F2A">
        <w:t xml:space="preserve"> with national and international trends, </w:t>
      </w:r>
      <w:r w:rsidR="0047676C" w:rsidRPr="00096F2A">
        <w:t>Autism</w:t>
      </w:r>
      <w:r w:rsidR="00A21C89" w:rsidRPr="00096F2A">
        <w:t xml:space="preserve"> </w:t>
      </w:r>
      <w:r w:rsidR="0047676C" w:rsidRPr="00096F2A">
        <w:t>has increased by 3.4 per</w:t>
      </w:r>
      <w:r w:rsidR="00A21C89" w:rsidRPr="00096F2A">
        <w:t>centage points over five years and is currently at 9.9 percent.</w:t>
      </w:r>
    </w:p>
    <w:p w:rsidR="0077595B" w:rsidRPr="0072770E" w:rsidRDefault="0077595B" w:rsidP="00C921E3">
      <w:pPr>
        <w:spacing w:after="120"/>
      </w:pPr>
    </w:p>
    <w:p w:rsidR="006024AE" w:rsidRPr="00C921E3" w:rsidRDefault="00CB262E" w:rsidP="00C921E3">
      <w:pPr>
        <w:pStyle w:val="Heading2"/>
        <w:spacing w:before="0" w:after="120"/>
      </w:pPr>
      <w:bookmarkStart w:id="25" w:name="_Toc405293144"/>
      <w:bookmarkStart w:id="26" w:name="_Toc378583139"/>
      <w:bookmarkStart w:id="27" w:name="_Toc374012662"/>
      <w:bookmarkStart w:id="28" w:name="_Toc378598391"/>
      <w:r w:rsidRPr="00C921E3">
        <w:t>C.</w:t>
      </w:r>
      <w:r w:rsidR="007411EA" w:rsidRPr="00C921E3">
        <w:tab/>
      </w:r>
      <w:bookmarkStart w:id="29" w:name="_Toc342312306"/>
      <w:bookmarkStart w:id="30" w:name="_Toc309819247"/>
      <w:r w:rsidR="009B17DE" w:rsidRPr="00C921E3">
        <w:t xml:space="preserve">Percentage of Students with Disabilities by Special Population </w:t>
      </w:r>
      <w:r w:rsidR="00410EFC" w:rsidRPr="00C921E3">
        <w:tab/>
      </w:r>
      <w:r w:rsidR="009B17DE" w:rsidRPr="00C921E3">
        <w:t>Status</w:t>
      </w:r>
      <w:bookmarkEnd w:id="25"/>
      <w:bookmarkEnd w:id="29"/>
      <w:bookmarkEnd w:id="30"/>
    </w:p>
    <w:p w:rsidR="00265620" w:rsidRDefault="0011791A" w:rsidP="00265620">
      <w:pPr>
        <w:spacing w:after="120"/>
      </w:pPr>
      <w:r w:rsidRPr="0072770E">
        <w:t>As noted in Figure A</w:t>
      </w:r>
      <w:r w:rsidR="006024AE" w:rsidRPr="0072770E">
        <w:t xml:space="preserve"> below, over the past five years, there have been increases in the percentages of special education students who are also in the categories of low income, limited English proficiency (LEP), and first language not English (FLNE). </w:t>
      </w:r>
    </w:p>
    <w:p w:rsidR="006024AE" w:rsidRDefault="006024AE" w:rsidP="00265620">
      <w:pPr>
        <w:spacing w:after="120"/>
      </w:pPr>
      <w:r w:rsidRPr="00A44343">
        <w:rPr>
          <w:b/>
          <w:sz w:val="22"/>
          <w:szCs w:val="22"/>
        </w:rPr>
        <w:t>F</w:t>
      </w:r>
      <w:r w:rsidR="00E92F5C" w:rsidRPr="00A44343">
        <w:rPr>
          <w:b/>
          <w:sz w:val="22"/>
          <w:szCs w:val="22"/>
        </w:rPr>
        <w:t>igure A</w:t>
      </w:r>
      <w:r w:rsidRPr="00A44343">
        <w:rPr>
          <w:b/>
          <w:sz w:val="22"/>
          <w:szCs w:val="22"/>
        </w:rPr>
        <w:t xml:space="preserve">: Special Education Students, Ages 6-21, by Special Population </w:t>
      </w:r>
      <w:proofErr w:type="gramStart"/>
      <w:r w:rsidRPr="00A44343">
        <w:rPr>
          <w:b/>
          <w:sz w:val="22"/>
          <w:szCs w:val="22"/>
        </w:rPr>
        <w:t>Status  (</w:t>
      </w:r>
      <w:proofErr w:type="gramEnd"/>
      <w:r w:rsidRPr="00A44343">
        <w:rPr>
          <w:b/>
          <w:sz w:val="22"/>
          <w:szCs w:val="22"/>
        </w:rPr>
        <w:t>FY10-FY14)</w:t>
      </w:r>
      <w:r w:rsidRPr="001C3D31">
        <w:rPr>
          <w:noProof/>
          <w:lang w:eastAsia="zh-CN"/>
        </w:rPr>
        <w:drawing>
          <wp:inline distT="0" distB="0" distL="0" distR="0">
            <wp:extent cx="5686425" cy="3238500"/>
            <wp:effectExtent l="19050" t="0" r="9525" b="0"/>
            <wp:docPr id="2" name="Chart 1" descr="Percentage of students with disabilities receiving special education services, who are also low-income, has increased annually from 41.6% in FY10 to 48.1% in FY14. The percentage who are limited English proficient has risen annually from 5.7% in FY10 to 7.8% in FY14. The percentage whose first language is not English has risen annually from 14.3% in FY10 to 16.4% in FY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97FEA" w:rsidRPr="00CB262E" w:rsidRDefault="00E97FEA" w:rsidP="00E97FEA">
      <w:pPr>
        <w:spacing w:after="120"/>
        <w:rPr>
          <w:i/>
          <w:sz w:val="18"/>
          <w:szCs w:val="18"/>
        </w:rPr>
      </w:pPr>
      <w:r w:rsidRPr="00CB262E">
        <w:rPr>
          <w:i/>
          <w:sz w:val="18"/>
          <w:szCs w:val="18"/>
        </w:rPr>
        <w:t>Source: Massachusetts Student Information Management System</w:t>
      </w:r>
    </w:p>
    <w:p w:rsidR="006135BD" w:rsidRPr="00096F2A" w:rsidRDefault="006024AE" w:rsidP="0072770E">
      <w:pPr>
        <w:spacing w:after="120"/>
      </w:pPr>
      <w:r w:rsidRPr="00096F2A">
        <w:t>Nearly half the school age students receiving spec</w:t>
      </w:r>
      <w:r w:rsidR="0011791A" w:rsidRPr="00096F2A">
        <w:t xml:space="preserve">ial education services in </w:t>
      </w:r>
      <w:r w:rsidR="00C75469" w:rsidRPr="00096F2A">
        <w:t>FY</w:t>
      </w:r>
      <w:r w:rsidR="00796280" w:rsidRPr="00096F2A">
        <w:t>14</w:t>
      </w:r>
      <w:r w:rsidR="0011791A" w:rsidRPr="00096F2A">
        <w:t xml:space="preserve">, </w:t>
      </w:r>
      <w:r w:rsidRPr="00096F2A">
        <w:t>48.1</w:t>
      </w:r>
      <w:r w:rsidR="00D24597" w:rsidRPr="00096F2A">
        <w:t xml:space="preserve"> percent</w:t>
      </w:r>
      <w:r w:rsidR="0011791A" w:rsidRPr="00096F2A">
        <w:t xml:space="preserve">, </w:t>
      </w:r>
      <w:r w:rsidRPr="00096F2A">
        <w:t xml:space="preserve">come from low income families. </w:t>
      </w:r>
      <w:r w:rsidR="00403D44" w:rsidRPr="00096F2A">
        <w:t>Statewide, t</w:t>
      </w:r>
      <w:r w:rsidRPr="00096F2A">
        <w:t xml:space="preserve">he </w:t>
      </w:r>
      <w:r w:rsidR="00C75469" w:rsidRPr="00096F2A">
        <w:t>FY</w:t>
      </w:r>
      <w:r w:rsidR="00796280" w:rsidRPr="00096F2A">
        <w:t>14</w:t>
      </w:r>
      <w:r w:rsidR="00403D44" w:rsidRPr="00096F2A">
        <w:t xml:space="preserve"> </w:t>
      </w:r>
      <w:r w:rsidRPr="00096F2A">
        <w:t>incidence rate of low income students is 38.3</w:t>
      </w:r>
      <w:r w:rsidR="00032213" w:rsidRPr="00096F2A">
        <w:t xml:space="preserve"> percent</w:t>
      </w:r>
      <w:r w:rsidR="00403D44" w:rsidRPr="00096F2A">
        <w:t xml:space="preserve"> of all students, an increase of 5.3 percentage points since FY10. </w:t>
      </w:r>
      <w:r w:rsidR="009B47ED" w:rsidRPr="00096F2A">
        <w:t>T</w:t>
      </w:r>
      <w:r w:rsidR="007D3CC6" w:rsidRPr="00096F2A">
        <w:t>he percentage of low income students receiving special education services and the incidence rate of low income students overall hav</w:t>
      </w:r>
      <w:r w:rsidR="00032213" w:rsidRPr="00096F2A">
        <w:t>e</w:t>
      </w:r>
      <w:r w:rsidR="009B47ED" w:rsidRPr="00096F2A">
        <w:t xml:space="preserve"> seen </w:t>
      </w:r>
      <w:r w:rsidR="00ED67BA" w:rsidRPr="00096F2A">
        <w:t>a similar increase</w:t>
      </w:r>
      <w:r w:rsidR="009B47ED" w:rsidRPr="00096F2A">
        <w:t xml:space="preserve"> over the past five years, at 15.6 percent for low income students receiving special education services and at 16.1 percent for low income students overall.</w:t>
      </w:r>
      <w:r w:rsidR="006135BD" w:rsidRPr="00096F2A">
        <w:t xml:space="preserve"> </w:t>
      </w:r>
    </w:p>
    <w:p w:rsidR="00FE45B2" w:rsidRPr="0072770E" w:rsidRDefault="00FE45B2" w:rsidP="00C921E3">
      <w:pPr>
        <w:spacing w:after="120"/>
      </w:pPr>
      <w:r w:rsidRPr="00096F2A">
        <w:t xml:space="preserve">The </w:t>
      </w:r>
      <w:r w:rsidR="00550B7B">
        <w:t xml:space="preserve">increase in the percentage of </w:t>
      </w:r>
      <w:r w:rsidRPr="00096F2A">
        <w:t>low-income students</w:t>
      </w:r>
      <w:r w:rsidR="0087042A">
        <w:t xml:space="preserve"> identified</w:t>
      </w:r>
      <w:r w:rsidRPr="00096F2A">
        <w:t xml:space="preserve"> in special education is a concern</w:t>
      </w:r>
      <w:r w:rsidR="001103C3" w:rsidRPr="00096F2A">
        <w:t xml:space="preserve">. </w:t>
      </w:r>
      <w:r w:rsidR="00002F30">
        <w:t xml:space="preserve">Research has shown that </w:t>
      </w:r>
      <w:r w:rsidR="00A913FA" w:rsidRPr="00096F2A">
        <w:t>a</w:t>
      </w:r>
      <w:r w:rsidR="001103C3" w:rsidRPr="00096F2A">
        <w:t>t the district level, the performance of students with disabilities</w:t>
      </w:r>
      <w:r w:rsidR="00002F30">
        <w:t xml:space="preserve">, although </w:t>
      </w:r>
      <w:r w:rsidR="001103C3" w:rsidRPr="00096F2A">
        <w:t>consistently lower on average</w:t>
      </w:r>
      <w:r w:rsidR="00002F30">
        <w:t xml:space="preserve">, generally </w:t>
      </w:r>
      <w:r w:rsidR="001103C3" w:rsidRPr="0072770E">
        <w:t>parallels the performance of general education students</w:t>
      </w:r>
      <w:r w:rsidR="00002F30">
        <w:t xml:space="preserve"> in the district. Research found that </w:t>
      </w:r>
      <w:r w:rsidR="001103C3" w:rsidRPr="0072770E">
        <w:t>in districts where general education students have higher MCAS scores, students with disabilities also, on average, earn higher scores on the MCAS.</w:t>
      </w:r>
      <w:r w:rsidR="00A913FA" w:rsidRPr="0072770E">
        <w:t xml:space="preserve"> Through rigorous district and school turnaround efforts, the Department</w:t>
      </w:r>
      <w:r w:rsidR="00F90862" w:rsidRPr="0072770E">
        <w:t xml:space="preserve"> </w:t>
      </w:r>
      <w:r w:rsidR="00A913FA" w:rsidRPr="0072770E">
        <w:t xml:space="preserve">is putting in place systems and strategies </w:t>
      </w:r>
      <w:r w:rsidR="00780EC1" w:rsidRPr="0072770E">
        <w:t xml:space="preserve">to address the needs of lower performing schools. </w:t>
      </w:r>
      <w:r w:rsidR="005F5E9D" w:rsidRPr="0072770E">
        <w:t>Two of these are</w:t>
      </w:r>
      <w:r w:rsidR="00780EC1" w:rsidRPr="0072770E">
        <w:t xml:space="preserve"> the </w:t>
      </w:r>
      <w:r w:rsidR="00382544" w:rsidRPr="00382544">
        <w:t>Massachusetts Tiered System of Support</w:t>
      </w:r>
      <w:r w:rsidR="00780EC1" w:rsidRPr="0072770E">
        <w:t xml:space="preserve">, discussed below in </w:t>
      </w:r>
      <w:hyperlink w:anchor="_V.__FY14" w:history="1">
        <w:r w:rsidR="00780EC1" w:rsidRPr="00685BBE">
          <w:rPr>
            <w:rStyle w:val="Hyperlink"/>
          </w:rPr>
          <w:t>Section</w:t>
        </w:r>
        <w:r w:rsidR="00A53B23" w:rsidRPr="00685BBE">
          <w:rPr>
            <w:rStyle w:val="Hyperlink"/>
          </w:rPr>
          <w:t xml:space="preserve"> V</w:t>
        </w:r>
      </w:hyperlink>
      <w:r w:rsidR="005F5E9D" w:rsidRPr="0072770E">
        <w:t xml:space="preserve">, and the State Systemic Improvement Plan (SSIP), described below in </w:t>
      </w:r>
      <w:hyperlink w:anchor="_III.__Results_1" w:history="1">
        <w:r w:rsidR="00A53B23" w:rsidRPr="00685BBE">
          <w:rPr>
            <w:rStyle w:val="Hyperlink"/>
          </w:rPr>
          <w:t>Sections III</w:t>
        </w:r>
      </w:hyperlink>
      <w:r w:rsidR="00A53B23" w:rsidRPr="0072770E">
        <w:t xml:space="preserve"> and </w:t>
      </w:r>
      <w:hyperlink w:anchor="_V.__FY14" w:history="1">
        <w:r w:rsidR="00A53B23" w:rsidRPr="00685BBE">
          <w:rPr>
            <w:rStyle w:val="Hyperlink"/>
          </w:rPr>
          <w:t>V</w:t>
        </w:r>
      </w:hyperlink>
      <w:r w:rsidR="005F5E9D" w:rsidRPr="0072770E">
        <w:t xml:space="preserve">. </w:t>
      </w:r>
    </w:p>
    <w:p w:rsidR="00096F2A" w:rsidRDefault="00096F2A" w:rsidP="00C921E3">
      <w:pPr>
        <w:pStyle w:val="Heading2"/>
        <w:spacing w:before="0" w:after="120"/>
      </w:pPr>
    </w:p>
    <w:p w:rsidR="00676CF4" w:rsidRPr="00C921E3" w:rsidRDefault="00676CF4" w:rsidP="00C921E3">
      <w:pPr>
        <w:pStyle w:val="Heading2"/>
        <w:spacing w:before="0" w:after="120"/>
      </w:pPr>
      <w:bookmarkStart w:id="31" w:name="_Toc405293145"/>
      <w:r w:rsidRPr="00C921E3">
        <w:t>D.</w:t>
      </w:r>
      <w:r w:rsidRPr="00C921E3">
        <w:tab/>
        <w:t xml:space="preserve">Percentage of Students with Disabilities Who Receive Services </w:t>
      </w:r>
      <w:r w:rsidR="0077595B">
        <w:tab/>
      </w:r>
      <w:r w:rsidRPr="00C921E3">
        <w:t>by Educational Environment</w:t>
      </w:r>
      <w:bookmarkEnd w:id="31"/>
      <w:r w:rsidRPr="00C921E3">
        <w:t xml:space="preserve"> </w:t>
      </w:r>
    </w:p>
    <w:p w:rsidR="00676CF4" w:rsidRPr="0072770E" w:rsidRDefault="00676CF4" w:rsidP="00C921E3">
      <w:pPr>
        <w:spacing w:after="120"/>
      </w:pPr>
      <w:r w:rsidRPr="0072770E">
        <w:t xml:space="preserve">The number of </w:t>
      </w:r>
      <w:r w:rsidR="001C510B" w:rsidRPr="0072770E">
        <w:t>s</w:t>
      </w:r>
      <w:r w:rsidRPr="0072770E">
        <w:t xml:space="preserve">tudents with disabilities, ages 6-21, placed in full </w:t>
      </w:r>
      <w:r w:rsidR="001C510B" w:rsidRPr="0072770E">
        <w:t>inclusion environments continues</w:t>
      </w:r>
      <w:r w:rsidRPr="0072770E">
        <w:t xml:space="preserve"> to rise as a percentage of the total enrollment of students receiving spe</w:t>
      </w:r>
      <w:r w:rsidR="001C510B" w:rsidRPr="0072770E">
        <w:t xml:space="preserve">cial education services. </w:t>
      </w:r>
      <w:r w:rsidRPr="0072770E">
        <w:t xml:space="preserve">In </w:t>
      </w:r>
      <w:r w:rsidR="00C75469" w:rsidRPr="0072770E">
        <w:t>FY</w:t>
      </w:r>
      <w:r w:rsidR="00796280" w:rsidRPr="0072770E">
        <w:t>14</w:t>
      </w:r>
      <w:r w:rsidRPr="0072770E">
        <w:t>, that total is 61.1 percent. The percentage of students served in partial inclusion models is 17.3 percent, and in substantially separate settings is 14.7 percent. The percentage of students in all other placements (i.e., separate schools, residential facilities, homebound/hospital, and correctional facilities) is, collectively, 6.9</w:t>
      </w:r>
      <w:r w:rsidR="00FE207E" w:rsidRPr="0072770E">
        <w:t xml:space="preserve"> percent (Figure B</w:t>
      </w:r>
      <w:r w:rsidRPr="0072770E">
        <w:t>)</w:t>
      </w:r>
      <w:r w:rsidR="00FE207E" w:rsidRPr="0072770E">
        <w:t>.</w:t>
      </w:r>
    </w:p>
    <w:p w:rsidR="001C510B" w:rsidRPr="00676CF4" w:rsidRDefault="00676CF4" w:rsidP="00A44343">
      <w:pPr>
        <w:spacing w:after="120"/>
        <w:rPr>
          <w:sz w:val="22"/>
          <w:szCs w:val="22"/>
        </w:rPr>
      </w:pPr>
      <w:r w:rsidRPr="0072770E">
        <w:t>There is a</w:t>
      </w:r>
      <w:r w:rsidR="001C510B" w:rsidRPr="0072770E">
        <w:t xml:space="preserve"> clear</w:t>
      </w:r>
      <w:r w:rsidRPr="0072770E">
        <w:t xml:space="preserve"> trend in the </w:t>
      </w:r>
      <w:r w:rsidR="001C510B" w:rsidRPr="0072770E">
        <w:t>ten-year</w:t>
      </w:r>
      <w:r w:rsidRPr="0072770E">
        <w:t xml:space="preserve"> data </w:t>
      </w:r>
      <w:r w:rsidR="003E05E8" w:rsidRPr="0072770E">
        <w:t>from partial inclusion to</w:t>
      </w:r>
      <w:r w:rsidR="00EB07DC" w:rsidRPr="0072770E">
        <w:t xml:space="preserve"> full inclusion. The percentage of students with disabilities in fully inclusive environments has risen by 40.8 percent since </w:t>
      </w:r>
      <w:r w:rsidR="00E343C8">
        <w:t>2005, whereas the percentage of</w:t>
      </w:r>
      <w:r w:rsidR="00EB07DC" w:rsidRPr="0072770E">
        <w:t xml:space="preserve"> students served in partially inclusive environments has decreased by 48.5 percent. </w:t>
      </w:r>
      <w:r w:rsidR="00EF41CA" w:rsidRPr="0072770E">
        <w:t xml:space="preserve">The percentage of students in substantially separate </w:t>
      </w:r>
      <w:r w:rsidR="006D39CF" w:rsidRPr="0072770E">
        <w:t>classrooms is declining at a slower rate, down 9.3 percent. The percentage of students in all other placements is essentially unchanged.</w:t>
      </w:r>
    </w:p>
    <w:p w:rsidR="00676CF4" w:rsidRPr="0072770E" w:rsidRDefault="00676CF4" w:rsidP="00A44343">
      <w:pPr>
        <w:spacing w:after="120"/>
      </w:pPr>
      <w:r w:rsidRPr="0072770E">
        <w:rPr>
          <w:b/>
        </w:rPr>
        <w:t>Definitions</w:t>
      </w:r>
      <w:r w:rsidRPr="0072770E">
        <w:t xml:space="preserve">: </w:t>
      </w:r>
    </w:p>
    <w:p w:rsidR="00676CF4" w:rsidRPr="00A44343" w:rsidRDefault="00676CF4" w:rsidP="00CA535E">
      <w:pPr>
        <w:pStyle w:val="ListParagraph"/>
        <w:numPr>
          <w:ilvl w:val="0"/>
          <w:numId w:val="17"/>
        </w:numPr>
        <w:spacing w:after="120"/>
        <w:rPr>
          <w:rFonts w:ascii="Times New Roman" w:hAnsi="Times New Roman"/>
          <w:sz w:val="24"/>
          <w:szCs w:val="24"/>
        </w:rPr>
      </w:pPr>
      <w:r w:rsidRPr="00A44343">
        <w:rPr>
          <w:rFonts w:ascii="Times New Roman" w:hAnsi="Times New Roman"/>
          <w:sz w:val="24"/>
          <w:szCs w:val="24"/>
        </w:rPr>
        <w:t>Full Inclusion – at least 80 percent of the time in general education classroom</w:t>
      </w:r>
    </w:p>
    <w:p w:rsidR="00676CF4" w:rsidRPr="00A44343" w:rsidRDefault="00676CF4" w:rsidP="00CA535E">
      <w:pPr>
        <w:pStyle w:val="ListParagraph"/>
        <w:numPr>
          <w:ilvl w:val="0"/>
          <w:numId w:val="17"/>
        </w:numPr>
        <w:spacing w:after="120"/>
        <w:rPr>
          <w:rFonts w:ascii="Times New Roman" w:hAnsi="Times New Roman"/>
          <w:sz w:val="24"/>
          <w:szCs w:val="24"/>
        </w:rPr>
      </w:pPr>
      <w:r w:rsidRPr="00A44343">
        <w:rPr>
          <w:rFonts w:ascii="Times New Roman" w:hAnsi="Times New Roman"/>
          <w:sz w:val="24"/>
          <w:szCs w:val="24"/>
        </w:rPr>
        <w:t>Partial Inclusion – 40 percent to 79 percent of the time in general education classroom</w:t>
      </w:r>
    </w:p>
    <w:p w:rsidR="004F1D56" w:rsidRPr="00A44343" w:rsidRDefault="00676CF4" w:rsidP="00CA535E">
      <w:pPr>
        <w:pStyle w:val="ListParagraph"/>
        <w:numPr>
          <w:ilvl w:val="0"/>
          <w:numId w:val="17"/>
        </w:numPr>
        <w:spacing w:after="120"/>
        <w:rPr>
          <w:rFonts w:ascii="Times New Roman" w:hAnsi="Times New Roman"/>
          <w:sz w:val="24"/>
          <w:szCs w:val="24"/>
        </w:rPr>
      </w:pPr>
      <w:r w:rsidRPr="00A44343">
        <w:rPr>
          <w:rFonts w:ascii="Times New Roman" w:hAnsi="Times New Roman"/>
          <w:sz w:val="24"/>
          <w:szCs w:val="24"/>
        </w:rPr>
        <w:t>Substantially Separate – less than 40 percent in general education classroom</w:t>
      </w:r>
    </w:p>
    <w:p w:rsidR="00356E67" w:rsidRPr="00A44343" w:rsidRDefault="00676CF4" w:rsidP="00CA535E">
      <w:pPr>
        <w:pStyle w:val="ListParagraph"/>
        <w:numPr>
          <w:ilvl w:val="0"/>
          <w:numId w:val="17"/>
        </w:numPr>
        <w:spacing w:after="120"/>
        <w:rPr>
          <w:rFonts w:ascii="Times New Roman" w:hAnsi="Times New Roman"/>
          <w:sz w:val="24"/>
          <w:szCs w:val="24"/>
        </w:rPr>
      </w:pPr>
      <w:r w:rsidRPr="00A44343">
        <w:rPr>
          <w:rFonts w:ascii="Times New Roman" w:hAnsi="Times New Roman"/>
          <w:sz w:val="24"/>
          <w:szCs w:val="24"/>
        </w:rPr>
        <w:t xml:space="preserve">Other – separate schools, residential facilities, homebound/hospital and correctional facilities </w:t>
      </w:r>
    </w:p>
    <w:p w:rsidR="00007776" w:rsidRPr="0087042A" w:rsidRDefault="00827FE4" w:rsidP="0087042A">
      <w:pPr>
        <w:spacing w:after="120"/>
      </w:pPr>
      <w:r w:rsidRPr="0072770E">
        <w:t xml:space="preserve">The </w:t>
      </w:r>
      <w:r w:rsidRPr="0087042A">
        <w:t xml:space="preserve">steady rise in inclusion, coupled with the steady decrease in partial inclusion, is </w:t>
      </w:r>
      <w:r w:rsidR="0087042A" w:rsidRPr="0087042A">
        <w:t xml:space="preserve">reflective of </w:t>
      </w:r>
      <w:r w:rsidR="00F009D9" w:rsidRPr="0087042A">
        <w:t xml:space="preserve">the </w:t>
      </w:r>
      <w:r w:rsidR="007773B0" w:rsidRPr="0087042A">
        <w:t xml:space="preserve">Department’s efforts to work with districts to </w:t>
      </w:r>
      <w:r w:rsidR="00E33884" w:rsidRPr="0087042A">
        <w:t xml:space="preserve">promote </w:t>
      </w:r>
      <w:r w:rsidR="002F45DF" w:rsidRPr="0087042A">
        <w:t xml:space="preserve">student </w:t>
      </w:r>
      <w:r w:rsidR="00E33884" w:rsidRPr="0087042A">
        <w:t>access to rigorous curricula in th</w:t>
      </w:r>
      <w:r w:rsidR="002D68C9" w:rsidRPr="0087042A">
        <w:t>e least restrictive environment, as well as districts’ commitment to this work.</w:t>
      </w:r>
      <w:r w:rsidR="0087042A">
        <w:t xml:space="preserve"> </w:t>
      </w:r>
      <w:r w:rsidR="007D1D29" w:rsidRPr="0087042A">
        <w:t xml:space="preserve">Given the </w:t>
      </w:r>
      <w:r w:rsidR="00466F00" w:rsidRPr="0087042A">
        <w:t>static ten-year data on substantially separate placements</w:t>
      </w:r>
      <w:r w:rsidR="007D1D29" w:rsidRPr="0087042A">
        <w:t xml:space="preserve">, the Department </w:t>
      </w:r>
      <w:r w:rsidR="00EC0F71" w:rsidRPr="0087042A">
        <w:t>is developing</w:t>
      </w:r>
      <w:r w:rsidR="00FA03AB" w:rsidRPr="0087042A">
        <w:t xml:space="preserve"> a plan</w:t>
      </w:r>
      <w:r w:rsidR="006767E6" w:rsidRPr="0087042A">
        <w:t xml:space="preserve"> </w:t>
      </w:r>
      <w:r w:rsidR="00EC0F71" w:rsidRPr="0087042A">
        <w:t xml:space="preserve">to </w:t>
      </w:r>
      <w:r w:rsidR="004468F1" w:rsidRPr="0087042A">
        <w:t>target interventions around this issue</w:t>
      </w:r>
      <w:r w:rsidR="007D1D29" w:rsidRPr="0087042A">
        <w:t xml:space="preserve">. </w:t>
      </w:r>
    </w:p>
    <w:p w:rsidR="0055541D" w:rsidRPr="00FB608F" w:rsidRDefault="0055541D" w:rsidP="0055541D">
      <w:pPr>
        <w:rPr>
          <w:b/>
          <w:sz w:val="22"/>
          <w:szCs w:val="22"/>
        </w:rPr>
      </w:pPr>
      <w:r w:rsidRPr="00FB608F">
        <w:rPr>
          <w:b/>
          <w:sz w:val="22"/>
          <w:szCs w:val="22"/>
        </w:rPr>
        <w:t>F</w:t>
      </w:r>
      <w:r>
        <w:rPr>
          <w:b/>
          <w:sz w:val="22"/>
          <w:szCs w:val="22"/>
        </w:rPr>
        <w:t>igure B</w:t>
      </w:r>
      <w:r w:rsidRPr="00FB608F">
        <w:rPr>
          <w:b/>
          <w:sz w:val="22"/>
          <w:szCs w:val="22"/>
        </w:rPr>
        <w:t xml:space="preserve">: Special Education Students, Ages 6-21, by </w:t>
      </w:r>
      <w:r>
        <w:rPr>
          <w:b/>
          <w:sz w:val="22"/>
          <w:szCs w:val="22"/>
        </w:rPr>
        <w:t>Educational Environment</w:t>
      </w:r>
    </w:p>
    <w:p w:rsidR="00676CF4" w:rsidRDefault="00676CF4" w:rsidP="00676CF4">
      <w:pPr>
        <w:rPr>
          <w:sz w:val="22"/>
          <w:szCs w:val="22"/>
        </w:rPr>
      </w:pPr>
    </w:p>
    <w:p w:rsidR="00676CF4" w:rsidRDefault="00E37DE6" w:rsidP="00E37DE6">
      <w:pPr>
        <w:spacing w:line="264" w:lineRule="auto"/>
        <w:rPr>
          <w:sz w:val="22"/>
          <w:szCs w:val="22"/>
        </w:rPr>
      </w:pPr>
      <w:r w:rsidRPr="00E37DE6">
        <w:rPr>
          <w:noProof/>
          <w:sz w:val="22"/>
          <w:szCs w:val="22"/>
          <w:lang w:eastAsia="zh-CN"/>
        </w:rPr>
        <w:drawing>
          <wp:inline distT="0" distB="0" distL="0" distR="0">
            <wp:extent cx="5989488" cy="2142950"/>
            <wp:effectExtent l="19050" t="0" r="11262" b="0"/>
            <wp:docPr id="10" name="Chart 3" descr="Percent of Special Education Students, Age 6-21, by Educational Environment    &#10;YEAR Full          Partial      Separate Other&#10;2005 43.4% 33.6% 16.2% 6.8%&#10;2006 49.1% 28.5% 15.7% 6.7%&#10;2007 53.0% 25.0% 15.3% 6.7%&#10;2008 55.7% 22.5% 15.1% 6.7%&#10;2009 56.8% 21.1% 15.4% 6.8%&#10;2010 57.0% 20.8% 15.4% 6.8%&#10;2011 58.0% 20.1% 15.1% 6.8%&#10;2012 58.1% 19.9% 15.0% 7.0%&#10;2013 59.2% 18.8% 15.0% 7.0%&#10;2014 61.1% 17.3% 14.7% 6.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C48F9" w:rsidRDefault="007C48F9" w:rsidP="007C48F9">
      <w:pPr>
        <w:spacing w:after="120"/>
        <w:rPr>
          <w:i/>
          <w:sz w:val="18"/>
          <w:szCs w:val="18"/>
        </w:rPr>
      </w:pPr>
      <w:r w:rsidRPr="00CB262E">
        <w:rPr>
          <w:i/>
          <w:sz w:val="18"/>
          <w:szCs w:val="18"/>
        </w:rPr>
        <w:t>Source: Massachusetts Student Information Management System</w:t>
      </w:r>
    </w:p>
    <w:p w:rsidR="002E361B" w:rsidRPr="00C921E3" w:rsidRDefault="00ED63B2" w:rsidP="00C921E3">
      <w:pPr>
        <w:pStyle w:val="Heading2"/>
        <w:spacing w:before="0" w:after="120"/>
      </w:pPr>
      <w:bookmarkStart w:id="32" w:name="_Toc405293146"/>
      <w:bookmarkEnd w:id="26"/>
      <w:bookmarkEnd w:id="27"/>
      <w:bookmarkEnd w:id="28"/>
      <w:r w:rsidRPr="00C921E3">
        <w:t>E</w:t>
      </w:r>
      <w:r w:rsidR="002E361B" w:rsidRPr="00C921E3">
        <w:t>.</w:t>
      </w:r>
      <w:r w:rsidR="002E361B" w:rsidRPr="00C921E3">
        <w:tab/>
        <w:t>Financial Summary</w:t>
      </w:r>
      <w:bookmarkEnd w:id="32"/>
      <w:r w:rsidR="002E361B" w:rsidRPr="00C921E3">
        <w:t xml:space="preserve">                                 </w:t>
      </w:r>
    </w:p>
    <w:p w:rsidR="00D06F70" w:rsidRPr="0072770E" w:rsidRDefault="00D06F70" w:rsidP="007E03DD">
      <w:pPr>
        <w:spacing w:after="120"/>
      </w:pPr>
      <w:bookmarkStart w:id="33" w:name="_Toc400367497"/>
      <w:r w:rsidRPr="0072770E">
        <w:t>Special education expenditures are reported by public school districts at the end of the year</w:t>
      </w:r>
      <w:r w:rsidR="00AC10B8" w:rsidRPr="0072770E">
        <w:t xml:space="preserve"> </w:t>
      </w:r>
      <w:r w:rsidRPr="0072770E">
        <w:t>to the</w:t>
      </w:r>
      <w:r w:rsidR="00AC10B8" w:rsidRPr="0072770E">
        <w:t xml:space="preserve"> </w:t>
      </w:r>
      <w:r w:rsidRPr="0072770E">
        <w:t xml:space="preserve">Department. As shown in Table </w:t>
      </w:r>
      <w:r w:rsidR="00AC10B8" w:rsidRPr="0072770E">
        <w:t>3</w:t>
      </w:r>
      <w:r w:rsidRPr="0072770E">
        <w:t xml:space="preserve"> below, both total school operating budgets and combined special education expenditures have increased over the past eight years. Spending from state "circuit breaker" funds is included.  Otherwise, spending from grants, revolving funds, or other non-appropriated revenue sources (totaling less than four percent of total special</w:t>
      </w:r>
      <w:r w:rsidR="00C06188" w:rsidRPr="0072770E">
        <w:t xml:space="preserve"> </w:t>
      </w:r>
      <w:r w:rsidRPr="0072770E">
        <w:t>education spending statewide) is excluded.</w:t>
      </w:r>
      <w:bookmarkEnd w:id="33"/>
      <w:r w:rsidRPr="0072770E">
        <w:tab/>
      </w:r>
    </w:p>
    <w:p w:rsidR="00D06F70" w:rsidRPr="0072770E" w:rsidRDefault="00D06F70" w:rsidP="007E03DD">
      <w:pPr>
        <w:pStyle w:val="BodyText"/>
        <w:spacing w:after="120"/>
        <w:rPr>
          <w:sz w:val="24"/>
          <w:szCs w:val="24"/>
        </w:rPr>
      </w:pPr>
      <w:r w:rsidRPr="0072770E">
        <w:rPr>
          <w:sz w:val="24"/>
          <w:szCs w:val="24"/>
        </w:rPr>
        <w:t>Definitions and Notes:</w:t>
      </w:r>
    </w:p>
    <w:p w:rsidR="00D06F70" w:rsidRPr="0072770E" w:rsidRDefault="00D06F70" w:rsidP="007E03DD">
      <w:pPr>
        <w:pStyle w:val="BodyText"/>
        <w:numPr>
          <w:ilvl w:val="0"/>
          <w:numId w:val="7"/>
        </w:numPr>
        <w:spacing w:after="120"/>
        <w:rPr>
          <w:sz w:val="24"/>
          <w:szCs w:val="24"/>
        </w:rPr>
      </w:pPr>
      <w:r w:rsidRPr="0072770E">
        <w:rPr>
          <w:i/>
          <w:sz w:val="24"/>
          <w:szCs w:val="24"/>
        </w:rPr>
        <w:t>Direct special education expenditures</w:t>
      </w:r>
      <w:r w:rsidRPr="0072770E">
        <w:rPr>
          <w:sz w:val="24"/>
          <w:szCs w:val="24"/>
        </w:rPr>
        <w:t xml:space="preserve"> include only those that can be related specifically to special education pupils.</w:t>
      </w:r>
    </w:p>
    <w:p w:rsidR="00D06F70" w:rsidRPr="0072770E" w:rsidRDefault="00D06F70" w:rsidP="007E03DD">
      <w:pPr>
        <w:pStyle w:val="BodyText"/>
        <w:numPr>
          <w:ilvl w:val="0"/>
          <w:numId w:val="7"/>
        </w:numPr>
        <w:spacing w:after="120"/>
        <w:rPr>
          <w:sz w:val="24"/>
          <w:szCs w:val="24"/>
        </w:rPr>
      </w:pPr>
      <w:r w:rsidRPr="0072770E">
        <w:rPr>
          <w:i/>
          <w:sz w:val="24"/>
          <w:szCs w:val="24"/>
        </w:rPr>
        <w:t>Other instructional</w:t>
      </w:r>
      <w:r w:rsidRPr="0072770E">
        <w:rPr>
          <w:sz w:val="24"/>
          <w:szCs w:val="24"/>
        </w:rPr>
        <w:t xml:space="preserve"> includes supervisory, textbooks and instructional equipment, guidance, and psychological services. </w:t>
      </w:r>
    </w:p>
    <w:p w:rsidR="006B4DA2" w:rsidRPr="006B4DA2" w:rsidRDefault="00D06F70" w:rsidP="007E03DD">
      <w:pPr>
        <w:pStyle w:val="BodyText"/>
        <w:numPr>
          <w:ilvl w:val="0"/>
          <w:numId w:val="7"/>
        </w:numPr>
        <w:spacing w:after="120"/>
        <w:rPr>
          <w:sz w:val="24"/>
          <w:szCs w:val="24"/>
        </w:rPr>
      </w:pPr>
      <w:r w:rsidRPr="0072770E">
        <w:rPr>
          <w:i/>
          <w:sz w:val="24"/>
          <w:szCs w:val="24"/>
        </w:rPr>
        <w:t>MA Public Schools and Collaboratives</w:t>
      </w:r>
      <w:r w:rsidRPr="0072770E">
        <w:rPr>
          <w:sz w:val="24"/>
          <w:szCs w:val="24"/>
        </w:rPr>
        <w:t xml:space="preserve"> includes other public school districts, educational collaboratives, and charter schools. </w:t>
      </w:r>
    </w:p>
    <w:p w:rsidR="006B7340" w:rsidRPr="000F0E6D" w:rsidRDefault="006B7340" w:rsidP="000F0E6D">
      <w:pPr>
        <w:pStyle w:val="BodyText"/>
        <w:spacing w:after="240"/>
        <w:rPr>
          <w:szCs w:val="22"/>
        </w:rPr>
      </w:pPr>
      <w:r w:rsidRPr="000F0E6D">
        <w:rPr>
          <w:b/>
          <w:szCs w:val="22"/>
        </w:rPr>
        <w:t>Table 3: Direct Special Education Expenditures, FY03–FY13</w:t>
      </w:r>
    </w:p>
    <w:tbl>
      <w:tblPr>
        <w:tblStyle w:val="ESETablesGridStyle"/>
        <w:tblW w:w="10353" w:type="dxa"/>
        <w:tblLook w:val="04A0"/>
      </w:tblPr>
      <w:tblGrid>
        <w:gridCol w:w="708"/>
        <w:gridCol w:w="1380"/>
        <w:gridCol w:w="1342"/>
        <w:gridCol w:w="1475"/>
        <w:gridCol w:w="1288"/>
        <w:gridCol w:w="1385"/>
        <w:gridCol w:w="1480"/>
        <w:gridCol w:w="1295"/>
      </w:tblGrid>
      <w:tr w:rsidR="00DE0F34" w:rsidRPr="006F6C9B" w:rsidTr="00845F2A">
        <w:trPr>
          <w:cnfStyle w:val="100000000000"/>
          <w:trHeight w:val="233"/>
        </w:trPr>
        <w:tc>
          <w:tcPr>
            <w:cnfStyle w:val="001000000000"/>
            <w:tcW w:w="708" w:type="dxa"/>
            <w:vMerge w:val="restart"/>
            <w:noWrap/>
            <w:hideMark/>
          </w:tcPr>
          <w:p w:rsidR="00DE0F34" w:rsidRPr="006F6C9B" w:rsidRDefault="00DE0F34" w:rsidP="009F4E0A">
            <w:pPr>
              <w:rPr>
                <w:rFonts w:ascii="Times New Roman" w:hAnsi="Times New Roman"/>
                <w:color w:val="000000"/>
                <w:sz w:val="20"/>
                <w:szCs w:val="20"/>
              </w:rPr>
            </w:pPr>
            <w:r w:rsidRPr="006F6C9B">
              <w:rPr>
                <w:rFonts w:ascii="Times New Roman" w:hAnsi="Times New Roman"/>
                <w:b w:val="0"/>
                <w:bCs/>
                <w:sz w:val="20"/>
                <w:szCs w:val="20"/>
              </w:rPr>
              <w:t>Fiscal</w:t>
            </w:r>
          </w:p>
          <w:p w:rsidR="00DE0F34" w:rsidRPr="006F6C9B" w:rsidRDefault="00DE0F34" w:rsidP="009F4E0A">
            <w:pPr>
              <w:rPr>
                <w:rFonts w:ascii="Times New Roman" w:hAnsi="Times New Roman"/>
                <w:color w:val="000000"/>
                <w:sz w:val="20"/>
                <w:szCs w:val="20"/>
              </w:rPr>
            </w:pPr>
            <w:r w:rsidRPr="006F6C9B">
              <w:rPr>
                <w:rFonts w:ascii="Times New Roman" w:hAnsi="Times New Roman"/>
                <w:b w:val="0"/>
                <w:bCs/>
                <w:sz w:val="20"/>
                <w:szCs w:val="20"/>
              </w:rPr>
              <w:t>Year</w:t>
            </w:r>
          </w:p>
        </w:tc>
        <w:tc>
          <w:tcPr>
            <w:tcW w:w="2722" w:type="dxa"/>
            <w:gridSpan w:val="2"/>
            <w:tcBorders>
              <w:bottom w:val="nil"/>
            </w:tcBorders>
            <w:noWrap/>
            <w:vAlign w:val="top"/>
            <w:hideMark/>
          </w:tcPr>
          <w:p w:rsidR="00DE0F34" w:rsidRPr="0087042A" w:rsidRDefault="00DE0F34" w:rsidP="00845F2A">
            <w:pPr>
              <w:cnfStyle w:val="100000000000"/>
              <w:rPr>
                <w:rFonts w:asciiTheme="minorHAnsi" w:hAnsiTheme="minorHAnsi"/>
                <w:bCs/>
                <w:sz w:val="20"/>
                <w:szCs w:val="20"/>
              </w:rPr>
            </w:pPr>
            <w:r w:rsidRPr="0087042A">
              <w:rPr>
                <w:rFonts w:asciiTheme="minorHAnsi" w:hAnsiTheme="minorHAnsi"/>
                <w:bCs/>
                <w:i/>
                <w:sz w:val="20"/>
                <w:szCs w:val="20"/>
              </w:rPr>
              <w:t>In-District Instruction</w:t>
            </w:r>
          </w:p>
        </w:tc>
        <w:tc>
          <w:tcPr>
            <w:tcW w:w="2763" w:type="dxa"/>
            <w:gridSpan w:val="2"/>
            <w:tcBorders>
              <w:bottom w:val="nil"/>
            </w:tcBorders>
            <w:noWrap/>
            <w:vAlign w:val="top"/>
            <w:hideMark/>
          </w:tcPr>
          <w:p w:rsidR="00DE0F34" w:rsidRPr="0087042A" w:rsidRDefault="00DE0F34" w:rsidP="00845F2A">
            <w:pPr>
              <w:cnfStyle w:val="100000000000"/>
              <w:rPr>
                <w:rFonts w:asciiTheme="minorHAnsi" w:hAnsiTheme="minorHAnsi"/>
                <w:bCs/>
                <w:sz w:val="20"/>
                <w:szCs w:val="20"/>
              </w:rPr>
            </w:pPr>
            <w:r w:rsidRPr="0087042A">
              <w:rPr>
                <w:rFonts w:asciiTheme="minorHAnsi" w:hAnsiTheme="minorHAnsi"/>
                <w:bCs/>
                <w:i/>
                <w:sz w:val="20"/>
                <w:szCs w:val="20"/>
              </w:rPr>
              <w:t>Out-of-District Tuition</w:t>
            </w:r>
          </w:p>
        </w:tc>
        <w:tc>
          <w:tcPr>
            <w:tcW w:w="1385" w:type="dxa"/>
            <w:vMerge w:val="restart"/>
            <w:tcBorders>
              <w:right w:val="nil"/>
            </w:tcBorders>
            <w:noWrap/>
            <w:hideMark/>
          </w:tcPr>
          <w:p w:rsidR="00DE0F34" w:rsidRPr="0087042A" w:rsidRDefault="00382544" w:rsidP="002F397B">
            <w:pPr>
              <w:keepNext/>
              <w:spacing w:before="240" w:after="60"/>
              <w:jc w:val="left"/>
              <w:outlineLvl w:val="3"/>
              <w:cnfStyle w:val="100000000000"/>
              <w:rPr>
                <w:rFonts w:asciiTheme="minorHAnsi" w:hAnsiTheme="minorHAnsi"/>
                <w:bCs/>
                <w:sz w:val="20"/>
                <w:szCs w:val="20"/>
              </w:rPr>
            </w:pPr>
            <w:r w:rsidRPr="0087042A">
              <w:rPr>
                <w:rFonts w:asciiTheme="minorHAnsi" w:hAnsiTheme="minorHAnsi"/>
                <w:bCs/>
                <w:sz w:val="20"/>
                <w:szCs w:val="20"/>
              </w:rPr>
              <w:t>E</w:t>
            </w:r>
          </w:p>
        </w:tc>
        <w:tc>
          <w:tcPr>
            <w:tcW w:w="1480" w:type="dxa"/>
            <w:vMerge w:val="restart"/>
            <w:tcBorders>
              <w:left w:val="nil"/>
              <w:right w:val="nil"/>
            </w:tcBorders>
          </w:tcPr>
          <w:p w:rsidR="00DE0F34" w:rsidRPr="0087042A" w:rsidRDefault="00DE0F34" w:rsidP="00DE0F34">
            <w:pPr>
              <w:keepNext/>
              <w:spacing w:before="240" w:after="60"/>
              <w:jc w:val="left"/>
              <w:outlineLvl w:val="3"/>
              <w:cnfStyle w:val="100000000000"/>
              <w:rPr>
                <w:rFonts w:asciiTheme="minorHAnsi" w:hAnsiTheme="minorHAnsi"/>
                <w:bCs/>
                <w:sz w:val="20"/>
                <w:szCs w:val="20"/>
              </w:rPr>
            </w:pPr>
            <w:r w:rsidRPr="0087042A">
              <w:rPr>
                <w:rFonts w:asciiTheme="minorHAnsi" w:hAnsiTheme="minorHAnsi"/>
                <w:bCs/>
                <w:sz w:val="20"/>
                <w:szCs w:val="20"/>
              </w:rPr>
              <w:t>F</w:t>
            </w:r>
          </w:p>
        </w:tc>
        <w:tc>
          <w:tcPr>
            <w:tcW w:w="1295" w:type="dxa"/>
            <w:vMerge w:val="restart"/>
            <w:tcBorders>
              <w:left w:val="nil"/>
            </w:tcBorders>
          </w:tcPr>
          <w:p w:rsidR="00A14C94" w:rsidRDefault="00A14C94" w:rsidP="002F397B">
            <w:pPr>
              <w:cnfStyle w:val="100000000000"/>
              <w:rPr>
                <w:rFonts w:asciiTheme="minorHAnsi" w:hAnsiTheme="minorHAnsi"/>
                <w:bCs/>
                <w:sz w:val="20"/>
                <w:szCs w:val="20"/>
              </w:rPr>
            </w:pPr>
          </w:p>
          <w:p w:rsidR="00DE0F34" w:rsidRPr="0087042A" w:rsidRDefault="00DE0F34" w:rsidP="002F397B">
            <w:pPr>
              <w:cnfStyle w:val="100000000000"/>
              <w:rPr>
                <w:rFonts w:asciiTheme="minorHAnsi" w:hAnsiTheme="minorHAnsi"/>
                <w:bCs/>
                <w:sz w:val="20"/>
                <w:szCs w:val="20"/>
              </w:rPr>
            </w:pPr>
            <w:r w:rsidRPr="0087042A">
              <w:rPr>
                <w:rFonts w:asciiTheme="minorHAnsi" w:hAnsiTheme="minorHAnsi"/>
                <w:bCs/>
                <w:sz w:val="20"/>
                <w:szCs w:val="20"/>
              </w:rPr>
              <w:t>G</w:t>
            </w:r>
          </w:p>
        </w:tc>
      </w:tr>
      <w:tr w:rsidR="00B515C4" w:rsidRPr="006F6C9B" w:rsidTr="00845F2A">
        <w:trPr>
          <w:trHeight w:val="232"/>
        </w:trPr>
        <w:tc>
          <w:tcPr>
            <w:cnfStyle w:val="001000000000"/>
            <w:tcW w:w="708" w:type="dxa"/>
            <w:vMerge/>
            <w:noWrap/>
            <w:hideMark/>
          </w:tcPr>
          <w:p w:rsidR="00DE0F34" w:rsidRPr="006F6C9B" w:rsidRDefault="00DE0F34" w:rsidP="009F4E0A">
            <w:pPr>
              <w:rPr>
                <w:bCs/>
                <w:sz w:val="20"/>
                <w:szCs w:val="20"/>
              </w:rPr>
            </w:pPr>
          </w:p>
        </w:tc>
        <w:tc>
          <w:tcPr>
            <w:tcW w:w="1380" w:type="dxa"/>
            <w:tcBorders>
              <w:top w:val="nil"/>
              <w:bottom w:val="single" w:sz="12" w:space="0" w:color="auto"/>
              <w:right w:val="nil"/>
              <w:tl2br w:val="nil"/>
              <w:tr2bl w:val="nil"/>
            </w:tcBorders>
            <w:noWrap/>
            <w:vAlign w:val="top"/>
            <w:hideMark/>
          </w:tcPr>
          <w:p w:rsidR="00DE0F34" w:rsidRPr="0087042A" w:rsidRDefault="00382544" w:rsidP="002F397B">
            <w:pPr>
              <w:jc w:val="left"/>
              <w:cnfStyle w:val="000000000000"/>
              <w:rPr>
                <w:rFonts w:asciiTheme="minorHAnsi" w:hAnsiTheme="minorHAnsi"/>
                <w:b/>
                <w:bCs/>
                <w:sz w:val="20"/>
                <w:szCs w:val="20"/>
              </w:rPr>
            </w:pPr>
            <w:r w:rsidRPr="0087042A">
              <w:rPr>
                <w:rFonts w:asciiTheme="minorHAnsi" w:hAnsiTheme="minorHAnsi"/>
                <w:b/>
                <w:bCs/>
                <w:sz w:val="20"/>
                <w:szCs w:val="20"/>
              </w:rPr>
              <w:t>A</w:t>
            </w:r>
          </w:p>
        </w:tc>
        <w:tc>
          <w:tcPr>
            <w:tcW w:w="1342" w:type="dxa"/>
            <w:tcBorders>
              <w:top w:val="nil"/>
              <w:left w:val="nil"/>
              <w:bottom w:val="single" w:sz="12" w:space="0" w:color="auto"/>
              <w:tl2br w:val="nil"/>
              <w:tr2bl w:val="nil"/>
            </w:tcBorders>
          </w:tcPr>
          <w:p w:rsidR="00DE0F34" w:rsidRPr="0087042A" w:rsidRDefault="00382544" w:rsidP="002F397B">
            <w:pPr>
              <w:jc w:val="left"/>
              <w:cnfStyle w:val="000000000000"/>
              <w:rPr>
                <w:rFonts w:asciiTheme="minorHAnsi" w:hAnsiTheme="minorHAnsi"/>
                <w:b/>
                <w:bCs/>
                <w:sz w:val="20"/>
                <w:szCs w:val="20"/>
              </w:rPr>
            </w:pPr>
            <w:r w:rsidRPr="0087042A">
              <w:rPr>
                <w:rFonts w:asciiTheme="minorHAnsi" w:hAnsiTheme="minorHAnsi"/>
                <w:b/>
                <w:bCs/>
                <w:sz w:val="20"/>
                <w:szCs w:val="20"/>
              </w:rPr>
              <w:t>B</w:t>
            </w:r>
          </w:p>
        </w:tc>
        <w:tc>
          <w:tcPr>
            <w:tcW w:w="1475" w:type="dxa"/>
            <w:tcBorders>
              <w:top w:val="nil"/>
              <w:bottom w:val="single" w:sz="12" w:space="0" w:color="auto"/>
              <w:right w:val="nil"/>
            </w:tcBorders>
            <w:noWrap/>
            <w:vAlign w:val="top"/>
            <w:hideMark/>
          </w:tcPr>
          <w:p w:rsidR="00DE0F34" w:rsidRPr="0087042A" w:rsidRDefault="00382544" w:rsidP="002F397B">
            <w:pPr>
              <w:jc w:val="left"/>
              <w:cnfStyle w:val="000000000000"/>
              <w:rPr>
                <w:rFonts w:asciiTheme="minorHAnsi" w:hAnsiTheme="minorHAnsi"/>
                <w:b/>
                <w:bCs/>
                <w:sz w:val="20"/>
                <w:szCs w:val="20"/>
              </w:rPr>
            </w:pPr>
            <w:r w:rsidRPr="0087042A">
              <w:rPr>
                <w:rFonts w:asciiTheme="minorHAnsi" w:hAnsiTheme="minorHAnsi"/>
                <w:b/>
                <w:bCs/>
                <w:sz w:val="20"/>
                <w:szCs w:val="20"/>
              </w:rPr>
              <w:t>C</w:t>
            </w:r>
          </w:p>
        </w:tc>
        <w:tc>
          <w:tcPr>
            <w:tcW w:w="1288" w:type="dxa"/>
            <w:tcBorders>
              <w:top w:val="nil"/>
              <w:left w:val="nil"/>
              <w:bottom w:val="single" w:sz="12" w:space="0" w:color="auto"/>
            </w:tcBorders>
          </w:tcPr>
          <w:p w:rsidR="00DE0F34" w:rsidRPr="0087042A" w:rsidRDefault="00DE0F34" w:rsidP="002F397B">
            <w:pPr>
              <w:jc w:val="left"/>
              <w:cnfStyle w:val="000000000000"/>
              <w:rPr>
                <w:rFonts w:asciiTheme="minorHAnsi" w:hAnsiTheme="minorHAnsi"/>
                <w:b/>
                <w:bCs/>
                <w:sz w:val="20"/>
                <w:szCs w:val="20"/>
              </w:rPr>
            </w:pPr>
            <w:r w:rsidRPr="0087042A">
              <w:rPr>
                <w:rFonts w:asciiTheme="minorHAnsi" w:hAnsiTheme="minorHAnsi"/>
                <w:b/>
                <w:bCs/>
                <w:sz w:val="20"/>
                <w:szCs w:val="20"/>
              </w:rPr>
              <w:t>D</w:t>
            </w:r>
          </w:p>
        </w:tc>
        <w:tc>
          <w:tcPr>
            <w:tcW w:w="1385" w:type="dxa"/>
            <w:vMerge/>
            <w:tcBorders>
              <w:bottom w:val="single" w:sz="12" w:space="0" w:color="auto"/>
              <w:right w:val="nil"/>
            </w:tcBorders>
            <w:noWrap/>
            <w:hideMark/>
          </w:tcPr>
          <w:p w:rsidR="00DE0F34" w:rsidRPr="0087042A" w:rsidRDefault="00DE0F34" w:rsidP="002F397B">
            <w:pPr>
              <w:cnfStyle w:val="000000000000"/>
              <w:rPr>
                <w:rFonts w:asciiTheme="minorHAnsi" w:hAnsiTheme="minorHAnsi"/>
                <w:b/>
                <w:bCs/>
                <w:sz w:val="20"/>
                <w:szCs w:val="20"/>
              </w:rPr>
            </w:pPr>
          </w:p>
        </w:tc>
        <w:tc>
          <w:tcPr>
            <w:tcW w:w="1480" w:type="dxa"/>
            <w:vMerge/>
            <w:tcBorders>
              <w:left w:val="nil"/>
              <w:bottom w:val="single" w:sz="12" w:space="0" w:color="auto"/>
              <w:right w:val="nil"/>
            </w:tcBorders>
          </w:tcPr>
          <w:p w:rsidR="00DE0F34" w:rsidRPr="0087042A" w:rsidRDefault="00DE0F34" w:rsidP="002F397B">
            <w:pPr>
              <w:cnfStyle w:val="000000000000"/>
              <w:rPr>
                <w:rFonts w:asciiTheme="minorHAnsi" w:hAnsiTheme="minorHAnsi"/>
                <w:b/>
                <w:bCs/>
                <w:sz w:val="20"/>
                <w:szCs w:val="20"/>
              </w:rPr>
            </w:pPr>
          </w:p>
        </w:tc>
        <w:tc>
          <w:tcPr>
            <w:tcW w:w="1295" w:type="dxa"/>
            <w:vMerge/>
            <w:tcBorders>
              <w:left w:val="nil"/>
              <w:bottom w:val="single" w:sz="12" w:space="0" w:color="auto"/>
            </w:tcBorders>
          </w:tcPr>
          <w:p w:rsidR="00DE0F34" w:rsidRPr="0087042A" w:rsidRDefault="00DE0F34" w:rsidP="002F397B">
            <w:pPr>
              <w:cnfStyle w:val="000000000000"/>
              <w:rPr>
                <w:rFonts w:asciiTheme="minorHAnsi" w:hAnsiTheme="minorHAnsi"/>
                <w:b/>
                <w:bCs/>
                <w:sz w:val="20"/>
                <w:szCs w:val="20"/>
              </w:rPr>
            </w:pPr>
          </w:p>
        </w:tc>
      </w:tr>
      <w:tr w:rsidR="00EC0F71" w:rsidRPr="006F6C9B" w:rsidTr="00DE0F34">
        <w:trPr>
          <w:trHeight w:val="258"/>
        </w:trPr>
        <w:tc>
          <w:tcPr>
            <w:cnfStyle w:val="001000000000"/>
            <w:tcW w:w="708" w:type="dxa"/>
            <w:vMerge/>
            <w:noWrap/>
            <w:hideMark/>
          </w:tcPr>
          <w:p w:rsidR="00EC0F71" w:rsidRPr="006F6C9B" w:rsidRDefault="00EC0F71" w:rsidP="009F4E0A">
            <w:pPr>
              <w:rPr>
                <w:rFonts w:ascii="Times New Roman" w:hAnsi="Times New Roman"/>
                <w:b/>
                <w:bCs/>
                <w:sz w:val="20"/>
                <w:szCs w:val="20"/>
              </w:rPr>
            </w:pPr>
          </w:p>
        </w:tc>
        <w:tc>
          <w:tcPr>
            <w:tcW w:w="1380" w:type="dxa"/>
            <w:noWrap/>
            <w:hideMark/>
          </w:tcPr>
          <w:p w:rsidR="00EC0F71" w:rsidRPr="006F6C9B" w:rsidRDefault="00EC0F71" w:rsidP="009F4E0A">
            <w:pPr>
              <w:jc w:val="left"/>
              <w:cnfStyle w:val="000000000000"/>
              <w:rPr>
                <w:rFonts w:ascii="Times New Roman" w:hAnsi="Times New Roman"/>
                <w:b/>
                <w:bCs/>
                <w:sz w:val="20"/>
                <w:szCs w:val="20"/>
              </w:rPr>
            </w:pPr>
            <w:r w:rsidRPr="006F6C9B">
              <w:rPr>
                <w:rFonts w:ascii="Times New Roman" w:hAnsi="Times New Roman"/>
                <w:b/>
                <w:bCs/>
                <w:sz w:val="20"/>
                <w:szCs w:val="20"/>
              </w:rPr>
              <w:t>Teaching</w:t>
            </w:r>
          </w:p>
        </w:tc>
        <w:tc>
          <w:tcPr>
            <w:tcW w:w="1342" w:type="dxa"/>
            <w:noWrap/>
            <w:hideMark/>
          </w:tcPr>
          <w:p w:rsidR="00EC0F71" w:rsidRPr="006F6C9B" w:rsidRDefault="00EC0F71" w:rsidP="009F4E0A">
            <w:pPr>
              <w:jc w:val="left"/>
              <w:cnfStyle w:val="000000000000"/>
              <w:rPr>
                <w:rFonts w:ascii="Times New Roman" w:hAnsi="Times New Roman"/>
                <w:b/>
                <w:bCs/>
                <w:sz w:val="20"/>
                <w:szCs w:val="20"/>
              </w:rPr>
            </w:pPr>
            <w:r>
              <w:rPr>
                <w:rFonts w:ascii="Times New Roman" w:hAnsi="Times New Roman"/>
                <w:b/>
                <w:bCs/>
                <w:sz w:val="20"/>
                <w:szCs w:val="20"/>
              </w:rPr>
              <w:t xml:space="preserve">Other </w:t>
            </w:r>
            <w:r w:rsidRPr="006F6C9B">
              <w:rPr>
                <w:rFonts w:ascii="Times New Roman" w:hAnsi="Times New Roman"/>
                <w:b/>
                <w:bCs/>
                <w:sz w:val="20"/>
                <w:szCs w:val="20"/>
              </w:rPr>
              <w:t>Instructional</w:t>
            </w:r>
          </w:p>
        </w:tc>
        <w:tc>
          <w:tcPr>
            <w:tcW w:w="1475" w:type="dxa"/>
            <w:noWrap/>
            <w:hideMark/>
          </w:tcPr>
          <w:p w:rsidR="00EC0F71" w:rsidRPr="006F6C9B" w:rsidRDefault="00EC0F71" w:rsidP="009F4E0A">
            <w:pPr>
              <w:jc w:val="left"/>
              <w:cnfStyle w:val="000000000000"/>
              <w:rPr>
                <w:rFonts w:ascii="Times New Roman" w:hAnsi="Times New Roman"/>
                <w:b/>
                <w:bCs/>
                <w:sz w:val="20"/>
                <w:szCs w:val="20"/>
              </w:rPr>
            </w:pPr>
            <w:r>
              <w:rPr>
                <w:rFonts w:ascii="Times New Roman" w:hAnsi="Times New Roman"/>
                <w:b/>
                <w:bCs/>
                <w:sz w:val="20"/>
                <w:szCs w:val="20"/>
              </w:rPr>
              <w:t xml:space="preserve">MA Public Schools and </w:t>
            </w:r>
            <w:r w:rsidRPr="006F6C9B">
              <w:rPr>
                <w:rFonts w:ascii="Times New Roman" w:hAnsi="Times New Roman"/>
                <w:b/>
                <w:bCs/>
                <w:sz w:val="20"/>
                <w:szCs w:val="20"/>
              </w:rPr>
              <w:t>Collaboratives</w:t>
            </w:r>
          </w:p>
        </w:tc>
        <w:tc>
          <w:tcPr>
            <w:tcW w:w="1288" w:type="dxa"/>
            <w:noWrap/>
            <w:hideMark/>
          </w:tcPr>
          <w:p w:rsidR="00EC0F71" w:rsidRPr="006F6C9B" w:rsidRDefault="00EC0F71" w:rsidP="009F4E0A">
            <w:pPr>
              <w:jc w:val="left"/>
              <w:cnfStyle w:val="000000000000"/>
              <w:rPr>
                <w:rFonts w:ascii="Times New Roman" w:hAnsi="Times New Roman"/>
                <w:b/>
                <w:bCs/>
                <w:sz w:val="20"/>
                <w:szCs w:val="20"/>
              </w:rPr>
            </w:pPr>
            <w:r>
              <w:rPr>
                <w:rFonts w:ascii="Times New Roman" w:hAnsi="Times New Roman"/>
                <w:b/>
                <w:bCs/>
                <w:sz w:val="20"/>
                <w:szCs w:val="20"/>
              </w:rPr>
              <w:t>MA Private and Out-of-</w:t>
            </w:r>
            <w:r w:rsidRPr="006F6C9B">
              <w:rPr>
                <w:rFonts w:ascii="Times New Roman" w:hAnsi="Times New Roman"/>
                <w:b/>
                <w:bCs/>
                <w:sz w:val="20"/>
                <w:szCs w:val="20"/>
              </w:rPr>
              <w:t>State Schools</w:t>
            </w:r>
          </w:p>
        </w:tc>
        <w:tc>
          <w:tcPr>
            <w:tcW w:w="1385" w:type="dxa"/>
            <w:noWrap/>
            <w:hideMark/>
          </w:tcPr>
          <w:p w:rsidR="00EC0F71" w:rsidRDefault="00EC0F71" w:rsidP="009F4E0A">
            <w:pPr>
              <w:jc w:val="left"/>
              <w:cnfStyle w:val="000000000000"/>
              <w:rPr>
                <w:rFonts w:ascii="Times New Roman" w:hAnsi="Times New Roman"/>
                <w:b/>
                <w:bCs/>
                <w:sz w:val="20"/>
                <w:szCs w:val="20"/>
              </w:rPr>
            </w:pPr>
            <w:r>
              <w:rPr>
                <w:rFonts w:ascii="Times New Roman" w:hAnsi="Times New Roman"/>
                <w:b/>
                <w:bCs/>
                <w:sz w:val="20"/>
                <w:szCs w:val="20"/>
              </w:rPr>
              <w:t>Combined Special Ed Expenditures</w:t>
            </w:r>
          </w:p>
          <w:p w:rsidR="00EC0F71" w:rsidRPr="006F6C9B" w:rsidRDefault="00EC0F71" w:rsidP="009F4E0A">
            <w:pPr>
              <w:jc w:val="left"/>
              <w:cnfStyle w:val="000000000000"/>
              <w:rPr>
                <w:rFonts w:ascii="Times New Roman" w:hAnsi="Times New Roman"/>
                <w:b/>
                <w:bCs/>
                <w:sz w:val="20"/>
                <w:szCs w:val="20"/>
              </w:rPr>
            </w:pPr>
            <w:r w:rsidRPr="006F6C9B">
              <w:rPr>
                <w:rFonts w:ascii="Times New Roman" w:hAnsi="Times New Roman"/>
                <w:b/>
                <w:bCs/>
                <w:sz w:val="20"/>
                <w:szCs w:val="20"/>
              </w:rPr>
              <w:t>(A+B+C+D)</w:t>
            </w:r>
          </w:p>
        </w:tc>
        <w:tc>
          <w:tcPr>
            <w:tcW w:w="1480" w:type="dxa"/>
            <w:noWrap/>
            <w:hideMark/>
          </w:tcPr>
          <w:p w:rsidR="00EC0F71" w:rsidRPr="006F6C9B" w:rsidRDefault="00EC0F71" w:rsidP="009F4E0A">
            <w:pPr>
              <w:jc w:val="left"/>
              <w:cnfStyle w:val="000000000000"/>
              <w:rPr>
                <w:rFonts w:ascii="Times New Roman" w:hAnsi="Times New Roman"/>
                <w:b/>
                <w:bCs/>
                <w:sz w:val="20"/>
                <w:szCs w:val="20"/>
              </w:rPr>
            </w:pPr>
            <w:r>
              <w:rPr>
                <w:rFonts w:ascii="Times New Roman" w:hAnsi="Times New Roman"/>
                <w:b/>
                <w:bCs/>
                <w:sz w:val="20"/>
                <w:szCs w:val="20"/>
              </w:rPr>
              <w:t xml:space="preserve">Total        School Operating </w:t>
            </w:r>
            <w:r w:rsidRPr="006F6C9B">
              <w:rPr>
                <w:rFonts w:ascii="Times New Roman" w:hAnsi="Times New Roman"/>
                <w:b/>
                <w:bCs/>
                <w:sz w:val="20"/>
                <w:szCs w:val="20"/>
              </w:rPr>
              <w:t>Budget</w:t>
            </w:r>
          </w:p>
        </w:tc>
        <w:tc>
          <w:tcPr>
            <w:tcW w:w="1295" w:type="dxa"/>
            <w:noWrap/>
            <w:hideMark/>
          </w:tcPr>
          <w:p w:rsidR="00EC0F71" w:rsidRDefault="00EC0F71" w:rsidP="009F4E0A">
            <w:pPr>
              <w:ind w:left="-109" w:right="295"/>
              <w:jc w:val="left"/>
              <w:cnfStyle w:val="000000000000"/>
              <w:rPr>
                <w:rFonts w:ascii="Times New Roman" w:hAnsi="Times New Roman"/>
                <w:b/>
                <w:bCs/>
                <w:sz w:val="20"/>
                <w:szCs w:val="20"/>
              </w:rPr>
            </w:pPr>
            <w:r>
              <w:rPr>
                <w:rFonts w:ascii="Times New Roman" w:hAnsi="Times New Roman"/>
                <w:b/>
                <w:bCs/>
                <w:sz w:val="20"/>
                <w:szCs w:val="20"/>
              </w:rPr>
              <w:t>Special Education % of Budget</w:t>
            </w:r>
          </w:p>
          <w:p w:rsidR="00EC0F71" w:rsidRPr="006F6C9B" w:rsidRDefault="00EC0F71" w:rsidP="009F4E0A">
            <w:pPr>
              <w:ind w:left="-109" w:right="295"/>
              <w:jc w:val="left"/>
              <w:cnfStyle w:val="000000000000"/>
              <w:rPr>
                <w:rFonts w:ascii="Times New Roman" w:hAnsi="Times New Roman"/>
                <w:b/>
                <w:bCs/>
                <w:sz w:val="20"/>
                <w:szCs w:val="20"/>
              </w:rPr>
            </w:pPr>
            <w:r w:rsidRPr="006F6C9B">
              <w:rPr>
                <w:rFonts w:ascii="Times New Roman" w:hAnsi="Times New Roman"/>
                <w:b/>
                <w:bCs/>
                <w:sz w:val="20"/>
                <w:szCs w:val="20"/>
              </w:rPr>
              <w:t>(E as %</w:t>
            </w:r>
            <w:r>
              <w:rPr>
                <w:rFonts w:ascii="Times New Roman" w:hAnsi="Times New Roman"/>
                <w:b/>
                <w:bCs/>
                <w:sz w:val="20"/>
                <w:szCs w:val="20"/>
              </w:rPr>
              <w:t xml:space="preserve"> </w:t>
            </w:r>
            <w:r w:rsidRPr="006F6C9B">
              <w:rPr>
                <w:rFonts w:ascii="Times New Roman" w:hAnsi="Times New Roman"/>
                <w:b/>
                <w:bCs/>
                <w:sz w:val="20"/>
                <w:szCs w:val="20"/>
              </w:rPr>
              <w:t>of F)</w:t>
            </w:r>
          </w:p>
        </w:tc>
      </w:tr>
      <w:tr w:rsidR="00FF0DF7" w:rsidRPr="006F6C9B" w:rsidTr="00DE0F34">
        <w:trPr>
          <w:trHeight w:val="258"/>
        </w:trPr>
        <w:tc>
          <w:tcPr>
            <w:cnfStyle w:val="001000000000"/>
            <w:tcW w:w="708" w:type="dxa"/>
            <w:noWrap/>
            <w:hideMark/>
          </w:tcPr>
          <w:p w:rsidR="006F6C9B" w:rsidRPr="006F6C9B" w:rsidRDefault="006F6C9B" w:rsidP="009F4E0A">
            <w:pPr>
              <w:rPr>
                <w:rFonts w:ascii="Times New Roman" w:hAnsi="Times New Roman"/>
                <w:color w:val="000000"/>
                <w:sz w:val="20"/>
                <w:szCs w:val="20"/>
              </w:rPr>
            </w:pPr>
            <w:r w:rsidRPr="006F6C9B">
              <w:rPr>
                <w:rFonts w:ascii="Times New Roman" w:hAnsi="Times New Roman"/>
                <w:color w:val="000000"/>
                <w:sz w:val="20"/>
                <w:szCs w:val="20"/>
              </w:rPr>
              <w:t>2003</w:t>
            </w:r>
          </w:p>
        </w:tc>
        <w:tc>
          <w:tcPr>
            <w:tcW w:w="1380"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847,191,270</w:t>
            </w:r>
          </w:p>
        </w:tc>
        <w:tc>
          <w:tcPr>
            <w:tcW w:w="1342"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148,613,839</w:t>
            </w:r>
          </w:p>
        </w:tc>
        <w:tc>
          <w:tcPr>
            <w:tcW w:w="1475"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164,164,801</w:t>
            </w:r>
          </w:p>
        </w:tc>
        <w:tc>
          <w:tcPr>
            <w:tcW w:w="1288"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281,886,001</w:t>
            </w:r>
          </w:p>
        </w:tc>
        <w:tc>
          <w:tcPr>
            <w:tcW w:w="1385"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1,441,855,911</w:t>
            </w:r>
          </w:p>
        </w:tc>
        <w:tc>
          <w:tcPr>
            <w:tcW w:w="1480"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8,145,051,218</w:t>
            </w:r>
          </w:p>
        </w:tc>
        <w:tc>
          <w:tcPr>
            <w:tcW w:w="1295"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17.7</w:t>
            </w:r>
          </w:p>
        </w:tc>
      </w:tr>
      <w:tr w:rsidR="00FF0DF7" w:rsidRPr="006F6C9B" w:rsidTr="00DE0F34">
        <w:trPr>
          <w:trHeight w:val="258"/>
        </w:trPr>
        <w:tc>
          <w:tcPr>
            <w:cnfStyle w:val="001000000000"/>
            <w:tcW w:w="708" w:type="dxa"/>
            <w:noWrap/>
            <w:hideMark/>
          </w:tcPr>
          <w:p w:rsidR="006F6C9B" w:rsidRPr="006F6C9B" w:rsidRDefault="006F6C9B" w:rsidP="009F4E0A">
            <w:pPr>
              <w:rPr>
                <w:rFonts w:ascii="Times New Roman" w:hAnsi="Times New Roman"/>
                <w:color w:val="000000"/>
                <w:sz w:val="20"/>
                <w:szCs w:val="20"/>
              </w:rPr>
            </w:pPr>
            <w:r w:rsidRPr="006F6C9B">
              <w:rPr>
                <w:rFonts w:ascii="Times New Roman" w:hAnsi="Times New Roman"/>
                <w:color w:val="000000"/>
                <w:sz w:val="20"/>
                <w:szCs w:val="20"/>
              </w:rPr>
              <w:t>2004</w:t>
            </w:r>
          </w:p>
        </w:tc>
        <w:tc>
          <w:tcPr>
            <w:tcW w:w="1380"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876,740,473</w:t>
            </w:r>
          </w:p>
        </w:tc>
        <w:tc>
          <w:tcPr>
            <w:tcW w:w="1342"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165,047,123</w:t>
            </w:r>
          </w:p>
        </w:tc>
        <w:tc>
          <w:tcPr>
            <w:tcW w:w="1475"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182,197,630</w:t>
            </w:r>
          </w:p>
        </w:tc>
        <w:tc>
          <w:tcPr>
            <w:tcW w:w="1288"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324,852,156</w:t>
            </w:r>
          </w:p>
        </w:tc>
        <w:tc>
          <w:tcPr>
            <w:tcW w:w="1385"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1,548,837,382</w:t>
            </w:r>
          </w:p>
        </w:tc>
        <w:tc>
          <w:tcPr>
            <w:tcW w:w="1480"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8,329,867,356</w:t>
            </w:r>
          </w:p>
        </w:tc>
        <w:tc>
          <w:tcPr>
            <w:tcW w:w="1295"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18.6</w:t>
            </w:r>
          </w:p>
        </w:tc>
      </w:tr>
      <w:tr w:rsidR="00FF0DF7" w:rsidRPr="006F6C9B" w:rsidTr="00DE0F34">
        <w:trPr>
          <w:trHeight w:val="258"/>
        </w:trPr>
        <w:tc>
          <w:tcPr>
            <w:cnfStyle w:val="001000000000"/>
            <w:tcW w:w="708" w:type="dxa"/>
            <w:noWrap/>
            <w:hideMark/>
          </w:tcPr>
          <w:p w:rsidR="006F6C9B" w:rsidRPr="006F6C9B" w:rsidRDefault="006F6C9B" w:rsidP="009F4E0A">
            <w:pPr>
              <w:rPr>
                <w:rFonts w:ascii="Times New Roman" w:hAnsi="Times New Roman"/>
                <w:color w:val="000000"/>
                <w:sz w:val="20"/>
                <w:szCs w:val="20"/>
              </w:rPr>
            </w:pPr>
            <w:r w:rsidRPr="006F6C9B">
              <w:rPr>
                <w:rFonts w:ascii="Times New Roman" w:hAnsi="Times New Roman"/>
                <w:color w:val="000000"/>
                <w:sz w:val="20"/>
                <w:szCs w:val="20"/>
              </w:rPr>
              <w:t>2005</w:t>
            </w:r>
          </w:p>
        </w:tc>
        <w:tc>
          <w:tcPr>
            <w:tcW w:w="1380"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924,994,425</w:t>
            </w:r>
          </w:p>
        </w:tc>
        <w:tc>
          <w:tcPr>
            <w:tcW w:w="1342"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179,216,581</w:t>
            </w:r>
          </w:p>
        </w:tc>
        <w:tc>
          <w:tcPr>
            <w:tcW w:w="1475"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184,109,385</w:t>
            </w:r>
          </w:p>
        </w:tc>
        <w:tc>
          <w:tcPr>
            <w:tcW w:w="1288"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368,572,004</w:t>
            </w:r>
          </w:p>
        </w:tc>
        <w:tc>
          <w:tcPr>
            <w:tcW w:w="1385"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1,656,892,395</w:t>
            </w:r>
          </w:p>
        </w:tc>
        <w:tc>
          <w:tcPr>
            <w:tcW w:w="1480"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8,773,582,402</w:t>
            </w:r>
          </w:p>
        </w:tc>
        <w:tc>
          <w:tcPr>
            <w:tcW w:w="1295"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18.9</w:t>
            </w:r>
          </w:p>
        </w:tc>
      </w:tr>
      <w:tr w:rsidR="00FF0DF7" w:rsidRPr="006F6C9B" w:rsidTr="00DE0F34">
        <w:trPr>
          <w:trHeight w:val="258"/>
        </w:trPr>
        <w:tc>
          <w:tcPr>
            <w:cnfStyle w:val="001000000000"/>
            <w:tcW w:w="708" w:type="dxa"/>
            <w:noWrap/>
            <w:hideMark/>
          </w:tcPr>
          <w:p w:rsidR="006F6C9B" w:rsidRPr="006F6C9B" w:rsidRDefault="006F6C9B" w:rsidP="009F4E0A">
            <w:pPr>
              <w:rPr>
                <w:rFonts w:ascii="Times New Roman" w:hAnsi="Times New Roman"/>
                <w:color w:val="000000"/>
                <w:sz w:val="20"/>
                <w:szCs w:val="20"/>
              </w:rPr>
            </w:pPr>
            <w:r w:rsidRPr="006F6C9B">
              <w:rPr>
                <w:rFonts w:ascii="Times New Roman" w:hAnsi="Times New Roman"/>
                <w:color w:val="000000"/>
                <w:sz w:val="20"/>
                <w:szCs w:val="20"/>
              </w:rPr>
              <w:t>2006</w:t>
            </w:r>
          </w:p>
        </w:tc>
        <w:tc>
          <w:tcPr>
            <w:tcW w:w="1380"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989,518,144</w:t>
            </w:r>
          </w:p>
        </w:tc>
        <w:tc>
          <w:tcPr>
            <w:tcW w:w="1342"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188,002,624</w:t>
            </w:r>
          </w:p>
        </w:tc>
        <w:tc>
          <w:tcPr>
            <w:tcW w:w="1475"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194,358,120</w:t>
            </w:r>
          </w:p>
        </w:tc>
        <w:tc>
          <w:tcPr>
            <w:tcW w:w="1288"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389,975,256</w:t>
            </w:r>
          </w:p>
        </w:tc>
        <w:tc>
          <w:tcPr>
            <w:tcW w:w="1385"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1,761,854,144</w:t>
            </w:r>
          </w:p>
        </w:tc>
        <w:tc>
          <w:tcPr>
            <w:tcW w:w="1480"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9,206,242,751</w:t>
            </w:r>
          </w:p>
        </w:tc>
        <w:tc>
          <w:tcPr>
            <w:tcW w:w="1295"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19.1</w:t>
            </w:r>
          </w:p>
        </w:tc>
      </w:tr>
      <w:tr w:rsidR="00FF0DF7" w:rsidRPr="006F6C9B" w:rsidTr="00DE0F34">
        <w:trPr>
          <w:trHeight w:val="258"/>
        </w:trPr>
        <w:tc>
          <w:tcPr>
            <w:cnfStyle w:val="001000000000"/>
            <w:tcW w:w="708" w:type="dxa"/>
            <w:noWrap/>
            <w:hideMark/>
          </w:tcPr>
          <w:p w:rsidR="006F6C9B" w:rsidRPr="006F6C9B" w:rsidRDefault="006F6C9B" w:rsidP="009F4E0A">
            <w:pPr>
              <w:rPr>
                <w:rFonts w:ascii="Times New Roman" w:hAnsi="Times New Roman"/>
                <w:color w:val="000000"/>
                <w:sz w:val="20"/>
                <w:szCs w:val="20"/>
              </w:rPr>
            </w:pPr>
            <w:r w:rsidRPr="006F6C9B">
              <w:rPr>
                <w:rFonts w:ascii="Times New Roman" w:hAnsi="Times New Roman"/>
                <w:color w:val="000000"/>
                <w:sz w:val="20"/>
                <w:szCs w:val="20"/>
              </w:rPr>
              <w:t>2007</w:t>
            </w:r>
          </w:p>
        </w:tc>
        <w:tc>
          <w:tcPr>
            <w:tcW w:w="1380"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1,054,398,053</w:t>
            </w:r>
          </w:p>
        </w:tc>
        <w:tc>
          <w:tcPr>
            <w:tcW w:w="1342"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196,313,607</w:t>
            </w:r>
          </w:p>
        </w:tc>
        <w:tc>
          <w:tcPr>
            <w:tcW w:w="1475"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207,744,064</w:t>
            </w:r>
          </w:p>
        </w:tc>
        <w:tc>
          <w:tcPr>
            <w:tcW w:w="1288"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422,289,079</w:t>
            </w:r>
          </w:p>
        </w:tc>
        <w:tc>
          <w:tcPr>
            <w:tcW w:w="1385"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1,880,744,803</w:t>
            </w:r>
          </w:p>
        </w:tc>
        <w:tc>
          <w:tcPr>
            <w:tcW w:w="1480"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9,703,120,601</w:t>
            </w:r>
          </w:p>
        </w:tc>
        <w:tc>
          <w:tcPr>
            <w:tcW w:w="1295"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19.4</w:t>
            </w:r>
          </w:p>
        </w:tc>
      </w:tr>
      <w:tr w:rsidR="00FF0DF7" w:rsidRPr="006F6C9B" w:rsidTr="00DE0F34">
        <w:trPr>
          <w:trHeight w:val="258"/>
        </w:trPr>
        <w:tc>
          <w:tcPr>
            <w:cnfStyle w:val="001000000000"/>
            <w:tcW w:w="708" w:type="dxa"/>
            <w:noWrap/>
            <w:hideMark/>
          </w:tcPr>
          <w:p w:rsidR="006F6C9B" w:rsidRPr="006F6C9B" w:rsidRDefault="006F6C9B" w:rsidP="009F4E0A">
            <w:pPr>
              <w:rPr>
                <w:rFonts w:ascii="Times New Roman" w:hAnsi="Times New Roman"/>
                <w:color w:val="000000"/>
                <w:sz w:val="20"/>
                <w:szCs w:val="20"/>
              </w:rPr>
            </w:pPr>
            <w:r w:rsidRPr="006F6C9B">
              <w:rPr>
                <w:rFonts w:ascii="Times New Roman" w:hAnsi="Times New Roman"/>
                <w:color w:val="000000"/>
                <w:sz w:val="20"/>
                <w:szCs w:val="20"/>
              </w:rPr>
              <w:t>2008</w:t>
            </w:r>
          </w:p>
        </w:tc>
        <w:tc>
          <w:tcPr>
            <w:tcW w:w="1380"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1,132,805,073</w:t>
            </w:r>
          </w:p>
        </w:tc>
        <w:tc>
          <w:tcPr>
            <w:tcW w:w="1342"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209,235,235</w:t>
            </w:r>
          </w:p>
        </w:tc>
        <w:tc>
          <w:tcPr>
            <w:tcW w:w="1475"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223,288,119</w:t>
            </w:r>
          </w:p>
        </w:tc>
        <w:tc>
          <w:tcPr>
            <w:tcW w:w="1288"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451,779,440</w:t>
            </w:r>
          </w:p>
        </w:tc>
        <w:tc>
          <w:tcPr>
            <w:tcW w:w="1385"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2,017,107,867</w:t>
            </w:r>
          </w:p>
        </w:tc>
        <w:tc>
          <w:tcPr>
            <w:tcW w:w="1480"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10,172,987,581</w:t>
            </w:r>
          </w:p>
        </w:tc>
        <w:tc>
          <w:tcPr>
            <w:tcW w:w="1295"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19.8</w:t>
            </w:r>
          </w:p>
        </w:tc>
      </w:tr>
      <w:tr w:rsidR="00FF0DF7" w:rsidRPr="006F6C9B" w:rsidTr="00DE0F34">
        <w:trPr>
          <w:trHeight w:val="258"/>
        </w:trPr>
        <w:tc>
          <w:tcPr>
            <w:cnfStyle w:val="001000000000"/>
            <w:tcW w:w="708" w:type="dxa"/>
            <w:noWrap/>
            <w:hideMark/>
          </w:tcPr>
          <w:p w:rsidR="006F6C9B" w:rsidRPr="006F6C9B" w:rsidRDefault="006F6C9B" w:rsidP="009F4E0A">
            <w:pPr>
              <w:rPr>
                <w:rFonts w:ascii="Times New Roman" w:hAnsi="Times New Roman"/>
                <w:color w:val="000000"/>
                <w:sz w:val="20"/>
                <w:szCs w:val="20"/>
              </w:rPr>
            </w:pPr>
            <w:r w:rsidRPr="006F6C9B">
              <w:rPr>
                <w:rFonts w:ascii="Times New Roman" w:hAnsi="Times New Roman"/>
                <w:color w:val="000000"/>
                <w:sz w:val="20"/>
                <w:szCs w:val="20"/>
              </w:rPr>
              <w:t>2009</w:t>
            </w:r>
          </w:p>
        </w:tc>
        <w:tc>
          <w:tcPr>
            <w:tcW w:w="1380"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1,199,704,253</w:t>
            </w:r>
          </w:p>
        </w:tc>
        <w:tc>
          <w:tcPr>
            <w:tcW w:w="1342"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212,959,915</w:t>
            </w:r>
          </w:p>
        </w:tc>
        <w:tc>
          <w:tcPr>
            <w:tcW w:w="1475"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223,839,279</w:t>
            </w:r>
          </w:p>
        </w:tc>
        <w:tc>
          <w:tcPr>
            <w:tcW w:w="1288"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417,844,303</w:t>
            </w:r>
          </w:p>
        </w:tc>
        <w:tc>
          <w:tcPr>
            <w:tcW w:w="1385"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2,054,347,750</w:t>
            </w:r>
          </w:p>
        </w:tc>
        <w:tc>
          <w:tcPr>
            <w:tcW w:w="1480"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10,243,839,754</w:t>
            </w:r>
          </w:p>
        </w:tc>
        <w:tc>
          <w:tcPr>
            <w:tcW w:w="1295"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20.1</w:t>
            </w:r>
          </w:p>
        </w:tc>
      </w:tr>
      <w:tr w:rsidR="00FF0DF7" w:rsidRPr="006F6C9B" w:rsidTr="00DE0F34">
        <w:trPr>
          <w:trHeight w:val="258"/>
        </w:trPr>
        <w:tc>
          <w:tcPr>
            <w:cnfStyle w:val="001000000000"/>
            <w:tcW w:w="708" w:type="dxa"/>
            <w:noWrap/>
            <w:hideMark/>
          </w:tcPr>
          <w:p w:rsidR="006F6C9B" w:rsidRPr="006F6C9B" w:rsidRDefault="006F6C9B" w:rsidP="009F4E0A">
            <w:pPr>
              <w:rPr>
                <w:rFonts w:ascii="Times New Roman" w:hAnsi="Times New Roman"/>
                <w:color w:val="000000"/>
                <w:sz w:val="20"/>
                <w:szCs w:val="20"/>
              </w:rPr>
            </w:pPr>
            <w:r w:rsidRPr="006F6C9B">
              <w:rPr>
                <w:rFonts w:ascii="Times New Roman" w:hAnsi="Times New Roman"/>
                <w:color w:val="000000"/>
                <w:sz w:val="20"/>
                <w:szCs w:val="20"/>
              </w:rPr>
              <w:t>2010</w:t>
            </w:r>
          </w:p>
        </w:tc>
        <w:tc>
          <w:tcPr>
            <w:tcW w:w="1380"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1,221,013,989</w:t>
            </w:r>
          </w:p>
        </w:tc>
        <w:tc>
          <w:tcPr>
            <w:tcW w:w="1342"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218,417,498</w:t>
            </w:r>
          </w:p>
        </w:tc>
        <w:tc>
          <w:tcPr>
            <w:tcW w:w="1475"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227,720,315</w:t>
            </w:r>
          </w:p>
        </w:tc>
        <w:tc>
          <w:tcPr>
            <w:tcW w:w="1288"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422,154,922</w:t>
            </w:r>
          </w:p>
        </w:tc>
        <w:tc>
          <w:tcPr>
            <w:tcW w:w="1385"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2,089,306,724</w:t>
            </w:r>
          </w:p>
        </w:tc>
        <w:tc>
          <w:tcPr>
            <w:tcW w:w="1480"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10,530,690,533</w:t>
            </w:r>
          </w:p>
        </w:tc>
        <w:tc>
          <w:tcPr>
            <w:tcW w:w="1295"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19.8</w:t>
            </w:r>
          </w:p>
        </w:tc>
      </w:tr>
      <w:tr w:rsidR="00FF0DF7" w:rsidRPr="006F6C9B" w:rsidTr="00DE0F34">
        <w:trPr>
          <w:trHeight w:val="258"/>
        </w:trPr>
        <w:tc>
          <w:tcPr>
            <w:cnfStyle w:val="001000000000"/>
            <w:tcW w:w="708" w:type="dxa"/>
            <w:noWrap/>
            <w:hideMark/>
          </w:tcPr>
          <w:p w:rsidR="006F6C9B" w:rsidRPr="006F6C9B" w:rsidRDefault="006F6C9B" w:rsidP="009F4E0A">
            <w:pPr>
              <w:rPr>
                <w:rFonts w:ascii="Times New Roman" w:hAnsi="Times New Roman"/>
                <w:color w:val="000000"/>
                <w:sz w:val="20"/>
                <w:szCs w:val="20"/>
              </w:rPr>
            </w:pPr>
            <w:r w:rsidRPr="006F6C9B">
              <w:rPr>
                <w:rFonts w:ascii="Times New Roman" w:hAnsi="Times New Roman"/>
                <w:color w:val="000000"/>
                <w:sz w:val="20"/>
                <w:szCs w:val="20"/>
              </w:rPr>
              <w:t>2011</w:t>
            </w:r>
          </w:p>
        </w:tc>
        <w:tc>
          <w:tcPr>
            <w:tcW w:w="1380"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1,214,794,187</w:t>
            </w:r>
          </w:p>
        </w:tc>
        <w:tc>
          <w:tcPr>
            <w:tcW w:w="1342"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228,193,919</w:t>
            </w:r>
          </w:p>
        </w:tc>
        <w:tc>
          <w:tcPr>
            <w:tcW w:w="1475"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247,601,162</w:t>
            </w:r>
          </w:p>
        </w:tc>
        <w:tc>
          <w:tcPr>
            <w:tcW w:w="1288"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435,878,519</w:t>
            </w:r>
          </w:p>
        </w:tc>
        <w:tc>
          <w:tcPr>
            <w:tcW w:w="1385"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2,126,467,787</w:t>
            </w:r>
          </w:p>
        </w:tc>
        <w:tc>
          <w:tcPr>
            <w:tcW w:w="1480"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10,710,955,988</w:t>
            </w:r>
          </w:p>
        </w:tc>
        <w:tc>
          <w:tcPr>
            <w:tcW w:w="1295"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19.9</w:t>
            </w:r>
          </w:p>
        </w:tc>
      </w:tr>
      <w:tr w:rsidR="00FF0DF7" w:rsidRPr="006F6C9B" w:rsidTr="00DE0F34">
        <w:trPr>
          <w:trHeight w:val="258"/>
        </w:trPr>
        <w:tc>
          <w:tcPr>
            <w:cnfStyle w:val="001000000000"/>
            <w:tcW w:w="708" w:type="dxa"/>
            <w:noWrap/>
            <w:hideMark/>
          </w:tcPr>
          <w:p w:rsidR="006F6C9B" w:rsidRPr="006F6C9B" w:rsidRDefault="006F6C9B" w:rsidP="009F4E0A">
            <w:pPr>
              <w:rPr>
                <w:rFonts w:ascii="Times New Roman" w:hAnsi="Times New Roman"/>
                <w:color w:val="000000"/>
                <w:sz w:val="20"/>
                <w:szCs w:val="20"/>
              </w:rPr>
            </w:pPr>
            <w:r w:rsidRPr="006F6C9B">
              <w:rPr>
                <w:rFonts w:ascii="Times New Roman" w:hAnsi="Times New Roman"/>
                <w:color w:val="000000"/>
                <w:sz w:val="20"/>
                <w:szCs w:val="20"/>
              </w:rPr>
              <w:t>2012</w:t>
            </w:r>
          </w:p>
        </w:tc>
        <w:tc>
          <w:tcPr>
            <w:tcW w:w="1380"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1,290,077,738</w:t>
            </w:r>
          </w:p>
        </w:tc>
        <w:tc>
          <w:tcPr>
            <w:tcW w:w="1342"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239,336,243</w:t>
            </w:r>
          </w:p>
        </w:tc>
        <w:tc>
          <w:tcPr>
            <w:tcW w:w="1475"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258,571,816</w:t>
            </w:r>
          </w:p>
        </w:tc>
        <w:tc>
          <w:tcPr>
            <w:tcW w:w="1288"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475,131,655</w:t>
            </w:r>
          </w:p>
        </w:tc>
        <w:tc>
          <w:tcPr>
            <w:tcW w:w="1385"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2,263,117,452</w:t>
            </w:r>
          </w:p>
        </w:tc>
        <w:tc>
          <w:tcPr>
            <w:tcW w:w="1480"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11,034,255,332</w:t>
            </w:r>
          </w:p>
        </w:tc>
        <w:tc>
          <w:tcPr>
            <w:tcW w:w="1295"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20.5</w:t>
            </w:r>
          </w:p>
        </w:tc>
      </w:tr>
      <w:tr w:rsidR="00FF0DF7" w:rsidRPr="006F6C9B" w:rsidTr="00DE0F34">
        <w:trPr>
          <w:trHeight w:val="258"/>
        </w:trPr>
        <w:tc>
          <w:tcPr>
            <w:cnfStyle w:val="001000000000"/>
            <w:tcW w:w="708" w:type="dxa"/>
            <w:noWrap/>
            <w:hideMark/>
          </w:tcPr>
          <w:p w:rsidR="006F6C9B" w:rsidRPr="006F6C9B" w:rsidRDefault="006F6C9B" w:rsidP="009F4E0A">
            <w:pPr>
              <w:rPr>
                <w:rFonts w:ascii="Times New Roman" w:hAnsi="Times New Roman"/>
                <w:color w:val="000000"/>
                <w:sz w:val="20"/>
                <w:szCs w:val="20"/>
              </w:rPr>
            </w:pPr>
            <w:r w:rsidRPr="006F6C9B">
              <w:rPr>
                <w:rFonts w:ascii="Times New Roman" w:hAnsi="Times New Roman"/>
                <w:color w:val="000000"/>
                <w:sz w:val="20"/>
                <w:szCs w:val="20"/>
              </w:rPr>
              <w:t>2013</w:t>
            </w:r>
          </w:p>
        </w:tc>
        <w:tc>
          <w:tcPr>
            <w:tcW w:w="1380"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1,391,956,887</w:t>
            </w:r>
          </w:p>
        </w:tc>
        <w:tc>
          <w:tcPr>
            <w:tcW w:w="1342"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248,357,794</w:t>
            </w:r>
          </w:p>
        </w:tc>
        <w:tc>
          <w:tcPr>
            <w:tcW w:w="1475"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257,311,327</w:t>
            </w:r>
          </w:p>
        </w:tc>
        <w:tc>
          <w:tcPr>
            <w:tcW w:w="1288"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507,558,390</w:t>
            </w:r>
          </w:p>
        </w:tc>
        <w:tc>
          <w:tcPr>
            <w:tcW w:w="1385"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2,405,184,398</w:t>
            </w:r>
          </w:p>
        </w:tc>
        <w:tc>
          <w:tcPr>
            <w:tcW w:w="1480"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11,486,440,186</w:t>
            </w:r>
          </w:p>
        </w:tc>
        <w:tc>
          <w:tcPr>
            <w:tcW w:w="1295" w:type="dxa"/>
            <w:noWrap/>
            <w:hideMark/>
          </w:tcPr>
          <w:p w:rsidR="006F6C9B" w:rsidRPr="006F6C9B" w:rsidRDefault="006F6C9B" w:rsidP="009F4E0A">
            <w:pPr>
              <w:jc w:val="left"/>
              <w:cnfStyle w:val="000000000000"/>
              <w:rPr>
                <w:rFonts w:ascii="Times New Roman" w:hAnsi="Times New Roman"/>
                <w:color w:val="000000"/>
                <w:sz w:val="20"/>
                <w:szCs w:val="20"/>
              </w:rPr>
            </w:pPr>
            <w:r w:rsidRPr="006F6C9B">
              <w:rPr>
                <w:rFonts w:ascii="Times New Roman" w:hAnsi="Times New Roman"/>
                <w:color w:val="000000"/>
                <w:sz w:val="20"/>
                <w:szCs w:val="20"/>
              </w:rPr>
              <w:t>20.9</w:t>
            </w:r>
          </w:p>
        </w:tc>
      </w:tr>
    </w:tbl>
    <w:p w:rsidR="00D06F70" w:rsidRPr="00CB262E" w:rsidRDefault="00CB262E" w:rsidP="00CB262E">
      <w:pPr>
        <w:rPr>
          <w:i/>
          <w:sz w:val="18"/>
          <w:szCs w:val="18"/>
        </w:rPr>
      </w:pPr>
      <w:r w:rsidRPr="00CB262E">
        <w:rPr>
          <w:i/>
          <w:sz w:val="18"/>
          <w:szCs w:val="18"/>
        </w:rPr>
        <w:t>Note: Values rounded to the nearest 100,000.</w:t>
      </w:r>
    </w:p>
    <w:p w:rsidR="00CB262E" w:rsidRPr="00CB262E" w:rsidRDefault="00CB262E" w:rsidP="001850F0">
      <w:pPr>
        <w:spacing w:after="120"/>
        <w:rPr>
          <w:i/>
          <w:sz w:val="18"/>
          <w:szCs w:val="18"/>
        </w:rPr>
      </w:pPr>
      <w:r w:rsidRPr="00CB262E">
        <w:rPr>
          <w:i/>
          <w:sz w:val="18"/>
          <w:szCs w:val="18"/>
        </w:rPr>
        <w:t>Source: End of Year Pupil and Financial Report</w:t>
      </w:r>
    </w:p>
    <w:p w:rsidR="0087042A" w:rsidRDefault="0087042A" w:rsidP="00C921E3">
      <w:pPr>
        <w:pStyle w:val="Heading2"/>
        <w:spacing w:before="0" w:after="120"/>
      </w:pPr>
    </w:p>
    <w:p w:rsidR="00214D10" w:rsidRPr="00944904" w:rsidRDefault="00A80830" w:rsidP="00C921E3">
      <w:pPr>
        <w:pStyle w:val="Heading2"/>
        <w:spacing w:before="0" w:after="120"/>
      </w:pPr>
      <w:bookmarkStart w:id="34" w:name="_Toc405293147"/>
      <w:r w:rsidRPr="00944904">
        <w:t>F</w:t>
      </w:r>
      <w:r w:rsidR="009B17DE" w:rsidRPr="00944904">
        <w:t>.</w:t>
      </w:r>
      <w:r w:rsidR="00214D10" w:rsidRPr="00944904">
        <w:tab/>
        <w:t>School-Based Medicaid</w:t>
      </w:r>
      <w:bookmarkEnd w:id="34"/>
    </w:p>
    <w:p w:rsidR="00D04FC4" w:rsidRPr="00096F2A" w:rsidRDefault="00750E80" w:rsidP="00D04FC4">
      <w:pPr>
        <w:spacing w:after="120"/>
      </w:pPr>
      <w:r w:rsidRPr="00096F2A">
        <w:t xml:space="preserve">The School-Based Medicaid program allows local education authorities (LEAs), such as cities and towns, charter schools, public health commissions, and regional school districts, to seek payment for providing medically necessary Medicaid services (direct services) to eligible MassHealth-enrolled children. This program also allows such agencies to seek payment for participating in activities that support the administration of the state's Medicaid program (administrative activities). This </w:t>
      </w:r>
      <w:r w:rsidR="00FE18A0" w:rsidRPr="00096F2A">
        <w:t>includes</w:t>
      </w:r>
      <w:r w:rsidRPr="00096F2A">
        <w:t xml:space="preserve"> outreach, and those activities that aid the delivery of direct services to M</w:t>
      </w:r>
      <w:r w:rsidR="00FE18A0" w:rsidRPr="00096F2A">
        <w:t>edicaid-enrolled children with Individualized Education Programs</w:t>
      </w:r>
      <w:r w:rsidRPr="00096F2A">
        <w:t xml:space="preserve"> (IEPs).  State law allows LEAs to participate in the Municipal Medicaid program and to seek payment for either direct services or administrative activities</w:t>
      </w:r>
      <w:r w:rsidR="00E343C8">
        <w:t xml:space="preserve"> or both</w:t>
      </w:r>
      <w:r w:rsidRPr="00096F2A">
        <w:t>. In order to participate in the program, LEAs must sign provider contracts with the state Medicaid agency. Municipal Medicaid providers can bill MassHealth in accordance with the contract terms.</w:t>
      </w:r>
      <w:r w:rsidR="00EB4C63" w:rsidRPr="00096F2A">
        <w:t xml:space="preserve"> </w:t>
      </w:r>
      <w:r w:rsidR="00D04FC4" w:rsidRPr="00096F2A">
        <w:t>Federal revenues are returned directly to the municipality which, in turn, can choose to share such revenue with the school districts, in whole or in part.</w:t>
      </w:r>
    </w:p>
    <w:p w:rsidR="00750E80" w:rsidRPr="008D0C5F" w:rsidRDefault="00964B65" w:rsidP="008225D7">
      <w:pPr>
        <w:rPr>
          <w:b/>
          <w:sz w:val="22"/>
          <w:szCs w:val="22"/>
        </w:rPr>
      </w:pPr>
      <w:r w:rsidRPr="008D0C5F">
        <w:rPr>
          <w:b/>
          <w:sz w:val="22"/>
          <w:szCs w:val="22"/>
        </w:rPr>
        <w:t>Figure C</w:t>
      </w:r>
      <w:r w:rsidR="00750E80" w:rsidRPr="008D0C5F">
        <w:rPr>
          <w:b/>
          <w:sz w:val="22"/>
          <w:szCs w:val="22"/>
        </w:rPr>
        <w:t>: Municipal M</w:t>
      </w:r>
      <w:r w:rsidR="00944904" w:rsidRPr="008D0C5F">
        <w:rPr>
          <w:b/>
          <w:sz w:val="22"/>
          <w:szCs w:val="22"/>
        </w:rPr>
        <w:t>edicaid Funding Breakdown, FY 13</w:t>
      </w:r>
    </w:p>
    <w:p w:rsidR="00750E80" w:rsidRPr="00944904" w:rsidRDefault="00750E80" w:rsidP="00750E80">
      <w:r w:rsidRPr="00944904">
        <w:rPr>
          <w:noProof/>
          <w:lang w:eastAsia="zh-CN"/>
        </w:rPr>
        <w:drawing>
          <wp:inline distT="0" distB="0" distL="0" distR="0">
            <wp:extent cx="5947410" cy="3633470"/>
            <wp:effectExtent l="0" t="0" r="0" b="0"/>
            <wp:docPr id="5" name="Diagram 2" descr="403 districts in state&#10;&#10;74 districts did not participate (18%)&#10;329 school districts participated (82%)&#10;38 districts received no revenue&#10;291 districts received revenue&#10;34 districts received some income&#10;257 districts received 100% of claim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r w:rsidRPr="00944904">
        <w:rPr>
          <w:i/>
          <w:sz w:val="18"/>
          <w:szCs w:val="18"/>
        </w:rPr>
        <w:t>Source: MA EOHHS Office of School-Based Medicaid</w:t>
      </w:r>
    </w:p>
    <w:p w:rsidR="00750E80" w:rsidRPr="00E343C8" w:rsidRDefault="00750E80" w:rsidP="00750E80">
      <w:pPr>
        <w:rPr>
          <w:sz w:val="16"/>
          <w:szCs w:val="16"/>
        </w:rPr>
      </w:pPr>
    </w:p>
    <w:p w:rsidR="00FB608F" w:rsidRPr="00096F2A" w:rsidRDefault="00750E80" w:rsidP="00EB4C63">
      <w:pPr>
        <w:spacing w:after="120"/>
      </w:pPr>
      <w:r w:rsidRPr="00096F2A">
        <w:t>The figures for the School-Based Medica</w:t>
      </w:r>
      <w:r w:rsidR="00944904" w:rsidRPr="00096F2A">
        <w:t>id program for FY07 through FY1</w:t>
      </w:r>
      <w:r w:rsidR="00B40538" w:rsidRPr="00096F2A">
        <w:t>3 are provided below in Figure D</w:t>
      </w:r>
      <w:r w:rsidRPr="00096F2A">
        <w:t>. Total Muni</w:t>
      </w:r>
      <w:r w:rsidR="00944904" w:rsidRPr="00096F2A">
        <w:t>cipal Medicaid Claims for FY13</w:t>
      </w:r>
      <w:r w:rsidRPr="00096F2A">
        <w:t xml:space="preserve"> were </w:t>
      </w:r>
      <w:r w:rsidR="00DD56A9" w:rsidRPr="00096F2A">
        <w:t xml:space="preserve">$73.9 million </w:t>
      </w:r>
      <w:r w:rsidRPr="00096F2A">
        <w:t>dollars. Total reven</w:t>
      </w:r>
      <w:r w:rsidR="00944904" w:rsidRPr="00096F2A">
        <w:t>ue received by providers in FY13</w:t>
      </w:r>
      <w:r w:rsidRPr="00096F2A">
        <w:t xml:space="preserve"> was </w:t>
      </w:r>
      <w:r w:rsidR="005B2B87" w:rsidRPr="00096F2A">
        <w:t>$67.2 million dollars</w:t>
      </w:r>
      <w:r w:rsidRPr="00096F2A">
        <w:t xml:space="preserve">; </w:t>
      </w:r>
      <w:r w:rsidR="005B2B87" w:rsidRPr="00096F2A">
        <w:t xml:space="preserve">$49.7 million </w:t>
      </w:r>
      <w:r w:rsidRPr="00096F2A">
        <w:t xml:space="preserve">is for Direct Services Claims and </w:t>
      </w:r>
      <w:r w:rsidR="005B2B87" w:rsidRPr="00096F2A">
        <w:t xml:space="preserve">$24.2 million </w:t>
      </w:r>
      <w:r w:rsidRPr="00096F2A">
        <w:t>for A</w:t>
      </w:r>
      <w:r w:rsidR="00944904" w:rsidRPr="00096F2A">
        <w:t xml:space="preserve">dministrative Activity Claiming. </w:t>
      </w:r>
      <w:r w:rsidR="005B2B87" w:rsidRPr="00096F2A">
        <w:t>291</w:t>
      </w:r>
      <w:r w:rsidRPr="00096F2A">
        <w:t xml:space="preserve"> school districts received revenue in FY1</w:t>
      </w:r>
      <w:r w:rsidR="00944904" w:rsidRPr="00096F2A">
        <w:t>3</w:t>
      </w:r>
      <w:r w:rsidRPr="00096F2A">
        <w:t xml:space="preserve">. </w:t>
      </w:r>
    </w:p>
    <w:p w:rsidR="00503AC7" w:rsidRPr="00B40538" w:rsidRDefault="00FB608F" w:rsidP="00FB608F">
      <w:pPr>
        <w:spacing w:after="120"/>
        <w:rPr>
          <w:b/>
          <w:sz w:val="22"/>
          <w:szCs w:val="22"/>
        </w:rPr>
      </w:pPr>
      <w:r w:rsidRPr="00B40538">
        <w:rPr>
          <w:b/>
          <w:sz w:val="22"/>
          <w:szCs w:val="22"/>
        </w:rPr>
        <w:t xml:space="preserve">Figure </w:t>
      </w:r>
      <w:r w:rsidR="00B40538">
        <w:rPr>
          <w:b/>
          <w:sz w:val="22"/>
          <w:szCs w:val="22"/>
        </w:rPr>
        <w:t>D</w:t>
      </w:r>
      <w:r w:rsidR="007A0054" w:rsidRPr="00B40538">
        <w:rPr>
          <w:b/>
          <w:sz w:val="22"/>
          <w:szCs w:val="22"/>
        </w:rPr>
        <w:t>: Total Municipal Medicaid Claims</w:t>
      </w:r>
      <w:r w:rsidR="00186D4A">
        <w:rPr>
          <w:b/>
          <w:sz w:val="22"/>
          <w:szCs w:val="22"/>
        </w:rPr>
        <w:t xml:space="preserve"> in Dollars FY07-FY13</w:t>
      </w:r>
    </w:p>
    <w:p w:rsidR="00503AC7" w:rsidRPr="00E343C8" w:rsidRDefault="00503AC7" w:rsidP="00E343C8">
      <w:pPr>
        <w:spacing w:after="120" w:line="360" w:lineRule="auto"/>
      </w:pPr>
      <w:r w:rsidRPr="00503AC7">
        <w:rPr>
          <w:noProof/>
          <w:lang w:eastAsia="zh-CN"/>
        </w:rPr>
        <w:drawing>
          <wp:inline distT="0" distB="0" distL="0" distR="0">
            <wp:extent cx="5623474" cy="1385625"/>
            <wp:effectExtent l="19050" t="0" r="15326" b="5025"/>
            <wp:docPr id="11" name="Chart 3" descr="Year Dollars rounded to nearest tenth of a million&#10;FY7 108.0&#10;FY8 111.0&#10;FY9 110.8&#10;FY10 65.1&#10;FY11 64.1&#10;FY12 65.8&#10;FY13 73.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bookmarkStart w:id="35" w:name="_III.__Results"/>
      <w:bookmarkEnd w:id="35"/>
      <w:r w:rsidRPr="00CB262E">
        <w:rPr>
          <w:i/>
          <w:sz w:val="18"/>
          <w:szCs w:val="18"/>
        </w:rPr>
        <w:t xml:space="preserve">Source: </w:t>
      </w:r>
      <w:r>
        <w:rPr>
          <w:i/>
          <w:sz w:val="18"/>
          <w:szCs w:val="18"/>
        </w:rPr>
        <w:t>MA EOHHS Office of School-Based Medicaid</w:t>
      </w:r>
    </w:p>
    <w:p w:rsidR="00CC5971" w:rsidRPr="00096F2A" w:rsidRDefault="00CC5971" w:rsidP="00CC5971">
      <w:pPr>
        <w:spacing w:after="120"/>
      </w:pPr>
      <w:r w:rsidRPr="00096F2A">
        <w:t xml:space="preserve">In July 2009, the Municipal Medicaid program underwent significant procedural changes. Massachusetts was required to change its claiming procedures to a “fee for service” model. This new model, called School-Based Medicaid, requires further documentation of services provided and provides reimbursement only for qualified providers. There was concern that this more-demanding model would lead to a considerable decrease in the Medicaid reimbursement available to the state. </w:t>
      </w:r>
      <w:r w:rsidR="0053362A" w:rsidRPr="00096F2A">
        <w:t>Although the dollar amount of claims decreased by 41</w:t>
      </w:r>
      <w:r w:rsidR="00FF1A59">
        <w:t>percent</w:t>
      </w:r>
      <w:r w:rsidR="0053362A" w:rsidRPr="00096F2A">
        <w:t xml:space="preserve"> from FY</w:t>
      </w:r>
      <w:r w:rsidR="0087042A">
        <w:t>0</w:t>
      </w:r>
      <w:r w:rsidR="0053362A" w:rsidRPr="00096F2A">
        <w:t xml:space="preserve">9 to FY10 (Figure D), the percentage of districts participating in the Municipal Medicaid </w:t>
      </w:r>
      <w:r w:rsidR="00524143" w:rsidRPr="00096F2A">
        <w:t>program now</w:t>
      </w:r>
      <w:r w:rsidR="0053362A" w:rsidRPr="00096F2A">
        <w:t xml:space="preserve"> appears to be on a trajectory to rebound to pre-FY</w:t>
      </w:r>
      <w:r w:rsidR="0087042A">
        <w:t>0</w:t>
      </w:r>
      <w:r w:rsidR="0053362A" w:rsidRPr="00096F2A">
        <w:t>9 levels</w:t>
      </w:r>
      <w:r w:rsidR="00656575" w:rsidRPr="00096F2A">
        <w:t xml:space="preserve"> (Figure E)</w:t>
      </w:r>
      <w:r w:rsidR="0053362A" w:rsidRPr="00096F2A">
        <w:t>.</w:t>
      </w:r>
    </w:p>
    <w:p w:rsidR="00421830" w:rsidRDefault="00421830" w:rsidP="00764A3B">
      <w:pPr>
        <w:spacing w:after="120"/>
        <w:rPr>
          <w:b/>
          <w:sz w:val="22"/>
          <w:szCs w:val="22"/>
        </w:rPr>
      </w:pPr>
    </w:p>
    <w:p w:rsidR="00764A3B" w:rsidRPr="00B40538" w:rsidRDefault="00764A3B" w:rsidP="00764A3B">
      <w:pPr>
        <w:spacing w:after="120"/>
        <w:rPr>
          <w:b/>
          <w:sz w:val="22"/>
          <w:szCs w:val="22"/>
        </w:rPr>
      </w:pPr>
      <w:r w:rsidRPr="00B40538">
        <w:rPr>
          <w:b/>
          <w:sz w:val="22"/>
          <w:szCs w:val="22"/>
        </w:rPr>
        <w:t xml:space="preserve">Figure </w:t>
      </w:r>
      <w:r>
        <w:rPr>
          <w:b/>
          <w:sz w:val="22"/>
          <w:szCs w:val="22"/>
        </w:rPr>
        <w:t>E</w:t>
      </w:r>
      <w:r w:rsidRPr="00B40538">
        <w:rPr>
          <w:b/>
          <w:sz w:val="22"/>
          <w:szCs w:val="22"/>
        </w:rPr>
        <w:t xml:space="preserve">: </w:t>
      </w:r>
      <w:r>
        <w:rPr>
          <w:b/>
          <w:sz w:val="22"/>
          <w:szCs w:val="22"/>
        </w:rPr>
        <w:t>Percentage</w:t>
      </w:r>
      <w:r w:rsidR="003C53A0">
        <w:rPr>
          <w:b/>
          <w:sz w:val="22"/>
          <w:szCs w:val="22"/>
        </w:rPr>
        <w:t xml:space="preserve"> of</w:t>
      </w:r>
      <w:r>
        <w:rPr>
          <w:b/>
          <w:sz w:val="22"/>
          <w:szCs w:val="22"/>
        </w:rPr>
        <w:t xml:space="preserve"> </w:t>
      </w:r>
      <w:r w:rsidR="00725598">
        <w:rPr>
          <w:b/>
          <w:sz w:val="22"/>
          <w:szCs w:val="22"/>
        </w:rPr>
        <w:t xml:space="preserve">School Districts Participating in </w:t>
      </w:r>
      <w:r>
        <w:rPr>
          <w:b/>
          <w:sz w:val="22"/>
          <w:szCs w:val="22"/>
        </w:rPr>
        <w:t>Medicaid Reimbursement</w:t>
      </w:r>
      <w:r w:rsidR="00725598">
        <w:rPr>
          <w:b/>
          <w:sz w:val="22"/>
          <w:szCs w:val="22"/>
        </w:rPr>
        <w:t xml:space="preserve"> </w:t>
      </w:r>
      <w:r>
        <w:rPr>
          <w:b/>
          <w:sz w:val="22"/>
          <w:szCs w:val="22"/>
        </w:rPr>
        <w:t>FY07-FY13</w:t>
      </w:r>
    </w:p>
    <w:p w:rsidR="009E1FE6" w:rsidRPr="00CB262E" w:rsidRDefault="009E1FE6" w:rsidP="00503AC7">
      <w:pPr>
        <w:spacing w:after="120"/>
        <w:rPr>
          <w:i/>
          <w:sz w:val="18"/>
          <w:szCs w:val="18"/>
        </w:rPr>
      </w:pPr>
      <w:r w:rsidRPr="007E03DD">
        <w:rPr>
          <w:i/>
          <w:noProof/>
          <w:sz w:val="18"/>
          <w:szCs w:val="18"/>
          <w:u w:val="single"/>
          <w:lang w:eastAsia="zh-CN"/>
        </w:rPr>
        <w:drawing>
          <wp:inline distT="0" distB="0" distL="0" distR="0">
            <wp:extent cx="6038850" cy="2743200"/>
            <wp:effectExtent l="19050" t="0" r="19050" b="0"/>
            <wp:docPr id="12" name="Chart 4" descr="Year Percentage&#10;FY7 86%&#10;FY8 90%&#10;FY9 87%&#10;FY10 78%&#10;FY11 75%&#10;FY12 81%&#10;FY13 8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945EC" w:rsidRDefault="006945EC" w:rsidP="006945EC">
      <w:pPr>
        <w:spacing w:after="120"/>
        <w:rPr>
          <w:i/>
          <w:sz w:val="18"/>
          <w:szCs w:val="18"/>
        </w:rPr>
      </w:pPr>
      <w:r w:rsidRPr="00CB262E">
        <w:rPr>
          <w:i/>
          <w:sz w:val="18"/>
          <w:szCs w:val="18"/>
        </w:rPr>
        <w:t xml:space="preserve">Source: </w:t>
      </w:r>
      <w:r>
        <w:rPr>
          <w:i/>
          <w:sz w:val="18"/>
          <w:szCs w:val="18"/>
        </w:rPr>
        <w:t>MA EOHHS Office of School-Based Medicaid</w:t>
      </w:r>
    </w:p>
    <w:p w:rsidR="00963FCE" w:rsidRPr="00CD4510" w:rsidRDefault="00963FCE" w:rsidP="00963FCE">
      <w:pPr>
        <w:pStyle w:val="Heading1"/>
      </w:pPr>
      <w:bookmarkStart w:id="36" w:name="_III.__Results_1"/>
      <w:bookmarkStart w:id="37" w:name="_Toc405293148"/>
      <w:bookmarkEnd w:id="36"/>
      <w:r w:rsidRPr="00CD4510">
        <w:t>II</w:t>
      </w:r>
      <w:r>
        <w:t>I</w:t>
      </w:r>
      <w:r w:rsidRPr="00CD4510">
        <w:t xml:space="preserve">. </w:t>
      </w:r>
      <w:r w:rsidRPr="00CD4510">
        <w:tab/>
      </w:r>
      <w:r>
        <w:t>R</w:t>
      </w:r>
      <w:r w:rsidR="000B4E3F">
        <w:t>esults Driven Accountability</w:t>
      </w:r>
      <w:bookmarkEnd w:id="37"/>
    </w:p>
    <w:p w:rsidR="00910ADE" w:rsidRPr="0072770E" w:rsidRDefault="00910ADE" w:rsidP="007E03DD">
      <w:pPr>
        <w:spacing w:after="120"/>
        <w:rPr>
          <w:i/>
        </w:rPr>
      </w:pPr>
      <w:r w:rsidRPr="0072770E">
        <w:rPr>
          <w:i/>
        </w:rPr>
        <w:t xml:space="preserve">This section on Results Driven Accountability (RDA) </w:t>
      </w:r>
      <w:r w:rsidR="009D4DF3" w:rsidRPr="0072770E">
        <w:rPr>
          <w:i/>
        </w:rPr>
        <w:t>discusses this new federal framework and it</w:t>
      </w:r>
      <w:r w:rsidR="00001D92" w:rsidRPr="0072770E">
        <w:rPr>
          <w:i/>
        </w:rPr>
        <w:t>s</w:t>
      </w:r>
      <w:r w:rsidR="009D4DF3" w:rsidRPr="0072770E">
        <w:rPr>
          <w:i/>
        </w:rPr>
        <w:t xml:space="preserve"> close alignment with </w:t>
      </w:r>
      <w:r w:rsidR="00A80830">
        <w:rPr>
          <w:i/>
        </w:rPr>
        <w:t xml:space="preserve">the Department’s </w:t>
      </w:r>
      <w:r w:rsidRPr="0072770E">
        <w:rPr>
          <w:i/>
        </w:rPr>
        <w:t>goals</w:t>
      </w:r>
      <w:r w:rsidR="00761C77" w:rsidRPr="0072770E">
        <w:rPr>
          <w:i/>
        </w:rPr>
        <w:t>.</w:t>
      </w:r>
      <w:r w:rsidRPr="0072770E">
        <w:rPr>
          <w:i/>
        </w:rPr>
        <w:t xml:space="preserve"> </w:t>
      </w:r>
    </w:p>
    <w:p w:rsidR="00880283" w:rsidRPr="0072770E" w:rsidRDefault="0043505F" w:rsidP="007E03DD">
      <w:pPr>
        <w:spacing w:after="120"/>
      </w:pPr>
      <w:r w:rsidRPr="0072770E">
        <w:t>From 2004</w:t>
      </w:r>
      <w:r w:rsidR="00486B5F" w:rsidRPr="0072770E">
        <w:t xml:space="preserve"> until 2014, each state was required by the </w:t>
      </w:r>
      <w:r w:rsidR="00A669E2" w:rsidRPr="0072770E">
        <w:t>2004</w:t>
      </w:r>
      <w:r w:rsidR="00651863">
        <w:t xml:space="preserve"> Reauthorization of </w:t>
      </w:r>
      <w:r w:rsidR="00A669E2" w:rsidRPr="0072770E">
        <w:t>IDEA</w:t>
      </w:r>
      <w:r w:rsidR="00486B5F" w:rsidRPr="0072770E">
        <w:t xml:space="preserve"> to </w:t>
      </w:r>
      <w:r w:rsidR="00EE5A5E" w:rsidRPr="0072770E">
        <w:t xml:space="preserve">annually </w:t>
      </w:r>
      <w:r w:rsidR="00486B5F" w:rsidRPr="0072770E">
        <w:t>report</w:t>
      </w:r>
      <w:r w:rsidR="00A669E2" w:rsidRPr="0072770E">
        <w:t xml:space="preserve"> statewide data and information documenting efforts to implement the requirements and purposes of IDEA</w:t>
      </w:r>
      <w:r w:rsidR="00386B98" w:rsidRPr="0072770E">
        <w:t>, using</w:t>
      </w:r>
      <w:r w:rsidR="00A669E2" w:rsidRPr="0072770E">
        <w:t xml:space="preserve"> 20 indicators that measure</w:t>
      </w:r>
      <w:r w:rsidRPr="0072770E">
        <w:t>d</w:t>
      </w:r>
      <w:r w:rsidR="00A669E2" w:rsidRPr="0072770E">
        <w:t xml:space="preserve"> rates of compliance and performance</w:t>
      </w:r>
      <w:r w:rsidR="00880283" w:rsidRPr="0072770E">
        <w:t xml:space="preserve"> (</w:t>
      </w:r>
      <w:r w:rsidRPr="0072770E">
        <w:t xml:space="preserve">Table </w:t>
      </w:r>
      <w:r w:rsidR="0087042A">
        <w:t>4</w:t>
      </w:r>
      <w:r w:rsidRPr="0072770E">
        <w:t>)</w:t>
      </w:r>
      <w:r w:rsidR="00A669E2" w:rsidRPr="0072770E">
        <w:t>.</w:t>
      </w:r>
      <w:r w:rsidR="009C3439" w:rsidRPr="0072770E">
        <w:t xml:space="preserve"> The Massachusetts State Performance Plan (SPP) includes baseline data, targets, and improvement activities for each indicator</w:t>
      </w:r>
      <w:r w:rsidR="00386B98" w:rsidRPr="0072770E">
        <w:t xml:space="preserve"> from FFY 2005-2012. </w:t>
      </w:r>
      <w:r w:rsidR="009C3439" w:rsidRPr="0072770E">
        <w:t xml:space="preserve">The </w:t>
      </w:r>
      <w:r w:rsidR="00386B98" w:rsidRPr="0072770E">
        <w:t xml:space="preserve">Massachusetts Annual Performance Report (APR) reports annual progress in each indicator area. Both reports </w:t>
      </w:r>
      <w:r w:rsidR="009C3439" w:rsidRPr="0072770E">
        <w:t xml:space="preserve">can be found here: </w:t>
      </w:r>
      <w:hyperlink r:id="rId31" w:history="1">
        <w:r w:rsidR="009C3439" w:rsidRPr="0072770E">
          <w:rPr>
            <w:rStyle w:val="Hyperlink"/>
          </w:rPr>
          <w:t>http://www.doe.mass.edu/sped/spp</w:t>
        </w:r>
      </w:hyperlink>
      <w:r w:rsidR="009C3439" w:rsidRPr="0072770E">
        <w:t xml:space="preserve">. </w:t>
      </w:r>
    </w:p>
    <w:p w:rsidR="00F26D73" w:rsidRDefault="00F26D73" w:rsidP="00F26D73">
      <w:pPr>
        <w:rPr>
          <w:sz w:val="22"/>
          <w:szCs w:val="22"/>
        </w:rPr>
      </w:pPr>
    </w:p>
    <w:p w:rsidR="00121193" w:rsidRPr="0072770E" w:rsidRDefault="00A80830" w:rsidP="00F26D73">
      <w:pPr>
        <w:rPr>
          <w:b/>
        </w:rPr>
      </w:pPr>
      <w:r>
        <w:rPr>
          <w:b/>
        </w:rPr>
        <w:t>Table 4</w:t>
      </w:r>
      <w:r w:rsidR="00121193" w:rsidRPr="0072770E">
        <w:rPr>
          <w:b/>
        </w:rPr>
        <w:t>: SPP Performance and Compliance Indicators</w:t>
      </w:r>
      <w:r w:rsidR="00786714" w:rsidRPr="0072770E">
        <w:rPr>
          <w:b/>
        </w:rPr>
        <w:t>,</w:t>
      </w:r>
      <w:r w:rsidR="0087042A">
        <w:rPr>
          <w:b/>
        </w:rPr>
        <w:t xml:space="preserve"> </w:t>
      </w:r>
      <w:r w:rsidR="003E3D13" w:rsidRPr="0072770E">
        <w:rPr>
          <w:b/>
        </w:rPr>
        <w:t>2004</w:t>
      </w:r>
      <w:r w:rsidR="0043505F" w:rsidRPr="0072770E">
        <w:rPr>
          <w:b/>
        </w:rPr>
        <w:t xml:space="preserve"> - 2014</w:t>
      </w:r>
    </w:p>
    <w:tbl>
      <w:tblPr>
        <w:tblStyle w:val="ESETablesOpenStyle"/>
        <w:tblW w:w="9720" w:type="dxa"/>
        <w:tblLook w:val="01E0"/>
      </w:tblPr>
      <w:tblGrid>
        <w:gridCol w:w="4839"/>
        <w:gridCol w:w="4881"/>
      </w:tblGrid>
      <w:tr w:rsidR="00121193" w:rsidRPr="0072770E" w:rsidTr="0072770E">
        <w:trPr>
          <w:cnfStyle w:val="100000000000"/>
        </w:trPr>
        <w:tc>
          <w:tcPr>
            <w:cnfStyle w:val="001000000000"/>
            <w:tcW w:w="4839" w:type="dxa"/>
            <w:tcBorders>
              <w:bottom w:val="none" w:sz="0" w:space="0" w:color="auto"/>
            </w:tcBorders>
            <w:vAlign w:val="top"/>
            <w:hideMark/>
          </w:tcPr>
          <w:p w:rsidR="00121193" w:rsidRPr="0072770E" w:rsidRDefault="00121193" w:rsidP="0072770E">
            <w:pPr>
              <w:rPr>
                <w:rFonts w:ascii="Times New Roman" w:hAnsi="Times New Roman"/>
                <w:b w:val="0"/>
                <w:sz w:val="24"/>
              </w:rPr>
            </w:pPr>
            <w:r w:rsidRPr="0072770E">
              <w:rPr>
                <w:rFonts w:ascii="Times New Roman" w:hAnsi="Times New Roman"/>
                <w:b w:val="0"/>
                <w:sz w:val="24"/>
              </w:rPr>
              <w:t>Indicator 1:  Graduation Rate</w:t>
            </w:r>
          </w:p>
        </w:tc>
        <w:tc>
          <w:tcPr>
            <w:tcW w:w="4881" w:type="dxa"/>
            <w:tcBorders>
              <w:bottom w:val="none" w:sz="0" w:space="0" w:color="auto"/>
            </w:tcBorders>
            <w:vAlign w:val="top"/>
            <w:hideMark/>
          </w:tcPr>
          <w:p w:rsidR="00121193" w:rsidRPr="0072770E" w:rsidRDefault="00121193" w:rsidP="0072770E">
            <w:pPr>
              <w:jc w:val="left"/>
              <w:cnfStyle w:val="100000000000"/>
              <w:rPr>
                <w:rFonts w:ascii="Times New Roman" w:hAnsi="Times New Roman"/>
                <w:b w:val="0"/>
                <w:sz w:val="24"/>
              </w:rPr>
            </w:pPr>
            <w:r w:rsidRPr="0072770E">
              <w:rPr>
                <w:rFonts w:ascii="Times New Roman" w:hAnsi="Times New Roman"/>
                <w:b w:val="0"/>
                <w:sz w:val="24"/>
              </w:rPr>
              <w:t>Indicator 12:  Early Childhood Transition</w:t>
            </w:r>
          </w:p>
        </w:tc>
      </w:tr>
      <w:tr w:rsidR="00121193" w:rsidRPr="0072770E" w:rsidTr="0072770E">
        <w:tc>
          <w:tcPr>
            <w:cnfStyle w:val="001000000000"/>
            <w:tcW w:w="4839" w:type="dxa"/>
            <w:vAlign w:val="top"/>
            <w:hideMark/>
          </w:tcPr>
          <w:p w:rsidR="00121193" w:rsidRPr="0072770E" w:rsidRDefault="00121193" w:rsidP="0072770E">
            <w:pPr>
              <w:rPr>
                <w:rFonts w:ascii="Times New Roman" w:hAnsi="Times New Roman"/>
                <w:sz w:val="24"/>
              </w:rPr>
            </w:pPr>
            <w:r w:rsidRPr="0072770E">
              <w:rPr>
                <w:rFonts w:ascii="Times New Roman" w:hAnsi="Times New Roman"/>
                <w:sz w:val="24"/>
              </w:rPr>
              <w:t>Indicator 2:  Dropout Rate</w:t>
            </w:r>
          </w:p>
        </w:tc>
        <w:tc>
          <w:tcPr>
            <w:tcW w:w="4881" w:type="dxa"/>
            <w:vAlign w:val="top"/>
            <w:hideMark/>
          </w:tcPr>
          <w:p w:rsidR="00121193" w:rsidRPr="0072770E" w:rsidRDefault="00121193" w:rsidP="0072770E">
            <w:pPr>
              <w:jc w:val="left"/>
              <w:cnfStyle w:val="000000000000"/>
              <w:rPr>
                <w:rFonts w:ascii="Times New Roman" w:hAnsi="Times New Roman"/>
                <w:sz w:val="24"/>
              </w:rPr>
            </w:pPr>
            <w:r w:rsidRPr="0072770E">
              <w:rPr>
                <w:rFonts w:ascii="Times New Roman" w:hAnsi="Times New Roman"/>
                <w:sz w:val="24"/>
              </w:rPr>
              <w:t>Indicator 13:  Secondary Transition</w:t>
            </w:r>
          </w:p>
        </w:tc>
      </w:tr>
      <w:tr w:rsidR="00121193" w:rsidRPr="0072770E" w:rsidTr="0072770E">
        <w:tc>
          <w:tcPr>
            <w:cnfStyle w:val="001000000000"/>
            <w:tcW w:w="4839" w:type="dxa"/>
            <w:vAlign w:val="top"/>
            <w:hideMark/>
          </w:tcPr>
          <w:p w:rsidR="00121193" w:rsidRPr="0072770E" w:rsidRDefault="00121193" w:rsidP="0072770E">
            <w:pPr>
              <w:rPr>
                <w:rFonts w:ascii="Times New Roman" w:hAnsi="Times New Roman"/>
                <w:sz w:val="24"/>
              </w:rPr>
            </w:pPr>
            <w:r w:rsidRPr="0072770E">
              <w:rPr>
                <w:rFonts w:ascii="Times New Roman" w:hAnsi="Times New Roman"/>
                <w:sz w:val="24"/>
              </w:rPr>
              <w:t>Indicator 3:  Assessment</w:t>
            </w:r>
            <w:r w:rsidR="00EE5A5E" w:rsidRPr="0072770E">
              <w:rPr>
                <w:rFonts w:ascii="Times New Roman" w:hAnsi="Times New Roman"/>
                <w:sz w:val="24"/>
              </w:rPr>
              <w:t xml:space="preserve"> (</w:t>
            </w:r>
            <w:r w:rsidR="00531C10" w:rsidRPr="0072770E">
              <w:rPr>
                <w:rFonts w:ascii="Times New Roman" w:hAnsi="Times New Roman"/>
                <w:sz w:val="24"/>
              </w:rPr>
              <w:t xml:space="preserve">i.e., </w:t>
            </w:r>
            <w:r w:rsidR="00D55867" w:rsidRPr="0072770E">
              <w:rPr>
                <w:rFonts w:ascii="Times New Roman" w:hAnsi="Times New Roman"/>
                <w:sz w:val="24"/>
              </w:rPr>
              <w:t>MCAS)</w:t>
            </w:r>
          </w:p>
        </w:tc>
        <w:tc>
          <w:tcPr>
            <w:tcW w:w="4881" w:type="dxa"/>
            <w:vAlign w:val="top"/>
            <w:hideMark/>
          </w:tcPr>
          <w:p w:rsidR="00121193" w:rsidRPr="0072770E" w:rsidRDefault="00121193" w:rsidP="0072770E">
            <w:pPr>
              <w:jc w:val="left"/>
              <w:cnfStyle w:val="000000000000"/>
              <w:rPr>
                <w:rFonts w:ascii="Times New Roman" w:hAnsi="Times New Roman"/>
                <w:sz w:val="24"/>
              </w:rPr>
            </w:pPr>
            <w:r w:rsidRPr="0072770E">
              <w:rPr>
                <w:rFonts w:ascii="Times New Roman" w:hAnsi="Times New Roman"/>
                <w:sz w:val="24"/>
              </w:rPr>
              <w:t>Indicator 14:  Post-School Outcomes</w:t>
            </w:r>
          </w:p>
        </w:tc>
      </w:tr>
      <w:tr w:rsidR="00121193" w:rsidRPr="0072770E" w:rsidTr="0072770E">
        <w:tc>
          <w:tcPr>
            <w:cnfStyle w:val="001000000000"/>
            <w:tcW w:w="4839" w:type="dxa"/>
            <w:vAlign w:val="top"/>
            <w:hideMark/>
          </w:tcPr>
          <w:p w:rsidR="00121193" w:rsidRPr="0072770E" w:rsidRDefault="00121193" w:rsidP="0072770E">
            <w:pPr>
              <w:rPr>
                <w:rFonts w:ascii="Times New Roman" w:hAnsi="Times New Roman"/>
                <w:sz w:val="24"/>
              </w:rPr>
            </w:pPr>
            <w:r w:rsidRPr="0072770E">
              <w:rPr>
                <w:rFonts w:ascii="Times New Roman" w:hAnsi="Times New Roman"/>
                <w:sz w:val="24"/>
              </w:rPr>
              <w:t>Indicator 4:  Suspension/Expulsion</w:t>
            </w:r>
          </w:p>
        </w:tc>
        <w:tc>
          <w:tcPr>
            <w:tcW w:w="4881" w:type="dxa"/>
            <w:vAlign w:val="top"/>
            <w:hideMark/>
          </w:tcPr>
          <w:p w:rsidR="00121193" w:rsidRPr="0072770E" w:rsidRDefault="00121193" w:rsidP="0072770E">
            <w:pPr>
              <w:jc w:val="left"/>
              <w:cnfStyle w:val="000000000000"/>
              <w:rPr>
                <w:rFonts w:ascii="Times New Roman" w:hAnsi="Times New Roman"/>
                <w:sz w:val="24"/>
              </w:rPr>
            </w:pPr>
            <w:r w:rsidRPr="0072770E">
              <w:rPr>
                <w:rFonts w:ascii="Times New Roman" w:hAnsi="Times New Roman"/>
                <w:sz w:val="24"/>
              </w:rPr>
              <w:t>Indicator 15:  ID and Correction of Noncompliance</w:t>
            </w:r>
          </w:p>
        </w:tc>
      </w:tr>
      <w:tr w:rsidR="00121193" w:rsidRPr="0072770E" w:rsidTr="0072770E">
        <w:tc>
          <w:tcPr>
            <w:cnfStyle w:val="001000000000"/>
            <w:tcW w:w="4839" w:type="dxa"/>
            <w:vAlign w:val="top"/>
            <w:hideMark/>
          </w:tcPr>
          <w:p w:rsidR="00121193" w:rsidRPr="0072770E" w:rsidRDefault="00121193" w:rsidP="0072770E">
            <w:pPr>
              <w:rPr>
                <w:rFonts w:ascii="Times New Roman" w:hAnsi="Times New Roman"/>
                <w:sz w:val="24"/>
              </w:rPr>
            </w:pPr>
            <w:r w:rsidRPr="0072770E">
              <w:rPr>
                <w:rFonts w:ascii="Times New Roman" w:hAnsi="Times New Roman"/>
                <w:sz w:val="24"/>
              </w:rPr>
              <w:t>Indicators 5 &amp; 6: Least Restrictive Environment (LRE)</w:t>
            </w:r>
          </w:p>
        </w:tc>
        <w:tc>
          <w:tcPr>
            <w:tcW w:w="4881" w:type="dxa"/>
            <w:vAlign w:val="top"/>
            <w:hideMark/>
          </w:tcPr>
          <w:p w:rsidR="00121193" w:rsidRPr="0072770E" w:rsidRDefault="00121193" w:rsidP="0072770E">
            <w:pPr>
              <w:jc w:val="left"/>
              <w:cnfStyle w:val="000000000000"/>
              <w:rPr>
                <w:rFonts w:ascii="Times New Roman" w:hAnsi="Times New Roman"/>
                <w:sz w:val="24"/>
              </w:rPr>
            </w:pPr>
            <w:r w:rsidRPr="0072770E">
              <w:rPr>
                <w:rFonts w:ascii="Times New Roman" w:hAnsi="Times New Roman"/>
                <w:sz w:val="24"/>
              </w:rPr>
              <w:t>Indicator 16:  Complaint Resolution within Timelines</w:t>
            </w:r>
          </w:p>
        </w:tc>
      </w:tr>
      <w:tr w:rsidR="00121193" w:rsidRPr="0072770E" w:rsidTr="0072770E">
        <w:tc>
          <w:tcPr>
            <w:cnfStyle w:val="001000000000"/>
            <w:tcW w:w="4839" w:type="dxa"/>
            <w:vAlign w:val="top"/>
            <w:hideMark/>
          </w:tcPr>
          <w:p w:rsidR="00121193" w:rsidRPr="0072770E" w:rsidRDefault="00121193" w:rsidP="0072770E">
            <w:pPr>
              <w:rPr>
                <w:rFonts w:ascii="Times New Roman" w:hAnsi="Times New Roman"/>
                <w:sz w:val="24"/>
              </w:rPr>
            </w:pPr>
            <w:r w:rsidRPr="0072770E">
              <w:rPr>
                <w:rFonts w:ascii="Times New Roman" w:hAnsi="Times New Roman"/>
                <w:sz w:val="24"/>
              </w:rPr>
              <w:t>Indicator 7:  Preschool Outcomes</w:t>
            </w:r>
          </w:p>
        </w:tc>
        <w:tc>
          <w:tcPr>
            <w:tcW w:w="4881" w:type="dxa"/>
            <w:vAlign w:val="top"/>
            <w:hideMark/>
          </w:tcPr>
          <w:p w:rsidR="00121193" w:rsidRPr="0072770E" w:rsidRDefault="00121193" w:rsidP="0072770E">
            <w:pPr>
              <w:jc w:val="left"/>
              <w:cnfStyle w:val="000000000000"/>
              <w:rPr>
                <w:rFonts w:ascii="Times New Roman" w:hAnsi="Times New Roman"/>
                <w:sz w:val="24"/>
              </w:rPr>
            </w:pPr>
            <w:r w:rsidRPr="0072770E">
              <w:rPr>
                <w:rFonts w:ascii="Times New Roman" w:hAnsi="Times New Roman"/>
                <w:sz w:val="24"/>
              </w:rPr>
              <w:t>Indicator 17:  Due Process within Timelines</w:t>
            </w:r>
          </w:p>
        </w:tc>
      </w:tr>
      <w:tr w:rsidR="00121193" w:rsidRPr="0072770E" w:rsidTr="0072770E">
        <w:tc>
          <w:tcPr>
            <w:cnfStyle w:val="001000000000"/>
            <w:tcW w:w="4839" w:type="dxa"/>
            <w:vAlign w:val="top"/>
            <w:hideMark/>
          </w:tcPr>
          <w:p w:rsidR="00121193" w:rsidRPr="0072770E" w:rsidRDefault="00121193" w:rsidP="0072770E">
            <w:pPr>
              <w:rPr>
                <w:rFonts w:ascii="Times New Roman" w:hAnsi="Times New Roman"/>
                <w:sz w:val="24"/>
              </w:rPr>
            </w:pPr>
            <w:r w:rsidRPr="0072770E">
              <w:rPr>
                <w:rFonts w:ascii="Times New Roman" w:hAnsi="Times New Roman"/>
                <w:sz w:val="24"/>
              </w:rPr>
              <w:t>Indicator 8:  Parent Involvement</w:t>
            </w:r>
          </w:p>
        </w:tc>
        <w:tc>
          <w:tcPr>
            <w:tcW w:w="4881" w:type="dxa"/>
            <w:vAlign w:val="top"/>
            <w:hideMark/>
          </w:tcPr>
          <w:p w:rsidR="00121193" w:rsidRPr="0072770E" w:rsidRDefault="00121193" w:rsidP="0072770E">
            <w:pPr>
              <w:jc w:val="left"/>
              <w:cnfStyle w:val="000000000000"/>
              <w:rPr>
                <w:rFonts w:ascii="Times New Roman" w:hAnsi="Times New Roman"/>
                <w:sz w:val="24"/>
              </w:rPr>
            </w:pPr>
            <w:r w:rsidRPr="0072770E">
              <w:rPr>
                <w:rFonts w:ascii="Times New Roman" w:hAnsi="Times New Roman"/>
                <w:sz w:val="24"/>
              </w:rPr>
              <w:t>Indicator 18:  Use of Resolution Sessions</w:t>
            </w:r>
          </w:p>
        </w:tc>
      </w:tr>
      <w:tr w:rsidR="00121193" w:rsidRPr="0072770E" w:rsidTr="0072770E">
        <w:tc>
          <w:tcPr>
            <w:cnfStyle w:val="001000000000"/>
            <w:tcW w:w="4839" w:type="dxa"/>
            <w:vAlign w:val="top"/>
            <w:hideMark/>
          </w:tcPr>
          <w:p w:rsidR="00121193" w:rsidRPr="0072770E" w:rsidRDefault="00121193" w:rsidP="0072770E">
            <w:pPr>
              <w:rPr>
                <w:rFonts w:ascii="Times New Roman" w:hAnsi="Times New Roman"/>
                <w:sz w:val="24"/>
              </w:rPr>
            </w:pPr>
            <w:r w:rsidRPr="0072770E">
              <w:rPr>
                <w:rFonts w:ascii="Times New Roman" w:hAnsi="Times New Roman"/>
                <w:sz w:val="24"/>
              </w:rPr>
              <w:t>Indicators 9 &amp; 10:  Disproportionality</w:t>
            </w:r>
          </w:p>
        </w:tc>
        <w:tc>
          <w:tcPr>
            <w:tcW w:w="4881" w:type="dxa"/>
            <w:vAlign w:val="top"/>
            <w:hideMark/>
          </w:tcPr>
          <w:p w:rsidR="00121193" w:rsidRPr="0072770E" w:rsidRDefault="00121193" w:rsidP="0072770E">
            <w:pPr>
              <w:jc w:val="left"/>
              <w:cnfStyle w:val="000000000000"/>
              <w:rPr>
                <w:rFonts w:ascii="Times New Roman" w:hAnsi="Times New Roman"/>
                <w:sz w:val="24"/>
              </w:rPr>
            </w:pPr>
            <w:r w:rsidRPr="0072770E">
              <w:rPr>
                <w:rFonts w:ascii="Times New Roman" w:hAnsi="Times New Roman"/>
                <w:sz w:val="24"/>
              </w:rPr>
              <w:t>Indicator 19:  Mediation Agreements</w:t>
            </w:r>
          </w:p>
        </w:tc>
      </w:tr>
      <w:tr w:rsidR="00121193" w:rsidRPr="0072770E" w:rsidTr="0072770E">
        <w:trPr>
          <w:cnfStyle w:val="010000000000"/>
        </w:trPr>
        <w:tc>
          <w:tcPr>
            <w:cnfStyle w:val="001000000000"/>
            <w:tcW w:w="4839" w:type="dxa"/>
            <w:tcBorders>
              <w:top w:val="none" w:sz="0" w:space="0" w:color="auto"/>
            </w:tcBorders>
            <w:vAlign w:val="top"/>
            <w:hideMark/>
          </w:tcPr>
          <w:p w:rsidR="00121193" w:rsidRPr="0072770E" w:rsidRDefault="00121193" w:rsidP="0072770E">
            <w:pPr>
              <w:rPr>
                <w:rFonts w:ascii="Times New Roman" w:hAnsi="Times New Roman"/>
                <w:sz w:val="24"/>
              </w:rPr>
            </w:pPr>
            <w:r w:rsidRPr="0072770E">
              <w:rPr>
                <w:rFonts w:ascii="Times New Roman" w:hAnsi="Times New Roman"/>
                <w:sz w:val="24"/>
              </w:rPr>
              <w:t>Indicator 11:  Initial Evaluation within Timelines</w:t>
            </w:r>
          </w:p>
        </w:tc>
        <w:tc>
          <w:tcPr>
            <w:tcW w:w="4881" w:type="dxa"/>
            <w:tcBorders>
              <w:top w:val="none" w:sz="0" w:space="0" w:color="auto"/>
            </w:tcBorders>
            <w:vAlign w:val="top"/>
            <w:hideMark/>
          </w:tcPr>
          <w:p w:rsidR="00121193" w:rsidRPr="0072770E" w:rsidRDefault="00121193" w:rsidP="0072770E">
            <w:pPr>
              <w:jc w:val="left"/>
              <w:cnfStyle w:val="010000000000"/>
              <w:rPr>
                <w:rFonts w:ascii="Times New Roman" w:hAnsi="Times New Roman"/>
                <w:sz w:val="24"/>
              </w:rPr>
            </w:pPr>
            <w:r w:rsidRPr="0072770E">
              <w:rPr>
                <w:rFonts w:ascii="Times New Roman" w:hAnsi="Times New Roman"/>
                <w:sz w:val="24"/>
              </w:rPr>
              <w:t>Indicator 20:  Timely State Reported Data</w:t>
            </w:r>
          </w:p>
        </w:tc>
      </w:tr>
    </w:tbl>
    <w:p w:rsidR="00121193" w:rsidRPr="00A669E2" w:rsidRDefault="00121193" w:rsidP="00A669E2">
      <w:pPr>
        <w:rPr>
          <w:sz w:val="22"/>
          <w:szCs w:val="22"/>
        </w:rPr>
      </w:pPr>
    </w:p>
    <w:p w:rsidR="001B44B2" w:rsidRPr="0072770E" w:rsidRDefault="001B44B2" w:rsidP="00B76ABD">
      <w:pPr>
        <w:spacing w:after="120"/>
      </w:pPr>
      <w:r w:rsidRPr="0072770E">
        <w:t xml:space="preserve">In her June 2014 </w:t>
      </w:r>
      <w:r w:rsidR="00786714" w:rsidRPr="0072770E">
        <w:t>response to the Department’s February 2014 SPP/APR submission, U.S. O</w:t>
      </w:r>
      <w:r w:rsidRPr="0072770E">
        <w:t xml:space="preserve">ffice of Special Education Programs (OSEP) Director Melody Musgrove </w:t>
      </w:r>
      <w:r w:rsidR="004A1E5F" w:rsidRPr="0072770E">
        <w:t>highlighted</w:t>
      </w:r>
      <w:r w:rsidR="00455DBC" w:rsidRPr="0072770E">
        <w:t xml:space="preserve"> a new focus for national special education reporting:</w:t>
      </w:r>
      <w:r w:rsidRPr="0072770E">
        <w:t xml:space="preserve"> </w:t>
      </w:r>
    </w:p>
    <w:p w:rsidR="00795BA9" w:rsidRPr="009B44B7" w:rsidRDefault="00007776" w:rsidP="009B44B7">
      <w:pPr>
        <w:tabs>
          <w:tab w:val="left" w:pos="9360"/>
        </w:tabs>
        <w:spacing w:after="120"/>
        <w:ind w:left="450"/>
        <w:rPr>
          <w:sz w:val="22"/>
          <w:szCs w:val="22"/>
        </w:rPr>
      </w:pPr>
      <w:r w:rsidRPr="009B44B7">
        <w:rPr>
          <w:sz w:val="22"/>
          <w:szCs w:val="22"/>
        </w:rPr>
        <w:t>“</w:t>
      </w:r>
      <w:r w:rsidR="001B44B2" w:rsidRPr="009B44B7">
        <w:rPr>
          <w:sz w:val="22"/>
          <w:szCs w:val="22"/>
        </w:rPr>
        <w:t xml:space="preserve">OSEP’s previous accountability system placed a heavy emphasis on compliance and we have seen an improvement in States’ compliance over the past seven years of IDEA determinations. OSEP’s new accountability framework, called Results Driven Accountability (RDA), brings into focus the educational results and functional outcomes for children with disabilities while balancing those results with the compliance requirements of IDEA. Protecting the rights of children with disabilities and their families </w:t>
      </w:r>
      <w:r w:rsidR="00795BA9" w:rsidRPr="009B44B7">
        <w:rPr>
          <w:sz w:val="22"/>
          <w:szCs w:val="22"/>
        </w:rPr>
        <w:t>is a key responsibility of s</w:t>
      </w:r>
      <w:r w:rsidR="001B44B2" w:rsidRPr="009B44B7">
        <w:rPr>
          <w:sz w:val="22"/>
          <w:szCs w:val="22"/>
        </w:rPr>
        <w:t>tate educational agencies (SEAs) and local educational agencies (LEAs), but it is not sufficient if children are not attaining the knowledge and skills necessary to achieve the goals of IDEA as reflected in Congressional findings in section 601(c</w:t>
      </w:r>
      <w:proofErr w:type="gramStart"/>
      <w:r w:rsidR="001B44B2" w:rsidRPr="009B44B7">
        <w:rPr>
          <w:sz w:val="22"/>
          <w:szCs w:val="22"/>
        </w:rPr>
        <w:t>)(</w:t>
      </w:r>
      <w:proofErr w:type="gramEnd"/>
      <w:r w:rsidR="001B44B2" w:rsidRPr="009B44B7">
        <w:rPr>
          <w:sz w:val="22"/>
          <w:szCs w:val="22"/>
        </w:rPr>
        <w:t>1) of the IDEA Improvement Act of 2004: equality of opportunity, full participation, independent living, and economic self-sufficiency.</w:t>
      </w:r>
      <w:r w:rsidRPr="009B44B7">
        <w:rPr>
          <w:sz w:val="22"/>
          <w:szCs w:val="22"/>
        </w:rPr>
        <w:t>”</w:t>
      </w:r>
    </w:p>
    <w:p w:rsidR="00D9297C" w:rsidRDefault="007E1D8B" w:rsidP="00D9297C">
      <w:pPr>
        <w:spacing w:after="120"/>
      </w:pPr>
      <w:r>
        <w:t>According to OSEP</w:t>
      </w:r>
      <w:r w:rsidR="00662EAE" w:rsidRPr="0072770E">
        <w:t xml:space="preserve">, compliance is necessary but no longer sufficient. </w:t>
      </w:r>
      <w:r w:rsidR="007C7C13" w:rsidRPr="0072770E">
        <w:t>Under the</w:t>
      </w:r>
      <w:r w:rsidR="0084410D" w:rsidRPr="0072770E">
        <w:t xml:space="preserve"> new</w:t>
      </w:r>
      <w:r w:rsidR="007C7C13" w:rsidRPr="0072770E">
        <w:t xml:space="preserve"> RDA standard, Massachusetts achieved a determination of “meets requirements” for FY14</w:t>
      </w:r>
      <w:r w:rsidR="0084410D" w:rsidRPr="0072770E">
        <w:t xml:space="preserve"> on the basis of our students with disabilities’ performance on the National Assessment of Educational Progress (NAEP) and their participation rate in the MCAS, taken together with a high statewide rate of compliance.</w:t>
      </w:r>
      <w:r w:rsidR="000617CC" w:rsidRPr="0072770E">
        <w:t xml:space="preserve"> Massachusetts was </w:t>
      </w:r>
      <w:r w:rsidR="00FF1A59">
        <w:t>1</w:t>
      </w:r>
      <w:r w:rsidR="000617CC" w:rsidRPr="0072770E">
        <w:t xml:space="preserve"> of only 15 states to achieve the “meets requirements” distinction. </w:t>
      </w:r>
    </w:p>
    <w:p w:rsidR="006B7FE2" w:rsidRPr="0072770E" w:rsidRDefault="00662EAE" w:rsidP="00D9297C">
      <w:pPr>
        <w:spacing w:after="120"/>
      </w:pPr>
      <w:r w:rsidRPr="0072770E">
        <w:t>Beginning</w:t>
      </w:r>
      <w:r w:rsidR="009C3439" w:rsidRPr="0072770E">
        <w:t xml:space="preserve"> with the annual </w:t>
      </w:r>
      <w:r w:rsidRPr="0072770E">
        <w:t>SPP/APR</w:t>
      </w:r>
      <w:r w:rsidR="009C3439" w:rsidRPr="0072770E">
        <w:t xml:space="preserve"> to be filed in February 2015, states will report</w:t>
      </w:r>
      <w:r w:rsidR="00D55867" w:rsidRPr="0072770E">
        <w:t xml:space="preserve"> annually</w:t>
      </w:r>
      <w:r w:rsidR="009C3439" w:rsidRPr="0072770E">
        <w:t xml:space="preserve"> on 17 indicators.</w:t>
      </w:r>
      <w:r w:rsidR="00D9297C">
        <w:t xml:space="preserve"> OSEP’s intent in restructuring the annual reporting requirements in the SPP/APR was to reduce redundancy in reporting data that states already submit annually through other sources. Though these data will still be considered by OSEP in its annual state determinations, data will no longer be reported in the SPP/APR. </w:t>
      </w:r>
    </w:p>
    <w:p w:rsidR="0004587A" w:rsidRPr="0072770E" w:rsidRDefault="0004587A" w:rsidP="007E03DD">
      <w:pPr>
        <w:spacing w:after="120"/>
      </w:pPr>
      <w:r w:rsidRPr="0072770E">
        <w:t xml:space="preserve">Indicator 17 has become the </w:t>
      </w:r>
      <w:r w:rsidRPr="0072770E">
        <w:rPr>
          <w:b/>
          <w:bCs/>
        </w:rPr>
        <w:t>State Systemic Improvement Plan—the SSIP</w:t>
      </w:r>
      <w:r w:rsidRPr="0072770E">
        <w:t xml:space="preserve">. The measurement of this new indicator requires each state to develop a comprehensive multi-year systemic improvement plan, focused on improving a </w:t>
      </w:r>
      <w:r w:rsidR="009B44B7" w:rsidRPr="009B44B7">
        <w:rPr>
          <w:u w:val="single"/>
        </w:rPr>
        <w:t>S</w:t>
      </w:r>
      <w:r w:rsidRPr="009B44B7">
        <w:t>tate</w:t>
      </w:r>
      <w:r w:rsidRPr="0072770E">
        <w:t>-</w:t>
      </w:r>
      <w:r w:rsidR="009B44B7" w:rsidRPr="009B44B7">
        <w:rPr>
          <w:u w:val="single"/>
        </w:rPr>
        <w:t>I</w:t>
      </w:r>
      <w:r w:rsidRPr="0072770E">
        <w:t>den</w:t>
      </w:r>
      <w:r w:rsidR="00DC314B">
        <w:t xml:space="preserve">tified </w:t>
      </w:r>
      <w:r w:rsidR="009B44B7" w:rsidRPr="009B44B7">
        <w:rPr>
          <w:u w:val="single"/>
        </w:rPr>
        <w:t>M</w:t>
      </w:r>
      <w:r w:rsidR="00DC314B">
        <w:t xml:space="preserve">easurable </w:t>
      </w:r>
      <w:r w:rsidR="009B44B7" w:rsidRPr="009B44B7">
        <w:rPr>
          <w:u w:val="single"/>
        </w:rPr>
        <w:t>R</w:t>
      </w:r>
      <w:r w:rsidR="00DC314B">
        <w:t xml:space="preserve">esult </w:t>
      </w:r>
      <w:r w:rsidR="009B44B7">
        <w:t xml:space="preserve">(SIMR) </w:t>
      </w:r>
      <w:r w:rsidRPr="0072770E">
        <w:t>for children with disabilities, that includes the following components:</w:t>
      </w:r>
    </w:p>
    <w:p w:rsidR="0004587A" w:rsidRPr="0072770E" w:rsidRDefault="0004587A" w:rsidP="00CA535E">
      <w:pPr>
        <w:pStyle w:val="ListParagraph"/>
        <w:numPr>
          <w:ilvl w:val="0"/>
          <w:numId w:val="13"/>
        </w:numPr>
        <w:spacing w:after="120"/>
        <w:rPr>
          <w:rFonts w:ascii="Times New Roman" w:hAnsi="Times New Roman"/>
          <w:sz w:val="24"/>
          <w:szCs w:val="24"/>
        </w:rPr>
      </w:pPr>
      <w:r w:rsidRPr="0072770E">
        <w:rPr>
          <w:rFonts w:ascii="Times New Roman" w:hAnsi="Times New Roman"/>
          <w:sz w:val="24"/>
          <w:szCs w:val="24"/>
        </w:rPr>
        <w:t>Data analysis</w:t>
      </w:r>
    </w:p>
    <w:p w:rsidR="0004587A" w:rsidRPr="0072770E" w:rsidRDefault="0004587A" w:rsidP="00CA535E">
      <w:pPr>
        <w:pStyle w:val="ListParagraph"/>
        <w:numPr>
          <w:ilvl w:val="0"/>
          <w:numId w:val="13"/>
        </w:numPr>
        <w:spacing w:after="120"/>
        <w:rPr>
          <w:rFonts w:ascii="Times New Roman" w:hAnsi="Times New Roman"/>
          <w:sz w:val="24"/>
          <w:szCs w:val="24"/>
        </w:rPr>
      </w:pPr>
      <w:r w:rsidRPr="0072770E">
        <w:rPr>
          <w:rFonts w:ascii="Times New Roman" w:hAnsi="Times New Roman"/>
          <w:sz w:val="24"/>
          <w:szCs w:val="24"/>
        </w:rPr>
        <w:t xml:space="preserve">A state-identified measurable result </w:t>
      </w:r>
    </w:p>
    <w:p w:rsidR="0004587A" w:rsidRPr="0072770E" w:rsidRDefault="0004587A" w:rsidP="00CA535E">
      <w:pPr>
        <w:pStyle w:val="ListParagraph"/>
        <w:numPr>
          <w:ilvl w:val="0"/>
          <w:numId w:val="13"/>
        </w:numPr>
        <w:spacing w:after="120"/>
        <w:rPr>
          <w:rFonts w:ascii="Times New Roman" w:hAnsi="Times New Roman"/>
          <w:sz w:val="24"/>
          <w:szCs w:val="24"/>
        </w:rPr>
      </w:pPr>
      <w:r w:rsidRPr="0072770E">
        <w:rPr>
          <w:rFonts w:ascii="Times New Roman" w:hAnsi="Times New Roman"/>
          <w:sz w:val="24"/>
          <w:szCs w:val="24"/>
        </w:rPr>
        <w:t>Analysis and development of infrastructure to support improvement and build capacity</w:t>
      </w:r>
    </w:p>
    <w:p w:rsidR="0004587A" w:rsidRPr="0072770E" w:rsidRDefault="0004587A" w:rsidP="00CA535E">
      <w:pPr>
        <w:pStyle w:val="ListParagraph"/>
        <w:numPr>
          <w:ilvl w:val="0"/>
          <w:numId w:val="13"/>
        </w:numPr>
        <w:spacing w:after="120"/>
        <w:rPr>
          <w:rFonts w:ascii="Times New Roman" w:hAnsi="Times New Roman"/>
          <w:sz w:val="24"/>
          <w:szCs w:val="24"/>
        </w:rPr>
      </w:pPr>
      <w:r w:rsidRPr="0072770E">
        <w:rPr>
          <w:rFonts w:ascii="Times New Roman" w:hAnsi="Times New Roman"/>
          <w:sz w:val="24"/>
          <w:szCs w:val="24"/>
        </w:rPr>
        <w:t>A theory of action</w:t>
      </w:r>
    </w:p>
    <w:p w:rsidR="0004587A" w:rsidRPr="0072770E" w:rsidRDefault="0004587A" w:rsidP="00CA535E">
      <w:pPr>
        <w:pStyle w:val="ListParagraph"/>
        <w:numPr>
          <w:ilvl w:val="0"/>
          <w:numId w:val="13"/>
        </w:numPr>
        <w:spacing w:after="120"/>
        <w:rPr>
          <w:rFonts w:ascii="Times New Roman" w:hAnsi="Times New Roman"/>
          <w:sz w:val="24"/>
          <w:szCs w:val="24"/>
        </w:rPr>
      </w:pPr>
      <w:r w:rsidRPr="0072770E">
        <w:rPr>
          <w:rFonts w:ascii="Times New Roman" w:hAnsi="Times New Roman"/>
          <w:sz w:val="24"/>
          <w:szCs w:val="24"/>
        </w:rPr>
        <w:t>Support for local educational agency (LEA) implementation of evidence-based practices</w:t>
      </w:r>
    </w:p>
    <w:p w:rsidR="0004587A" w:rsidRPr="0072770E" w:rsidRDefault="0004587A" w:rsidP="00CA535E">
      <w:pPr>
        <w:pStyle w:val="ListParagraph"/>
        <w:numPr>
          <w:ilvl w:val="0"/>
          <w:numId w:val="13"/>
        </w:numPr>
        <w:spacing w:after="120"/>
        <w:rPr>
          <w:rFonts w:ascii="Times New Roman" w:hAnsi="Times New Roman"/>
          <w:sz w:val="24"/>
          <w:szCs w:val="24"/>
        </w:rPr>
      </w:pPr>
      <w:r w:rsidRPr="0072770E">
        <w:rPr>
          <w:rFonts w:ascii="Times New Roman" w:hAnsi="Times New Roman"/>
          <w:sz w:val="24"/>
          <w:szCs w:val="24"/>
        </w:rPr>
        <w:t>An evaluation plan</w:t>
      </w:r>
    </w:p>
    <w:p w:rsidR="004A1E5F" w:rsidRPr="0072770E" w:rsidRDefault="004A1E5F" w:rsidP="007E03DD">
      <w:pPr>
        <w:spacing w:after="120"/>
      </w:pPr>
    </w:p>
    <w:p w:rsidR="00180963" w:rsidRPr="0072770E" w:rsidRDefault="005B7ACC" w:rsidP="007E03DD">
      <w:pPr>
        <w:spacing w:after="120"/>
      </w:pPr>
      <w:r w:rsidRPr="0072770E">
        <w:t xml:space="preserve">Each state may choose its own area of focus; Massachusetts has chosen early childhood outcomes. </w:t>
      </w:r>
      <w:r w:rsidR="001F24C0" w:rsidRPr="0072770E">
        <w:t xml:space="preserve">Preparatory work to meet the requirements of this new indicator </w:t>
      </w:r>
      <w:r w:rsidR="00387053" w:rsidRPr="0072770E">
        <w:t>began in FY14</w:t>
      </w:r>
      <w:r w:rsidR="001F24C0" w:rsidRPr="0072770E">
        <w:t xml:space="preserve"> and will be discussed in </w:t>
      </w:r>
      <w:hyperlink w:anchor="_V.__FY14" w:history="1">
        <w:r w:rsidR="00CD4741" w:rsidRPr="00685BBE">
          <w:rPr>
            <w:rStyle w:val="Hyperlink"/>
          </w:rPr>
          <w:t>Section V</w:t>
        </w:r>
      </w:hyperlink>
      <w:r w:rsidR="001F24C0" w:rsidRPr="0072770E">
        <w:t xml:space="preserve"> below.</w:t>
      </w:r>
    </w:p>
    <w:p w:rsidR="007E03DD" w:rsidRDefault="007870BE" w:rsidP="007E03DD">
      <w:pPr>
        <w:spacing w:after="120"/>
      </w:pPr>
      <w:proofErr w:type="gramStart"/>
      <w:r w:rsidRPr="0072770E">
        <w:t>Results Driven Accountability, though</w:t>
      </w:r>
      <w:r w:rsidR="00031F6D" w:rsidRPr="0072770E">
        <w:t xml:space="preserve"> a new initiative </w:t>
      </w:r>
      <w:r w:rsidRPr="0072770E">
        <w:t xml:space="preserve">at the federal level, </w:t>
      </w:r>
      <w:r w:rsidR="008C3458">
        <w:t xml:space="preserve">is not a new approach </w:t>
      </w:r>
      <w:r w:rsidR="00761C77" w:rsidRPr="0072770E">
        <w:t>for Massachusetts</w:t>
      </w:r>
      <w:r w:rsidR="008C3458">
        <w:t xml:space="preserve"> to assess performance and outcomes for students with disabilities</w:t>
      </w:r>
      <w:r w:rsidR="00761C77" w:rsidRPr="0072770E">
        <w:t>.</w:t>
      </w:r>
      <w:proofErr w:type="gramEnd"/>
      <w:r w:rsidR="00761C77" w:rsidRPr="0072770E">
        <w:t xml:space="preserve"> Since </w:t>
      </w:r>
      <w:r w:rsidR="00637D39" w:rsidRPr="0072770E">
        <w:t>2003, when Massachusetts launched its accountability system based on performance, we have emphasized outcomes and not simply process</w:t>
      </w:r>
      <w:r w:rsidR="00106D32" w:rsidRPr="0072770E">
        <w:t xml:space="preserve"> or compliance (Figure </w:t>
      </w:r>
      <w:r w:rsidR="009B44B7">
        <w:t>E</w:t>
      </w:r>
      <w:r w:rsidR="00106D32" w:rsidRPr="0072770E">
        <w:t>)</w:t>
      </w:r>
      <w:r w:rsidR="00637D39" w:rsidRPr="0072770E">
        <w:t xml:space="preserve">. </w:t>
      </w:r>
      <w:r w:rsidRPr="0072770E">
        <w:t>Our Department’s goal</w:t>
      </w:r>
      <w:r w:rsidR="00087074" w:rsidRPr="0072770E">
        <w:t xml:space="preserve"> as expressed in our </w:t>
      </w:r>
      <w:hyperlink r:id="rId32" w:history="1">
        <w:r w:rsidR="00087074" w:rsidRPr="0072770E">
          <w:rPr>
            <w:rStyle w:val="Hyperlink"/>
          </w:rPr>
          <w:t>strategic plan</w:t>
        </w:r>
      </w:hyperlink>
      <w:r w:rsidR="00087074" w:rsidRPr="0072770E">
        <w:t xml:space="preserve"> is</w:t>
      </w:r>
      <w:r w:rsidRPr="0072770E">
        <w:t xml:space="preserve"> to prepare </w:t>
      </w:r>
      <w:r w:rsidR="00637D39" w:rsidRPr="0072770E">
        <w:t xml:space="preserve">all </w:t>
      </w:r>
      <w:r w:rsidRPr="0072770E">
        <w:t>students for success after high school, and our outcomes-oriented approach for all students resonates with IDEA’s goal to provide for “equality of opportunity, full participation, independent living, and economic self-sufficiency” for students with disabilities.</w:t>
      </w:r>
    </w:p>
    <w:p w:rsidR="00637D39" w:rsidRDefault="006B7FE2" w:rsidP="00180963">
      <w:pPr>
        <w:spacing w:after="120"/>
        <w:rPr>
          <w:b/>
          <w:sz w:val="22"/>
          <w:szCs w:val="22"/>
        </w:rPr>
      </w:pPr>
      <w:r w:rsidRPr="00FB608F">
        <w:rPr>
          <w:b/>
          <w:sz w:val="22"/>
          <w:szCs w:val="22"/>
        </w:rPr>
        <w:t>F</w:t>
      </w:r>
      <w:r w:rsidR="00964B65">
        <w:rPr>
          <w:b/>
          <w:sz w:val="22"/>
          <w:szCs w:val="22"/>
        </w:rPr>
        <w:t>igure E</w:t>
      </w:r>
      <w:r w:rsidRPr="00FB608F">
        <w:rPr>
          <w:b/>
          <w:sz w:val="22"/>
          <w:szCs w:val="22"/>
        </w:rPr>
        <w:t xml:space="preserve">: </w:t>
      </w:r>
      <w:r w:rsidR="00106D32">
        <w:rPr>
          <w:b/>
          <w:sz w:val="22"/>
          <w:szCs w:val="22"/>
        </w:rPr>
        <w:t>Massachusetts and Federal Accountability System Timeline</w:t>
      </w:r>
    </w:p>
    <w:p w:rsidR="00FA0C28" w:rsidRDefault="00FA0C28" w:rsidP="00180963">
      <w:pPr>
        <w:spacing w:after="120"/>
        <w:rPr>
          <w:sz w:val="22"/>
          <w:szCs w:val="22"/>
        </w:rPr>
      </w:pPr>
      <w:r>
        <w:rPr>
          <w:noProof/>
          <w:sz w:val="22"/>
          <w:szCs w:val="22"/>
          <w:lang w:eastAsia="zh-CN"/>
        </w:rPr>
        <w:drawing>
          <wp:inline distT="0" distB="0" distL="0" distR="0">
            <wp:extent cx="5943600" cy="4480419"/>
            <wp:effectExtent l="19050" t="0" r="0" b="0"/>
            <wp:docPr id="7" name="Picture 2" descr="In 2003, Massachusetts launched its general education accountability system based on performance. In 2005, the federal government launched its special education accountability system based on compliance rates and monitoring. In 2009, Massachusetts made its first district determinations of need for special education technical assistance or intervention, based on performance and compliance. These determinations were fully integrated with the general education accountability system in 2012. In 2012, the federal government launched its Results Driven Accountability (RDA) system for special education, based on both performance and compliance. The first state determinations under RDA were announced in 2014, weighted 50% compliance/50%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5943600" cy="4480419"/>
                    </a:xfrm>
                    <a:prstGeom prst="rect">
                      <a:avLst/>
                    </a:prstGeom>
                    <a:noFill/>
                    <a:ln w="9525">
                      <a:noFill/>
                      <a:miter lim="800000"/>
                      <a:headEnd/>
                      <a:tailEnd/>
                    </a:ln>
                  </pic:spPr>
                </pic:pic>
              </a:graphicData>
            </a:graphic>
          </wp:inline>
        </w:drawing>
      </w:r>
    </w:p>
    <w:p w:rsidR="00761C77" w:rsidRPr="00CD4510" w:rsidRDefault="00761C77" w:rsidP="00761C77">
      <w:pPr>
        <w:pStyle w:val="Heading1"/>
      </w:pPr>
      <w:bookmarkStart w:id="38" w:name="_IV.__Review"/>
      <w:bookmarkStart w:id="39" w:name="_Toc405293149"/>
      <w:bookmarkEnd w:id="38"/>
      <w:r>
        <w:t>IV</w:t>
      </w:r>
      <w:r w:rsidRPr="00CD4510">
        <w:t xml:space="preserve">. </w:t>
      </w:r>
      <w:r w:rsidRPr="00CD4510">
        <w:tab/>
      </w:r>
      <w:r w:rsidRPr="00761C77">
        <w:t xml:space="preserve">Review of Special Education in the Commonwealth of </w:t>
      </w:r>
      <w:r>
        <w:tab/>
      </w:r>
      <w:r w:rsidRPr="00761C77">
        <w:t>Massachusetts: A Synthesis Report</w:t>
      </w:r>
      <w:bookmarkEnd w:id="39"/>
    </w:p>
    <w:p w:rsidR="00F04ED8" w:rsidRPr="0072770E" w:rsidRDefault="00F04ED8" w:rsidP="00F04ED8">
      <w:pPr>
        <w:spacing w:after="120"/>
        <w:rPr>
          <w:i/>
        </w:rPr>
      </w:pPr>
      <w:r w:rsidRPr="0072770E">
        <w:rPr>
          <w:i/>
        </w:rPr>
        <w:t xml:space="preserve">This section provides a summary of the </w:t>
      </w:r>
      <w:r w:rsidR="00CE5A65">
        <w:rPr>
          <w:i/>
        </w:rPr>
        <w:t xml:space="preserve">findings and recommendations from the overview reports prepared by Dr. Thomas Hehir and Associates. </w:t>
      </w:r>
      <w:r w:rsidRPr="0072770E">
        <w:rPr>
          <w:i/>
        </w:rPr>
        <w:t xml:space="preserve">  </w:t>
      </w:r>
    </w:p>
    <w:p w:rsidR="00F04ED8" w:rsidRPr="0072770E" w:rsidRDefault="00F04ED8" w:rsidP="00180963">
      <w:pPr>
        <w:spacing w:after="120"/>
      </w:pPr>
      <w:r w:rsidRPr="0072770E">
        <w:t xml:space="preserve">In 2011 the Department commissioned Harvard </w:t>
      </w:r>
      <w:r w:rsidR="00CE5A65">
        <w:t xml:space="preserve">Graduate School of Education </w:t>
      </w:r>
      <w:r w:rsidRPr="0072770E">
        <w:t xml:space="preserve">Professor Thomas Hehir to </w:t>
      </w:r>
      <w:r w:rsidR="00141894">
        <w:t>review</w:t>
      </w:r>
      <w:r w:rsidRPr="0072770E">
        <w:t xml:space="preserve"> the </w:t>
      </w:r>
      <w:r w:rsidR="00141894">
        <w:t>status</w:t>
      </w:r>
      <w:r w:rsidRPr="0072770E">
        <w:t xml:space="preserve"> of special education in Massachusetts and to make specific recommendations in </w:t>
      </w:r>
      <w:hyperlink r:id="rId34" w:history="1">
        <w:r w:rsidRPr="0072770E">
          <w:rPr>
            <w:rStyle w:val="Hyperlink"/>
          </w:rPr>
          <w:t>three reports</w:t>
        </w:r>
      </w:hyperlink>
      <w:r w:rsidRPr="0072770E">
        <w:t xml:space="preserve">, published from 2012-2013, on special education overall, career-vocational technical education, and out-of-district placements. In September 2014, Dr. Hehir and </w:t>
      </w:r>
      <w:r w:rsidR="00931294">
        <w:t>a</w:t>
      </w:r>
      <w:r w:rsidRPr="0072770E">
        <w:t xml:space="preserve">ssociates published a </w:t>
      </w:r>
      <w:hyperlink r:id="rId35" w:history="1">
        <w:r w:rsidRPr="0072770E">
          <w:rPr>
            <w:rStyle w:val="Hyperlink"/>
          </w:rPr>
          <w:t>synthesis report</w:t>
        </w:r>
      </w:hyperlink>
      <w:r w:rsidRPr="0072770E">
        <w:t xml:space="preserve"> with targeted recommendations to address the summary findings of his research. </w:t>
      </w:r>
    </w:p>
    <w:p w:rsidR="00F04ED8" w:rsidRPr="0072770E" w:rsidRDefault="00F04ED8" w:rsidP="00795BA9">
      <w:pPr>
        <w:spacing w:after="120"/>
      </w:pPr>
      <w:r w:rsidRPr="0072770E">
        <w:t>These findings are:</w:t>
      </w:r>
    </w:p>
    <w:p w:rsidR="00F04ED8" w:rsidRPr="0072770E" w:rsidRDefault="006E7BCB" w:rsidP="00CA535E">
      <w:pPr>
        <w:pStyle w:val="ListParagraph"/>
        <w:numPr>
          <w:ilvl w:val="0"/>
          <w:numId w:val="8"/>
        </w:numPr>
        <w:spacing w:after="120"/>
        <w:rPr>
          <w:rFonts w:ascii="Times New Roman" w:hAnsi="Times New Roman"/>
          <w:sz w:val="24"/>
          <w:szCs w:val="24"/>
        </w:rPr>
      </w:pPr>
      <w:r w:rsidRPr="0072770E">
        <w:rPr>
          <w:rFonts w:ascii="Times New Roman" w:hAnsi="Times New Roman"/>
          <w:b/>
          <w:sz w:val="24"/>
          <w:szCs w:val="24"/>
        </w:rPr>
        <w:t>T</w:t>
      </w:r>
      <w:r w:rsidR="004149BD" w:rsidRPr="0072770E">
        <w:rPr>
          <w:rFonts w:ascii="Times New Roman" w:hAnsi="Times New Roman"/>
          <w:b/>
          <w:sz w:val="24"/>
          <w:szCs w:val="24"/>
        </w:rPr>
        <w:t>here are substantial differences in the identification, placement, and performance of low-income and non-low-in</w:t>
      </w:r>
      <w:r w:rsidR="00F04ED8" w:rsidRPr="0072770E">
        <w:rPr>
          <w:rFonts w:ascii="Times New Roman" w:hAnsi="Times New Roman"/>
          <w:b/>
          <w:sz w:val="24"/>
          <w:szCs w:val="24"/>
        </w:rPr>
        <w:t xml:space="preserve">come students with disabilities. </w:t>
      </w:r>
      <w:r w:rsidR="00141BCB" w:rsidRPr="0072770E">
        <w:rPr>
          <w:rFonts w:ascii="Times New Roman" w:hAnsi="Times New Roman"/>
          <w:sz w:val="24"/>
          <w:szCs w:val="24"/>
        </w:rPr>
        <w:t>Specifically:</w:t>
      </w:r>
    </w:p>
    <w:p w:rsidR="00141BCB" w:rsidRPr="0072770E" w:rsidRDefault="00141BCB" w:rsidP="00CA535E">
      <w:pPr>
        <w:pStyle w:val="ListParagraph"/>
        <w:numPr>
          <w:ilvl w:val="1"/>
          <w:numId w:val="8"/>
        </w:numPr>
        <w:spacing w:after="120"/>
        <w:rPr>
          <w:rFonts w:ascii="Times New Roman" w:hAnsi="Times New Roman"/>
          <w:sz w:val="24"/>
          <w:szCs w:val="24"/>
        </w:rPr>
      </w:pPr>
      <w:r w:rsidRPr="0072770E">
        <w:rPr>
          <w:rFonts w:ascii="Times New Roman" w:hAnsi="Times New Roman"/>
          <w:sz w:val="24"/>
          <w:szCs w:val="24"/>
        </w:rPr>
        <w:t xml:space="preserve">Low-income students were identified </w:t>
      </w:r>
      <w:proofErr w:type="gramStart"/>
      <w:r w:rsidRPr="0072770E">
        <w:rPr>
          <w:rFonts w:ascii="Times New Roman" w:hAnsi="Times New Roman"/>
          <w:sz w:val="24"/>
          <w:szCs w:val="24"/>
        </w:rPr>
        <w:t>as eligible for special education services at substantially higher rates than</w:t>
      </w:r>
      <w:proofErr w:type="gramEnd"/>
      <w:r w:rsidRPr="0072770E">
        <w:rPr>
          <w:rFonts w:ascii="Times New Roman" w:hAnsi="Times New Roman"/>
          <w:sz w:val="24"/>
          <w:szCs w:val="24"/>
        </w:rPr>
        <w:t xml:space="preserve"> non-low-income students.</w:t>
      </w:r>
    </w:p>
    <w:p w:rsidR="00141BCB" w:rsidRPr="0072770E" w:rsidRDefault="00141BCB" w:rsidP="00CA535E">
      <w:pPr>
        <w:pStyle w:val="ListParagraph"/>
        <w:numPr>
          <w:ilvl w:val="1"/>
          <w:numId w:val="8"/>
        </w:numPr>
        <w:spacing w:after="120"/>
        <w:rPr>
          <w:rFonts w:ascii="Times New Roman" w:hAnsi="Times New Roman"/>
          <w:sz w:val="24"/>
          <w:szCs w:val="24"/>
        </w:rPr>
      </w:pPr>
      <w:r w:rsidRPr="0072770E">
        <w:rPr>
          <w:rFonts w:ascii="Times New Roman" w:hAnsi="Times New Roman"/>
          <w:sz w:val="24"/>
          <w:szCs w:val="24"/>
        </w:rPr>
        <w:t>Among students enrolled in traditional public schools, low-income students with disabilities were educated outside of the general education classroom at rates substantially higher than non-low-income students.</w:t>
      </w:r>
    </w:p>
    <w:p w:rsidR="00141BCB" w:rsidRPr="0072770E" w:rsidRDefault="00141BCB" w:rsidP="00CA535E">
      <w:pPr>
        <w:pStyle w:val="ListParagraph"/>
        <w:numPr>
          <w:ilvl w:val="1"/>
          <w:numId w:val="8"/>
        </w:numPr>
        <w:spacing w:after="120"/>
        <w:rPr>
          <w:rFonts w:ascii="Times New Roman" w:hAnsi="Times New Roman"/>
          <w:sz w:val="24"/>
          <w:szCs w:val="24"/>
        </w:rPr>
      </w:pPr>
      <w:r w:rsidRPr="0072770E">
        <w:rPr>
          <w:rFonts w:ascii="Times New Roman" w:hAnsi="Times New Roman"/>
          <w:sz w:val="24"/>
          <w:szCs w:val="24"/>
        </w:rPr>
        <w:t>Although low-income students were more likely to be educated in substantially separate settings within traditional public schools, they were less likely to receive a publicly financed placement in a private special education school.</w:t>
      </w:r>
    </w:p>
    <w:p w:rsidR="00141BCB" w:rsidRPr="0072770E" w:rsidRDefault="006E7BCB" w:rsidP="00CA535E">
      <w:pPr>
        <w:pStyle w:val="ListParagraph"/>
        <w:numPr>
          <w:ilvl w:val="0"/>
          <w:numId w:val="8"/>
        </w:numPr>
        <w:spacing w:after="120"/>
        <w:rPr>
          <w:rFonts w:ascii="Times New Roman" w:hAnsi="Times New Roman"/>
          <w:sz w:val="24"/>
          <w:szCs w:val="24"/>
        </w:rPr>
      </w:pPr>
      <w:r w:rsidRPr="0072770E">
        <w:rPr>
          <w:rFonts w:ascii="Times New Roman" w:hAnsi="Times New Roman"/>
          <w:b/>
          <w:sz w:val="24"/>
          <w:szCs w:val="24"/>
        </w:rPr>
        <w:t>S</w:t>
      </w:r>
      <w:r w:rsidR="004149BD" w:rsidRPr="0072770E">
        <w:rPr>
          <w:rFonts w:ascii="Times New Roman" w:hAnsi="Times New Roman"/>
          <w:b/>
          <w:sz w:val="24"/>
          <w:szCs w:val="24"/>
        </w:rPr>
        <w:t>tudents with disabilities who had full inclusion placements appeared to outperform similar students who were not included to the same extent in general education classroom</w:t>
      </w:r>
      <w:r w:rsidR="00141BCB" w:rsidRPr="0072770E">
        <w:rPr>
          <w:rFonts w:ascii="Times New Roman" w:hAnsi="Times New Roman"/>
          <w:b/>
          <w:sz w:val="24"/>
          <w:szCs w:val="24"/>
        </w:rPr>
        <w:t>s with their non-disabled peers.</w:t>
      </w:r>
      <w:r w:rsidR="00141BCB" w:rsidRPr="0072770E">
        <w:rPr>
          <w:rFonts w:ascii="Times New Roman" w:hAnsi="Times New Roman"/>
          <w:sz w:val="24"/>
          <w:szCs w:val="24"/>
        </w:rPr>
        <w:t xml:space="preserve"> Specifically:</w:t>
      </w:r>
    </w:p>
    <w:p w:rsidR="00141BCB" w:rsidRPr="0072770E" w:rsidRDefault="00141BCB" w:rsidP="00CA535E">
      <w:pPr>
        <w:pStyle w:val="ListParagraph"/>
        <w:numPr>
          <w:ilvl w:val="1"/>
          <w:numId w:val="8"/>
        </w:numPr>
        <w:spacing w:after="120"/>
        <w:rPr>
          <w:rFonts w:ascii="Times New Roman" w:hAnsi="Times New Roman"/>
          <w:sz w:val="24"/>
          <w:szCs w:val="24"/>
        </w:rPr>
      </w:pPr>
      <w:r w:rsidRPr="0072770E">
        <w:rPr>
          <w:rFonts w:ascii="Times New Roman" w:hAnsi="Times New Roman"/>
          <w:sz w:val="24"/>
          <w:szCs w:val="24"/>
        </w:rPr>
        <w:t xml:space="preserve">Students with high incidence disabilities who had full inclusion placements, on average, performed better on the MCAS than students with high incidence disabilities </w:t>
      </w:r>
      <w:proofErr w:type="gramStart"/>
      <w:r w:rsidRPr="0072770E">
        <w:rPr>
          <w:rFonts w:ascii="Times New Roman" w:hAnsi="Times New Roman"/>
          <w:sz w:val="24"/>
          <w:szCs w:val="24"/>
        </w:rPr>
        <w:t>who</w:t>
      </w:r>
      <w:proofErr w:type="gramEnd"/>
      <w:r w:rsidRPr="0072770E">
        <w:rPr>
          <w:rFonts w:ascii="Times New Roman" w:hAnsi="Times New Roman"/>
          <w:sz w:val="24"/>
          <w:szCs w:val="24"/>
        </w:rPr>
        <w:t xml:space="preserve"> were in substantially separate placements in traditional public schools. </w:t>
      </w:r>
    </w:p>
    <w:p w:rsidR="00D16AE9" w:rsidRPr="0072770E" w:rsidRDefault="00141BCB" w:rsidP="00CA535E">
      <w:pPr>
        <w:pStyle w:val="ListParagraph"/>
        <w:numPr>
          <w:ilvl w:val="1"/>
          <w:numId w:val="8"/>
        </w:numPr>
        <w:spacing w:after="120"/>
        <w:rPr>
          <w:rFonts w:ascii="Times New Roman" w:hAnsi="Times New Roman"/>
          <w:sz w:val="24"/>
          <w:szCs w:val="24"/>
        </w:rPr>
      </w:pPr>
      <w:r w:rsidRPr="0072770E">
        <w:rPr>
          <w:rFonts w:ascii="Times New Roman" w:hAnsi="Times New Roman"/>
          <w:sz w:val="24"/>
          <w:szCs w:val="24"/>
        </w:rPr>
        <w:t>Students with disabilities who had full inclusion placements had a higher probability of graduating high school than students with disabilities educated in substantially separate settings.</w:t>
      </w:r>
    </w:p>
    <w:p w:rsidR="00F04ED8" w:rsidRPr="0072770E" w:rsidRDefault="00D16AE9" w:rsidP="00CA535E">
      <w:pPr>
        <w:pStyle w:val="ListParagraph"/>
        <w:numPr>
          <w:ilvl w:val="1"/>
          <w:numId w:val="8"/>
        </w:numPr>
        <w:spacing w:after="120"/>
        <w:rPr>
          <w:rFonts w:ascii="Times New Roman" w:hAnsi="Times New Roman"/>
          <w:sz w:val="24"/>
          <w:szCs w:val="24"/>
        </w:rPr>
      </w:pPr>
      <w:r w:rsidRPr="0072770E">
        <w:rPr>
          <w:rFonts w:ascii="Times New Roman" w:hAnsi="Times New Roman"/>
          <w:sz w:val="24"/>
          <w:szCs w:val="24"/>
        </w:rPr>
        <w:t>Students with disabilities who had full inclusion placements were less likely to move subsequently to out-of-district placements than students educated in substantially separate settings.</w:t>
      </w:r>
      <w:r w:rsidRPr="0072770E">
        <w:rPr>
          <w:rFonts w:ascii="Times New Roman" w:hAnsi="Times New Roman"/>
          <w:color w:val="0D0D0D" w:themeColor="text1" w:themeTint="F2"/>
          <w:sz w:val="24"/>
          <w:szCs w:val="24"/>
        </w:rPr>
        <w:t xml:space="preserve"> </w:t>
      </w:r>
      <w:r w:rsidR="00141BCB" w:rsidRPr="0072770E">
        <w:rPr>
          <w:rFonts w:ascii="Times New Roman" w:hAnsi="Times New Roman"/>
          <w:sz w:val="24"/>
          <w:szCs w:val="24"/>
        </w:rPr>
        <w:t xml:space="preserve"> </w:t>
      </w:r>
    </w:p>
    <w:p w:rsidR="00F04ED8" w:rsidRPr="0072770E" w:rsidRDefault="006E7BCB" w:rsidP="00CA535E">
      <w:pPr>
        <w:pStyle w:val="ListParagraph"/>
        <w:numPr>
          <w:ilvl w:val="0"/>
          <w:numId w:val="8"/>
        </w:numPr>
        <w:spacing w:after="120"/>
        <w:rPr>
          <w:rFonts w:ascii="Times New Roman" w:hAnsi="Times New Roman"/>
          <w:noProof/>
          <w:sz w:val="24"/>
          <w:szCs w:val="24"/>
        </w:rPr>
      </w:pPr>
      <w:r w:rsidRPr="0072770E">
        <w:rPr>
          <w:rFonts w:ascii="Times New Roman" w:hAnsi="Times New Roman"/>
          <w:b/>
          <w:noProof/>
          <w:sz w:val="24"/>
          <w:szCs w:val="24"/>
        </w:rPr>
        <w:t>I</w:t>
      </w:r>
      <w:r w:rsidR="004149BD" w:rsidRPr="0072770E">
        <w:rPr>
          <w:rFonts w:ascii="Times New Roman" w:hAnsi="Times New Roman"/>
          <w:b/>
          <w:noProof/>
          <w:sz w:val="24"/>
          <w:szCs w:val="24"/>
        </w:rPr>
        <w:t>nclusive options for students with disabilities in traditional public schools were limited after t</w:t>
      </w:r>
      <w:r w:rsidR="00D16AE9" w:rsidRPr="0072770E">
        <w:rPr>
          <w:rFonts w:ascii="Times New Roman" w:hAnsi="Times New Roman"/>
          <w:b/>
          <w:noProof/>
          <w:sz w:val="24"/>
          <w:szCs w:val="24"/>
        </w:rPr>
        <w:t>he elementary school level.</w:t>
      </w:r>
      <w:r w:rsidR="00D16AE9" w:rsidRPr="0072770E">
        <w:rPr>
          <w:rFonts w:ascii="Times New Roman" w:hAnsi="Times New Roman"/>
          <w:noProof/>
          <w:sz w:val="24"/>
          <w:szCs w:val="24"/>
        </w:rPr>
        <w:t xml:space="preserve"> Specifically:</w:t>
      </w:r>
    </w:p>
    <w:p w:rsidR="00D16AE9" w:rsidRPr="0072770E" w:rsidRDefault="00D16AE9" w:rsidP="00CA535E">
      <w:pPr>
        <w:pStyle w:val="ListParagraph"/>
        <w:numPr>
          <w:ilvl w:val="1"/>
          <w:numId w:val="8"/>
        </w:numPr>
        <w:spacing w:after="120"/>
        <w:rPr>
          <w:rFonts w:ascii="Times New Roman" w:hAnsi="Times New Roman"/>
          <w:noProof/>
          <w:sz w:val="24"/>
          <w:szCs w:val="24"/>
        </w:rPr>
      </w:pPr>
      <w:r w:rsidRPr="0072770E">
        <w:rPr>
          <w:rFonts w:ascii="Times New Roman" w:hAnsi="Times New Roman" w:cstheme="majorBidi"/>
          <w:iCs/>
          <w:color w:val="0D0D0D" w:themeColor="text1" w:themeTint="F2"/>
          <w:sz w:val="24"/>
          <w:szCs w:val="24"/>
        </w:rPr>
        <w:t>Students with disabilities, with the exception of students with sensory disabilities, tended to first be placed in out-of-district programs in late middle and early high school.</w:t>
      </w:r>
    </w:p>
    <w:p w:rsidR="00D16AE9" w:rsidRPr="0072770E" w:rsidRDefault="00D16AE9" w:rsidP="00CA535E">
      <w:pPr>
        <w:pStyle w:val="ListParagraph"/>
        <w:numPr>
          <w:ilvl w:val="1"/>
          <w:numId w:val="8"/>
        </w:numPr>
        <w:spacing w:after="120"/>
        <w:rPr>
          <w:rFonts w:ascii="Times New Roman" w:hAnsi="Times New Roman"/>
          <w:noProof/>
          <w:sz w:val="24"/>
          <w:szCs w:val="24"/>
        </w:rPr>
      </w:pPr>
      <w:r w:rsidRPr="0072770E">
        <w:rPr>
          <w:rFonts w:ascii="Times New Roman" w:hAnsi="Times New Roman" w:cs="Helvetica"/>
          <w:sz w:val="24"/>
          <w:szCs w:val="24"/>
        </w:rPr>
        <w:t>Segregation of African American and Latino students was evident at the middle and high school levels; these students we</w:t>
      </w:r>
      <w:r w:rsidR="00FB051C">
        <w:rPr>
          <w:rFonts w:ascii="Times New Roman" w:hAnsi="Times New Roman" w:cs="Helvetica"/>
          <w:sz w:val="24"/>
          <w:szCs w:val="24"/>
        </w:rPr>
        <w:t>re more likely to be educated in</w:t>
      </w:r>
      <w:r w:rsidRPr="0072770E">
        <w:rPr>
          <w:rFonts w:ascii="Times New Roman" w:hAnsi="Times New Roman" w:cs="Helvetica"/>
          <w:sz w:val="24"/>
          <w:szCs w:val="24"/>
        </w:rPr>
        <w:t xml:space="preserve"> less inclusive placements than their white peers.</w:t>
      </w:r>
    </w:p>
    <w:p w:rsidR="00D16AE9" w:rsidRPr="0072770E" w:rsidRDefault="00D16AE9" w:rsidP="00CA535E">
      <w:pPr>
        <w:pStyle w:val="ListParagraph"/>
        <w:numPr>
          <w:ilvl w:val="1"/>
          <w:numId w:val="8"/>
        </w:numPr>
        <w:spacing w:after="120"/>
        <w:rPr>
          <w:rFonts w:ascii="Times New Roman" w:hAnsi="Times New Roman"/>
          <w:noProof/>
          <w:sz w:val="24"/>
          <w:szCs w:val="24"/>
        </w:rPr>
      </w:pPr>
      <w:r w:rsidRPr="0072770E">
        <w:rPr>
          <w:rFonts w:ascii="Times New Roman" w:hAnsi="Times New Roman" w:cs="TimesNewRomanPSMT"/>
          <w:sz w:val="24"/>
          <w:szCs w:val="24"/>
        </w:rPr>
        <w:t>Promising practices and outcomes for students with disabilities were found in some Career and Technical Education (CTE) schools, but these programs were not accessible to all students, and demands for these schools exceeded their current capacity.</w:t>
      </w:r>
    </w:p>
    <w:p w:rsidR="00880283" w:rsidRPr="0072770E" w:rsidRDefault="006E7BCB" w:rsidP="00CA535E">
      <w:pPr>
        <w:pStyle w:val="ListParagraph"/>
        <w:numPr>
          <w:ilvl w:val="0"/>
          <w:numId w:val="8"/>
        </w:numPr>
        <w:spacing w:after="120"/>
        <w:rPr>
          <w:rFonts w:ascii="Times New Roman" w:hAnsi="Times New Roman"/>
          <w:b/>
          <w:noProof/>
          <w:sz w:val="24"/>
          <w:szCs w:val="24"/>
        </w:rPr>
      </w:pPr>
      <w:r w:rsidRPr="0072770E">
        <w:rPr>
          <w:rFonts w:ascii="Times New Roman" w:hAnsi="Times New Roman"/>
          <w:b/>
          <w:noProof/>
          <w:sz w:val="24"/>
          <w:szCs w:val="24"/>
        </w:rPr>
        <w:t>T</w:t>
      </w:r>
      <w:r w:rsidR="004149BD" w:rsidRPr="0072770E">
        <w:rPr>
          <w:rFonts w:ascii="Times New Roman" w:hAnsi="Times New Roman"/>
          <w:b/>
          <w:noProof/>
          <w:sz w:val="24"/>
          <w:szCs w:val="24"/>
        </w:rPr>
        <w:t xml:space="preserve">here were meaningful differences from district to district in special education identification, placement, and performance. </w:t>
      </w:r>
      <w:r w:rsidR="00D82B36" w:rsidRPr="0072770E">
        <w:rPr>
          <w:rFonts w:ascii="Times New Roman" w:hAnsi="Times New Roman"/>
          <w:b/>
          <w:noProof/>
          <w:sz w:val="24"/>
          <w:szCs w:val="24"/>
        </w:rPr>
        <w:t xml:space="preserve"> </w:t>
      </w:r>
      <w:r w:rsidR="00D82B36" w:rsidRPr="0072770E">
        <w:rPr>
          <w:rFonts w:ascii="Times New Roman" w:hAnsi="Times New Roman"/>
          <w:noProof/>
          <w:sz w:val="24"/>
          <w:szCs w:val="24"/>
        </w:rPr>
        <w:t>Specifically:</w:t>
      </w:r>
    </w:p>
    <w:p w:rsidR="00A163B9" w:rsidRPr="0072770E" w:rsidRDefault="00D16AE9" w:rsidP="00CA535E">
      <w:pPr>
        <w:pStyle w:val="ListParagraph"/>
        <w:numPr>
          <w:ilvl w:val="1"/>
          <w:numId w:val="8"/>
        </w:numPr>
        <w:spacing w:after="120"/>
        <w:rPr>
          <w:rFonts w:ascii="Times New Roman" w:hAnsi="Times New Roman"/>
          <w:sz w:val="24"/>
          <w:szCs w:val="24"/>
        </w:rPr>
      </w:pPr>
      <w:bookmarkStart w:id="40" w:name="_Toc400367502"/>
      <w:r w:rsidRPr="0072770E">
        <w:rPr>
          <w:rFonts w:ascii="Times New Roman" w:hAnsi="Times New Roman"/>
          <w:bCs/>
          <w:sz w:val="24"/>
          <w:szCs w:val="24"/>
        </w:rPr>
        <w:t>Across districts with similar demographic characteristics, district behavior differed for special education identification, placement, and performance.</w:t>
      </w:r>
      <w:bookmarkEnd w:id="40"/>
      <w:r w:rsidRPr="0072770E">
        <w:rPr>
          <w:rFonts w:ascii="Times New Roman" w:hAnsi="Times New Roman"/>
          <w:bCs/>
          <w:sz w:val="24"/>
          <w:szCs w:val="24"/>
        </w:rPr>
        <w:t xml:space="preserve"> </w:t>
      </w:r>
    </w:p>
    <w:p w:rsidR="00D16AE9" w:rsidRPr="0072770E" w:rsidRDefault="00D16AE9" w:rsidP="00CA535E">
      <w:pPr>
        <w:pStyle w:val="ListParagraph"/>
        <w:numPr>
          <w:ilvl w:val="1"/>
          <w:numId w:val="8"/>
        </w:numPr>
        <w:spacing w:after="120"/>
        <w:rPr>
          <w:rFonts w:ascii="Times New Roman" w:hAnsi="Times New Roman"/>
          <w:sz w:val="24"/>
          <w:szCs w:val="24"/>
        </w:rPr>
      </w:pPr>
      <w:bookmarkStart w:id="41" w:name="_Toc400367503"/>
      <w:r w:rsidRPr="0072770E">
        <w:rPr>
          <w:rFonts w:ascii="Times New Roman" w:hAnsi="Times New Roman"/>
          <w:iCs/>
          <w:sz w:val="24"/>
          <w:szCs w:val="24"/>
        </w:rPr>
        <w:t>The performance of a school district’s general education students on the MCAS was, on average, the strongest district-level predictor of the MCAS performance of that district’s students with disabilities.</w:t>
      </w:r>
      <w:bookmarkEnd w:id="41"/>
    </w:p>
    <w:p w:rsidR="00D16AE9" w:rsidRPr="0072770E" w:rsidRDefault="00092375" w:rsidP="00CA535E">
      <w:pPr>
        <w:pStyle w:val="ListParagraph"/>
        <w:numPr>
          <w:ilvl w:val="1"/>
          <w:numId w:val="8"/>
        </w:numPr>
        <w:spacing w:after="120"/>
        <w:rPr>
          <w:rFonts w:ascii="Times New Roman" w:hAnsi="Times New Roman"/>
          <w:sz w:val="24"/>
          <w:szCs w:val="24"/>
        </w:rPr>
      </w:pPr>
      <w:bookmarkStart w:id="42" w:name="_Toc400367504"/>
      <w:r w:rsidRPr="0072770E">
        <w:rPr>
          <w:rFonts w:ascii="Times New Roman" w:hAnsi="Times New Roman"/>
          <w:bCs/>
          <w:sz w:val="24"/>
          <w:szCs w:val="24"/>
        </w:rPr>
        <w:t>The overall wealth of the community was the most common factor that explained cross-district variation.</w:t>
      </w:r>
      <w:r w:rsidR="00A163B9" w:rsidRPr="0072770E">
        <w:rPr>
          <w:rFonts w:ascii="Times New Roman" w:hAnsi="Times New Roman"/>
          <w:bCs/>
          <w:sz w:val="24"/>
          <w:szCs w:val="24"/>
        </w:rPr>
        <w:t xml:space="preserve"> All things being equal, rates of special education identification were higher in districts that enrolled more low-income students.</w:t>
      </w:r>
      <w:bookmarkEnd w:id="42"/>
    </w:p>
    <w:p w:rsidR="002937AB" w:rsidRPr="0072770E" w:rsidRDefault="00807470" w:rsidP="002937AB">
      <w:pPr>
        <w:spacing w:after="120"/>
        <w:contextualSpacing/>
      </w:pPr>
      <w:r w:rsidRPr="0072770E">
        <w:t>The report writers stress:</w:t>
      </w:r>
    </w:p>
    <w:p w:rsidR="002937AB" w:rsidRPr="0072770E" w:rsidRDefault="002937AB" w:rsidP="002937AB">
      <w:pPr>
        <w:spacing w:after="120"/>
        <w:contextualSpacing/>
      </w:pPr>
    </w:p>
    <w:p w:rsidR="002937AB" w:rsidRPr="0072770E" w:rsidRDefault="00B31CC1" w:rsidP="00862DD5">
      <w:pPr>
        <w:spacing w:after="120"/>
        <w:ind w:left="720" w:right="720"/>
        <w:contextualSpacing/>
      </w:pPr>
      <w:r w:rsidRPr="0072770E">
        <w:t>“</w:t>
      </w:r>
      <w:r w:rsidR="002937AB" w:rsidRPr="0072770E">
        <w:t>Responsibility for closing the achievement gap between disabled and non-disabled students must be shared by the general and special education offices.  General education plays a central role in providing high-quality supports and services for children; thus, placing accountability for closing this gap solely on special education is inappropriate. The work presented in these studies indicates that the quality of general education in a district is associated with outcomes for students with disabilities—where non-disabled students are performing better, students with disabilities are performing better as well.</w:t>
      </w:r>
      <w:r w:rsidRPr="0072770E">
        <w:t>”</w:t>
      </w:r>
    </w:p>
    <w:p w:rsidR="00862DD5" w:rsidRPr="0072770E" w:rsidRDefault="00862DD5" w:rsidP="00862DD5">
      <w:pPr>
        <w:spacing w:after="120"/>
        <w:ind w:left="720" w:right="720"/>
        <w:contextualSpacing/>
      </w:pPr>
    </w:p>
    <w:p w:rsidR="0072525D" w:rsidRPr="0072770E" w:rsidRDefault="00862DD5" w:rsidP="00862DD5">
      <w:pPr>
        <w:spacing w:after="120"/>
      </w:pPr>
      <w:r w:rsidRPr="0072770E">
        <w:t xml:space="preserve">The full synthesis report, as well as preceding reports, can be found here: </w:t>
      </w:r>
      <w:hyperlink r:id="rId36" w:history="1">
        <w:r w:rsidR="0048390F">
          <w:rPr>
            <w:rStyle w:val="Hyperlink"/>
          </w:rPr>
          <w:t>http://www.doe.mass.edu/sped/hehir/</w:t>
        </w:r>
      </w:hyperlink>
      <w:r w:rsidR="00CE5A65">
        <w:t>.</w:t>
      </w:r>
      <w:r w:rsidRPr="0072770E">
        <w:t xml:space="preserve"> </w:t>
      </w:r>
    </w:p>
    <w:p w:rsidR="0072525D" w:rsidRPr="00CD4510" w:rsidRDefault="0072525D" w:rsidP="0072525D">
      <w:pPr>
        <w:pStyle w:val="Heading1"/>
      </w:pPr>
      <w:bookmarkStart w:id="43" w:name="_V.__FY14"/>
      <w:bookmarkStart w:id="44" w:name="_Toc405293150"/>
      <w:bookmarkEnd w:id="43"/>
      <w:r>
        <w:t>V</w:t>
      </w:r>
      <w:r w:rsidRPr="00CD4510">
        <w:t xml:space="preserve">. </w:t>
      </w:r>
      <w:r w:rsidRPr="00CD4510">
        <w:tab/>
      </w:r>
      <w:r>
        <w:t>FY14 in Review</w:t>
      </w:r>
      <w:bookmarkEnd w:id="44"/>
    </w:p>
    <w:p w:rsidR="00C24E01" w:rsidRDefault="008D2D09" w:rsidP="008D2D09">
      <w:pPr>
        <w:spacing w:after="120"/>
        <w:rPr>
          <w:i/>
        </w:rPr>
      </w:pPr>
      <w:r w:rsidRPr="0072770E">
        <w:rPr>
          <w:i/>
        </w:rPr>
        <w:t xml:space="preserve">This section </w:t>
      </w:r>
      <w:r w:rsidR="004565C8">
        <w:rPr>
          <w:i/>
        </w:rPr>
        <w:t>highlights</w:t>
      </w:r>
      <w:r w:rsidRPr="0072770E">
        <w:rPr>
          <w:i/>
        </w:rPr>
        <w:t xml:space="preserve"> specific strategies, initiatives, activities, and planning conducted by the Department during FY14.</w:t>
      </w:r>
    </w:p>
    <w:p w:rsidR="00F044FE" w:rsidRDefault="00113215" w:rsidP="007D4E3E">
      <w:pPr>
        <w:pStyle w:val="Heading2"/>
        <w:spacing w:after="240"/>
      </w:pPr>
      <w:bookmarkStart w:id="45" w:name="_Toc405293151"/>
      <w:r>
        <w:t>A</w:t>
      </w:r>
      <w:r w:rsidR="00F044FE" w:rsidRPr="00FB7966">
        <w:t xml:space="preserve">. </w:t>
      </w:r>
      <w:r w:rsidR="00F044FE" w:rsidRPr="00FB7966">
        <w:tab/>
        <w:t>Office of Special Education Planning &amp; Policy Development</w:t>
      </w:r>
      <w:bookmarkEnd w:id="45"/>
    </w:p>
    <w:p w:rsidR="007D4E3E" w:rsidRPr="00803C88" w:rsidRDefault="007D4E3E" w:rsidP="00803C88">
      <w:pPr>
        <w:spacing w:after="120"/>
        <w:rPr>
          <w:sz w:val="22"/>
          <w:szCs w:val="22"/>
        </w:rPr>
      </w:pPr>
      <w:r w:rsidRPr="00096F2A">
        <w:t>The Office of Special Education Planning &amp; Policy Development</w:t>
      </w:r>
      <w:r w:rsidR="00736F8B" w:rsidRPr="00096F2A">
        <w:t xml:space="preserve"> (SEPP)</w:t>
      </w:r>
      <w:r w:rsidRPr="00096F2A">
        <w:t xml:space="preserve"> is the lead unit at the Department</w:t>
      </w:r>
      <w:r w:rsidR="00736F8B" w:rsidRPr="00096F2A">
        <w:t xml:space="preserve"> for</w:t>
      </w:r>
      <w:r w:rsidRPr="00096F2A">
        <w:t xml:space="preserve"> planning and delivering targeted supports and resources</w:t>
      </w:r>
      <w:r w:rsidR="00736F8B" w:rsidRPr="00096F2A">
        <w:t xml:space="preserve"> to continuously improve the education of students with disabilities. It</w:t>
      </w:r>
      <w:r w:rsidR="00FF1A59">
        <w:t>s</w:t>
      </w:r>
      <w:r w:rsidR="00736F8B" w:rsidRPr="00096F2A">
        <w:t xml:space="preserve"> mission is to strengthen the Commonwealth’s public education system so that every student, and most especially every student with disabilities, is prepared to succeed in postsecondary education, compete in the global economy, and understand </w:t>
      </w:r>
      <w:r w:rsidR="00C7554E">
        <w:t xml:space="preserve">the rights and responsibilities </w:t>
      </w:r>
      <w:r w:rsidR="00736F8B" w:rsidRPr="00096F2A">
        <w:t>of American citizens, and in so doing, to close all proficiency gaps. With a results-driven focus, SEPP seeks to increase public knowledge regarding special education and students with disabilities; engage in strategic planning and use of funds; develop, model, and disseminate best practices; promote communication and collaboration within the Department and among external stakeholders; and support effective compliance to improve student outcomes.</w:t>
      </w:r>
      <w:r w:rsidR="00FB614D" w:rsidRPr="00096F2A">
        <w:t xml:space="preserve"> The</w:t>
      </w:r>
      <w:r w:rsidR="00482A7C" w:rsidRPr="00096F2A">
        <w:t xml:space="preserve"> following FY14 highlights exemplify these strategies.</w:t>
      </w:r>
    </w:p>
    <w:p w:rsidR="005E3441" w:rsidRDefault="00252F5C" w:rsidP="00252F5C">
      <w:pPr>
        <w:pStyle w:val="Heading3"/>
        <w:spacing w:before="0" w:after="120"/>
      </w:pPr>
      <w:bookmarkStart w:id="46" w:name="_Toc405293152"/>
      <w:r>
        <w:t xml:space="preserve">1. </w:t>
      </w:r>
      <w:r w:rsidR="005E3441" w:rsidRPr="005E3441">
        <w:t>Massachusetts</w:t>
      </w:r>
      <w:r w:rsidR="005E3441">
        <w:t xml:space="preserve"> </w:t>
      </w:r>
      <w:r w:rsidR="005E3441" w:rsidRPr="005E3441">
        <w:t>IEP Improvement Project</w:t>
      </w:r>
      <w:bookmarkEnd w:id="46"/>
    </w:p>
    <w:p w:rsidR="00AD7657" w:rsidRPr="00096F2A" w:rsidRDefault="00A436B2" w:rsidP="00AD7657">
      <w:pPr>
        <w:spacing w:after="120"/>
      </w:pPr>
      <w:r w:rsidRPr="00096F2A">
        <w:t xml:space="preserve">In FY14, the Department began its IEP Improvement Project. </w:t>
      </w:r>
      <w:r w:rsidR="00BC0F4E">
        <w:t>The</w:t>
      </w:r>
      <w:r w:rsidR="00D77F0D" w:rsidRPr="00096F2A">
        <w:t xml:space="preserve"> </w:t>
      </w:r>
      <w:r w:rsidR="00361D7E">
        <w:t xml:space="preserve">current </w:t>
      </w:r>
      <w:r w:rsidR="00D77F0D" w:rsidRPr="00096F2A">
        <w:t>IEP form was first introduced in 2000</w:t>
      </w:r>
      <w:r w:rsidR="00BC0F4E">
        <w:t xml:space="preserve">; while still </w:t>
      </w:r>
      <w:r w:rsidR="00FA5E39">
        <w:t>compliant with the requirements of IDEA and Massachuse</w:t>
      </w:r>
      <w:r w:rsidR="00CE5A65">
        <w:t>t</w:t>
      </w:r>
      <w:r w:rsidR="00FA5E39">
        <w:t xml:space="preserve">ts special education law, </w:t>
      </w:r>
      <w:r w:rsidR="00D77F0D" w:rsidRPr="00096F2A">
        <w:t>the Department has received</w:t>
      </w:r>
      <w:r w:rsidR="009148BC" w:rsidRPr="00096F2A">
        <w:t xml:space="preserve"> numerous</w:t>
      </w:r>
      <w:r w:rsidR="00D77F0D" w:rsidRPr="00096F2A">
        <w:t xml:space="preserve"> stakeholder requests to improve </w:t>
      </w:r>
      <w:r w:rsidR="00BC0F4E">
        <w:t xml:space="preserve">both </w:t>
      </w:r>
      <w:r w:rsidR="00DC392B">
        <w:t xml:space="preserve">the IEP development </w:t>
      </w:r>
      <w:r w:rsidR="00BC0F4E">
        <w:t xml:space="preserve">process and form </w:t>
      </w:r>
      <w:r w:rsidR="009148BC" w:rsidRPr="00096F2A">
        <w:t xml:space="preserve">to deepen conversations at IEP </w:t>
      </w:r>
      <w:r w:rsidR="00361D7E">
        <w:t>T</w:t>
      </w:r>
      <w:r w:rsidR="00361D7E" w:rsidRPr="00096F2A">
        <w:t xml:space="preserve">eam </w:t>
      </w:r>
      <w:r w:rsidR="009148BC" w:rsidRPr="00096F2A">
        <w:t>meetings, and improve student</w:t>
      </w:r>
      <w:r w:rsidR="00C01133" w:rsidRPr="00096F2A">
        <w:t xml:space="preserve"> outcomes through increased</w:t>
      </w:r>
      <w:r w:rsidR="009148BC" w:rsidRPr="00096F2A">
        <w:t xml:space="preserve"> IEP implementation</w:t>
      </w:r>
      <w:r w:rsidR="0028213C" w:rsidRPr="00096F2A">
        <w:t xml:space="preserve"> </w:t>
      </w:r>
      <w:r w:rsidR="009148BC" w:rsidRPr="00096F2A">
        <w:t xml:space="preserve">by all professionals. </w:t>
      </w:r>
      <w:r w:rsidR="001B3E1E">
        <w:t>For this</w:t>
      </w:r>
      <w:r w:rsidR="00FA5E39">
        <w:t xml:space="preserve"> initiative</w:t>
      </w:r>
      <w:r w:rsidR="001B3E1E">
        <w:t xml:space="preserve">, </w:t>
      </w:r>
      <w:r w:rsidR="00361D7E">
        <w:t xml:space="preserve">the Department is </w:t>
      </w:r>
      <w:r w:rsidR="00FA5E39">
        <w:t xml:space="preserve">working with stakeholders to </w:t>
      </w:r>
      <w:r w:rsidR="00361D7E">
        <w:t xml:space="preserve">develop an enhanced IEP Team meeting process and </w:t>
      </w:r>
      <w:r w:rsidR="00CE5A65">
        <w:t xml:space="preserve">IEP </w:t>
      </w:r>
      <w:r w:rsidR="00361D7E">
        <w:t>form which will</w:t>
      </w:r>
      <w:r w:rsidR="0028213C" w:rsidRPr="00096F2A">
        <w:t xml:space="preserve"> </w:t>
      </w:r>
      <w:r w:rsidR="00361D7E" w:rsidRPr="00096F2A">
        <w:t xml:space="preserve">prioritize student access to the general curriculum </w:t>
      </w:r>
      <w:r w:rsidR="00361D7E">
        <w:t xml:space="preserve">as well as </w:t>
      </w:r>
      <w:r w:rsidR="008820AF">
        <w:t>increase</w:t>
      </w:r>
      <w:r w:rsidR="0028213C" w:rsidRPr="00096F2A">
        <w:t xml:space="preserve"> </w:t>
      </w:r>
      <w:r w:rsidR="008820AF">
        <w:t xml:space="preserve">opportunities for communication and </w:t>
      </w:r>
      <w:r w:rsidR="0028213C" w:rsidRPr="00096F2A">
        <w:t>collaboration between</w:t>
      </w:r>
      <w:r w:rsidR="00387B31" w:rsidRPr="00096F2A">
        <w:t xml:space="preserve"> general and special educators</w:t>
      </w:r>
      <w:r w:rsidR="00A71C7A" w:rsidRPr="00096F2A">
        <w:t xml:space="preserve">. </w:t>
      </w:r>
      <w:r w:rsidR="009148BC" w:rsidRPr="00096F2A">
        <w:t xml:space="preserve">New technologies developed since 2000 offer a strategic opportunity to create a fully online IEP </w:t>
      </w:r>
      <w:r w:rsidR="001B3E1E">
        <w:t xml:space="preserve">system </w:t>
      </w:r>
      <w:r w:rsidR="009148BC" w:rsidRPr="00096F2A">
        <w:t xml:space="preserve">that will </w:t>
      </w:r>
      <w:r w:rsidR="00760A19">
        <w:t xml:space="preserve">incorporate best practice consideration in order to </w:t>
      </w:r>
      <w:r w:rsidR="001B3E1E">
        <w:t>support</w:t>
      </w:r>
      <w:r w:rsidR="001B3E1E" w:rsidRPr="00096F2A">
        <w:t xml:space="preserve"> </w:t>
      </w:r>
      <w:r w:rsidR="009148BC" w:rsidRPr="00096F2A">
        <w:t xml:space="preserve">students with disabilities </w:t>
      </w:r>
      <w:r w:rsidR="001B3E1E">
        <w:t xml:space="preserve">to </w:t>
      </w:r>
      <w:r w:rsidR="009148BC" w:rsidRPr="00096F2A">
        <w:t xml:space="preserve">have the best possible access to the curriculum frameworks and </w:t>
      </w:r>
      <w:r w:rsidR="000E299E">
        <w:t xml:space="preserve">develop </w:t>
      </w:r>
      <w:r w:rsidR="009148BC" w:rsidRPr="00096F2A">
        <w:t>the skills to participate in all aspects of the</w:t>
      </w:r>
      <w:r w:rsidRPr="00096F2A">
        <w:t xml:space="preserve"> school. </w:t>
      </w:r>
    </w:p>
    <w:p w:rsidR="009148BC" w:rsidRPr="00096F2A" w:rsidRDefault="00D0459D" w:rsidP="00AD7657">
      <w:pPr>
        <w:spacing w:after="120"/>
      </w:pPr>
      <w:r w:rsidRPr="00096F2A">
        <w:t xml:space="preserve">The new IEP system, scheduled to be fully </w:t>
      </w:r>
      <w:r w:rsidR="00FB651A">
        <w:t>available across the Commonwealth</w:t>
      </w:r>
      <w:r w:rsidR="009148BC" w:rsidRPr="00096F2A">
        <w:t xml:space="preserve"> by September 2016</w:t>
      </w:r>
      <w:r w:rsidRPr="00096F2A">
        <w:t xml:space="preserve">, </w:t>
      </w:r>
      <w:r w:rsidR="00C01133" w:rsidRPr="00096F2A">
        <w:t xml:space="preserve">will </w:t>
      </w:r>
      <w:r w:rsidR="009148BC" w:rsidRPr="00096F2A">
        <w:t>provide a “one stop</w:t>
      </w:r>
      <w:r w:rsidRPr="00096F2A">
        <w:t xml:space="preserve">” solution for IEP development </w:t>
      </w:r>
      <w:r w:rsidR="009148BC" w:rsidRPr="00096F2A">
        <w:t>and will prov</w:t>
      </w:r>
      <w:r w:rsidR="00C01133" w:rsidRPr="00096F2A">
        <w:t xml:space="preserve">ide the ability to create IEPs and </w:t>
      </w:r>
      <w:r w:rsidR="009148BC" w:rsidRPr="00096F2A">
        <w:t>related forms,</w:t>
      </w:r>
      <w:r w:rsidR="00C01133" w:rsidRPr="00096F2A">
        <w:t xml:space="preserve"> track workflow related to</w:t>
      </w:r>
      <w:r w:rsidR="009148BC" w:rsidRPr="00096F2A">
        <w:t xml:space="preserve"> the IEP process</w:t>
      </w:r>
      <w:r w:rsidRPr="00096F2A">
        <w:t xml:space="preserve">, and support </w:t>
      </w:r>
      <w:r w:rsidR="00C01133" w:rsidRPr="00096F2A">
        <w:t>continuous improvement through analytics for classroom</w:t>
      </w:r>
      <w:r w:rsidRPr="00096F2A">
        <w:t xml:space="preserve"> teachers and administrators. The online tool will be pre-loaded with student and teacher information from the School Interoperability Framework (SIF), </w:t>
      </w:r>
      <w:r w:rsidR="000E299E">
        <w:t>eliminating repetitive data entry</w:t>
      </w:r>
      <w:r w:rsidRPr="00096F2A">
        <w:t xml:space="preserve">. The form will also offer cost savings to participating districts </w:t>
      </w:r>
      <w:r w:rsidR="00A71C7A" w:rsidRPr="00096F2A">
        <w:t>which</w:t>
      </w:r>
      <w:r w:rsidRPr="00096F2A">
        <w:t xml:space="preserve"> currently pay a vendor to provide electronic IEP services and wh</w:t>
      </w:r>
      <w:r w:rsidR="00A71C7A" w:rsidRPr="00096F2A">
        <w:t>ich</w:t>
      </w:r>
      <w:r w:rsidRPr="00096F2A">
        <w:t xml:space="preserve"> may elect to switch to the new no-cost state platform. </w:t>
      </w:r>
    </w:p>
    <w:p w:rsidR="00D0459D" w:rsidRPr="00096F2A" w:rsidRDefault="00D0459D" w:rsidP="00AD7657">
      <w:pPr>
        <w:spacing w:after="120"/>
      </w:pPr>
      <w:r w:rsidRPr="00096F2A">
        <w:t xml:space="preserve">The Department </w:t>
      </w:r>
      <w:hyperlink r:id="rId37" w:history="1">
        <w:r w:rsidRPr="00685BBE">
          <w:rPr>
            <w:rStyle w:val="Hyperlink"/>
          </w:rPr>
          <w:t>seeks broad and deep stakeholder input</w:t>
        </w:r>
      </w:hyperlink>
      <w:r w:rsidR="008432E4" w:rsidRPr="00096F2A">
        <w:t xml:space="preserve"> on the new form as it is developed</w:t>
      </w:r>
      <w:r w:rsidRPr="00096F2A">
        <w:t xml:space="preserve"> and to date has heard from more than 500 individuals, including educators and administrators, students, parents, advocates, and members of the public.</w:t>
      </w:r>
      <w:r w:rsidR="008432E4" w:rsidRPr="00096F2A">
        <w:t xml:space="preserve"> </w:t>
      </w:r>
    </w:p>
    <w:p w:rsidR="005E3441" w:rsidRDefault="005E3441" w:rsidP="005E3441">
      <w:pPr>
        <w:pStyle w:val="Heading3"/>
        <w:spacing w:before="0" w:after="120"/>
      </w:pPr>
      <w:bookmarkStart w:id="47" w:name="_Toc405293153"/>
      <w:r>
        <w:t>2. State Systemic Improvement Plan (SSIP)</w:t>
      </w:r>
      <w:bookmarkEnd w:id="47"/>
    </w:p>
    <w:p w:rsidR="005E3441" w:rsidRPr="00096F2A" w:rsidRDefault="005E3441" w:rsidP="005E3441">
      <w:pPr>
        <w:spacing w:after="120"/>
      </w:pPr>
      <w:r w:rsidRPr="00096F2A">
        <w:t>The Massachusetts SSIP</w:t>
      </w:r>
      <w:r w:rsidR="00AF28C2">
        <w:t>, new SPP/APR Indicator 17</w:t>
      </w:r>
      <w:r w:rsidRPr="00096F2A">
        <w:t xml:space="preserve"> (see </w:t>
      </w:r>
      <w:hyperlink w:anchor="_III.__Results_1" w:history="1">
        <w:r w:rsidRPr="00685BBE">
          <w:rPr>
            <w:rStyle w:val="Hyperlink"/>
          </w:rPr>
          <w:t>Section III</w:t>
        </w:r>
      </w:hyperlink>
      <w:r w:rsidRPr="00096F2A">
        <w:t xml:space="preserve"> above)</w:t>
      </w:r>
      <w:r w:rsidR="00AF28C2">
        <w:t>,</w:t>
      </w:r>
      <w:r w:rsidRPr="00096F2A">
        <w:t xml:space="preserve"> will focus on </w:t>
      </w:r>
      <w:r w:rsidR="00DD424A" w:rsidRPr="00096F2A">
        <w:t>developing methods, strategies, and resources to improve instruction to</w:t>
      </w:r>
      <w:r w:rsidRPr="00096F2A">
        <w:t xml:space="preserve"> </w:t>
      </w:r>
      <w:r w:rsidR="00FB0BE9" w:rsidRPr="00096F2A">
        <w:t>increase</w:t>
      </w:r>
      <w:r w:rsidRPr="00096F2A">
        <w:t xml:space="preserve"> social/emotional skills and enhance social relationships for early childh</w:t>
      </w:r>
      <w:r w:rsidR="007547F5">
        <w:t>ood special education students and thus improve educational outcomes for students with disabilities. Research has show</w:t>
      </w:r>
      <w:r w:rsidR="00AF28C2">
        <w:t>n there is a direct correlation</w:t>
      </w:r>
      <w:r w:rsidR="007547F5">
        <w:t xml:space="preserve"> between imp</w:t>
      </w:r>
      <w:r w:rsidR="00AF28C2">
        <w:t>r</w:t>
      </w:r>
      <w:r w:rsidR="007547F5">
        <w:t>oved social/emotional</w:t>
      </w:r>
      <w:r w:rsidR="00AF28C2">
        <w:t xml:space="preserve"> </w:t>
      </w:r>
      <w:r w:rsidR="007547F5">
        <w:t>competencies and improved academic achievement.</w:t>
      </w:r>
      <w:r w:rsidR="00AF28C2">
        <w:t xml:space="preserve"> Over time, the Massachusetts </w:t>
      </w:r>
      <w:r w:rsidR="007547F5">
        <w:t>SSIP will encompass district wide initiatives improving social emotional competencies</w:t>
      </w:r>
      <w:r w:rsidR="00AF28C2">
        <w:t xml:space="preserve"> for all students</w:t>
      </w:r>
      <w:r w:rsidR="007547F5">
        <w:t>, thereby improving achievement and reducing the proficiency gap for students with disabilities.</w:t>
      </w:r>
    </w:p>
    <w:p w:rsidR="005E3441" w:rsidRPr="00096F2A" w:rsidRDefault="005E3441" w:rsidP="005E3441">
      <w:pPr>
        <w:spacing w:after="120"/>
      </w:pPr>
      <w:r w:rsidRPr="00096F2A">
        <w:t xml:space="preserve">SSIP planning and data analysis throughout FY14 was guided by </w:t>
      </w:r>
      <w:r w:rsidR="007547F5">
        <w:t xml:space="preserve">the Special Education Steering Committee and </w:t>
      </w:r>
      <w:r w:rsidRPr="00096F2A">
        <w:t>an external stakeholder group convened by the Department</w:t>
      </w:r>
      <w:r w:rsidR="007547F5">
        <w:t>, which include</w:t>
      </w:r>
      <w:r w:rsidR="00CE5A65">
        <w:t>s</w:t>
      </w:r>
      <w:r w:rsidR="007547F5">
        <w:t xml:space="preserve"> </w:t>
      </w:r>
      <w:r w:rsidR="00AF28C2">
        <w:t xml:space="preserve">staff from </w:t>
      </w:r>
      <w:r w:rsidR="00CE5A65">
        <w:t>throughout the Department</w:t>
      </w:r>
      <w:r w:rsidR="0001388F">
        <w:t xml:space="preserve">, </w:t>
      </w:r>
      <w:r w:rsidR="007547F5">
        <w:t>representatives from</w:t>
      </w:r>
      <w:r w:rsidR="00AF28C2">
        <w:t xml:space="preserve"> </w:t>
      </w:r>
      <w:r w:rsidR="0001388F">
        <w:t xml:space="preserve">the Departments of </w:t>
      </w:r>
      <w:r w:rsidRPr="00096F2A">
        <w:t>P</w:t>
      </w:r>
      <w:r w:rsidR="007547F5">
        <w:t xml:space="preserve">ublic </w:t>
      </w:r>
      <w:r w:rsidRPr="00096F2A">
        <w:t>H</w:t>
      </w:r>
      <w:r w:rsidR="007547F5">
        <w:t>ealth (DPH)</w:t>
      </w:r>
      <w:r w:rsidRPr="00096F2A">
        <w:t xml:space="preserve">, </w:t>
      </w:r>
      <w:r w:rsidR="007547F5">
        <w:t>Early Education and Care (</w:t>
      </w:r>
      <w:r w:rsidRPr="00096F2A">
        <w:t>EEC</w:t>
      </w:r>
      <w:r w:rsidR="007547F5">
        <w:t>)</w:t>
      </w:r>
      <w:r w:rsidRPr="00096F2A">
        <w:t xml:space="preserve">, </w:t>
      </w:r>
      <w:r w:rsidR="007547F5">
        <w:t>Massachusetts Parent Training and Information Center (</w:t>
      </w:r>
      <w:r w:rsidRPr="00096F2A">
        <w:t>MA PTI</w:t>
      </w:r>
      <w:r w:rsidR="007547F5">
        <w:t>)</w:t>
      </w:r>
      <w:r w:rsidRPr="00096F2A">
        <w:t xml:space="preserve">, teachers, early childhood coordinators, and </w:t>
      </w:r>
      <w:r w:rsidR="007547F5">
        <w:t>school and district</w:t>
      </w:r>
      <w:r w:rsidR="007547F5" w:rsidRPr="00096F2A">
        <w:t xml:space="preserve"> </w:t>
      </w:r>
      <w:r w:rsidRPr="00096F2A">
        <w:t xml:space="preserve">administrators. </w:t>
      </w:r>
      <w:r w:rsidR="007547F5" w:rsidRPr="00096F2A">
        <w:t>In mid-March, repres</w:t>
      </w:r>
      <w:r w:rsidR="0001388F">
        <w:t>entatives from the Department</w:t>
      </w:r>
      <w:r w:rsidR="007547F5" w:rsidRPr="00096F2A">
        <w:t xml:space="preserve">, </w:t>
      </w:r>
      <w:r w:rsidR="0001388F">
        <w:t>DPH</w:t>
      </w:r>
      <w:r w:rsidR="007547F5" w:rsidRPr="00096F2A">
        <w:t xml:space="preserve">, and the MA PTI attended the 2014 Northeast Regional Resource Center (NERCC) SSIP Meeting. This </w:t>
      </w:r>
      <w:r w:rsidR="0001388F">
        <w:t>two</w:t>
      </w:r>
      <w:r w:rsidR="007547F5" w:rsidRPr="00096F2A">
        <w:t>-day meeting provided staff with the opportunity to work with representatives from several OSEP-funded technical assistance centers, national experts, and OSEP staff to develop a plan for Phase I of the multi-year SSIP</w:t>
      </w:r>
      <w:r w:rsidR="0001388F">
        <w:t>.</w:t>
      </w:r>
    </w:p>
    <w:p w:rsidR="005E3441" w:rsidRDefault="005E3441" w:rsidP="005E3441">
      <w:pPr>
        <w:spacing w:after="120"/>
      </w:pPr>
      <w:r w:rsidRPr="00096F2A">
        <w:t>In FY15, the Department’s SSIP work focus</w:t>
      </w:r>
      <w:r w:rsidR="00FB651A">
        <w:t>es</w:t>
      </w:r>
      <w:r w:rsidRPr="00096F2A">
        <w:t xml:space="preserve"> on infrastructure development, support for LEA implementation of evidence-based practices, and evaluation of the SSIP. Specifically, the Department will work with districts to implement the evidence-based practice, Positive Behavioral Supports (PBS)</w:t>
      </w:r>
      <w:r w:rsidR="00826633">
        <w:t>,</w:t>
      </w:r>
      <w:r w:rsidR="00FB651A">
        <w:t xml:space="preserve"> with special emphasis on connecting activities for the early childhood workforce</w:t>
      </w:r>
      <w:r w:rsidRPr="00096F2A">
        <w:t xml:space="preserve">.  </w:t>
      </w:r>
    </w:p>
    <w:p w:rsidR="00252F5C" w:rsidRDefault="002404BF" w:rsidP="00252F5C">
      <w:pPr>
        <w:pStyle w:val="Heading3"/>
        <w:spacing w:before="0" w:after="120"/>
      </w:pPr>
      <w:bookmarkStart w:id="48" w:name="_Toc405293154"/>
      <w:r>
        <w:t>3</w:t>
      </w:r>
      <w:r w:rsidR="005E3441">
        <w:t xml:space="preserve">. </w:t>
      </w:r>
      <w:r w:rsidR="000D306A">
        <w:t xml:space="preserve">Early Childhood </w:t>
      </w:r>
      <w:r w:rsidR="005736D2">
        <w:t xml:space="preserve">Special </w:t>
      </w:r>
      <w:r w:rsidR="000D306A">
        <w:t>Education</w:t>
      </w:r>
      <w:bookmarkEnd w:id="48"/>
    </w:p>
    <w:p w:rsidR="00E80B70" w:rsidRPr="0072770E" w:rsidRDefault="002A2228" w:rsidP="002A2228">
      <w:pPr>
        <w:spacing w:after="120"/>
      </w:pPr>
      <w:r w:rsidRPr="0072770E">
        <w:t xml:space="preserve">The Department has a longstanding collaborative relationship with </w:t>
      </w:r>
      <w:r w:rsidR="00FB0BE9">
        <w:t>DPH</w:t>
      </w:r>
      <w:r w:rsidR="0001388F">
        <w:t xml:space="preserve"> and</w:t>
      </w:r>
      <w:r w:rsidRPr="0072770E">
        <w:t xml:space="preserve"> EEC, including an inter-agency service agreement with </w:t>
      </w:r>
      <w:r w:rsidR="0001388F">
        <w:t>each agency,</w:t>
      </w:r>
      <w:r w:rsidRPr="0072770E">
        <w:t xml:space="preserve"> to ensure the successful support of young children with disabilities across early childhood settings. The three agencies partnered in FY14 to establish a shared mission, increase knowledge of sister agency roles and responsibilities, and provide enhanced in-person and webinar </w:t>
      </w:r>
      <w:r w:rsidR="0001388F">
        <w:t>trainings and technical a</w:t>
      </w:r>
      <w:r w:rsidR="007547F5">
        <w:t xml:space="preserve">ssistance </w:t>
      </w:r>
      <w:r w:rsidRPr="0072770E">
        <w:t xml:space="preserve">to </w:t>
      </w:r>
      <w:r w:rsidR="0001388F">
        <w:t xml:space="preserve">early childhood </w:t>
      </w:r>
      <w:r w:rsidRPr="0072770E">
        <w:t xml:space="preserve">educators and families. </w:t>
      </w:r>
    </w:p>
    <w:p w:rsidR="002A2228" w:rsidRPr="0072770E" w:rsidRDefault="002A2228" w:rsidP="002A2228">
      <w:pPr>
        <w:spacing w:after="120"/>
      </w:pPr>
      <w:r w:rsidRPr="0072770E">
        <w:t>In addition, the agencies collaborated to develop a statewide Early Childhood Special Education (ECSE) Strategic Plan during FY14. The plan identifies three key areas of focus:</w:t>
      </w:r>
    </w:p>
    <w:p w:rsidR="002A2228" w:rsidRPr="0072770E" w:rsidRDefault="002A2228" w:rsidP="00CA535E">
      <w:pPr>
        <w:numPr>
          <w:ilvl w:val="0"/>
          <w:numId w:val="14"/>
        </w:numPr>
        <w:spacing w:after="120"/>
        <w:ind w:left="720"/>
      </w:pPr>
      <w:r w:rsidRPr="0072770E">
        <w:t>Building partnerships with families. [This priority aligns with federal Indicator 8, Parent Involvement.]</w:t>
      </w:r>
    </w:p>
    <w:p w:rsidR="002A2228" w:rsidRPr="0072770E" w:rsidRDefault="002A2228" w:rsidP="00CA535E">
      <w:pPr>
        <w:numPr>
          <w:ilvl w:val="0"/>
          <w:numId w:val="14"/>
        </w:numPr>
        <w:spacing w:after="120"/>
        <w:ind w:left="720"/>
      </w:pPr>
      <w:r w:rsidRPr="0072770E">
        <w:t xml:space="preserve">Improving systems to assist transition from early intervention to </w:t>
      </w:r>
      <w:proofErr w:type="gramStart"/>
      <w:r w:rsidRPr="0072770E">
        <w:t>pre</w:t>
      </w:r>
      <w:r w:rsidR="0001388F">
        <w:t>-K</w:t>
      </w:r>
      <w:r w:rsidRPr="0072770E">
        <w:t>indergarten,</w:t>
      </w:r>
      <w:proofErr w:type="gramEnd"/>
      <w:r w:rsidRPr="0072770E">
        <w:t xml:space="preserve"> and from prekindergarten to kindergarten. [This priority aligns with federal Indicator 12, Early Childhood Transition.]</w:t>
      </w:r>
    </w:p>
    <w:p w:rsidR="002A2228" w:rsidRPr="0072770E" w:rsidRDefault="002A2228" w:rsidP="00CA535E">
      <w:pPr>
        <w:numPr>
          <w:ilvl w:val="0"/>
          <w:numId w:val="14"/>
        </w:numPr>
        <w:spacing w:after="120"/>
        <w:ind w:left="720"/>
      </w:pPr>
      <w:r w:rsidRPr="0072770E">
        <w:t>Improving instruction to increase educational outcomes for early childhood students</w:t>
      </w:r>
      <w:r w:rsidR="0001388F">
        <w:t xml:space="preserve"> with dis</w:t>
      </w:r>
      <w:r w:rsidR="00CE5A65">
        <w:t>a</w:t>
      </w:r>
      <w:r w:rsidR="0001388F">
        <w:t>bilities</w:t>
      </w:r>
      <w:r w:rsidRPr="0072770E">
        <w:t xml:space="preserve"> in:</w:t>
      </w:r>
    </w:p>
    <w:p w:rsidR="002A2228" w:rsidRPr="0072770E" w:rsidRDefault="002A2228" w:rsidP="00CA535E">
      <w:pPr>
        <w:numPr>
          <w:ilvl w:val="1"/>
          <w:numId w:val="15"/>
        </w:numPr>
        <w:spacing w:after="120"/>
        <w:ind w:left="990" w:hanging="270"/>
      </w:pPr>
      <w:r w:rsidRPr="0072770E">
        <w:t xml:space="preserve">Social/Emotional Skills and Social Relationships; </w:t>
      </w:r>
    </w:p>
    <w:p w:rsidR="002A2228" w:rsidRPr="0072770E" w:rsidRDefault="002A2228" w:rsidP="00CA535E">
      <w:pPr>
        <w:numPr>
          <w:ilvl w:val="1"/>
          <w:numId w:val="15"/>
        </w:numPr>
        <w:spacing w:after="120"/>
        <w:ind w:left="990" w:hanging="270"/>
      </w:pPr>
      <w:r w:rsidRPr="0072770E">
        <w:t>Acquiring and Using Knowledge and Skills; and</w:t>
      </w:r>
    </w:p>
    <w:p w:rsidR="002A2228" w:rsidRPr="0072770E" w:rsidRDefault="002A2228" w:rsidP="00CA535E">
      <w:pPr>
        <w:numPr>
          <w:ilvl w:val="3"/>
          <w:numId w:val="16"/>
        </w:numPr>
        <w:spacing w:after="120"/>
        <w:ind w:left="990" w:hanging="270"/>
      </w:pPr>
      <w:r w:rsidRPr="0072770E">
        <w:t>Taking Appropriate Action to Meet Needs</w:t>
      </w:r>
    </w:p>
    <w:p w:rsidR="002A2228" w:rsidRPr="0072770E" w:rsidRDefault="002A2228" w:rsidP="002A2228">
      <w:pPr>
        <w:spacing w:after="120"/>
      </w:pPr>
      <w:r w:rsidRPr="0072770E">
        <w:tab/>
        <w:t>[This priority aligns with federal Indicator 7, Preschool Outcomes.]</w:t>
      </w:r>
    </w:p>
    <w:p w:rsidR="00FD563C" w:rsidRPr="00096F2A" w:rsidRDefault="00816446" w:rsidP="00FD563C">
      <w:pPr>
        <w:spacing w:after="120"/>
      </w:pPr>
      <w:r w:rsidRPr="0072770E">
        <w:t xml:space="preserve">To support enhanced early childhood outcomes, the Department </w:t>
      </w:r>
      <w:r w:rsidR="00FB651A">
        <w:t xml:space="preserve">used federal special education funds to </w:t>
      </w:r>
      <w:r w:rsidRPr="0072770E">
        <w:t xml:space="preserve">offer Fund Code 298: The Early Childhood Special Education Program Improvement Grant for </w:t>
      </w:r>
      <w:r w:rsidR="00CE5A65">
        <w:t>a</w:t>
      </w:r>
      <w:r w:rsidRPr="0072770E">
        <w:t xml:space="preserve"> second </w:t>
      </w:r>
      <w:r w:rsidR="00CE5A65">
        <w:t xml:space="preserve">consecutive </w:t>
      </w:r>
      <w:r w:rsidRPr="0072770E">
        <w:t xml:space="preserve">year. </w:t>
      </w:r>
      <w:r w:rsidR="00FB651A">
        <w:t>In its first year, FY14, t</w:t>
      </w:r>
      <w:r w:rsidRPr="0072770E">
        <w:t>hi</w:t>
      </w:r>
      <w:r w:rsidR="0001388F">
        <w:t>s grant was available to any district</w:t>
      </w:r>
      <w:r w:rsidRPr="0072770E">
        <w:t xml:space="preserve"> offering special education services to students ages 3-5, and the total funds available were $908,850. In FY15 $1,795,000 will be available </w:t>
      </w:r>
      <w:r w:rsidR="0001388F">
        <w:t xml:space="preserve">through this grant </w:t>
      </w:r>
      <w:r w:rsidRPr="0072770E">
        <w:t>to support systemic program improvement in early childhood special education</w:t>
      </w:r>
      <w:r w:rsidR="0001388F">
        <w:t>.</w:t>
      </w:r>
    </w:p>
    <w:p w:rsidR="0089291C" w:rsidRDefault="002404BF" w:rsidP="00A86002">
      <w:pPr>
        <w:pStyle w:val="Heading3"/>
        <w:spacing w:before="0" w:after="120"/>
      </w:pPr>
      <w:bookmarkStart w:id="49" w:name="_Toc405293155"/>
      <w:r>
        <w:t>4</w:t>
      </w:r>
      <w:r w:rsidR="0089291C">
        <w:t>. Secondary Transition</w:t>
      </w:r>
      <w:bookmarkEnd w:id="49"/>
    </w:p>
    <w:p w:rsidR="00291FB3" w:rsidRPr="003A76D7" w:rsidRDefault="00E148C7" w:rsidP="00A71C7A">
      <w:pPr>
        <w:spacing w:after="120"/>
      </w:pPr>
      <w:r>
        <w:t>In FY14, the Department offered a</w:t>
      </w:r>
      <w:r w:rsidRPr="00E148C7">
        <w:t xml:space="preserve"> grant program to extend strategic planning begun at the April 24, 2013</w:t>
      </w:r>
      <w:r w:rsidR="00457685">
        <w:t xml:space="preserve"> </w:t>
      </w:r>
      <w:r w:rsidRPr="00E148C7">
        <w:t>Secondary Transition Capacity-Building Conference by supporting the planning or development of whole-school/whole-district best practices in the areas of Transition Assessment or Self-Determination for students with disabilities, aged 14-22.</w:t>
      </w:r>
      <w:r>
        <w:t xml:space="preserve"> The Department also </w:t>
      </w:r>
      <w:r w:rsidR="00B462E1">
        <w:t xml:space="preserve">issued a </w:t>
      </w:r>
      <w:hyperlink r:id="rId38" w:history="1">
        <w:r w:rsidR="00B462E1" w:rsidRPr="00B462E1">
          <w:rPr>
            <w:rStyle w:val="Hyperlink"/>
          </w:rPr>
          <w:t>new technical assistance advisory</w:t>
        </w:r>
      </w:hyperlink>
      <w:r w:rsidR="00B462E1">
        <w:t xml:space="preserve"> on Transition Assessment</w:t>
      </w:r>
      <w:r w:rsidR="00BC5FB5">
        <w:t xml:space="preserve">. This advisory enables districts to understand assessment of students with disabilities aged 14-22 in the context of all other school- and community-based assessments and encourages a unified systems perspective. </w:t>
      </w:r>
      <w:r>
        <w:t>In addition, t</w:t>
      </w:r>
      <w:r w:rsidR="00BC5FB5">
        <w:t xml:space="preserve">wo educator trainings were offered in </w:t>
      </w:r>
      <w:proofErr w:type="gramStart"/>
      <w:r w:rsidR="00BC5FB5">
        <w:t>Spring</w:t>
      </w:r>
      <w:proofErr w:type="gramEnd"/>
      <w:r w:rsidR="00BC5FB5">
        <w:t xml:space="preserve"> 2014 for statewide school professionals on Transition Assessment and Student Self-Determination. SEPP also collaborated with the Office of </w:t>
      </w:r>
      <w:r w:rsidR="003A76D7">
        <w:t xml:space="preserve">College and Career Readiness and the Office for Career/Vocational Technical Education, with activities including </w:t>
      </w:r>
      <w:r w:rsidR="00374216">
        <w:t xml:space="preserve">educator </w:t>
      </w:r>
      <w:r w:rsidR="007554D8">
        <w:t xml:space="preserve">workshop participation, </w:t>
      </w:r>
      <w:r w:rsidR="003A76D7">
        <w:t>the presentation of a webinar on Secondary Transition</w:t>
      </w:r>
      <w:r w:rsidR="007554D8">
        <w:t>,</w:t>
      </w:r>
      <w:r w:rsidR="003A76D7">
        <w:t xml:space="preserve"> and a yearlong special education institute for educator teams from Career/Vocational Technical Education (CVTE) Programs.</w:t>
      </w:r>
    </w:p>
    <w:p w:rsidR="00113215" w:rsidRDefault="00113215" w:rsidP="00113215">
      <w:pPr>
        <w:pStyle w:val="Heading2"/>
        <w:spacing w:after="240"/>
      </w:pPr>
      <w:bookmarkStart w:id="50" w:name="_Toc405293156"/>
      <w:r>
        <w:t>B</w:t>
      </w:r>
      <w:r w:rsidRPr="006D7C62">
        <w:t xml:space="preserve">. </w:t>
      </w:r>
      <w:r w:rsidRPr="006D7C62">
        <w:tab/>
      </w:r>
      <w:r>
        <w:t>Office of Tiered System of Support (OTSS)</w:t>
      </w:r>
      <w:bookmarkEnd w:id="50"/>
    </w:p>
    <w:p w:rsidR="00113215" w:rsidRPr="0072770E" w:rsidRDefault="00113215" w:rsidP="007E03DD">
      <w:pPr>
        <w:spacing w:after="120"/>
      </w:pPr>
      <w:r w:rsidRPr="0072770E">
        <w:t xml:space="preserve">The </w:t>
      </w:r>
      <w:hyperlink r:id="rId39" w:history="1">
        <w:r w:rsidRPr="0072770E">
          <w:rPr>
            <w:rStyle w:val="Hyperlink"/>
          </w:rPr>
          <w:t>reports</w:t>
        </w:r>
      </w:hyperlink>
      <w:r w:rsidRPr="0072770E">
        <w:t xml:space="preserve"> by Dr. Thomas Hehir and Associates </w:t>
      </w:r>
      <w:r w:rsidR="00FB651A">
        <w:t>suggest implementation of</w:t>
      </w:r>
      <w:r w:rsidRPr="0072770E">
        <w:t xml:space="preserve"> the </w:t>
      </w:r>
      <w:hyperlink r:id="rId40" w:history="1">
        <w:r w:rsidRPr="0072770E">
          <w:rPr>
            <w:rStyle w:val="Hyperlink"/>
          </w:rPr>
          <w:t>Massachusetts Tiered System of Support (MTSS)</w:t>
        </w:r>
      </w:hyperlink>
      <w:r w:rsidRPr="0072770E">
        <w:t xml:space="preserve"> </w:t>
      </w:r>
      <w:r w:rsidR="00FB651A">
        <w:t xml:space="preserve">can function </w:t>
      </w:r>
      <w:r w:rsidRPr="0072770E">
        <w:t xml:space="preserve">as a key factor in efforts to improve general education. Now in its third year of operation, the Office of Tiered System of Support (OTSS) has made substantial progress towards its goal of improving access to safe, supportive and enriched school environments for all students through the development and implementation of MTSS. MTSS is a blueprint for school improvement that focuses on system structures and supports across the district, school, and classroom to meet the academic and non-academic needs of all students, including students with disabilities, English language learners, and students who have already demonstrated mastery of the concepts and skills being taught. Collaboration between special education, general education, and the regional systems of support are key components of MTSS, and staff from the Department’s Special Education, Planning and Policy Development (SEPP) Office, Learning Support Services, the District Schools and Assistance Centers (DSACs), and OTSS continue to collaborate on many initiatives and improvement activities. </w:t>
      </w:r>
    </w:p>
    <w:p w:rsidR="00113215" w:rsidRPr="00E07855" w:rsidRDefault="00113215" w:rsidP="007E03DD">
      <w:pPr>
        <w:pStyle w:val="Heading3"/>
        <w:spacing w:before="0" w:after="120"/>
      </w:pPr>
      <w:bookmarkStart w:id="51" w:name="_Toc405293157"/>
      <w:r>
        <w:t xml:space="preserve">1. </w:t>
      </w:r>
      <w:r w:rsidRPr="00E07855">
        <w:t>Professional Development</w:t>
      </w:r>
      <w:bookmarkEnd w:id="51"/>
    </w:p>
    <w:p w:rsidR="00113215" w:rsidRPr="0072770E" w:rsidRDefault="00113215" w:rsidP="007E03DD">
      <w:pPr>
        <w:spacing w:after="120"/>
      </w:pPr>
      <w:r w:rsidRPr="0072770E">
        <w:t xml:space="preserve">OTSS and SEPP have a strong history of collaborating to offer high quality, evidenced-based and rigorous professional development to Massachusetts educators. Continuing this tradition, OTSS and SEPP offered three-credit online graduate courses through </w:t>
      </w:r>
      <w:hyperlink r:id="rId41" w:history="1">
        <w:r w:rsidRPr="0072770E">
          <w:rPr>
            <w:rStyle w:val="Hyperlink"/>
          </w:rPr>
          <w:t>Massachusetts FOCUS Academy (MFA)</w:t>
        </w:r>
      </w:hyperlink>
      <w:r w:rsidRPr="0072770E">
        <w:t xml:space="preserve"> during the 2013-2014 school </w:t>
      </w:r>
      <w:proofErr w:type="gramStart"/>
      <w:r w:rsidRPr="0072770E">
        <w:t>year</w:t>
      </w:r>
      <w:proofErr w:type="gramEnd"/>
      <w:r w:rsidRPr="0072770E">
        <w:t>. The following thirteen courses were offered:</w:t>
      </w:r>
    </w:p>
    <w:p w:rsidR="00113215" w:rsidRPr="0072770E" w:rsidRDefault="00113215" w:rsidP="00CA535E">
      <w:pPr>
        <w:pStyle w:val="ListParagraph"/>
        <w:numPr>
          <w:ilvl w:val="0"/>
          <w:numId w:val="9"/>
        </w:numPr>
        <w:spacing w:after="240"/>
        <w:ind w:left="720"/>
        <w:contextualSpacing/>
        <w:rPr>
          <w:rFonts w:ascii="Times New Roman" w:hAnsi="Times New Roman"/>
          <w:sz w:val="24"/>
          <w:szCs w:val="24"/>
        </w:rPr>
      </w:pPr>
      <w:r w:rsidRPr="0072770E">
        <w:rPr>
          <w:rFonts w:ascii="Times New Roman" w:hAnsi="Times New Roman"/>
          <w:sz w:val="24"/>
          <w:szCs w:val="24"/>
        </w:rPr>
        <w:t>Assessment of Students with Disabilities Who are English Language Learners (ELL)</w:t>
      </w:r>
    </w:p>
    <w:p w:rsidR="00113215" w:rsidRPr="0072770E" w:rsidRDefault="00113215" w:rsidP="00CA535E">
      <w:pPr>
        <w:pStyle w:val="ListParagraph"/>
        <w:numPr>
          <w:ilvl w:val="0"/>
          <w:numId w:val="9"/>
        </w:numPr>
        <w:spacing w:after="240"/>
        <w:ind w:left="720"/>
        <w:contextualSpacing/>
        <w:rPr>
          <w:rFonts w:ascii="Times New Roman" w:hAnsi="Times New Roman"/>
          <w:sz w:val="24"/>
          <w:szCs w:val="24"/>
        </w:rPr>
      </w:pPr>
      <w:r w:rsidRPr="0072770E">
        <w:rPr>
          <w:rFonts w:ascii="Times New Roman" w:hAnsi="Times New Roman"/>
          <w:sz w:val="24"/>
          <w:szCs w:val="24"/>
        </w:rPr>
        <w:t xml:space="preserve">Career Development and Competitive Employment for Students with Disabilities  </w:t>
      </w:r>
    </w:p>
    <w:p w:rsidR="00113215" w:rsidRPr="0072770E" w:rsidRDefault="00113215" w:rsidP="00CA535E">
      <w:pPr>
        <w:pStyle w:val="ListParagraph"/>
        <w:numPr>
          <w:ilvl w:val="0"/>
          <w:numId w:val="9"/>
        </w:numPr>
        <w:spacing w:after="240"/>
        <w:ind w:left="720"/>
        <w:contextualSpacing/>
        <w:rPr>
          <w:rFonts w:ascii="Times New Roman" w:hAnsi="Times New Roman"/>
          <w:sz w:val="24"/>
          <w:szCs w:val="24"/>
        </w:rPr>
      </w:pPr>
      <w:r w:rsidRPr="0072770E">
        <w:rPr>
          <w:rFonts w:ascii="Times New Roman" w:hAnsi="Times New Roman"/>
          <w:sz w:val="24"/>
          <w:szCs w:val="24"/>
        </w:rPr>
        <w:t>Collaborative Co-Teaching in Inclusive Classrooms</w:t>
      </w:r>
      <w:r w:rsidRPr="0072770E">
        <w:rPr>
          <w:rFonts w:ascii="Times New Roman" w:hAnsi="Times New Roman"/>
          <w:sz w:val="24"/>
          <w:szCs w:val="24"/>
        </w:rPr>
        <w:tab/>
      </w:r>
    </w:p>
    <w:p w:rsidR="00113215" w:rsidRPr="0072770E" w:rsidRDefault="00113215" w:rsidP="00CA535E">
      <w:pPr>
        <w:pStyle w:val="ListParagraph"/>
        <w:numPr>
          <w:ilvl w:val="0"/>
          <w:numId w:val="11"/>
        </w:numPr>
        <w:spacing w:after="240"/>
        <w:ind w:left="720" w:hanging="360"/>
        <w:contextualSpacing/>
        <w:rPr>
          <w:rFonts w:ascii="Times New Roman" w:hAnsi="Times New Roman"/>
          <w:sz w:val="24"/>
          <w:szCs w:val="24"/>
        </w:rPr>
      </w:pPr>
      <w:r w:rsidRPr="0072770E">
        <w:rPr>
          <w:rFonts w:ascii="Times New Roman" w:hAnsi="Times New Roman"/>
          <w:sz w:val="24"/>
          <w:szCs w:val="24"/>
        </w:rPr>
        <w:t>Creating and Sustaining Positive School-Wide Learning Environments</w:t>
      </w:r>
      <w:r w:rsidRPr="0072770E">
        <w:rPr>
          <w:rFonts w:ascii="Times New Roman" w:hAnsi="Times New Roman"/>
          <w:sz w:val="24"/>
          <w:szCs w:val="24"/>
        </w:rPr>
        <w:tab/>
      </w:r>
    </w:p>
    <w:p w:rsidR="00113215" w:rsidRPr="0072770E" w:rsidRDefault="00113215" w:rsidP="00CA535E">
      <w:pPr>
        <w:pStyle w:val="ListParagraph"/>
        <w:numPr>
          <w:ilvl w:val="0"/>
          <w:numId w:val="10"/>
        </w:numPr>
        <w:spacing w:after="240"/>
        <w:ind w:left="720" w:hanging="360"/>
        <w:contextualSpacing/>
        <w:rPr>
          <w:rFonts w:ascii="Times New Roman" w:hAnsi="Times New Roman"/>
          <w:sz w:val="24"/>
          <w:szCs w:val="24"/>
        </w:rPr>
      </w:pPr>
      <w:r w:rsidRPr="0072770E">
        <w:rPr>
          <w:rFonts w:ascii="Times New Roman" w:hAnsi="Times New Roman"/>
          <w:sz w:val="24"/>
          <w:szCs w:val="24"/>
        </w:rPr>
        <w:t>Differentiated Instruction</w:t>
      </w:r>
    </w:p>
    <w:p w:rsidR="00113215" w:rsidRPr="0072770E" w:rsidRDefault="00113215" w:rsidP="00CA535E">
      <w:pPr>
        <w:pStyle w:val="ListParagraph"/>
        <w:numPr>
          <w:ilvl w:val="0"/>
          <w:numId w:val="10"/>
        </w:numPr>
        <w:spacing w:after="240"/>
        <w:ind w:left="720" w:hanging="360"/>
        <w:contextualSpacing/>
        <w:rPr>
          <w:rFonts w:ascii="Times New Roman" w:hAnsi="Times New Roman"/>
          <w:sz w:val="24"/>
          <w:szCs w:val="24"/>
        </w:rPr>
      </w:pPr>
      <w:r w:rsidRPr="0072770E">
        <w:rPr>
          <w:rFonts w:ascii="Times New Roman" w:hAnsi="Times New Roman"/>
          <w:sz w:val="24"/>
          <w:szCs w:val="24"/>
        </w:rPr>
        <w:t>Partnering with Families of Middle and High School Students with Disabilities</w:t>
      </w:r>
    </w:p>
    <w:p w:rsidR="00113215" w:rsidRPr="0072770E" w:rsidRDefault="00113215" w:rsidP="00CA535E">
      <w:pPr>
        <w:pStyle w:val="ListParagraph"/>
        <w:numPr>
          <w:ilvl w:val="0"/>
          <w:numId w:val="10"/>
        </w:numPr>
        <w:spacing w:after="240"/>
        <w:ind w:left="720" w:hanging="360"/>
        <w:contextualSpacing/>
        <w:rPr>
          <w:rFonts w:ascii="Times New Roman" w:hAnsi="Times New Roman"/>
          <w:sz w:val="24"/>
          <w:szCs w:val="24"/>
        </w:rPr>
      </w:pPr>
      <w:r w:rsidRPr="0072770E">
        <w:rPr>
          <w:rFonts w:ascii="Times New Roman" w:hAnsi="Times New Roman"/>
          <w:sz w:val="24"/>
          <w:szCs w:val="24"/>
        </w:rPr>
        <w:t>Partnering with Families of Preschool and Elementary School Students with Disabilities</w:t>
      </w:r>
    </w:p>
    <w:p w:rsidR="00113215" w:rsidRPr="0072770E" w:rsidRDefault="00113215" w:rsidP="00CA535E">
      <w:pPr>
        <w:pStyle w:val="ListParagraph"/>
        <w:numPr>
          <w:ilvl w:val="0"/>
          <w:numId w:val="10"/>
        </w:numPr>
        <w:spacing w:after="240"/>
        <w:ind w:left="720" w:hanging="360"/>
        <w:contextualSpacing/>
        <w:rPr>
          <w:rFonts w:ascii="Times New Roman" w:hAnsi="Times New Roman"/>
          <w:sz w:val="24"/>
          <w:szCs w:val="24"/>
        </w:rPr>
      </w:pPr>
      <w:r w:rsidRPr="0072770E">
        <w:rPr>
          <w:rFonts w:ascii="Times New Roman" w:hAnsi="Times New Roman"/>
          <w:sz w:val="24"/>
          <w:szCs w:val="24"/>
        </w:rPr>
        <w:t>Secondary Transition Assessment for Students with Disabilities</w:t>
      </w:r>
    </w:p>
    <w:p w:rsidR="00113215" w:rsidRPr="0072770E" w:rsidRDefault="00113215" w:rsidP="00CA535E">
      <w:pPr>
        <w:pStyle w:val="ListParagraph"/>
        <w:numPr>
          <w:ilvl w:val="0"/>
          <w:numId w:val="10"/>
        </w:numPr>
        <w:spacing w:after="240"/>
        <w:ind w:left="720" w:hanging="360"/>
        <w:contextualSpacing/>
        <w:rPr>
          <w:rFonts w:ascii="Times New Roman" w:hAnsi="Times New Roman"/>
          <w:sz w:val="24"/>
          <w:szCs w:val="24"/>
        </w:rPr>
      </w:pPr>
      <w:r w:rsidRPr="0072770E">
        <w:rPr>
          <w:rFonts w:ascii="Times New Roman" w:hAnsi="Times New Roman"/>
          <w:sz w:val="24"/>
          <w:szCs w:val="24"/>
        </w:rPr>
        <w:t>Secondary Transition Planning: Universal Design and Collaboration</w:t>
      </w:r>
    </w:p>
    <w:p w:rsidR="00113215" w:rsidRPr="0072770E" w:rsidRDefault="00113215" w:rsidP="00CA535E">
      <w:pPr>
        <w:pStyle w:val="ListParagraph"/>
        <w:numPr>
          <w:ilvl w:val="0"/>
          <w:numId w:val="10"/>
        </w:numPr>
        <w:spacing w:after="240"/>
        <w:ind w:left="720" w:hanging="360"/>
        <w:contextualSpacing/>
        <w:rPr>
          <w:rFonts w:ascii="Times New Roman" w:hAnsi="Times New Roman"/>
          <w:sz w:val="24"/>
          <w:szCs w:val="24"/>
        </w:rPr>
      </w:pPr>
      <w:r w:rsidRPr="0072770E">
        <w:rPr>
          <w:rFonts w:ascii="Times New Roman" w:hAnsi="Times New Roman"/>
          <w:sz w:val="24"/>
          <w:szCs w:val="24"/>
        </w:rPr>
        <w:t>Self determination, Self Advocacy and Youth Leadership Developing the Foundations for Student Success after High School</w:t>
      </w:r>
    </w:p>
    <w:p w:rsidR="00113215" w:rsidRPr="0072770E" w:rsidRDefault="00113215" w:rsidP="00CA535E">
      <w:pPr>
        <w:pStyle w:val="ListParagraph"/>
        <w:numPr>
          <w:ilvl w:val="0"/>
          <w:numId w:val="10"/>
        </w:numPr>
        <w:spacing w:after="240"/>
        <w:ind w:left="720" w:hanging="360"/>
        <w:contextualSpacing/>
        <w:rPr>
          <w:rFonts w:ascii="Times New Roman" w:hAnsi="Times New Roman"/>
          <w:sz w:val="24"/>
          <w:szCs w:val="24"/>
        </w:rPr>
      </w:pPr>
      <w:r w:rsidRPr="0072770E">
        <w:rPr>
          <w:rFonts w:ascii="Times New Roman" w:hAnsi="Times New Roman"/>
          <w:sz w:val="24"/>
          <w:szCs w:val="24"/>
        </w:rPr>
        <w:t xml:space="preserve">Universal Design for Learning (UDL): Addressing Learner Variability </w:t>
      </w:r>
    </w:p>
    <w:p w:rsidR="00113215" w:rsidRPr="0072770E" w:rsidRDefault="00113215" w:rsidP="00CA535E">
      <w:pPr>
        <w:pStyle w:val="ListParagraph"/>
        <w:numPr>
          <w:ilvl w:val="0"/>
          <w:numId w:val="10"/>
        </w:numPr>
        <w:spacing w:after="240"/>
        <w:ind w:left="720" w:hanging="360"/>
        <w:contextualSpacing/>
        <w:rPr>
          <w:rFonts w:ascii="Times New Roman" w:hAnsi="Times New Roman"/>
          <w:sz w:val="24"/>
          <w:szCs w:val="24"/>
        </w:rPr>
      </w:pPr>
      <w:r w:rsidRPr="0072770E">
        <w:rPr>
          <w:rFonts w:ascii="Times New Roman" w:hAnsi="Times New Roman"/>
          <w:sz w:val="24"/>
          <w:szCs w:val="24"/>
        </w:rPr>
        <w:t xml:space="preserve">Universal Design for Learning (UDL): Addressing Learner Variability in Mathematics Instruction   </w:t>
      </w:r>
    </w:p>
    <w:p w:rsidR="00113215" w:rsidRPr="0072770E" w:rsidRDefault="00113215" w:rsidP="00CA535E">
      <w:pPr>
        <w:pStyle w:val="ListParagraph"/>
        <w:numPr>
          <w:ilvl w:val="0"/>
          <w:numId w:val="10"/>
        </w:numPr>
        <w:spacing w:after="240"/>
        <w:ind w:left="720" w:hanging="360"/>
        <w:contextualSpacing/>
        <w:rPr>
          <w:rFonts w:ascii="Times New Roman" w:hAnsi="Times New Roman"/>
          <w:sz w:val="24"/>
          <w:szCs w:val="24"/>
        </w:rPr>
      </w:pPr>
      <w:r w:rsidRPr="0072770E">
        <w:rPr>
          <w:rFonts w:ascii="Times New Roman" w:hAnsi="Times New Roman"/>
          <w:sz w:val="24"/>
          <w:szCs w:val="24"/>
        </w:rPr>
        <w:t xml:space="preserve">Universal Design for Learning (UDL): Student Affect and Engagement </w:t>
      </w:r>
    </w:p>
    <w:p w:rsidR="00113215" w:rsidRPr="0072770E" w:rsidRDefault="00113215" w:rsidP="00180B2C">
      <w:pPr>
        <w:spacing w:after="240"/>
      </w:pPr>
      <w:r w:rsidRPr="0072770E">
        <w:t>Other three-credit graduate courses were offered through face-to-face Summer Professional Development Institutes and included:</w:t>
      </w:r>
    </w:p>
    <w:p w:rsidR="0029686C" w:rsidRDefault="0029686C" w:rsidP="00CA535E">
      <w:pPr>
        <w:pStyle w:val="ListParagraph"/>
        <w:numPr>
          <w:ilvl w:val="0"/>
          <w:numId w:val="18"/>
        </w:numPr>
        <w:rPr>
          <w:rFonts w:ascii="Times New Roman" w:hAnsi="Times New Roman"/>
          <w:sz w:val="24"/>
          <w:szCs w:val="24"/>
        </w:rPr>
      </w:pPr>
      <w:r>
        <w:rPr>
          <w:rFonts w:ascii="Times New Roman" w:hAnsi="Times New Roman"/>
          <w:sz w:val="24"/>
          <w:szCs w:val="24"/>
        </w:rPr>
        <w:t>Assistive Technology and Accessible Instructional Materials</w:t>
      </w:r>
    </w:p>
    <w:p w:rsidR="0029686C" w:rsidRDefault="0029686C" w:rsidP="00CA535E">
      <w:pPr>
        <w:pStyle w:val="ListParagraph"/>
        <w:numPr>
          <w:ilvl w:val="0"/>
          <w:numId w:val="18"/>
        </w:numPr>
        <w:rPr>
          <w:rFonts w:ascii="Times New Roman" w:hAnsi="Times New Roman"/>
          <w:sz w:val="24"/>
          <w:szCs w:val="24"/>
        </w:rPr>
      </w:pPr>
      <w:r>
        <w:rPr>
          <w:rFonts w:ascii="Times New Roman" w:hAnsi="Times New Roman"/>
          <w:sz w:val="24"/>
          <w:szCs w:val="24"/>
        </w:rPr>
        <w:t>Assistive Technology and Universal Design: Leveling the Playing Field Together</w:t>
      </w:r>
    </w:p>
    <w:p w:rsidR="0029686C" w:rsidRDefault="0029686C" w:rsidP="00CA535E">
      <w:pPr>
        <w:pStyle w:val="ListParagraph"/>
        <w:numPr>
          <w:ilvl w:val="0"/>
          <w:numId w:val="18"/>
        </w:numPr>
        <w:rPr>
          <w:rFonts w:ascii="Times New Roman" w:hAnsi="Times New Roman"/>
          <w:sz w:val="24"/>
          <w:szCs w:val="24"/>
        </w:rPr>
      </w:pPr>
      <w:r>
        <w:rPr>
          <w:rFonts w:ascii="Times New Roman" w:hAnsi="Times New Roman"/>
          <w:sz w:val="24"/>
          <w:szCs w:val="24"/>
        </w:rPr>
        <w:t>Improving Spoken and Written Language: From Research to Practice</w:t>
      </w:r>
    </w:p>
    <w:p w:rsidR="00113215" w:rsidRPr="0072770E" w:rsidRDefault="00113215" w:rsidP="00CA535E">
      <w:pPr>
        <w:pStyle w:val="ListParagraph"/>
        <w:numPr>
          <w:ilvl w:val="0"/>
          <w:numId w:val="18"/>
        </w:numPr>
        <w:rPr>
          <w:rFonts w:ascii="Times New Roman" w:hAnsi="Times New Roman"/>
          <w:sz w:val="24"/>
          <w:szCs w:val="24"/>
        </w:rPr>
      </w:pPr>
      <w:r w:rsidRPr="0072770E">
        <w:rPr>
          <w:rFonts w:ascii="Times New Roman" w:hAnsi="Times New Roman"/>
          <w:sz w:val="24"/>
          <w:szCs w:val="24"/>
        </w:rPr>
        <w:t>Managing Behavior in an Inclusive Classroom</w:t>
      </w:r>
    </w:p>
    <w:p w:rsidR="00113215" w:rsidRPr="0072770E" w:rsidRDefault="00113215" w:rsidP="00CA535E">
      <w:pPr>
        <w:pStyle w:val="ListParagraph"/>
        <w:numPr>
          <w:ilvl w:val="0"/>
          <w:numId w:val="18"/>
        </w:numPr>
        <w:rPr>
          <w:rFonts w:ascii="Times New Roman" w:hAnsi="Times New Roman"/>
          <w:sz w:val="24"/>
          <w:szCs w:val="24"/>
        </w:rPr>
      </w:pPr>
      <w:r w:rsidRPr="0072770E">
        <w:rPr>
          <w:rFonts w:ascii="Times New Roman" w:hAnsi="Times New Roman"/>
          <w:sz w:val="24"/>
          <w:szCs w:val="24"/>
        </w:rPr>
        <w:t>Meeting the Academic and Non-Academic Needs of Students with Asperger Syndrome</w:t>
      </w:r>
    </w:p>
    <w:p w:rsidR="00113215" w:rsidRPr="0072770E" w:rsidRDefault="00113215" w:rsidP="00CA535E">
      <w:pPr>
        <w:pStyle w:val="ListParagraph"/>
        <w:numPr>
          <w:ilvl w:val="0"/>
          <w:numId w:val="18"/>
        </w:numPr>
        <w:rPr>
          <w:rFonts w:ascii="Times New Roman" w:hAnsi="Times New Roman"/>
          <w:bCs/>
          <w:color w:val="000000"/>
          <w:sz w:val="24"/>
          <w:szCs w:val="24"/>
        </w:rPr>
      </w:pPr>
      <w:r w:rsidRPr="0072770E">
        <w:rPr>
          <w:rFonts w:ascii="Times New Roman" w:hAnsi="Times New Roman"/>
          <w:bCs/>
          <w:color w:val="000000"/>
          <w:sz w:val="24"/>
          <w:szCs w:val="24"/>
        </w:rPr>
        <w:t>Occupational Therapy (&amp; Physical Therapy) in Educational Settings</w:t>
      </w:r>
    </w:p>
    <w:p w:rsidR="00113215" w:rsidRPr="0072770E" w:rsidRDefault="00113215" w:rsidP="00CA535E">
      <w:pPr>
        <w:pStyle w:val="ListParagraph"/>
        <w:numPr>
          <w:ilvl w:val="0"/>
          <w:numId w:val="18"/>
        </w:numPr>
        <w:rPr>
          <w:rFonts w:ascii="Times New Roman" w:hAnsi="Times New Roman"/>
          <w:bCs/>
          <w:color w:val="000000"/>
          <w:sz w:val="24"/>
          <w:szCs w:val="24"/>
        </w:rPr>
      </w:pPr>
      <w:r w:rsidRPr="0072770E">
        <w:rPr>
          <w:rFonts w:ascii="Times New Roman" w:hAnsi="Times New Roman"/>
          <w:bCs/>
          <w:color w:val="000000"/>
          <w:sz w:val="24"/>
          <w:szCs w:val="24"/>
        </w:rPr>
        <w:t>Strategies for Students with Sensory Processing Disorders in Inclusive School Settings</w:t>
      </w:r>
    </w:p>
    <w:p w:rsidR="0029686C" w:rsidRDefault="0029686C" w:rsidP="00CA535E">
      <w:pPr>
        <w:pStyle w:val="ListParagraph"/>
        <w:numPr>
          <w:ilvl w:val="0"/>
          <w:numId w:val="18"/>
        </w:numPr>
        <w:rPr>
          <w:rFonts w:ascii="Times New Roman" w:hAnsi="Times New Roman"/>
          <w:sz w:val="24"/>
          <w:szCs w:val="24"/>
        </w:rPr>
      </w:pPr>
      <w:r w:rsidRPr="0029686C">
        <w:rPr>
          <w:rFonts w:ascii="Times New Roman" w:hAnsi="Times New Roman"/>
          <w:sz w:val="24"/>
          <w:szCs w:val="24"/>
        </w:rPr>
        <w:t>Teaching Students with Cortical/Cerebral Impairment</w:t>
      </w:r>
    </w:p>
    <w:p w:rsidR="00113215" w:rsidRDefault="00113215" w:rsidP="00CA535E">
      <w:pPr>
        <w:pStyle w:val="ListParagraph"/>
        <w:numPr>
          <w:ilvl w:val="0"/>
          <w:numId w:val="18"/>
        </w:numPr>
        <w:rPr>
          <w:rFonts w:ascii="Times New Roman" w:hAnsi="Times New Roman"/>
          <w:sz w:val="24"/>
          <w:szCs w:val="24"/>
        </w:rPr>
      </w:pPr>
      <w:r w:rsidRPr="0029686C">
        <w:rPr>
          <w:rFonts w:ascii="Times New Roman" w:hAnsi="Times New Roman"/>
          <w:sz w:val="24"/>
          <w:szCs w:val="24"/>
        </w:rPr>
        <w:t>Tools and Strategies for Paraprofessionals in Inclusive Settings (Both undergraduate and graduate credits are available for this course.)</w:t>
      </w:r>
    </w:p>
    <w:p w:rsidR="00180B2C" w:rsidRPr="0029686C" w:rsidRDefault="00180B2C" w:rsidP="00180B2C">
      <w:pPr>
        <w:pStyle w:val="ListParagraph"/>
        <w:rPr>
          <w:rFonts w:ascii="Times New Roman" w:hAnsi="Times New Roman"/>
          <w:sz w:val="24"/>
          <w:szCs w:val="24"/>
        </w:rPr>
      </w:pPr>
    </w:p>
    <w:p w:rsidR="00113215" w:rsidRPr="0072770E" w:rsidRDefault="00113215" w:rsidP="007E03DD">
      <w:r w:rsidRPr="0072770E">
        <w:t xml:space="preserve">Participants in these courses and institutes receive 67.5 Professional Development Points upon course completion and have the option to purchase graduate level credits at a discounted rate through each of the partnering institutions of higher education. All of these courses meet the rigorous criteria set by the Department’s </w:t>
      </w:r>
      <w:hyperlink r:id="rId42" w:history="1">
        <w:r w:rsidRPr="0072770E">
          <w:rPr>
            <w:rStyle w:val="Hyperlink"/>
          </w:rPr>
          <w:t>new professional development standards</w:t>
        </w:r>
      </w:hyperlink>
      <w:r w:rsidRPr="0072770E">
        <w:t>. </w:t>
      </w:r>
    </w:p>
    <w:p w:rsidR="00113215" w:rsidRPr="00096F2A" w:rsidRDefault="00113215" w:rsidP="007E03DD">
      <w:pPr>
        <w:spacing w:after="120"/>
      </w:pPr>
    </w:p>
    <w:p w:rsidR="00113215" w:rsidRPr="00E07855" w:rsidRDefault="00E31EF0" w:rsidP="007E03DD">
      <w:pPr>
        <w:pStyle w:val="Heading3"/>
        <w:spacing w:before="0" w:after="120"/>
        <w:rPr>
          <w:rFonts w:ascii="Times New Roman" w:hAnsi="Times New Roman" w:cs="Times New Roman"/>
        </w:rPr>
      </w:pPr>
      <w:bookmarkStart w:id="52" w:name="_Toc405293158"/>
      <w:r>
        <w:t>2</w:t>
      </w:r>
      <w:r w:rsidR="00113215">
        <w:t>. OTSS Website</w:t>
      </w:r>
      <w:bookmarkEnd w:id="52"/>
    </w:p>
    <w:p w:rsidR="00113215" w:rsidRPr="00096F2A" w:rsidRDefault="00113215" w:rsidP="007E03DD">
      <w:pPr>
        <w:spacing w:after="120"/>
      </w:pPr>
      <w:r w:rsidRPr="00096F2A">
        <w:t>OTSS has expanded its website of resources, information and technical assistance to support the implementation of MTSS by issuing brief guidance documents that provide core information about topics relevant to its implementation. These Quick Reference Guides (QRGs) provide educators access to the most current research and provide resources for those readers seeking to go deeper into the topic. The three QRGs are:</w:t>
      </w:r>
    </w:p>
    <w:p w:rsidR="00113215" w:rsidRPr="00096F2A" w:rsidRDefault="008212C8" w:rsidP="00CA535E">
      <w:pPr>
        <w:pStyle w:val="ListParagraph"/>
        <w:numPr>
          <w:ilvl w:val="0"/>
          <w:numId w:val="12"/>
        </w:numPr>
        <w:spacing w:after="120"/>
        <w:rPr>
          <w:rFonts w:ascii="Times New Roman" w:hAnsi="Times New Roman"/>
          <w:sz w:val="24"/>
          <w:szCs w:val="24"/>
        </w:rPr>
      </w:pPr>
      <w:hyperlink r:id="rId43" w:history="1">
        <w:r w:rsidR="00113215" w:rsidRPr="00096F2A">
          <w:rPr>
            <w:rStyle w:val="Hyperlink"/>
            <w:rFonts w:ascii="Times New Roman" w:hAnsi="Times New Roman"/>
            <w:i/>
            <w:sz w:val="24"/>
            <w:szCs w:val="24"/>
          </w:rPr>
          <w:t>Student Support Teams (SSTs)</w:t>
        </w:r>
      </w:hyperlink>
      <w:r w:rsidR="00113215" w:rsidRPr="00096F2A">
        <w:rPr>
          <w:rFonts w:ascii="Times New Roman" w:hAnsi="Times New Roman"/>
          <w:sz w:val="24"/>
          <w:szCs w:val="24"/>
        </w:rPr>
        <w:t xml:space="preserve"> – emphasizes how staff may work collaboratively to ensure that all students’ needs are met in safe and supportive learning environments and are able to be successful in and out of school.</w:t>
      </w:r>
    </w:p>
    <w:p w:rsidR="00113215" w:rsidRPr="00096F2A" w:rsidRDefault="008212C8" w:rsidP="00CA535E">
      <w:pPr>
        <w:pStyle w:val="ListParagraph"/>
        <w:numPr>
          <w:ilvl w:val="0"/>
          <w:numId w:val="12"/>
        </w:numPr>
        <w:spacing w:after="120"/>
        <w:rPr>
          <w:rFonts w:ascii="Times New Roman" w:hAnsi="Times New Roman"/>
          <w:sz w:val="24"/>
          <w:szCs w:val="24"/>
        </w:rPr>
      </w:pPr>
      <w:hyperlink r:id="rId44" w:history="1">
        <w:r w:rsidR="00113215" w:rsidRPr="00096F2A">
          <w:rPr>
            <w:rStyle w:val="Hyperlink"/>
            <w:rFonts w:ascii="Times New Roman" w:hAnsi="Times New Roman"/>
            <w:i/>
            <w:sz w:val="24"/>
            <w:szCs w:val="24"/>
          </w:rPr>
          <w:t>Scheduling Within a Tiered System of Supports: Elementary School</w:t>
        </w:r>
      </w:hyperlink>
      <w:r w:rsidR="00113215" w:rsidRPr="00096F2A">
        <w:rPr>
          <w:rFonts w:ascii="Times New Roman" w:hAnsi="Times New Roman"/>
          <w:sz w:val="24"/>
          <w:szCs w:val="24"/>
        </w:rPr>
        <w:t xml:space="preserve"> – provides administrators with considerations for developing a master schedule that supports a tiered system of support.</w:t>
      </w:r>
    </w:p>
    <w:p w:rsidR="00113215" w:rsidRPr="00096F2A" w:rsidRDefault="008212C8" w:rsidP="00CA535E">
      <w:pPr>
        <w:pStyle w:val="ListParagraph"/>
        <w:numPr>
          <w:ilvl w:val="0"/>
          <w:numId w:val="12"/>
        </w:numPr>
        <w:spacing w:after="120"/>
        <w:rPr>
          <w:rFonts w:ascii="Times New Roman" w:hAnsi="Times New Roman"/>
          <w:sz w:val="24"/>
          <w:szCs w:val="24"/>
        </w:rPr>
      </w:pPr>
      <w:hyperlink r:id="rId45" w:history="1">
        <w:r w:rsidR="00113215" w:rsidRPr="00096F2A">
          <w:rPr>
            <w:rStyle w:val="Hyperlink"/>
            <w:rFonts w:ascii="Times New Roman" w:hAnsi="Times New Roman"/>
            <w:i/>
            <w:sz w:val="24"/>
            <w:szCs w:val="24"/>
          </w:rPr>
          <w:t>Specific Learning Disability Eligibility within a Tiered System of Support</w:t>
        </w:r>
      </w:hyperlink>
      <w:r w:rsidR="00113215" w:rsidRPr="00096F2A">
        <w:rPr>
          <w:rFonts w:ascii="Times New Roman" w:hAnsi="Times New Roman"/>
          <w:sz w:val="24"/>
          <w:szCs w:val="24"/>
        </w:rPr>
        <w:t xml:space="preserve"> - offers guidance and resources for district</w:t>
      </w:r>
      <w:r w:rsidR="00FF1A59">
        <w:rPr>
          <w:rFonts w:ascii="Times New Roman" w:hAnsi="Times New Roman"/>
          <w:sz w:val="24"/>
          <w:szCs w:val="24"/>
        </w:rPr>
        <w:t>s</w:t>
      </w:r>
      <w:r w:rsidR="00113215" w:rsidRPr="00096F2A">
        <w:rPr>
          <w:rFonts w:ascii="Times New Roman" w:hAnsi="Times New Roman"/>
          <w:sz w:val="24"/>
          <w:szCs w:val="24"/>
        </w:rPr>
        <w:t xml:space="preserve"> to ensure that as they build a tiered system of support, the policies, practices and procedures are in place to enable educators to collect student data that can be used for SLD eligibility determination. </w:t>
      </w:r>
    </w:p>
    <w:p w:rsidR="00113215" w:rsidRPr="00096F2A" w:rsidRDefault="00113215" w:rsidP="007E03DD">
      <w:pPr>
        <w:spacing w:after="120"/>
      </w:pPr>
      <w:r w:rsidRPr="00096F2A">
        <w:t xml:space="preserve">Other OTSS website resources include filmed presentations by content area experts and accompanying materials, as well as a video case study of a district that has been engaged in implementing the components of MTSS for several years.  </w:t>
      </w:r>
    </w:p>
    <w:p w:rsidR="00113215" w:rsidRDefault="00113215" w:rsidP="007E03DD">
      <w:pPr>
        <w:spacing w:after="120"/>
      </w:pPr>
      <w:r w:rsidRPr="00096F2A">
        <w:t xml:space="preserve">To view the OTSS website and read more about the MTSS initiative, please visit: </w:t>
      </w:r>
      <w:hyperlink r:id="rId46" w:history="1">
        <w:r w:rsidRPr="00096F2A">
          <w:rPr>
            <w:rStyle w:val="Hyperlink"/>
          </w:rPr>
          <w:t>www.doe.mass.edu/mtss</w:t>
        </w:r>
      </w:hyperlink>
      <w:r w:rsidRPr="00096F2A">
        <w:t xml:space="preserve">.   </w:t>
      </w:r>
    </w:p>
    <w:p w:rsidR="00180B2C" w:rsidRPr="00096F2A" w:rsidRDefault="00180B2C" w:rsidP="007E03DD">
      <w:pPr>
        <w:spacing w:after="120"/>
      </w:pPr>
    </w:p>
    <w:p w:rsidR="00163EB3" w:rsidRDefault="001C3DC7" w:rsidP="007E03DD">
      <w:pPr>
        <w:pStyle w:val="Heading2"/>
        <w:spacing w:before="0" w:after="120"/>
      </w:pPr>
      <w:bookmarkStart w:id="53" w:name="_Toc405293159"/>
      <w:r w:rsidRPr="00FB7966">
        <w:t xml:space="preserve">C. </w:t>
      </w:r>
      <w:r w:rsidRPr="00FB7966">
        <w:tab/>
        <w:t>Educational Collaboratives</w:t>
      </w:r>
      <w:bookmarkEnd w:id="53"/>
    </w:p>
    <w:p w:rsidR="00163EB3" w:rsidRPr="00096F2A" w:rsidRDefault="00163EB3" w:rsidP="007E03DD">
      <w:pPr>
        <w:autoSpaceDE w:val="0"/>
        <w:autoSpaceDN w:val="0"/>
        <w:adjustRightInd w:val="0"/>
        <w:spacing w:after="120"/>
        <w:rPr>
          <w:color w:val="000000"/>
        </w:rPr>
      </w:pPr>
      <w:r w:rsidRPr="00096F2A">
        <w:rPr>
          <w:color w:val="000000"/>
        </w:rPr>
        <w:t>Educational collaboratives are formed through an agreement between or among two or more school committees and/or charter school boards to provide educational programs or services that will supplement and complement programs and services offe</w:t>
      </w:r>
      <w:r w:rsidR="001A6B34" w:rsidRPr="00096F2A">
        <w:rPr>
          <w:color w:val="000000"/>
        </w:rPr>
        <w:t xml:space="preserve">red by their member districts. </w:t>
      </w:r>
      <w:r w:rsidRPr="00096F2A">
        <w:rPr>
          <w:color w:val="000000"/>
        </w:rPr>
        <w:t>There are 26 collaboratives that have been approved by the Commissioner of Elementary and Secondary Education under the provisions of G.L. Chapter 40, Section 4E.</w:t>
      </w:r>
      <w:r w:rsidR="001A6B34" w:rsidRPr="00096F2A">
        <w:rPr>
          <w:color w:val="000000"/>
        </w:rPr>
        <w:t xml:space="preserve"> T</w:t>
      </w:r>
      <w:r w:rsidRPr="00096F2A">
        <w:rPr>
          <w:color w:val="000000"/>
        </w:rPr>
        <w:t>hese collaboratives collectively served 272 member districts</w:t>
      </w:r>
      <w:r w:rsidR="00C75469" w:rsidRPr="00096F2A">
        <w:rPr>
          <w:color w:val="000000"/>
        </w:rPr>
        <w:t xml:space="preserve"> during FY</w:t>
      </w:r>
      <w:r w:rsidRPr="00096F2A">
        <w:rPr>
          <w:color w:val="000000"/>
        </w:rPr>
        <w:t xml:space="preserve">14. </w:t>
      </w:r>
    </w:p>
    <w:p w:rsidR="00163EB3" w:rsidRPr="00096F2A" w:rsidRDefault="00163EB3" w:rsidP="007E03DD">
      <w:pPr>
        <w:autoSpaceDE w:val="0"/>
        <w:autoSpaceDN w:val="0"/>
        <w:adjustRightInd w:val="0"/>
        <w:spacing w:after="120"/>
        <w:rPr>
          <w:color w:val="000000"/>
        </w:rPr>
      </w:pPr>
      <w:r w:rsidRPr="00096F2A">
        <w:rPr>
          <w:color w:val="000000"/>
        </w:rPr>
        <w:t>Collaboratives are managed by a Board representing each member school district, and are funded through local school committee or charter school budgets t</w:t>
      </w:r>
      <w:r w:rsidR="001A6B34" w:rsidRPr="00096F2A">
        <w:rPr>
          <w:color w:val="000000"/>
        </w:rPr>
        <w:t xml:space="preserve">o serve public school students. </w:t>
      </w:r>
      <w:r w:rsidRPr="00096F2A">
        <w:rPr>
          <w:color w:val="000000"/>
        </w:rPr>
        <w:t>During FY14, 4,198 students, with a full range of needs, received direct services through educational collaboratives.</w:t>
      </w:r>
    </w:p>
    <w:p w:rsidR="00163EB3" w:rsidRPr="00096F2A" w:rsidRDefault="00163EB3" w:rsidP="007E03DD">
      <w:pPr>
        <w:autoSpaceDE w:val="0"/>
        <w:autoSpaceDN w:val="0"/>
        <w:adjustRightInd w:val="0"/>
        <w:spacing w:after="120"/>
        <w:rPr>
          <w:color w:val="000000"/>
        </w:rPr>
      </w:pPr>
      <w:r w:rsidRPr="00096F2A">
        <w:rPr>
          <w:color w:val="000000"/>
        </w:rPr>
        <w:t>Collaboratives have operated as public entities in Massa</w:t>
      </w:r>
      <w:r w:rsidR="001A6B34" w:rsidRPr="00096F2A">
        <w:rPr>
          <w:color w:val="000000"/>
        </w:rPr>
        <w:t xml:space="preserve">chusetts for over forty years. </w:t>
      </w:r>
      <w:r w:rsidRPr="00096F2A">
        <w:rPr>
          <w:color w:val="000000"/>
        </w:rPr>
        <w:t xml:space="preserve">While they were initially formed in order to operate joint special education programs in which students from member districts (and some non-member districts) could be served, they have evolved since that time in order to meet </w:t>
      </w:r>
      <w:r w:rsidR="00E6621B">
        <w:rPr>
          <w:color w:val="000000"/>
        </w:rPr>
        <w:t xml:space="preserve">additional </w:t>
      </w:r>
      <w:r w:rsidRPr="00096F2A">
        <w:rPr>
          <w:color w:val="000000"/>
        </w:rPr>
        <w:t>needs of public ent</w:t>
      </w:r>
      <w:r w:rsidR="001A6B34" w:rsidRPr="00096F2A">
        <w:rPr>
          <w:color w:val="000000"/>
        </w:rPr>
        <w:t xml:space="preserve">ities in a cooperative manner. </w:t>
      </w:r>
      <w:r w:rsidRPr="00096F2A">
        <w:rPr>
          <w:color w:val="000000"/>
        </w:rPr>
        <w:t xml:space="preserve">Collaboratives, however, continue to play an important role in delivering special education services to students throughout the Commonwealth, especially in the smallest districts, where capacity to provide extensive or low-incidence services may be limited. </w:t>
      </w:r>
    </w:p>
    <w:p w:rsidR="00163EB3" w:rsidRPr="00096F2A" w:rsidRDefault="00163EB3" w:rsidP="007E03DD">
      <w:pPr>
        <w:autoSpaceDE w:val="0"/>
        <w:autoSpaceDN w:val="0"/>
        <w:adjustRightInd w:val="0"/>
        <w:spacing w:after="120"/>
        <w:rPr>
          <w:color w:val="000000"/>
        </w:rPr>
      </w:pPr>
      <w:r w:rsidRPr="00096F2A">
        <w:rPr>
          <w:color w:val="000000"/>
        </w:rPr>
        <w:t xml:space="preserve">Following a major amendment in the authorizing legislation enacted in 2012, new regulations governing collaboratives were approved by the Board of Elementary and Secondary Education on January 29, 2013. </w:t>
      </w:r>
    </w:p>
    <w:p w:rsidR="00163EB3" w:rsidRPr="00096F2A" w:rsidRDefault="00163EB3" w:rsidP="007E03DD">
      <w:pPr>
        <w:autoSpaceDE w:val="0"/>
        <w:autoSpaceDN w:val="0"/>
        <w:adjustRightInd w:val="0"/>
        <w:spacing w:after="120"/>
        <w:rPr>
          <w:color w:val="000000"/>
        </w:rPr>
      </w:pPr>
      <w:r w:rsidRPr="00096F2A">
        <w:rPr>
          <w:color w:val="000000"/>
        </w:rPr>
        <w:t>As a component of increased accountability, each collaborative is required to provide an annual report of its activities and an independent audit report to each of its member school committees and the D</w:t>
      </w:r>
      <w:r w:rsidR="001A6B34" w:rsidRPr="00096F2A">
        <w:rPr>
          <w:color w:val="000000"/>
        </w:rPr>
        <w:t xml:space="preserve">epartment. </w:t>
      </w:r>
      <w:r w:rsidRPr="00096F2A">
        <w:rPr>
          <w:color w:val="000000"/>
        </w:rPr>
        <w:t>The independent audit must also b</w:t>
      </w:r>
      <w:r w:rsidR="001A6B34" w:rsidRPr="00096F2A">
        <w:rPr>
          <w:color w:val="000000"/>
        </w:rPr>
        <w:t xml:space="preserve">e provided to the State Auditor. </w:t>
      </w:r>
      <w:r w:rsidRPr="00096F2A">
        <w:rPr>
          <w:color w:val="000000"/>
        </w:rPr>
        <w:t xml:space="preserve"> In addition, the collaborative board representatives must participate in training provided or approved by the Department on the public records law, conflict of interest law, special education law, the budgetary process, procurement, fraud prevention and awareness, and the fiduciary and management oversight responsibilities of the col</w:t>
      </w:r>
      <w:r w:rsidR="001A6B34" w:rsidRPr="00096F2A">
        <w:rPr>
          <w:color w:val="000000"/>
        </w:rPr>
        <w:t xml:space="preserve">laborative board of directors. </w:t>
      </w:r>
      <w:r w:rsidRPr="00096F2A">
        <w:rPr>
          <w:color w:val="000000"/>
        </w:rPr>
        <w:t xml:space="preserve">The Department now also maintains students, staffing and MCAS data for each collaborative and continues to include collaboratives in the Department’s Program Quality Assurance (PQA) six-year cycle of coordinated program reviews. </w:t>
      </w:r>
    </w:p>
    <w:p w:rsidR="00163EB3" w:rsidRPr="00096F2A" w:rsidRDefault="00163EB3" w:rsidP="007E03DD">
      <w:pPr>
        <w:autoSpaceDE w:val="0"/>
        <w:autoSpaceDN w:val="0"/>
        <w:adjustRightInd w:val="0"/>
        <w:spacing w:after="120"/>
      </w:pPr>
      <w:proofErr w:type="gramStart"/>
      <w:r w:rsidRPr="00096F2A">
        <w:rPr>
          <w:color w:val="000000"/>
        </w:rPr>
        <w:t>Additional information on collaboratives, including the authorizing law (</w:t>
      </w:r>
      <w:r w:rsidRPr="00096F2A">
        <w:rPr>
          <w:color w:val="000000"/>
          <w:spacing w:val="-1"/>
        </w:rPr>
        <w:t>G.L. c</w:t>
      </w:r>
      <w:r w:rsidR="0029686C">
        <w:rPr>
          <w:color w:val="000000"/>
          <w:spacing w:val="-1"/>
        </w:rPr>
        <w:t>.</w:t>
      </w:r>
      <w:proofErr w:type="gramEnd"/>
      <w:r w:rsidR="0029686C">
        <w:rPr>
          <w:color w:val="000000"/>
          <w:spacing w:val="-1"/>
        </w:rPr>
        <w:t xml:space="preserve"> </w:t>
      </w:r>
      <w:r w:rsidRPr="00096F2A">
        <w:rPr>
          <w:color w:val="000000"/>
          <w:spacing w:val="-1"/>
        </w:rPr>
        <w:t xml:space="preserve"> 40, §4E) </w:t>
      </w:r>
      <w:r w:rsidRPr="00096F2A">
        <w:rPr>
          <w:color w:val="000000"/>
        </w:rPr>
        <w:t>and companion regulations (</w:t>
      </w:r>
      <w:r w:rsidRPr="00096F2A">
        <w:rPr>
          <w:color w:val="000000"/>
          <w:spacing w:val="-1"/>
        </w:rPr>
        <w:t>603 CMR 50.00)</w:t>
      </w:r>
      <w:r w:rsidRPr="00096F2A">
        <w:rPr>
          <w:color w:val="000000"/>
        </w:rPr>
        <w:t xml:space="preserve"> may be accessed on the Department’s website at:</w:t>
      </w:r>
      <w:r w:rsidR="001A6B34" w:rsidRPr="00096F2A">
        <w:rPr>
          <w:color w:val="000000"/>
        </w:rPr>
        <w:t xml:space="preserve"> </w:t>
      </w:r>
      <w:hyperlink r:id="rId47" w:history="1">
        <w:r w:rsidR="001A6B34" w:rsidRPr="00096F2A">
          <w:rPr>
            <w:rStyle w:val="Hyperlink"/>
          </w:rPr>
          <w:t>www.doe.mass.edu/finance/collaboratives/</w:t>
        </w:r>
      </w:hyperlink>
      <w:r w:rsidRPr="00096F2A">
        <w:rPr>
          <w:color w:val="000000"/>
        </w:rPr>
        <w:t>.</w:t>
      </w:r>
    </w:p>
    <w:p w:rsidR="00096F2A" w:rsidRDefault="00096F2A" w:rsidP="007E03DD">
      <w:pPr>
        <w:pStyle w:val="Heading2"/>
        <w:spacing w:before="0" w:after="120"/>
      </w:pPr>
      <w:bookmarkStart w:id="54" w:name="_Toc400539061"/>
    </w:p>
    <w:p w:rsidR="001C3DC7" w:rsidRDefault="001C3DC7" w:rsidP="007E03DD">
      <w:pPr>
        <w:pStyle w:val="Heading2"/>
        <w:spacing w:before="0" w:after="120"/>
      </w:pPr>
      <w:bookmarkStart w:id="55" w:name="_Toc405293160"/>
      <w:r w:rsidRPr="00FB7966">
        <w:t xml:space="preserve">D. </w:t>
      </w:r>
      <w:r w:rsidRPr="00FB7966">
        <w:tab/>
      </w:r>
      <w:bookmarkEnd w:id="54"/>
      <w:r w:rsidRPr="00FB7966">
        <w:t>Bureau of Special Education Appeals</w:t>
      </w:r>
      <w:bookmarkEnd w:id="55"/>
    </w:p>
    <w:p w:rsidR="00217786" w:rsidRPr="0072770E" w:rsidRDefault="007D22BE" w:rsidP="007E03DD">
      <w:pPr>
        <w:spacing w:after="120"/>
      </w:pPr>
      <w:r w:rsidRPr="0072770E">
        <w:t>The Bureau of Spec</w:t>
      </w:r>
      <w:r w:rsidR="006370B6" w:rsidRPr="0072770E">
        <w:t>ial Education Appeals (</w:t>
      </w:r>
      <w:r w:rsidR="0029686C">
        <w:t>“</w:t>
      </w:r>
      <w:r w:rsidR="006370B6" w:rsidRPr="0072770E">
        <w:t>BSEA</w:t>
      </w:r>
      <w:r w:rsidR="0029686C">
        <w:t>”</w:t>
      </w:r>
      <w:r w:rsidR="006370B6" w:rsidRPr="0072770E">
        <w:t xml:space="preserve">), </w:t>
      </w:r>
      <w:r w:rsidRPr="0072770E">
        <w:t xml:space="preserve">an independent subdivision of the </w:t>
      </w:r>
      <w:r w:rsidR="0029686C">
        <w:t xml:space="preserve">Massachusetts </w:t>
      </w:r>
      <w:r w:rsidRPr="0072770E">
        <w:t>Division of Administrative Law Appeals, conducts mediations and due process hearings to resolve disputes among parents, school districts, private schools and state agencies.</w:t>
      </w:r>
      <w:r w:rsidRPr="0072770E">
        <w:rPr>
          <w:rStyle w:val="FootnoteReference"/>
        </w:rPr>
        <w:t xml:space="preserve"> </w:t>
      </w:r>
      <w:r w:rsidRPr="0072770E">
        <w:rPr>
          <w:rStyle w:val="FootnoteReference"/>
        </w:rPr>
        <w:footnoteReference w:id="1"/>
      </w:r>
      <w:r w:rsidRPr="0072770E">
        <w:t xml:space="preserve"> The BSEA derives its authority from both federal law and regulations (IDEA) and Massa</w:t>
      </w:r>
      <w:r w:rsidR="00217786" w:rsidRPr="0072770E">
        <w:t>chusetts law and regulations</w:t>
      </w:r>
      <w:r w:rsidRPr="0072770E">
        <w:t xml:space="preserve"> (</w:t>
      </w:r>
      <w:r w:rsidR="0029686C">
        <w:t xml:space="preserve">G.L. c. </w:t>
      </w:r>
      <w:r w:rsidRPr="0072770E">
        <w:t>71B).</w:t>
      </w:r>
    </w:p>
    <w:p w:rsidR="007D22BE" w:rsidRPr="0072770E" w:rsidRDefault="007D22BE" w:rsidP="007E03DD">
      <w:pPr>
        <w:spacing w:after="120"/>
      </w:pPr>
      <w:r w:rsidRPr="0072770E">
        <w:t xml:space="preserve">A parent or a school district may request mediation and/or a due process hearing on any matter concerning the eligibility, evaluation, placement, individualized education program (IEP), </w:t>
      </w:r>
      <w:r w:rsidR="002F1E2A">
        <w:t xml:space="preserve">and </w:t>
      </w:r>
      <w:r w:rsidRPr="0072770E">
        <w:t>provision of special education or procedural protections for students with disabilities, in accordance with state and federal law.</w:t>
      </w:r>
      <w:r w:rsidRPr="0072770E">
        <w:rPr>
          <w:rStyle w:val="FootnoteReference"/>
        </w:rPr>
        <w:t xml:space="preserve"> </w:t>
      </w:r>
      <w:r w:rsidRPr="0072770E">
        <w:rPr>
          <w:rStyle w:val="FootnoteReference"/>
        </w:rPr>
        <w:footnoteReference w:id="2"/>
      </w:r>
    </w:p>
    <w:p w:rsidR="007D22BE" w:rsidRPr="0072770E" w:rsidRDefault="007D22BE" w:rsidP="007E03DD">
      <w:pPr>
        <w:spacing w:after="120"/>
      </w:pPr>
      <w:r w:rsidRPr="0072770E">
        <w:t xml:space="preserve">In addition, a parent may request a hearing on any issue involving the denial of a free appropriate public education </w:t>
      </w:r>
      <w:r w:rsidR="002F1E2A">
        <w:t xml:space="preserve">(FAPE) </w:t>
      </w:r>
      <w:r w:rsidRPr="0072770E">
        <w:t xml:space="preserve">guaranteed by </w:t>
      </w:r>
      <w:hyperlink r:id="rId48" w:tooltip="External Link" w:history="1">
        <w:r w:rsidRPr="0072770E">
          <w:rPr>
            <w:color w:val="0000FF"/>
            <w:u w:val="single"/>
          </w:rPr>
          <w:t>Section 504 of the Rehabilitation Act of 1973</w:t>
        </w:r>
      </w:hyperlink>
      <w:r w:rsidRPr="0072770E">
        <w:t>.</w:t>
      </w:r>
    </w:p>
    <w:p w:rsidR="007D22BE" w:rsidRPr="0072770E" w:rsidRDefault="007D22BE" w:rsidP="007E03DD">
      <w:pPr>
        <w:spacing w:after="120"/>
      </w:pPr>
      <w:r w:rsidRPr="0072770E">
        <w:t xml:space="preserve">Mediations and hearings are conducted by impartial mediators and hearing officers who do not have personal or professional interests that would conflict with their objectivity in the proceeding. The BSEA comprises seven </w:t>
      </w:r>
      <w:r w:rsidRPr="0072770E">
        <w:rPr>
          <w:bCs/>
        </w:rPr>
        <w:t>(six full time equivalent)</w:t>
      </w:r>
      <w:r w:rsidRPr="0072770E">
        <w:t xml:space="preserve"> hearing officers (all of whom are attorneys), seven mediators, a coordinator of mediation, a scheduling coordinator, administrative staff</w:t>
      </w:r>
      <w:r w:rsidR="00217786" w:rsidRPr="0072770E">
        <w:t>,</w:t>
      </w:r>
      <w:r w:rsidRPr="0072770E">
        <w:t xml:space="preserve"> and a director.</w:t>
      </w:r>
    </w:p>
    <w:p w:rsidR="007D22BE" w:rsidRPr="0072770E" w:rsidRDefault="007D22BE" w:rsidP="007E03DD">
      <w:pPr>
        <w:spacing w:after="120"/>
      </w:pPr>
      <w:r w:rsidRPr="0072770E">
        <w:t xml:space="preserve">What follows is a summary of BSEA data for </w:t>
      </w:r>
      <w:r w:rsidR="00C75469" w:rsidRPr="0072770E">
        <w:t>FY14</w:t>
      </w:r>
      <w:r w:rsidRPr="0072770E">
        <w:t xml:space="preserve"> (covering the period July 1, 2013 through June 30, 2014).</w:t>
      </w:r>
    </w:p>
    <w:p w:rsidR="007D22BE" w:rsidRPr="00217786" w:rsidRDefault="00217786" w:rsidP="007E03DD">
      <w:pPr>
        <w:pStyle w:val="Heading3"/>
        <w:spacing w:before="0" w:after="120"/>
      </w:pPr>
      <w:bookmarkStart w:id="56" w:name="_Toc405293161"/>
      <w:r>
        <w:t xml:space="preserve">1. </w:t>
      </w:r>
      <w:r w:rsidR="007D22BE" w:rsidRPr="00217786">
        <w:t>Rejected IEPs</w:t>
      </w:r>
      <w:bookmarkEnd w:id="56"/>
    </w:p>
    <w:p w:rsidR="007D22BE" w:rsidRPr="0072770E" w:rsidRDefault="007D22BE" w:rsidP="007E03DD">
      <w:pPr>
        <w:spacing w:after="120"/>
        <w:rPr>
          <w:b/>
          <w:u w:val="single"/>
        </w:rPr>
      </w:pPr>
      <w:r w:rsidRPr="0072770E">
        <w:t>There were approximately 9,830 rejected IEPs r</w:t>
      </w:r>
      <w:r w:rsidR="00C75469" w:rsidRPr="0072770E">
        <w:t>eceived by the BSEA during FY</w:t>
      </w:r>
      <w:r w:rsidRPr="0072770E">
        <w:t>14 (representing an increase from the 8,860 received in the prior year).</w:t>
      </w:r>
    </w:p>
    <w:p w:rsidR="007D22BE" w:rsidRPr="007D22BE" w:rsidRDefault="00217786" w:rsidP="007E03DD">
      <w:pPr>
        <w:pStyle w:val="Heading3"/>
        <w:spacing w:before="0" w:after="120"/>
        <w:rPr>
          <w:sz w:val="22"/>
          <w:szCs w:val="22"/>
          <w:u w:val="single"/>
        </w:rPr>
      </w:pPr>
      <w:bookmarkStart w:id="57" w:name="_Toc405293162"/>
      <w:r>
        <w:t xml:space="preserve">2. </w:t>
      </w:r>
      <w:r w:rsidR="007D22BE" w:rsidRPr="00217786">
        <w:t>Facilitated IEP TEAM Meetings</w:t>
      </w:r>
      <w:bookmarkEnd w:id="57"/>
    </w:p>
    <w:p w:rsidR="00964B65" w:rsidRPr="0072770E" w:rsidRDefault="007D22BE" w:rsidP="007E03DD">
      <w:pPr>
        <w:spacing w:after="120"/>
      </w:pPr>
      <w:r w:rsidRPr="0072770E">
        <w:t>This year the BSEA facilitated 150 IEP Team meetings</w:t>
      </w:r>
      <w:r w:rsidR="002C4206" w:rsidRPr="0072770E">
        <w:t xml:space="preserve">, but ten (10) </w:t>
      </w:r>
      <w:r w:rsidRPr="0072770E">
        <w:t>additional requests for Team meeting facilitations were declined owing to staff unavailability</w:t>
      </w:r>
      <w:r w:rsidR="002C4206" w:rsidRPr="0072770E">
        <w:t>. Requests for facilitated meetings have risen sharply since they became available in 2006.</w:t>
      </w:r>
    </w:p>
    <w:p w:rsidR="002C4206" w:rsidRPr="0072770E" w:rsidRDefault="00964B65" w:rsidP="007E03DD">
      <w:pPr>
        <w:spacing w:after="120"/>
      </w:pPr>
      <w:r w:rsidRPr="0072770E">
        <w:rPr>
          <w:b/>
        </w:rPr>
        <w:t>Figure F: Number of Facilitated IEP Meetings, 2006 - 2014</w:t>
      </w:r>
    </w:p>
    <w:p w:rsidR="002C4206" w:rsidRPr="007D22BE" w:rsidRDefault="002C4206" w:rsidP="00217786">
      <w:pPr>
        <w:spacing w:after="120"/>
        <w:rPr>
          <w:b/>
          <w:sz w:val="22"/>
          <w:szCs w:val="22"/>
        </w:rPr>
      </w:pPr>
      <w:r w:rsidRPr="002C4206">
        <w:rPr>
          <w:b/>
          <w:noProof/>
          <w:sz w:val="22"/>
          <w:szCs w:val="22"/>
          <w:lang w:eastAsia="zh-CN"/>
        </w:rPr>
        <w:drawing>
          <wp:inline distT="0" distB="0" distL="0" distR="0">
            <wp:extent cx="5145481" cy="2648103"/>
            <wp:effectExtent l="19050" t="0" r="17069" b="0"/>
            <wp:docPr id="8" name="Chart 1" descr="The number of facilitated IEP meetings has risen steadily and sharply, from 7 in 2006 to 150 in 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7D22BE" w:rsidRPr="007D22BE" w:rsidRDefault="00217786" w:rsidP="007E03DD">
      <w:pPr>
        <w:pStyle w:val="Heading3"/>
        <w:spacing w:before="0" w:after="120"/>
        <w:rPr>
          <w:color w:val="1F497D"/>
          <w:sz w:val="22"/>
          <w:szCs w:val="22"/>
        </w:rPr>
      </w:pPr>
      <w:bookmarkStart w:id="58" w:name="_Toc405293163"/>
      <w:r>
        <w:t xml:space="preserve">3. </w:t>
      </w:r>
      <w:r w:rsidR="007D22BE" w:rsidRPr="00217786">
        <w:t>Mediation</w:t>
      </w:r>
      <w:bookmarkEnd w:id="58"/>
      <w:r w:rsidR="007D22BE" w:rsidRPr="00217786">
        <w:t xml:space="preserve">  </w:t>
      </w:r>
    </w:p>
    <w:p w:rsidR="007D22BE" w:rsidRPr="0072770E" w:rsidRDefault="007D22BE" w:rsidP="007E03DD">
      <w:pPr>
        <w:spacing w:after="120"/>
      </w:pPr>
      <w:r w:rsidRPr="0072770E">
        <w:t>T</w:t>
      </w:r>
      <w:r w:rsidRPr="0072770E">
        <w:rPr>
          <w:color w:val="0D0D0D"/>
        </w:rPr>
        <w:t>here were 790</w:t>
      </w:r>
      <w:r w:rsidR="00DD1076" w:rsidRPr="0072770E">
        <w:rPr>
          <w:color w:val="0D0D0D"/>
        </w:rPr>
        <w:t xml:space="preserve"> mediations conducted in FY</w:t>
      </w:r>
      <w:r w:rsidRPr="0072770E">
        <w:rPr>
          <w:color w:val="0D0D0D"/>
        </w:rPr>
        <w:t>14</w:t>
      </w:r>
      <w:r w:rsidR="0029686C">
        <w:rPr>
          <w:color w:val="0D0D0D"/>
        </w:rPr>
        <w:t xml:space="preserve">, </w:t>
      </w:r>
      <w:r w:rsidRPr="0072770E">
        <w:rPr>
          <w:color w:val="0D0D0D"/>
        </w:rPr>
        <w:t>representing a decrease from the 818 conducted during the prior year,</w:t>
      </w:r>
      <w:r w:rsidR="00FF1A59">
        <w:rPr>
          <w:color w:val="0D0D0D"/>
        </w:rPr>
        <w:t xml:space="preserve"> with an agreement rate of 84.3 percent</w:t>
      </w:r>
      <w:r w:rsidRPr="0072770E">
        <w:rPr>
          <w:color w:val="0D0D0D"/>
        </w:rPr>
        <w:t>.</w:t>
      </w:r>
    </w:p>
    <w:p w:rsidR="007D22BE" w:rsidRPr="00217786" w:rsidRDefault="00217786" w:rsidP="007E03DD">
      <w:pPr>
        <w:pStyle w:val="Heading3"/>
        <w:spacing w:before="0" w:after="120"/>
      </w:pPr>
      <w:bookmarkStart w:id="59" w:name="_Toc405293164"/>
      <w:r>
        <w:t xml:space="preserve">4. </w:t>
      </w:r>
      <w:r w:rsidR="007D22BE" w:rsidRPr="00217786">
        <w:t>Due Process Hearings</w:t>
      </w:r>
      <w:bookmarkEnd w:id="59"/>
    </w:p>
    <w:p w:rsidR="007D22BE" w:rsidRPr="0072770E" w:rsidRDefault="007D22BE" w:rsidP="007E03DD">
      <w:pPr>
        <w:spacing w:after="120"/>
        <w:rPr>
          <w:b/>
          <w:bCs/>
        </w:rPr>
      </w:pPr>
      <w:r w:rsidRPr="0072770E">
        <w:t>The BSEA received 590 hearing requests during FY14 (representing an increase from the 552 requests in the prior year). The seven (six full time equivalent) BSEA hearing officers conducted full hearings resulting in 25 decisions (representing a decrease</w:t>
      </w:r>
      <w:r w:rsidRPr="0072770E">
        <w:rPr>
          <w:i/>
        </w:rPr>
        <w:t xml:space="preserve"> </w:t>
      </w:r>
      <w:r w:rsidRPr="0072770E">
        <w:t>from the 30 decisions issued in the previous year). In addition to the 25 decisions, at least 53 substantive written rulings were issued (an increase from the 37 substantive rulings issued in the previous year).</w:t>
      </w:r>
    </w:p>
    <w:p w:rsidR="007D22BE" w:rsidRPr="007D22BE" w:rsidRDefault="00217786" w:rsidP="007E03DD">
      <w:pPr>
        <w:pStyle w:val="Heading3"/>
        <w:spacing w:before="0" w:after="120"/>
      </w:pPr>
      <w:bookmarkStart w:id="60" w:name="_Toc405293165"/>
      <w:r>
        <w:t xml:space="preserve">5. </w:t>
      </w:r>
      <w:r w:rsidR="007D22BE" w:rsidRPr="007D22BE">
        <w:t>Prevailing Party</w:t>
      </w:r>
      <w:bookmarkEnd w:id="60"/>
    </w:p>
    <w:p w:rsidR="007D22BE" w:rsidRPr="00E71861" w:rsidRDefault="007D22BE" w:rsidP="007E03DD">
      <w:pPr>
        <w:spacing w:after="120"/>
        <w:rPr>
          <w:rFonts w:ascii="Arial" w:hAnsi="Arial" w:cs="Arial"/>
        </w:rPr>
      </w:pPr>
      <w:r w:rsidRPr="0072770E">
        <w:t>Of the 25 decisions noted above, p</w:t>
      </w:r>
      <w:r w:rsidR="00FF1A59">
        <w:t>arents fully prevailed in 7 (28 percent</w:t>
      </w:r>
      <w:r w:rsidRPr="0072770E">
        <w:t>), school districts fully</w:t>
      </w:r>
      <w:r w:rsidR="00FF1A59">
        <w:t xml:space="preserve"> prevailed in 13 (52 percent</w:t>
      </w:r>
      <w:r w:rsidRPr="0072770E">
        <w:t>), 4 decis</w:t>
      </w:r>
      <w:r w:rsidR="00FF1A59">
        <w:t>ions involved mixed relief (16 percent) and 1 decision (4 percent</w:t>
      </w:r>
      <w:r w:rsidRPr="0072770E">
        <w:t>) involved an LEA assignment</w:t>
      </w:r>
      <w:r w:rsidRPr="00E71861">
        <w:t>.</w:t>
      </w:r>
    </w:p>
    <w:p w:rsidR="00B53700" w:rsidRPr="00CD4510" w:rsidRDefault="00B53700" w:rsidP="007E03DD">
      <w:pPr>
        <w:pStyle w:val="Heading1"/>
        <w:spacing w:before="0"/>
      </w:pPr>
      <w:bookmarkStart w:id="61" w:name="_Toc405293166"/>
      <w:r>
        <w:t>VI</w:t>
      </w:r>
      <w:r w:rsidRPr="00CD4510">
        <w:t xml:space="preserve">. </w:t>
      </w:r>
      <w:r w:rsidRPr="00CD4510">
        <w:tab/>
      </w:r>
      <w:proofErr w:type="gramStart"/>
      <w:r w:rsidR="00761E74">
        <w:t>For</w:t>
      </w:r>
      <w:proofErr w:type="gramEnd"/>
      <w:r w:rsidR="00761E74">
        <w:t xml:space="preserve"> </w:t>
      </w:r>
      <w:r w:rsidR="005B7ACC">
        <w:t>More</w:t>
      </w:r>
      <w:r w:rsidR="00761E74">
        <w:t xml:space="preserve"> Information</w:t>
      </w:r>
      <w:bookmarkEnd w:id="61"/>
    </w:p>
    <w:p w:rsidR="00F044FE" w:rsidRPr="0072770E" w:rsidRDefault="00E36BE1" w:rsidP="007E03DD">
      <w:pPr>
        <w:spacing w:after="120"/>
      </w:pPr>
      <w:r w:rsidRPr="0072770E">
        <w:t xml:space="preserve">The </w:t>
      </w:r>
      <w:r w:rsidR="00B53700" w:rsidRPr="0072770E">
        <w:t xml:space="preserve">information in this report is a compilation of </w:t>
      </w:r>
      <w:r w:rsidR="00A35EE3" w:rsidRPr="0072770E">
        <w:t xml:space="preserve">data and </w:t>
      </w:r>
      <w:r w:rsidR="00B53700" w:rsidRPr="0072770E">
        <w:t>narrative contributions from s</w:t>
      </w:r>
      <w:r w:rsidRPr="0072770E">
        <w:t>eve</w:t>
      </w:r>
      <w:r w:rsidR="00B53700" w:rsidRPr="0072770E">
        <w:t xml:space="preserve">ral units within the Department, </w:t>
      </w:r>
      <w:r w:rsidRPr="0072770E">
        <w:t>as well as input from the Massachusetts Organization of Education Collaboratives, the state Office of Medicaid, an</w:t>
      </w:r>
      <w:r w:rsidR="00AC4761">
        <w:t>d the Division of Administrative</w:t>
      </w:r>
      <w:r w:rsidRPr="0072770E">
        <w:t xml:space="preserve"> Law Appeals. If you have any questions, please contact the Office of Special Education Planning and Policy at the Department of Elementary and Secondary Education, Marcia Mittnacht, Director, by email at </w:t>
      </w:r>
      <w:hyperlink r:id="rId50" w:history="1">
        <w:r w:rsidRPr="0072770E">
          <w:rPr>
            <w:rStyle w:val="Hyperlink"/>
          </w:rPr>
          <w:t>mmmittnacht@doe.mass.edu</w:t>
        </w:r>
      </w:hyperlink>
      <w:r w:rsidRPr="0029686C">
        <w:t xml:space="preserve"> </w:t>
      </w:r>
      <w:r w:rsidRPr="0072770E">
        <w:t>or by phone at 781-338-3375.</w:t>
      </w:r>
    </w:p>
    <w:sectPr w:rsidR="00F044FE" w:rsidRPr="0072770E" w:rsidSect="007E03DD">
      <w:footerReference w:type="default" r:id="rId51"/>
      <w:pgSz w:w="12240" w:h="15840"/>
      <w:pgMar w:top="1170" w:right="1440" w:bottom="1080" w:left="144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8C7" w:rsidRDefault="004E38C7" w:rsidP="00FD2C86">
      <w:r>
        <w:separator/>
      </w:r>
    </w:p>
  </w:endnote>
  <w:endnote w:type="continuationSeparator" w:id="0">
    <w:p w:rsidR="004E38C7" w:rsidRDefault="004E38C7"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MoolBoran">
    <w:panose1 w:val="020B0100010101010101"/>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C5" w:rsidRDefault="009E24C5" w:rsidP="00D674EF">
    <w:pPr>
      <w:pStyle w:val="Footer"/>
    </w:pPr>
    <w:r>
      <w:tab/>
    </w:r>
    <w:fldSimple w:instr=" PAGE   \* MERGEFORMAT ">
      <w:r w:rsidR="0048390F">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8C7" w:rsidRDefault="004E38C7" w:rsidP="00FD2C86">
      <w:r>
        <w:separator/>
      </w:r>
    </w:p>
  </w:footnote>
  <w:footnote w:type="continuationSeparator" w:id="0">
    <w:p w:rsidR="004E38C7" w:rsidRDefault="004E38C7" w:rsidP="00FD2C86">
      <w:r>
        <w:continuationSeparator/>
      </w:r>
    </w:p>
  </w:footnote>
  <w:footnote w:id="1">
    <w:p w:rsidR="009E24C5" w:rsidRPr="00A83976" w:rsidRDefault="009E24C5" w:rsidP="0029686C">
      <w:pPr>
        <w:rPr>
          <w:sz w:val="20"/>
          <w:szCs w:val="20"/>
        </w:rPr>
      </w:pPr>
      <w:r>
        <w:rPr>
          <w:rStyle w:val="FootnoteReference"/>
        </w:rPr>
        <w:footnoteRef/>
      </w:r>
      <w:r>
        <w:t xml:space="preserve"> </w:t>
      </w:r>
      <w:r w:rsidRPr="00A83976">
        <w:rPr>
          <w:sz w:val="20"/>
          <w:szCs w:val="20"/>
        </w:rPr>
        <w:t>In addition to mediation and due process hearings (both of which must be offered pursuant to federal law), the BSEA offers the following alternative dispute resolution options: IEP Team meeting facilitations</w:t>
      </w:r>
      <w:r>
        <w:rPr>
          <w:sz w:val="20"/>
          <w:szCs w:val="20"/>
        </w:rPr>
        <w:t>,</w:t>
      </w:r>
      <w:r w:rsidRPr="00A83976">
        <w:rPr>
          <w:sz w:val="20"/>
          <w:szCs w:val="20"/>
        </w:rPr>
        <w:t xml:space="preserve"> settlement conferences</w:t>
      </w:r>
      <w:r>
        <w:rPr>
          <w:sz w:val="20"/>
          <w:szCs w:val="20"/>
        </w:rPr>
        <w:t>,</w:t>
      </w:r>
      <w:r w:rsidRPr="00A83976">
        <w:rPr>
          <w:sz w:val="20"/>
          <w:szCs w:val="20"/>
        </w:rPr>
        <w:t xml:space="preserve"> and advisory opinions.</w:t>
      </w:r>
      <w:r>
        <w:rPr>
          <w:sz w:val="20"/>
          <w:szCs w:val="20"/>
        </w:rPr>
        <w:t xml:space="preserve"> </w:t>
      </w:r>
    </w:p>
    <w:p w:rsidR="009E24C5" w:rsidRDefault="009E24C5" w:rsidP="0029686C">
      <w:pPr>
        <w:pStyle w:val="FootnoteText"/>
      </w:pPr>
    </w:p>
  </w:footnote>
  <w:footnote w:id="2">
    <w:p w:rsidR="009E24C5" w:rsidRPr="00A83976" w:rsidRDefault="009E24C5" w:rsidP="0029686C">
      <w:pPr>
        <w:pStyle w:val="FootnoteText"/>
      </w:pPr>
      <w:r>
        <w:rPr>
          <w:rStyle w:val="FootnoteReference"/>
        </w:rPr>
        <w:footnoteRef/>
      </w:r>
      <w:r>
        <w:t xml:space="preserve"> </w:t>
      </w:r>
      <w:r w:rsidRPr="00A83976">
        <w:t>A school district may not, however, request a hearing on a parent's failure or refusal to consent to initial evaluation or initial placement of a child in a special education program, or to written revocation of parental consent for further provision of special education and related services.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0626339"/>
    <w:multiLevelType w:val="hybridMultilevel"/>
    <w:tmpl w:val="E946D862"/>
    <w:lvl w:ilvl="0" w:tplc="D4B22BA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B5775"/>
    <w:multiLevelType w:val="hybridMultilevel"/>
    <w:tmpl w:val="EA126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1576A"/>
    <w:multiLevelType w:val="hybridMultilevel"/>
    <w:tmpl w:val="82160222"/>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E6A20"/>
    <w:multiLevelType w:val="hybridMultilevel"/>
    <w:tmpl w:val="7916BA96"/>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0A765C"/>
    <w:multiLevelType w:val="hybridMultilevel"/>
    <w:tmpl w:val="0C264B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C92E8E"/>
    <w:multiLevelType w:val="hybridMultilevel"/>
    <w:tmpl w:val="333873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E5BCDF88">
      <w:numFmt w:val="bullet"/>
      <w:lvlText w:val="•"/>
      <w:lvlJc w:val="left"/>
      <w:pPr>
        <w:ind w:left="3240" w:hanging="72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D34657"/>
    <w:multiLevelType w:val="hybridMultilevel"/>
    <w:tmpl w:val="59EAF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
    <w:nsid w:val="366324D2"/>
    <w:multiLevelType w:val="hybridMultilevel"/>
    <w:tmpl w:val="98EC3C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EA50252"/>
    <w:multiLevelType w:val="hybridMultilevel"/>
    <w:tmpl w:val="8B407650"/>
    <w:lvl w:ilvl="0" w:tplc="DC4CEC0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2">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85959D3"/>
    <w:multiLevelType w:val="hybridMultilevel"/>
    <w:tmpl w:val="9E3C0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1B5FE2"/>
    <w:multiLevelType w:val="hybridMultilevel"/>
    <w:tmpl w:val="469669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697E05"/>
    <w:multiLevelType w:val="hybridMultilevel"/>
    <w:tmpl w:val="B2388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66666B"/>
    <w:multiLevelType w:val="hybridMultilevel"/>
    <w:tmpl w:val="A5C86712"/>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4"/>
  </w:num>
  <w:num w:numId="3">
    <w:abstractNumId w:val="12"/>
  </w:num>
  <w:num w:numId="4">
    <w:abstractNumId w:val="11"/>
  </w:num>
  <w:num w:numId="5">
    <w:abstractNumId w:val="8"/>
  </w:num>
  <w:num w:numId="6">
    <w:abstractNumId w:val="13"/>
  </w:num>
  <w:num w:numId="7">
    <w:abstractNumId w:val="17"/>
  </w:num>
  <w:num w:numId="8">
    <w:abstractNumId w:val="1"/>
  </w:num>
  <w:num w:numId="9">
    <w:abstractNumId w:val="9"/>
  </w:num>
  <w:num w:numId="10">
    <w:abstractNumId w:val="4"/>
  </w:num>
  <w:num w:numId="11">
    <w:abstractNumId w:val="3"/>
  </w:num>
  <w:num w:numId="12">
    <w:abstractNumId w:val="5"/>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0"/>
  </w:num>
  <w:num w:numId="19">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001"/>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applyBreakingRules/>
  </w:compat>
  <w:rsids>
    <w:rsidRoot w:val="00ED328E"/>
    <w:rsid w:val="00001D92"/>
    <w:rsid w:val="00002F30"/>
    <w:rsid w:val="00007776"/>
    <w:rsid w:val="0001388F"/>
    <w:rsid w:val="00016826"/>
    <w:rsid w:val="00016BBF"/>
    <w:rsid w:val="00016C20"/>
    <w:rsid w:val="000212FD"/>
    <w:rsid w:val="00031F6D"/>
    <w:rsid w:val="00032213"/>
    <w:rsid w:val="00041575"/>
    <w:rsid w:val="0004587A"/>
    <w:rsid w:val="00046739"/>
    <w:rsid w:val="00046BD9"/>
    <w:rsid w:val="000506EE"/>
    <w:rsid w:val="0005395F"/>
    <w:rsid w:val="00054520"/>
    <w:rsid w:val="00055C77"/>
    <w:rsid w:val="000617CC"/>
    <w:rsid w:val="00062D11"/>
    <w:rsid w:val="00064E73"/>
    <w:rsid w:val="000711BA"/>
    <w:rsid w:val="00076BD2"/>
    <w:rsid w:val="00083AF5"/>
    <w:rsid w:val="00084569"/>
    <w:rsid w:val="00084DB6"/>
    <w:rsid w:val="00087074"/>
    <w:rsid w:val="00087376"/>
    <w:rsid w:val="0009202C"/>
    <w:rsid w:val="00092375"/>
    <w:rsid w:val="000927CC"/>
    <w:rsid w:val="00092A27"/>
    <w:rsid w:val="00096F2A"/>
    <w:rsid w:val="000A69E9"/>
    <w:rsid w:val="000A7F57"/>
    <w:rsid w:val="000B0B74"/>
    <w:rsid w:val="000B2128"/>
    <w:rsid w:val="000B3DF4"/>
    <w:rsid w:val="000B4E3F"/>
    <w:rsid w:val="000C3B85"/>
    <w:rsid w:val="000C5002"/>
    <w:rsid w:val="000C5AF1"/>
    <w:rsid w:val="000C5FF3"/>
    <w:rsid w:val="000D0E81"/>
    <w:rsid w:val="000D1C7A"/>
    <w:rsid w:val="000D1FA5"/>
    <w:rsid w:val="000D306A"/>
    <w:rsid w:val="000E299E"/>
    <w:rsid w:val="000E57F5"/>
    <w:rsid w:val="000E58E9"/>
    <w:rsid w:val="000E5FB3"/>
    <w:rsid w:val="000E7A53"/>
    <w:rsid w:val="000F0E6D"/>
    <w:rsid w:val="000F1A09"/>
    <w:rsid w:val="000F40AD"/>
    <w:rsid w:val="000F5323"/>
    <w:rsid w:val="000F6F12"/>
    <w:rsid w:val="000F78D3"/>
    <w:rsid w:val="00100600"/>
    <w:rsid w:val="00101B79"/>
    <w:rsid w:val="001021FB"/>
    <w:rsid w:val="001042D1"/>
    <w:rsid w:val="001046C0"/>
    <w:rsid w:val="00106D32"/>
    <w:rsid w:val="001103C3"/>
    <w:rsid w:val="00110C54"/>
    <w:rsid w:val="00111CF2"/>
    <w:rsid w:val="0011274A"/>
    <w:rsid w:val="00113215"/>
    <w:rsid w:val="00113A3B"/>
    <w:rsid w:val="001163F9"/>
    <w:rsid w:val="0011791A"/>
    <w:rsid w:val="00121193"/>
    <w:rsid w:val="0012136F"/>
    <w:rsid w:val="00123285"/>
    <w:rsid w:val="00127EC1"/>
    <w:rsid w:val="001374D2"/>
    <w:rsid w:val="0014102A"/>
    <w:rsid w:val="001411CA"/>
    <w:rsid w:val="00141894"/>
    <w:rsid w:val="00141BCB"/>
    <w:rsid w:val="0014236B"/>
    <w:rsid w:val="00144CB4"/>
    <w:rsid w:val="00147F76"/>
    <w:rsid w:val="001507D8"/>
    <w:rsid w:val="00152CC8"/>
    <w:rsid w:val="00152EE1"/>
    <w:rsid w:val="00155B6D"/>
    <w:rsid w:val="00160F39"/>
    <w:rsid w:val="00161A3F"/>
    <w:rsid w:val="00163524"/>
    <w:rsid w:val="00163EB3"/>
    <w:rsid w:val="0017022D"/>
    <w:rsid w:val="00173CD8"/>
    <w:rsid w:val="0017564B"/>
    <w:rsid w:val="00177E4C"/>
    <w:rsid w:val="00180963"/>
    <w:rsid w:val="00180B2C"/>
    <w:rsid w:val="00184ACF"/>
    <w:rsid w:val="001850F0"/>
    <w:rsid w:val="00185426"/>
    <w:rsid w:val="00186D4A"/>
    <w:rsid w:val="00193A65"/>
    <w:rsid w:val="001A028D"/>
    <w:rsid w:val="001A6368"/>
    <w:rsid w:val="001A6B34"/>
    <w:rsid w:val="001B04F6"/>
    <w:rsid w:val="001B0849"/>
    <w:rsid w:val="001B25AC"/>
    <w:rsid w:val="001B3E1E"/>
    <w:rsid w:val="001B44B2"/>
    <w:rsid w:val="001C1CF3"/>
    <w:rsid w:val="001C3DC7"/>
    <w:rsid w:val="001C510B"/>
    <w:rsid w:val="001C6761"/>
    <w:rsid w:val="001D3171"/>
    <w:rsid w:val="001E7337"/>
    <w:rsid w:val="001F14E9"/>
    <w:rsid w:val="001F24C0"/>
    <w:rsid w:val="001F49EC"/>
    <w:rsid w:val="0020198D"/>
    <w:rsid w:val="00201F27"/>
    <w:rsid w:val="0020208B"/>
    <w:rsid w:val="002027A9"/>
    <w:rsid w:val="00202A39"/>
    <w:rsid w:val="002034A0"/>
    <w:rsid w:val="00206EA2"/>
    <w:rsid w:val="0020780F"/>
    <w:rsid w:val="00210608"/>
    <w:rsid w:val="00214D10"/>
    <w:rsid w:val="00217786"/>
    <w:rsid w:val="002339B9"/>
    <w:rsid w:val="00234B44"/>
    <w:rsid w:val="00236A6B"/>
    <w:rsid w:val="002404BF"/>
    <w:rsid w:val="002410FF"/>
    <w:rsid w:val="0024493D"/>
    <w:rsid w:val="0025063C"/>
    <w:rsid w:val="00252F5C"/>
    <w:rsid w:val="00253C38"/>
    <w:rsid w:val="0026012F"/>
    <w:rsid w:val="002619CB"/>
    <w:rsid w:val="002625B1"/>
    <w:rsid w:val="00264444"/>
    <w:rsid w:val="00265620"/>
    <w:rsid w:val="002665FE"/>
    <w:rsid w:val="00266620"/>
    <w:rsid w:val="00267B74"/>
    <w:rsid w:val="00271731"/>
    <w:rsid w:val="00272C35"/>
    <w:rsid w:val="00272F20"/>
    <w:rsid w:val="00273D70"/>
    <w:rsid w:val="00274140"/>
    <w:rsid w:val="00274356"/>
    <w:rsid w:val="00276F50"/>
    <w:rsid w:val="00277681"/>
    <w:rsid w:val="00281B13"/>
    <w:rsid w:val="0028213C"/>
    <w:rsid w:val="00284FED"/>
    <w:rsid w:val="002870BC"/>
    <w:rsid w:val="00291FB3"/>
    <w:rsid w:val="002937AB"/>
    <w:rsid w:val="00294DFB"/>
    <w:rsid w:val="0029686C"/>
    <w:rsid w:val="0029758E"/>
    <w:rsid w:val="002A2228"/>
    <w:rsid w:val="002A3AB7"/>
    <w:rsid w:val="002A3E86"/>
    <w:rsid w:val="002A4A54"/>
    <w:rsid w:val="002A5C00"/>
    <w:rsid w:val="002B0324"/>
    <w:rsid w:val="002B044A"/>
    <w:rsid w:val="002B2D8C"/>
    <w:rsid w:val="002B6DC9"/>
    <w:rsid w:val="002C120B"/>
    <w:rsid w:val="002C2113"/>
    <w:rsid w:val="002C2DEC"/>
    <w:rsid w:val="002C2EFE"/>
    <w:rsid w:val="002C4206"/>
    <w:rsid w:val="002C63F2"/>
    <w:rsid w:val="002D1F95"/>
    <w:rsid w:val="002D411F"/>
    <w:rsid w:val="002D660D"/>
    <w:rsid w:val="002D68C9"/>
    <w:rsid w:val="002D750F"/>
    <w:rsid w:val="002E30C0"/>
    <w:rsid w:val="002E3389"/>
    <w:rsid w:val="002E361B"/>
    <w:rsid w:val="002E70E2"/>
    <w:rsid w:val="002F1E2A"/>
    <w:rsid w:val="002F397B"/>
    <w:rsid w:val="002F45DF"/>
    <w:rsid w:val="0030023F"/>
    <w:rsid w:val="003011FD"/>
    <w:rsid w:val="00304EC7"/>
    <w:rsid w:val="00306EC1"/>
    <w:rsid w:val="00313DEF"/>
    <w:rsid w:val="00314A3E"/>
    <w:rsid w:val="00314AD0"/>
    <w:rsid w:val="00324E05"/>
    <w:rsid w:val="003404C4"/>
    <w:rsid w:val="0034424D"/>
    <w:rsid w:val="00344BBC"/>
    <w:rsid w:val="00345847"/>
    <w:rsid w:val="00345DE2"/>
    <w:rsid w:val="00353044"/>
    <w:rsid w:val="0035406E"/>
    <w:rsid w:val="003565B0"/>
    <w:rsid w:val="0035669F"/>
    <w:rsid w:val="00356E67"/>
    <w:rsid w:val="00360251"/>
    <w:rsid w:val="00360334"/>
    <w:rsid w:val="0036039C"/>
    <w:rsid w:val="00361D7E"/>
    <w:rsid w:val="00364CED"/>
    <w:rsid w:val="003661B4"/>
    <w:rsid w:val="003707F4"/>
    <w:rsid w:val="00374216"/>
    <w:rsid w:val="00375008"/>
    <w:rsid w:val="003816C8"/>
    <w:rsid w:val="00382544"/>
    <w:rsid w:val="00386B98"/>
    <w:rsid w:val="00387053"/>
    <w:rsid w:val="00387B31"/>
    <w:rsid w:val="003A76D7"/>
    <w:rsid w:val="003B1D70"/>
    <w:rsid w:val="003B2CA5"/>
    <w:rsid w:val="003B41FE"/>
    <w:rsid w:val="003C1E01"/>
    <w:rsid w:val="003C53A0"/>
    <w:rsid w:val="003C754D"/>
    <w:rsid w:val="003D0635"/>
    <w:rsid w:val="003D0CDA"/>
    <w:rsid w:val="003D2577"/>
    <w:rsid w:val="003D4D0F"/>
    <w:rsid w:val="003E05E8"/>
    <w:rsid w:val="003E09A7"/>
    <w:rsid w:val="003E1304"/>
    <w:rsid w:val="003E1461"/>
    <w:rsid w:val="003E194E"/>
    <w:rsid w:val="003E3D13"/>
    <w:rsid w:val="003F0283"/>
    <w:rsid w:val="003F2AEA"/>
    <w:rsid w:val="003F3636"/>
    <w:rsid w:val="003F69D9"/>
    <w:rsid w:val="00403781"/>
    <w:rsid w:val="00403D44"/>
    <w:rsid w:val="004079BB"/>
    <w:rsid w:val="00410EFC"/>
    <w:rsid w:val="004149BD"/>
    <w:rsid w:val="004174B6"/>
    <w:rsid w:val="00421469"/>
    <w:rsid w:val="00421830"/>
    <w:rsid w:val="004238BD"/>
    <w:rsid w:val="004240EF"/>
    <w:rsid w:val="00425C5A"/>
    <w:rsid w:val="004323E2"/>
    <w:rsid w:val="00432F9A"/>
    <w:rsid w:val="0043505F"/>
    <w:rsid w:val="004361E0"/>
    <w:rsid w:val="00440BAB"/>
    <w:rsid w:val="004468F1"/>
    <w:rsid w:val="00447392"/>
    <w:rsid w:val="0044758D"/>
    <w:rsid w:val="00452B61"/>
    <w:rsid w:val="00455DBC"/>
    <w:rsid w:val="004565C8"/>
    <w:rsid w:val="00457685"/>
    <w:rsid w:val="00457FB6"/>
    <w:rsid w:val="00464491"/>
    <w:rsid w:val="00466F00"/>
    <w:rsid w:val="00467E22"/>
    <w:rsid w:val="00471528"/>
    <w:rsid w:val="0047676C"/>
    <w:rsid w:val="004770A2"/>
    <w:rsid w:val="00482A7C"/>
    <w:rsid w:val="0048390F"/>
    <w:rsid w:val="00484A33"/>
    <w:rsid w:val="00486B5F"/>
    <w:rsid w:val="00490033"/>
    <w:rsid w:val="00495DA1"/>
    <w:rsid w:val="00496835"/>
    <w:rsid w:val="00497397"/>
    <w:rsid w:val="00497840"/>
    <w:rsid w:val="004A1E5F"/>
    <w:rsid w:val="004B1252"/>
    <w:rsid w:val="004B1BAD"/>
    <w:rsid w:val="004B2638"/>
    <w:rsid w:val="004C1FFA"/>
    <w:rsid w:val="004C6E97"/>
    <w:rsid w:val="004D08F6"/>
    <w:rsid w:val="004D3CD6"/>
    <w:rsid w:val="004D45D4"/>
    <w:rsid w:val="004E0CA6"/>
    <w:rsid w:val="004E38C7"/>
    <w:rsid w:val="004E5242"/>
    <w:rsid w:val="004F1396"/>
    <w:rsid w:val="004F17F2"/>
    <w:rsid w:val="004F1C4B"/>
    <w:rsid w:val="004F1D56"/>
    <w:rsid w:val="004F479C"/>
    <w:rsid w:val="005023C3"/>
    <w:rsid w:val="00503AC7"/>
    <w:rsid w:val="0051283E"/>
    <w:rsid w:val="005135AF"/>
    <w:rsid w:val="005152E7"/>
    <w:rsid w:val="00520EDF"/>
    <w:rsid w:val="005214FD"/>
    <w:rsid w:val="00521558"/>
    <w:rsid w:val="00523DDB"/>
    <w:rsid w:val="00524143"/>
    <w:rsid w:val="0053150E"/>
    <w:rsid w:val="00531C10"/>
    <w:rsid w:val="0053362A"/>
    <w:rsid w:val="0053557F"/>
    <w:rsid w:val="00542E25"/>
    <w:rsid w:val="00543C6D"/>
    <w:rsid w:val="005444ED"/>
    <w:rsid w:val="0054658D"/>
    <w:rsid w:val="005475A5"/>
    <w:rsid w:val="00550B7B"/>
    <w:rsid w:val="00550C5A"/>
    <w:rsid w:val="005535B2"/>
    <w:rsid w:val="0055541D"/>
    <w:rsid w:val="0056155F"/>
    <w:rsid w:val="00566520"/>
    <w:rsid w:val="0057069B"/>
    <w:rsid w:val="00571D70"/>
    <w:rsid w:val="005736D2"/>
    <w:rsid w:val="00575F97"/>
    <w:rsid w:val="00575FD0"/>
    <w:rsid w:val="005817C2"/>
    <w:rsid w:val="00590192"/>
    <w:rsid w:val="005A0998"/>
    <w:rsid w:val="005A367D"/>
    <w:rsid w:val="005B12B8"/>
    <w:rsid w:val="005B2B87"/>
    <w:rsid w:val="005B50CD"/>
    <w:rsid w:val="005B7ACC"/>
    <w:rsid w:val="005C0B46"/>
    <w:rsid w:val="005C1821"/>
    <w:rsid w:val="005D170E"/>
    <w:rsid w:val="005E059D"/>
    <w:rsid w:val="005E1A26"/>
    <w:rsid w:val="005E3441"/>
    <w:rsid w:val="005E4019"/>
    <w:rsid w:val="005E6ACA"/>
    <w:rsid w:val="005F037D"/>
    <w:rsid w:val="005F0DA5"/>
    <w:rsid w:val="005F152D"/>
    <w:rsid w:val="005F1897"/>
    <w:rsid w:val="005F254E"/>
    <w:rsid w:val="005F26B5"/>
    <w:rsid w:val="005F5E9D"/>
    <w:rsid w:val="00601D0F"/>
    <w:rsid w:val="006024AE"/>
    <w:rsid w:val="00603BD5"/>
    <w:rsid w:val="0060785C"/>
    <w:rsid w:val="00610066"/>
    <w:rsid w:val="0061211F"/>
    <w:rsid w:val="0061230E"/>
    <w:rsid w:val="006135BD"/>
    <w:rsid w:val="0061486A"/>
    <w:rsid w:val="006152E4"/>
    <w:rsid w:val="00616526"/>
    <w:rsid w:val="00617DFE"/>
    <w:rsid w:val="0062357E"/>
    <w:rsid w:val="00623A7A"/>
    <w:rsid w:val="00626169"/>
    <w:rsid w:val="006309E1"/>
    <w:rsid w:val="00632AB4"/>
    <w:rsid w:val="00633842"/>
    <w:rsid w:val="00633DC4"/>
    <w:rsid w:val="00635308"/>
    <w:rsid w:val="006370B6"/>
    <w:rsid w:val="00637D39"/>
    <w:rsid w:val="00651863"/>
    <w:rsid w:val="00656575"/>
    <w:rsid w:val="00660B23"/>
    <w:rsid w:val="00662491"/>
    <w:rsid w:val="00662EAE"/>
    <w:rsid w:val="0066316A"/>
    <w:rsid w:val="00663FE3"/>
    <w:rsid w:val="0066668B"/>
    <w:rsid w:val="00670425"/>
    <w:rsid w:val="0067111C"/>
    <w:rsid w:val="0067541F"/>
    <w:rsid w:val="00675B1B"/>
    <w:rsid w:val="006767E6"/>
    <w:rsid w:val="00676CF4"/>
    <w:rsid w:val="00683F90"/>
    <w:rsid w:val="0068466C"/>
    <w:rsid w:val="00685AB4"/>
    <w:rsid w:val="00685BBE"/>
    <w:rsid w:val="0069313B"/>
    <w:rsid w:val="006945EC"/>
    <w:rsid w:val="0069558B"/>
    <w:rsid w:val="0069693D"/>
    <w:rsid w:val="0069764B"/>
    <w:rsid w:val="006A0D3F"/>
    <w:rsid w:val="006A3D65"/>
    <w:rsid w:val="006A4574"/>
    <w:rsid w:val="006A6079"/>
    <w:rsid w:val="006B2480"/>
    <w:rsid w:val="006B4DA2"/>
    <w:rsid w:val="006B6422"/>
    <w:rsid w:val="006B7340"/>
    <w:rsid w:val="006B7FE2"/>
    <w:rsid w:val="006C078E"/>
    <w:rsid w:val="006C1C95"/>
    <w:rsid w:val="006C5ACA"/>
    <w:rsid w:val="006C6C82"/>
    <w:rsid w:val="006C6F88"/>
    <w:rsid w:val="006D1B5E"/>
    <w:rsid w:val="006D39CF"/>
    <w:rsid w:val="006D685D"/>
    <w:rsid w:val="006E2DCB"/>
    <w:rsid w:val="006E7BCB"/>
    <w:rsid w:val="006F4CF2"/>
    <w:rsid w:val="006F6C9B"/>
    <w:rsid w:val="006F78B0"/>
    <w:rsid w:val="00703889"/>
    <w:rsid w:val="007102D5"/>
    <w:rsid w:val="00712E66"/>
    <w:rsid w:val="007137E2"/>
    <w:rsid w:val="0071392C"/>
    <w:rsid w:val="007204A2"/>
    <w:rsid w:val="007228EA"/>
    <w:rsid w:val="00723236"/>
    <w:rsid w:val="0072525D"/>
    <w:rsid w:val="00725598"/>
    <w:rsid w:val="0072770E"/>
    <w:rsid w:val="00731666"/>
    <w:rsid w:val="00734323"/>
    <w:rsid w:val="00734B04"/>
    <w:rsid w:val="00736F8B"/>
    <w:rsid w:val="00736FE2"/>
    <w:rsid w:val="00740C0D"/>
    <w:rsid w:val="00740DC0"/>
    <w:rsid w:val="007411EA"/>
    <w:rsid w:val="00741DF2"/>
    <w:rsid w:val="00746C7C"/>
    <w:rsid w:val="00750968"/>
    <w:rsid w:val="00750E80"/>
    <w:rsid w:val="007544BA"/>
    <w:rsid w:val="007547F5"/>
    <w:rsid w:val="007554D8"/>
    <w:rsid w:val="0075572E"/>
    <w:rsid w:val="00755977"/>
    <w:rsid w:val="00757537"/>
    <w:rsid w:val="00760A19"/>
    <w:rsid w:val="00761B2A"/>
    <w:rsid w:val="00761C77"/>
    <w:rsid w:val="00761E74"/>
    <w:rsid w:val="00764A3B"/>
    <w:rsid w:val="00765318"/>
    <w:rsid w:val="0077336E"/>
    <w:rsid w:val="007751CA"/>
    <w:rsid w:val="0077595B"/>
    <w:rsid w:val="007771D5"/>
    <w:rsid w:val="007771DD"/>
    <w:rsid w:val="007773B0"/>
    <w:rsid w:val="0077761F"/>
    <w:rsid w:val="00780EC1"/>
    <w:rsid w:val="00781EE2"/>
    <w:rsid w:val="007825DA"/>
    <w:rsid w:val="00783E19"/>
    <w:rsid w:val="00786714"/>
    <w:rsid w:val="007870BE"/>
    <w:rsid w:val="00791B10"/>
    <w:rsid w:val="0079489D"/>
    <w:rsid w:val="00795156"/>
    <w:rsid w:val="00795BA9"/>
    <w:rsid w:val="00796280"/>
    <w:rsid w:val="007A0054"/>
    <w:rsid w:val="007A01A8"/>
    <w:rsid w:val="007A5072"/>
    <w:rsid w:val="007A567F"/>
    <w:rsid w:val="007B541A"/>
    <w:rsid w:val="007C3083"/>
    <w:rsid w:val="007C48F9"/>
    <w:rsid w:val="007C7C13"/>
    <w:rsid w:val="007D1D29"/>
    <w:rsid w:val="007D22BE"/>
    <w:rsid w:val="007D23BA"/>
    <w:rsid w:val="007D3CC6"/>
    <w:rsid w:val="007D4E3E"/>
    <w:rsid w:val="007D5CF5"/>
    <w:rsid w:val="007D7C22"/>
    <w:rsid w:val="007D7C54"/>
    <w:rsid w:val="007E03DD"/>
    <w:rsid w:val="007E1D8B"/>
    <w:rsid w:val="007E3103"/>
    <w:rsid w:val="007E7269"/>
    <w:rsid w:val="007F2D27"/>
    <w:rsid w:val="007F3A66"/>
    <w:rsid w:val="007F4348"/>
    <w:rsid w:val="00800840"/>
    <w:rsid w:val="00801DC3"/>
    <w:rsid w:val="00802F05"/>
    <w:rsid w:val="00803C88"/>
    <w:rsid w:val="00807470"/>
    <w:rsid w:val="00811A36"/>
    <w:rsid w:val="00812576"/>
    <w:rsid w:val="00816446"/>
    <w:rsid w:val="00820736"/>
    <w:rsid w:val="008212C8"/>
    <w:rsid w:val="00821D6B"/>
    <w:rsid w:val="008225D7"/>
    <w:rsid w:val="00826061"/>
    <w:rsid w:val="00826633"/>
    <w:rsid w:val="00827FE4"/>
    <w:rsid w:val="00832115"/>
    <w:rsid w:val="008432E4"/>
    <w:rsid w:val="0084410D"/>
    <w:rsid w:val="0084450C"/>
    <w:rsid w:val="00845F2A"/>
    <w:rsid w:val="00862DD5"/>
    <w:rsid w:val="008638FD"/>
    <w:rsid w:val="00865796"/>
    <w:rsid w:val="0087042A"/>
    <w:rsid w:val="0087128B"/>
    <w:rsid w:val="00871349"/>
    <w:rsid w:val="008733D6"/>
    <w:rsid w:val="008734A6"/>
    <w:rsid w:val="00874810"/>
    <w:rsid w:val="00875E30"/>
    <w:rsid w:val="008770FD"/>
    <w:rsid w:val="00880283"/>
    <w:rsid w:val="0088050B"/>
    <w:rsid w:val="00880C24"/>
    <w:rsid w:val="008820AF"/>
    <w:rsid w:val="0088258A"/>
    <w:rsid w:val="00882F23"/>
    <w:rsid w:val="00884567"/>
    <w:rsid w:val="00890B72"/>
    <w:rsid w:val="008917C9"/>
    <w:rsid w:val="0089291C"/>
    <w:rsid w:val="00894480"/>
    <w:rsid w:val="008A064E"/>
    <w:rsid w:val="008A0D63"/>
    <w:rsid w:val="008A11BE"/>
    <w:rsid w:val="008A1A3A"/>
    <w:rsid w:val="008A53AD"/>
    <w:rsid w:val="008A7624"/>
    <w:rsid w:val="008B1D94"/>
    <w:rsid w:val="008B3414"/>
    <w:rsid w:val="008C0EDB"/>
    <w:rsid w:val="008C1C2F"/>
    <w:rsid w:val="008C1D07"/>
    <w:rsid w:val="008C3458"/>
    <w:rsid w:val="008C348D"/>
    <w:rsid w:val="008C5249"/>
    <w:rsid w:val="008C575C"/>
    <w:rsid w:val="008C5B5A"/>
    <w:rsid w:val="008C60B0"/>
    <w:rsid w:val="008C65E5"/>
    <w:rsid w:val="008D0C5F"/>
    <w:rsid w:val="008D1D61"/>
    <w:rsid w:val="008D2D09"/>
    <w:rsid w:val="008D3194"/>
    <w:rsid w:val="008D7705"/>
    <w:rsid w:val="008E260F"/>
    <w:rsid w:val="008E376B"/>
    <w:rsid w:val="008E668C"/>
    <w:rsid w:val="008F05FF"/>
    <w:rsid w:val="008F4EB5"/>
    <w:rsid w:val="00900A47"/>
    <w:rsid w:val="00901891"/>
    <w:rsid w:val="009023F5"/>
    <w:rsid w:val="00907A18"/>
    <w:rsid w:val="00907BC7"/>
    <w:rsid w:val="00910ADE"/>
    <w:rsid w:val="009148BC"/>
    <w:rsid w:val="009169FD"/>
    <w:rsid w:val="00917329"/>
    <w:rsid w:val="00922F72"/>
    <w:rsid w:val="0093004A"/>
    <w:rsid w:val="00931294"/>
    <w:rsid w:val="00934961"/>
    <w:rsid w:val="0093770A"/>
    <w:rsid w:val="009417D8"/>
    <w:rsid w:val="00943BEB"/>
    <w:rsid w:val="00944904"/>
    <w:rsid w:val="00945814"/>
    <w:rsid w:val="00947E7D"/>
    <w:rsid w:val="00954846"/>
    <w:rsid w:val="0096099E"/>
    <w:rsid w:val="009620A6"/>
    <w:rsid w:val="00963FCE"/>
    <w:rsid w:val="00964B65"/>
    <w:rsid w:val="00971F72"/>
    <w:rsid w:val="009730B6"/>
    <w:rsid w:val="00973627"/>
    <w:rsid w:val="00976882"/>
    <w:rsid w:val="009871C4"/>
    <w:rsid w:val="00987C11"/>
    <w:rsid w:val="0099682E"/>
    <w:rsid w:val="009A1F1A"/>
    <w:rsid w:val="009A21EE"/>
    <w:rsid w:val="009A3016"/>
    <w:rsid w:val="009B17DE"/>
    <w:rsid w:val="009B4065"/>
    <w:rsid w:val="009B44B7"/>
    <w:rsid w:val="009B47ED"/>
    <w:rsid w:val="009B4BB8"/>
    <w:rsid w:val="009B581C"/>
    <w:rsid w:val="009B6FF3"/>
    <w:rsid w:val="009C051D"/>
    <w:rsid w:val="009C3439"/>
    <w:rsid w:val="009C4322"/>
    <w:rsid w:val="009C550C"/>
    <w:rsid w:val="009C657B"/>
    <w:rsid w:val="009D0823"/>
    <w:rsid w:val="009D4DF3"/>
    <w:rsid w:val="009D7BA2"/>
    <w:rsid w:val="009E1FE6"/>
    <w:rsid w:val="009E24C5"/>
    <w:rsid w:val="009E3277"/>
    <w:rsid w:val="009E360A"/>
    <w:rsid w:val="009E45FA"/>
    <w:rsid w:val="009E59AA"/>
    <w:rsid w:val="009F4E0A"/>
    <w:rsid w:val="009F5006"/>
    <w:rsid w:val="009F51D5"/>
    <w:rsid w:val="00A01F72"/>
    <w:rsid w:val="00A03535"/>
    <w:rsid w:val="00A06A5C"/>
    <w:rsid w:val="00A11174"/>
    <w:rsid w:val="00A14695"/>
    <w:rsid w:val="00A14C94"/>
    <w:rsid w:val="00A163B9"/>
    <w:rsid w:val="00A21C89"/>
    <w:rsid w:val="00A242AC"/>
    <w:rsid w:val="00A35EE3"/>
    <w:rsid w:val="00A374AF"/>
    <w:rsid w:val="00A41918"/>
    <w:rsid w:val="00A436B2"/>
    <w:rsid w:val="00A44343"/>
    <w:rsid w:val="00A476CE"/>
    <w:rsid w:val="00A5060D"/>
    <w:rsid w:val="00A5157F"/>
    <w:rsid w:val="00A53B23"/>
    <w:rsid w:val="00A60B29"/>
    <w:rsid w:val="00A60EA5"/>
    <w:rsid w:val="00A6136B"/>
    <w:rsid w:val="00A614E8"/>
    <w:rsid w:val="00A62261"/>
    <w:rsid w:val="00A661EA"/>
    <w:rsid w:val="00A669E2"/>
    <w:rsid w:val="00A71C7A"/>
    <w:rsid w:val="00A73051"/>
    <w:rsid w:val="00A74101"/>
    <w:rsid w:val="00A753FD"/>
    <w:rsid w:val="00A75F2D"/>
    <w:rsid w:val="00A76A96"/>
    <w:rsid w:val="00A77244"/>
    <w:rsid w:val="00A77A27"/>
    <w:rsid w:val="00A80569"/>
    <w:rsid w:val="00A80830"/>
    <w:rsid w:val="00A81E25"/>
    <w:rsid w:val="00A86002"/>
    <w:rsid w:val="00A913FA"/>
    <w:rsid w:val="00A933B5"/>
    <w:rsid w:val="00A9593C"/>
    <w:rsid w:val="00AA0EF9"/>
    <w:rsid w:val="00AA0F1B"/>
    <w:rsid w:val="00AA2AF8"/>
    <w:rsid w:val="00AA5758"/>
    <w:rsid w:val="00AA6689"/>
    <w:rsid w:val="00AB6F7B"/>
    <w:rsid w:val="00AC10B8"/>
    <w:rsid w:val="00AC362C"/>
    <w:rsid w:val="00AC4761"/>
    <w:rsid w:val="00AD0A1F"/>
    <w:rsid w:val="00AD298F"/>
    <w:rsid w:val="00AD72FC"/>
    <w:rsid w:val="00AD7657"/>
    <w:rsid w:val="00AE0646"/>
    <w:rsid w:val="00AE13F6"/>
    <w:rsid w:val="00AE46F4"/>
    <w:rsid w:val="00AE53BE"/>
    <w:rsid w:val="00AF15A9"/>
    <w:rsid w:val="00AF1841"/>
    <w:rsid w:val="00AF1F1A"/>
    <w:rsid w:val="00AF28C2"/>
    <w:rsid w:val="00B00516"/>
    <w:rsid w:val="00B044C3"/>
    <w:rsid w:val="00B129CE"/>
    <w:rsid w:val="00B17805"/>
    <w:rsid w:val="00B22FED"/>
    <w:rsid w:val="00B242E4"/>
    <w:rsid w:val="00B24F32"/>
    <w:rsid w:val="00B254FF"/>
    <w:rsid w:val="00B305AE"/>
    <w:rsid w:val="00B30978"/>
    <w:rsid w:val="00B30EF0"/>
    <w:rsid w:val="00B316B3"/>
    <w:rsid w:val="00B31CC1"/>
    <w:rsid w:val="00B40538"/>
    <w:rsid w:val="00B414C8"/>
    <w:rsid w:val="00B42CA2"/>
    <w:rsid w:val="00B4456B"/>
    <w:rsid w:val="00B457CD"/>
    <w:rsid w:val="00B462E1"/>
    <w:rsid w:val="00B515C4"/>
    <w:rsid w:val="00B5313E"/>
    <w:rsid w:val="00B53700"/>
    <w:rsid w:val="00B55562"/>
    <w:rsid w:val="00B601E6"/>
    <w:rsid w:val="00B616AF"/>
    <w:rsid w:val="00B61B2F"/>
    <w:rsid w:val="00B76ABD"/>
    <w:rsid w:val="00B8051D"/>
    <w:rsid w:val="00B81EF9"/>
    <w:rsid w:val="00B83E66"/>
    <w:rsid w:val="00B87F39"/>
    <w:rsid w:val="00B9061D"/>
    <w:rsid w:val="00B90795"/>
    <w:rsid w:val="00B91F69"/>
    <w:rsid w:val="00B972E4"/>
    <w:rsid w:val="00B97EA1"/>
    <w:rsid w:val="00BA04CF"/>
    <w:rsid w:val="00BA07B6"/>
    <w:rsid w:val="00BA0812"/>
    <w:rsid w:val="00BA7D2D"/>
    <w:rsid w:val="00BB44DB"/>
    <w:rsid w:val="00BB5842"/>
    <w:rsid w:val="00BB7E9F"/>
    <w:rsid w:val="00BC0F4E"/>
    <w:rsid w:val="00BC1A55"/>
    <w:rsid w:val="00BC227D"/>
    <w:rsid w:val="00BC47E6"/>
    <w:rsid w:val="00BC5FB5"/>
    <w:rsid w:val="00BC7455"/>
    <w:rsid w:val="00BD767C"/>
    <w:rsid w:val="00BE2278"/>
    <w:rsid w:val="00BE2932"/>
    <w:rsid w:val="00BE39EF"/>
    <w:rsid w:val="00BE46AB"/>
    <w:rsid w:val="00BE568F"/>
    <w:rsid w:val="00BE634D"/>
    <w:rsid w:val="00BF0D1E"/>
    <w:rsid w:val="00BF24E7"/>
    <w:rsid w:val="00BF5860"/>
    <w:rsid w:val="00BF5F23"/>
    <w:rsid w:val="00BF69DE"/>
    <w:rsid w:val="00C01133"/>
    <w:rsid w:val="00C052D1"/>
    <w:rsid w:val="00C0573F"/>
    <w:rsid w:val="00C0607A"/>
    <w:rsid w:val="00C06188"/>
    <w:rsid w:val="00C118B2"/>
    <w:rsid w:val="00C24E01"/>
    <w:rsid w:val="00C2639E"/>
    <w:rsid w:val="00C27D7C"/>
    <w:rsid w:val="00C349FF"/>
    <w:rsid w:val="00C40069"/>
    <w:rsid w:val="00C425E7"/>
    <w:rsid w:val="00C43897"/>
    <w:rsid w:val="00C43D03"/>
    <w:rsid w:val="00C4433F"/>
    <w:rsid w:val="00C444A9"/>
    <w:rsid w:val="00C4655C"/>
    <w:rsid w:val="00C46DA3"/>
    <w:rsid w:val="00C47755"/>
    <w:rsid w:val="00C50E05"/>
    <w:rsid w:val="00C52649"/>
    <w:rsid w:val="00C53D60"/>
    <w:rsid w:val="00C66947"/>
    <w:rsid w:val="00C6738A"/>
    <w:rsid w:val="00C71F4F"/>
    <w:rsid w:val="00C720F3"/>
    <w:rsid w:val="00C74513"/>
    <w:rsid w:val="00C75469"/>
    <w:rsid w:val="00C7554E"/>
    <w:rsid w:val="00C80FFA"/>
    <w:rsid w:val="00C84B1B"/>
    <w:rsid w:val="00C860B0"/>
    <w:rsid w:val="00C87BB4"/>
    <w:rsid w:val="00C921E3"/>
    <w:rsid w:val="00C92251"/>
    <w:rsid w:val="00CA535E"/>
    <w:rsid w:val="00CB262E"/>
    <w:rsid w:val="00CB4210"/>
    <w:rsid w:val="00CB5EE8"/>
    <w:rsid w:val="00CB7922"/>
    <w:rsid w:val="00CC0ABC"/>
    <w:rsid w:val="00CC0D33"/>
    <w:rsid w:val="00CC22F1"/>
    <w:rsid w:val="00CC5971"/>
    <w:rsid w:val="00CD4510"/>
    <w:rsid w:val="00CD4741"/>
    <w:rsid w:val="00CD5012"/>
    <w:rsid w:val="00CD7823"/>
    <w:rsid w:val="00CE0D4B"/>
    <w:rsid w:val="00CE1085"/>
    <w:rsid w:val="00CE1946"/>
    <w:rsid w:val="00CE5A65"/>
    <w:rsid w:val="00CF021A"/>
    <w:rsid w:val="00CF6B07"/>
    <w:rsid w:val="00D02942"/>
    <w:rsid w:val="00D03EFF"/>
    <w:rsid w:val="00D0459D"/>
    <w:rsid w:val="00D04E3A"/>
    <w:rsid w:val="00D04FC4"/>
    <w:rsid w:val="00D06F70"/>
    <w:rsid w:val="00D15484"/>
    <w:rsid w:val="00D1557D"/>
    <w:rsid w:val="00D15CD5"/>
    <w:rsid w:val="00D16AE9"/>
    <w:rsid w:val="00D24597"/>
    <w:rsid w:val="00D3078C"/>
    <w:rsid w:val="00D40A4A"/>
    <w:rsid w:val="00D41E46"/>
    <w:rsid w:val="00D430FB"/>
    <w:rsid w:val="00D475C1"/>
    <w:rsid w:val="00D53B5E"/>
    <w:rsid w:val="00D55867"/>
    <w:rsid w:val="00D66165"/>
    <w:rsid w:val="00D674EF"/>
    <w:rsid w:val="00D71582"/>
    <w:rsid w:val="00D72BD5"/>
    <w:rsid w:val="00D76376"/>
    <w:rsid w:val="00D77F0D"/>
    <w:rsid w:val="00D82B36"/>
    <w:rsid w:val="00D83E8D"/>
    <w:rsid w:val="00D84B92"/>
    <w:rsid w:val="00D9297C"/>
    <w:rsid w:val="00D9616C"/>
    <w:rsid w:val="00D968B4"/>
    <w:rsid w:val="00DA475E"/>
    <w:rsid w:val="00DA5C61"/>
    <w:rsid w:val="00DB6C55"/>
    <w:rsid w:val="00DC065E"/>
    <w:rsid w:val="00DC2200"/>
    <w:rsid w:val="00DC25A9"/>
    <w:rsid w:val="00DC314B"/>
    <w:rsid w:val="00DC392B"/>
    <w:rsid w:val="00DC7B6F"/>
    <w:rsid w:val="00DD1076"/>
    <w:rsid w:val="00DD424A"/>
    <w:rsid w:val="00DD4A21"/>
    <w:rsid w:val="00DD5354"/>
    <w:rsid w:val="00DD56A9"/>
    <w:rsid w:val="00DD7B84"/>
    <w:rsid w:val="00DE0201"/>
    <w:rsid w:val="00DE0F34"/>
    <w:rsid w:val="00DE1217"/>
    <w:rsid w:val="00DE687B"/>
    <w:rsid w:val="00DF1966"/>
    <w:rsid w:val="00E0050A"/>
    <w:rsid w:val="00E04B8E"/>
    <w:rsid w:val="00E068D5"/>
    <w:rsid w:val="00E07855"/>
    <w:rsid w:val="00E13B8B"/>
    <w:rsid w:val="00E148C7"/>
    <w:rsid w:val="00E160D9"/>
    <w:rsid w:val="00E246CF"/>
    <w:rsid w:val="00E24E9A"/>
    <w:rsid w:val="00E263E9"/>
    <w:rsid w:val="00E2640C"/>
    <w:rsid w:val="00E26FF0"/>
    <w:rsid w:val="00E31EF0"/>
    <w:rsid w:val="00E33884"/>
    <w:rsid w:val="00E34296"/>
    <w:rsid w:val="00E343C8"/>
    <w:rsid w:val="00E3460D"/>
    <w:rsid w:val="00E36BE1"/>
    <w:rsid w:val="00E37DE6"/>
    <w:rsid w:val="00E43EF4"/>
    <w:rsid w:val="00E440FF"/>
    <w:rsid w:val="00E45879"/>
    <w:rsid w:val="00E46F5E"/>
    <w:rsid w:val="00E475AA"/>
    <w:rsid w:val="00E57E31"/>
    <w:rsid w:val="00E64B1C"/>
    <w:rsid w:val="00E6621B"/>
    <w:rsid w:val="00E71861"/>
    <w:rsid w:val="00E72815"/>
    <w:rsid w:val="00E773BB"/>
    <w:rsid w:val="00E8050B"/>
    <w:rsid w:val="00E80B70"/>
    <w:rsid w:val="00E81F3F"/>
    <w:rsid w:val="00E92F5C"/>
    <w:rsid w:val="00E93B44"/>
    <w:rsid w:val="00E94E92"/>
    <w:rsid w:val="00E97FEA"/>
    <w:rsid w:val="00EA0192"/>
    <w:rsid w:val="00EA072A"/>
    <w:rsid w:val="00EA22EF"/>
    <w:rsid w:val="00EB07DC"/>
    <w:rsid w:val="00EB1F6F"/>
    <w:rsid w:val="00EB21ED"/>
    <w:rsid w:val="00EB4C63"/>
    <w:rsid w:val="00EB7A8D"/>
    <w:rsid w:val="00EB7F04"/>
    <w:rsid w:val="00EC0F71"/>
    <w:rsid w:val="00EC307C"/>
    <w:rsid w:val="00EC5FA5"/>
    <w:rsid w:val="00EC7BBE"/>
    <w:rsid w:val="00ED25CF"/>
    <w:rsid w:val="00ED328E"/>
    <w:rsid w:val="00ED3E23"/>
    <w:rsid w:val="00ED63B2"/>
    <w:rsid w:val="00ED67BA"/>
    <w:rsid w:val="00ED7F9E"/>
    <w:rsid w:val="00EE01DA"/>
    <w:rsid w:val="00EE08E0"/>
    <w:rsid w:val="00EE0C6A"/>
    <w:rsid w:val="00EE1D02"/>
    <w:rsid w:val="00EE5A5E"/>
    <w:rsid w:val="00EF247B"/>
    <w:rsid w:val="00EF2D3D"/>
    <w:rsid w:val="00EF3ED2"/>
    <w:rsid w:val="00EF41CA"/>
    <w:rsid w:val="00EF6B0F"/>
    <w:rsid w:val="00F009D9"/>
    <w:rsid w:val="00F03CB1"/>
    <w:rsid w:val="00F044FE"/>
    <w:rsid w:val="00F04ED8"/>
    <w:rsid w:val="00F05503"/>
    <w:rsid w:val="00F120F0"/>
    <w:rsid w:val="00F13965"/>
    <w:rsid w:val="00F17221"/>
    <w:rsid w:val="00F17565"/>
    <w:rsid w:val="00F17DD8"/>
    <w:rsid w:val="00F22C72"/>
    <w:rsid w:val="00F22E52"/>
    <w:rsid w:val="00F23599"/>
    <w:rsid w:val="00F26D73"/>
    <w:rsid w:val="00F26EE1"/>
    <w:rsid w:val="00F3413C"/>
    <w:rsid w:val="00F34FA9"/>
    <w:rsid w:val="00F36062"/>
    <w:rsid w:val="00F36148"/>
    <w:rsid w:val="00F44C7B"/>
    <w:rsid w:val="00F47C49"/>
    <w:rsid w:val="00F53F28"/>
    <w:rsid w:val="00F54319"/>
    <w:rsid w:val="00F6003A"/>
    <w:rsid w:val="00F6186F"/>
    <w:rsid w:val="00F66EB7"/>
    <w:rsid w:val="00F704CD"/>
    <w:rsid w:val="00F7310B"/>
    <w:rsid w:val="00F734DC"/>
    <w:rsid w:val="00F7387F"/>
    <w:rsid w:val="00F7493D"/>
    <w:rsid w:val="00F763EA"/>
    <w:rsid w:val="00F84DF1"/>
    <w:rsid w:val="00F90862"/>
    <w:rsid w:val="00F93D7A"/>
    <w:rsid w:val="00F95968"/>
    <w:rsid w:val="00F95A47"/>
    <w:rsid w:val="00F96D2A"/>
    <w:rsid w:val="00FA0025"/>
    <w:rsid w:val="00FA03AB"/>
    <w:rsid w:val="00FA0C28"/>
    <w:rsid w:val="00FA37DE"/>
    <w:rsid w:val="00FA52F3"/>
    <w:rsid w:val="00FA5E39"/>
    <w:rsid w:val="00FB051C"/>
    <w:rsid w:val="00FB0BE9"/>
    <w:rsid w:val="00FB38DD"/>
    <w:rsid w:val="00FB608F"/>
    <w:rsid w:val="00FB614D"/>
    <w:rsid w:val="00FB651A"/>
    <w:rsid w:val="00FB7602"/>
    <w:rsid w:val="00FB7966"/>
    <w:rsid w:val="00FC06EE"/>
    <w:rsid w:val="00FC337B"/>
    <w:rsid w:val="00FC5DB4"/>
    <w:rsid w:val="00FD2C86"/>
    <w:rsid w:val="00FD563C"/>
    <w:rsid w:val="00FD57EB"/>
    <w:rsid w:val="00FD69E2"/>
    <w:rsid w:val="00FD72F8"/>
    <w:rsid w:val="00FE18A0"/>
    <w:rsid w:val="00FE207E"/>
    <w:rsid w:val="00FE29C8"/>
    <w:rsid w:val="00FE2ADD"/>
    <w:rsid w:val="00FE445A"/>
    <w:rsid w:val="00FE45B2"/>
    <w:rsid w:val="00FE7EC2"/>
    <w:rsid w:val="00FF0DF7"/>
    <w:rsid w:val="00FF1A59"/>
    <w:rsid w:val="00FF24F8"/>
    <w:rsid w:val="00FF5EDF"/>
    <w:rsid w:val="00FF6A91"/>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2113"/>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uiPriority w:val="99"/>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link w:val="ESETableChartFigHeadersChar"/>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character" w:customStyle="1" w:styleId="Heading1Char">
    <w:name w:val="Heading 1 Char"/>
    <w:basedOn w:val="DefaultParagraphFont"/>
    <w:link w:val="Heading1"/>
    <w:rsid w:val="000B2128"/>
    <w:rPr>
      <w:rFonts w:ascii="Arial" w:hAnsi="Arial" w:cs="Arial"/>
      <w:b/>
      <w:bCs/>
      <w:kern w:val="32"/>
      <w:sz w:val="32"/>
      <w:szCs w:val="32"/>
    </w:rPr>
  </w:style>
  <w:style w:type="paragraph" w:styleId="CommentText">
    <w:name w:val="annotation text"/>
    <w:basedOn w:val="Normal"/>
    <w:link w:val="CommentTextChar"/>
    <w:uiPriority w:val="99"/>
    <w:unhideWhenUsed/>
    <w:rsid w:val="0047676C"/>
    <w:rPr>
      <w:sz w:val="20"/>
      <w:szCs w:val="20"/>
    </w:rPr>
  </w:style>
  <w:style w:type="character" w:customStyle="1" w:styleId="CommentTextChar">
    <w:name w:val="Comment Text Char"/>
    <w:basedOn w:val="DefaultParagraphFont"/>
    <w:link w:val="CommentText"/>
    <w:uiPriority w:val="99"/>
    <w:rsid w:val="0047676C"/>
  </w:style>
  <w:style w:type="character" w:styleId="CommentReference">
    <w:name w:val="annotation reference"/>
    <w:basedOn w:val="DefaultParagraphFont"/>
    <w:unhideWhenUsed/>
    <w:rsid w:val="0047676C"/>
    <w:rPr>
      <w:sz w:val="16"/>
      <w:szCs w:val="16"/>
    </w:rPr>
  </w:style>
  <w:style w:type="table" w:styleId="TableGrid">
    <w:name w:val="Table Grid"/>
    <w:basedOn w:val="TableNormal"/>
    <w:rsid w:val="00EF24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D06F70"/>
    <w:rPr>
      <w:sz w:val="22"/>
      <w:szCs w:val="20"/>
    </w:rPr>
  </w:style>
  <w:style w:type="character" w:customStyle="1" w:styleId="BodyTextChar">
    <w:name w:val="Body Text Char"/>
    <w:basedOn w:val="DefaultParagraphFont"/>
    <w:link w:val="BodyText"/>
    <w:uiPriority w:val="99"/>
    <w:rsid w:val="00D06F70"/>
    <w:rPr>
      <w:sz w:val="22"/>
    </w:rPr>
  </w:style>
  <w:style w:type="table" w:styleId="TableClassic1">
    <w:name w:val="Table Classic 1"/>
    <w:basedOn w:val="TableNormal"/>
    <w:rsid w:val="006F6C9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CB262E"/>
    <w:rPr>
      <w:b/>
      <w:bCs/>
    </w:rPr>
  </w:style>
  <w:style w:type="character" w:customStyle="1" w:styleId="CommentSubjectChar">
    <w:name w:val="Comment Subject Char"/>
    <w:basedOn w:val="CommentTextChar"/>
    <w:link w:val="CommentSubject"/>
    <w:rsid w:val="00CB262E"/>
    <w:rPr>
      <w:b/>
      <w:bCs/>
    </w:rPr>
  </w:style>
  <w:style w:type="character" w:customStyle="1" w:styleId="ESETableChartFigHeadersChar">
    <w:name w:val="ESE Table/Chart/Fig Headers Char"/>
    <w:basedOn w:val="DefaultParagraphFont"/>
    <w:link w:val="ESETableChartFigHeaders"/>
    <w:locked/>
    <w:rsid w:val="006B7340"/>
    <w:rPr>
      <w:rFonts w:ascii="Arial" w:hAnsi="Arial"/>
      <w:b/>
      <w:sz w:val="22"/>
      <w:szCs w:val="24"/>
    </w:rPr>
  </w:style>
  <w:style w:type="character" w:styleId="FollowedHyperlink">
    <w:name w:val="FollowedHyperlink"/>
    <w:basedOn w:val="DefaultParagraphFont"/>
    <w:rsid w:val="008A1A3A"/>
    <w:rPr>
      <w:color w:val="800080" w:themeColor="followedHyperlink"/>
      <w:u w:val="single"/>
    </w:rPr>
  </w:style>
  <w:style w:type="paragraph" w:styleId="ListParagraph">
    <w:name w:val="List Paragraph"/>
    <w:basedOn w:val="Normal"/>
    <w:uiPriority w:val="34"/>
    <w:qFormat/>
    <w:rsid w:val="00550C5A"/>
    <w:pPr>
      <w:ind w:left="720"/>
    </w:pPr>
    <w:rPr>
      <w:rFonts w:ascii="Calibri" w:eastAsiaTheme="minorHAnsi" w:hAnsi="Calibri"/>
      <w:sz w:val="22"/>
      <w:szCs w:val="22"/>
    </w:rPr>
  </w:style>
  <w:style w:type="paragraph" w:styleId="BodyTextIndent">
    <w:name w:val="Body Text Indent"/>
    <w:basedOn w:val="Normal"/>
    <w:link w:val="BodyTextIndentChar"/>
    <w:unhideWhenUsed/>
    <w:rsid w:val="006A6079"/>
    <w:pPr>
      <w:spacing w:after="120"/>
      <w:ind w:left="360"/>
    </w:pPr>
  </w:style>
  <w:style w:type="character" w:customStyle="1" w:styleId="BodyTextIndentChar">
    <w:name w:val="Body Text Indent Char"/>
    <w:basedOn w:val="DefaultParagraphFont"/>
    <w:link w:val="BodyTextIndent"/>
    <w:rsid w:val="006A6079"/>
    <w:rPr>
      <w:sz w:val="24"/>
      <w:szCs w:val="24"/>
    </w:rPr>
  </w:style>
  <w:style w:type="paragraph" w:styleId="FootnoteText">
    <w:name w:val="footnote text"/>
    <w:basedOn w:val="Normal"/>
    <w:link w:val="FootnoteTextChar"/>
    <w:unhideWhenUsed/>
    <w:rsid w:val="006024AE"/>
    <w:rPr>
      <w:sz w:val="20"/>
      <w:szCs w:val="20"/>
    </w:rPr>
  </w:style>
  <w:style w:type="character" w:customStyle="1" w:styleId="FootnoteTextChar">
    <w:name w:val="Footnote Text Char"/>
    <w:basedOn w:val="DefaultParagraphFont"/>
    <w:link w:val="FootnoteText"/>
    <w:uiPriority w:val="99"/>
    <w:rsid w:val="006024AE"/>
  </w:style>
  <w:style w:type="character" w:styleId="FootnoteReference">
    <w:name w:val="footnote reference"/>
    <w:unhideWhenUsed/>
    <w:rsid w:val="006024AE"/>
    <w:rPr>
      <w:vertAlign w:val="superscript"/>
    </w:rPr>
  </w:style>
  <w:style w:type="character" w:styleId="Emphasis">
    <w:name w:val="Emphasis"/>
    <w:basedOn w:val="DefaultParagraphFont"/>
    <w:uiPriority w:val="20"/>
    <w:qFormat/>
    <w:rsid w:val="00A5060D"/>
    <w:rPr>
      <w:i/>
      <w:iCs/>
    </w:rPr>
  </w:style>
  <w:style w:type="paragraph" w:styleId="NormalWeb">
    <w:name w:val="Normal (Web)"/>
    <w:basedOn w:val="Normal"/>
    <w:unhideWhenUsed/>
    <w:rsid w:val="00A5060D"/>
    <w:rPr>
      <w:rFonts w:eastAsiaTheme="minorHAnsi"/>
    </w:rPr>
  </w:style>
  <w:style w:type="paragraph" w:styleId="Revision">
    <w:name w:val="Revision"/>
    <w:hidden/>
    <w:uiPriority w:val="99"/>
    <w:semiHidden/>
    <w:rsid w:val="002C2DEC"/>
    <w:rPr>
      <w:sz w:val="24"/>
      <w:szCs w:val="24"/>
    </w:rPr>
  </w:style>
</w:styles>
</file>

<file path=word/webSettings.xml><?xml version="1.0" encoding="utf-8"?>
<w:webSettings xmlns:r="http://schemas.openxmlformats.org/officeDocument/2006/relationships" xmlns:w="http://schemas.openxmlformats.org/wordprocessingml/2006/main">
  <w:divs>
    <w:div w:id="31348683">
      <w:bodyDiv w:val="1"/>
      <w:marLeft w:val="0"/>
      <w:marRight w:val="0"/>
      <w:marTop w:val="0"/>
      <w:marBottom w:val="0"/>
      <w:divBdr>
        <w:top w:val="none" w:sz="0" w:space="0" w:color="auto"/>
        <w:left w:val="none" w:sz="0" w:space="0" w:color="auto"/>
        <w:bottom w:val="none" w:sz="0" w:space="0" w:color="auto"/>
        <w:right w:val="none" w:sz="0" w:space="0" w:color="auto"/>
      </w:divBdr>
    </w:div>
    <w:div w:id="217516720">
      <w:bodyDiv w:val="1"/>
      <w:marLeft w:val="0"/>
      <w:marRight w:val="0"/>
      <w:marTop w:val="0"/>
      <w:marBottom w:val="0"/>
      <w:divBdr>
        <w:top w:val="none" w:sz="0" w:space="0" w:color="auto"/>
        <w:left w:val="none" w:sz="0" w:space="0" w:color="auto"/>
        <w:bottom w:val="none" w:sz="0" w:space="0" w:color="auto"/>
        <w:right w:val="none" w:sz="0" w:space="0" w:color="auto"/>
      </w:divBdr>
    </w:div>
    <w:div w:id="269704411">
      <w:bodyDiv w:val="1"/>
      <w:marLeft w:val="0"/>
      <w:marRight w:val="0"/>
      <w:marTop w:val="0"/>
      <w:marBottom w:val="0"/>
      <w:divBdr>
        <w:top w:val="none" w:sz="0" w:space="0" w:color="auto"/>
        <w:left w:val="none" w:sz="0" w:space="0" w:color="auto"/>
        <w:bottom w:val="none" w:sz="0" w:space="0" w:color="auto"/>
        <w:right w:val="none" w:sz="0" w:space="0" w:color="auto"/>
      </w:divBdr>
    </w:div>
    <w:div w:id="346177125">
      <w:bodyDiv w:val="1"/>
      <w:marLeft w:val="0"/>
      <w:marRight w:val="0"/>
      <w:marTop w:val="0"/>
      <w:marBottom w:val="0"/>
      <w:divBdr>
        <w:top w:val="none" w:sz="0" w:space="0" w:color="auto"/>
        <w:left w:val="none" w:sz="0" w:space="0" w:color="auto"/>
        <w:bottom w:val="none" w:sz="0" w:space="0" w:color="auto"/>
        <w:right w:val="none" w:sz="0" w:space="0" w:color="auto"/>
      </w:divBdr>
    </w:div>
    <w:div w:id="353925966">
      <w:bodyDiv w:val="1"/>
      <w:marLeft w:val="0"/>
      <w:marRight w:val="0"/>
      <w:marTop w:val="0"/>
      <w:marBottom w:val="0"/>
      <w:divBdr>
        <w:top w:val="none" w:sz="0" w:space="0" w:color="auto"/>
        <w:left w:val="none" w:sz="0" w:space="0" w:color="auto"/>
        <w:bottom w:val="none" w:sz="0" w:space="0" w:color="auto"/>
        <w:right w:val="none" w:sz="0" w:space="0" w:color="auto"/>
      </w:divBdr>
    </w:div>
    <w:div w:id="434176605">
      <w:bodyDiv w:val="1"/>
      <w:marLeft w:val="0"/>
      <w:marRight w:val="0"/>
      <w:marTop w:val="0"/>
      <w:marBottom w:val="0"/>
      <w:divBdr>
        <w:top w:val="none" w:sz="0" w:space="0" w:color="auto"/>
        <w:left w:val="none" w:sz="0" w:space="0" w:color="auto"/>
        <w:bottom w:val="none" w:sz="0" w:space="0" w:color="auto"/>
        <w:right w:val="none" w:sz="0" w:space="0" w:color="auto"/>
      </w:divBdr>
    </w:div>
    <w:div w:id="597561409">
      <w:bodyDiv w:val="1"/>
      <w:marLeft w:val="0"/>
      <w:marRight w:val="0"/>
      <w:marTop w:val="0"/>
      <w:marBottom w:val="0"/>
      <w:divBdr>
        <w:top w:val="none" w:sz="0" w:space="0" w:color="auto"/>
        <w:left w:val="none" w:sz="0" w:space="0" w:color="auto"/>
        <w:bottom w:val="none" w:sz="0" w:space="0" w:color="auto"/>
        <w:right w:val="none" w:sz="0" w:space="0" w:color="auto"/>
      </w:divBdr>
    </w:div>
    <w:div w:id="735201715">
      <w:bodyDiv w:val="1"/>
      <w:marLeft w:val="0"/>
      <w:marRight w:val="0"/>
      <w:marTop w:val="0"/>
      <w:marBottom w:val="0"/>
      <w:divBdr>
        <w:top w:val="none" w:sz="0" w:space="0" w:color="auto"/>
        <w:left w:val="none" w:sz="0" w:space="0" w:color="auto"/>
        <w:bottom w:val="none" w:sz="0" w:space="0" w:color="auto"/>
        <w:right w:val="none" w:sz="0" w:space="0" w:color="auto"/>
      </w:divBdr>
    </w:div>
    <w:div w:id="869686713">
      <w:bodyDiv w:val="1"/>
      <w:marLeft w:val="0"/>
      <w:marRight w:val="0"/>
      <w:marTop w:val="0"/>
      <w:marBottom w:val="0"/>
      <w:divBdr>
        <w:top w:val="none" w:sz="0" w:space="0" w:color="auto"/>
        <w:left w:val="none" w:sz="0" w:space="0" w:color="auto"/>
        <w:bottom w:val="none" w:sz="0" w:space="0" w:color="auto"/>
        <w:right w:val="none" w:sz="0" w:space="0" w:color="auto"/>
      </w:divBdr>
    </w:div>
    <w:div w:id="896085871">
      <w:bodyDiv w:val="1"/>
      <w:marLeft w:val="0"/>
      <w:marRight w:val="0"/>
      <w:marTop w:val="0"/>
      <w:marBottom w:val="0"/>
      <w:divBdr>
        <w:top w:val="none" w:sz="0" w:space="0" w:color="auto"/>
        <w:left w:val="none" w:sz="0" w:space="0" w:color="auto"/>
        <w:bottom w:val="none" w:sz="0" w:space="0" w:color="auto"/>
        <w:right w:val="none" w:sz="0" w:space="0" w:color="auto"/>
      </w:divBdr>
    </w:div>
    <w:div w:id="976490902">
      <w:bodyDiv w:val="1"/>
      <w:marLeft w:val="0"/>
      <w:marRight w:val="0"/>
      <w:marTop w:val="0"/>
      <w:marBottom w:val="0"/>
      <w:divBdr>
        <w:top w:val="none" w:sz="0" w:space="0" w:color="auto"/>
        <w:left w:val="none" w:sz="0" w:space="0" w:color="auto"/>
        <w:bottom w:val="none" w:sz="0" w:space="0" w:color="auto"/>
        <w:right w:val="none" w:sz="0" w:space="0" w:color="auto"/>
      </w:divBdr>
    </w:div>
    <w:div w:id="1082482871">
      <w:bodyDiv w:val="1"/>
      <w:marLeft w:val="0"/>
      <w:marRight w:val="0"/>
      <w:marTop w:val="0"/>
      <w:marBottom w:val="0"/>
      <w:divBdr>
        <w:top w:val="none" w:sz="0" w:space="0" w:color="auto"/>
        <w:left w:val="none" w:sz="0" w:space="0" w:color="auto"/>
        <w:bottom w:val="none" w:sz="0" w:space="0" w:color="auto"/>
        <w:right w:val="none" w:sz="0" w:space="0" w:color="auto"/>
      </w:divBdr>
    </w:div>
    <w:div w:id="1117020731">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4270890">
      <w:bodyDiv w:val="1"/>
      <w:marLeft w:val="0"/>
      <w:marRight w:val="0"/>
      <w:marTop w:val="0"/>
      <w:marBottom w:val="0"/>
      <w:divBdr>
        <w:top w:val="none" w:sz="0" w:space="0" w:color="auto"/>
        <w:left w:val="none" w:sz="0" w:space="0" w:color="auto"/>
        <w:bottom w:val="none" w:sz="0" w:space="0" w:color="auto"/>
        <w:right w:val="none" w:sz="0" w:space="0" w:color="auto"/>
      </w:divBdr>
    </w:div>
    <w:div w:id="1279752968">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580484483">
      <w:bodyDiv w:val="1"/>
      <w:marLeft w:val="0"/>
      <w:marRight w:val="0"/>
      <w:marTop w:val="0"/>
      <w:marBottom w:val="0"/>
      <w:divBdr>
        <w:top w:val="none" w:sz="0" w:space="0" w:color="auto"/>
        <w:left w:val="none" w:sz="0" w:space="0" w:color="auto"/>
        <w:bottom w:val="none" w:sz="0" w:space="0" w:color="auto"/>
        <w:right w:val="none" w:sz="0" w:space="0" w:color="auto"/>
      </w:divBdr>
    </w:div>
    <w:div w:id="1741516690">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189354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doe.mass.edu/sped/2014/synthesis.pdf" TargetMode="External"/><Relationship Id="rId26" Type="http://schemas.openxmlformats.org/officeDocument/2006/relationships/diagramQuickStyle" Target="diagrams/quickStyle1.xml"/><Relationship Id="rId39" Type="http://schemas.openxmlformats.org/officeDocument/2006/relationships/hyperlink" Target="http://www.doe.mass.edu/sped/2012/0412sped.html" TargetMode="External"/><Relationship Id="rId3" Type="http://schemas.openxmlformats.org/officeDocument/2006/relationships/customXml" Target="../customXml/item3.xml"/><Relationship Id="rId21" Type="http://schemas.openxmlformats.org/officeDocument/2006/relationships/hyperlink" Target="http://www.doe.mass.edu/sped/2014/synthesis.pdf" TargetMode="External"/><Relationship Id="rId34" Type="http://schemas.openxmlformats.org/officeDocument/2006/relationships/hyperlink" Target="http://www.doe.mass.edu/sped/2012/0412sped.html" TargetMode="External"/><Relationship Id="rId42" Type="http://schemas.openxmlformats.org/officeDocument/2006/relationships/hyperlink" Target="http://www.doe.mass.edu/pd/" TargetMode="External"/><Relationship Id="rId47" Type="http://schemas.openxmlformats.org/officeDocument/2006/relationships/hyperlink" Target="http://www.doe.mass.edu/finance/collaboratives/" TargetMode="External"/><Relationship Id="rId50" Type="http://schemas.openxmlformats.org/officeDocument/2006/relationships/hyperlink" Target="mailto:mmmittnacht@doe.mass.ed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sped/2012/0412sped.html" TargetMode="External"/><Relationship Id="rId25" Type="http://schemas.openxmlformats.org/officeDocument/2006/relationships/diagramLayout" Target="diagrams/layout1.xml"/><Relationship Id="rId33" Type="http://schemas.openxmlformats.org/officeDocument/2006/relationships/image" Target="media/image4.png"/><Relationship Id="rId38" Type="http://schemas.openxmlformats.org/officeDocument/2006/relationships/hyperlink" Target="http://www.doe.mass.edu/sped/advisories/2014-4ta.html" TargetMode="External"/><Relationship Id="rId46" Type="http://schemas.openxmlformats.org/officeDocument/2006/relationships/hyperlink" Target="http://www.doe.mass.edu/mtss" TargetMode="External"/><Relationship Id="rId2" Type="http://schemas.openxmlformats.org/officeDocument/2006/relationships/customXml" Target="../customXml/item2.xml"/><Relationship Id="rId16" Type="http://schemas.openxmlformats.org/officeDocument/2006/relationships/hyperlink" Target="http://www2.ed.gov/fund/data/report/idea/partbspap/allyears.html" TargetMode="External"/><Relationship Id="rId20" Type="http://schemas.openxmlformats.org/officeDocument/2006/relationships/hyperlink" Target="http://www.doe.mass.edu/sped/2012/0412sped.html" TargetMode="External"/><Relationship Id="rId29" Type="http://schemas.openxmlformats.org/officeDocument/2006/relationships/chart" Target="charts/chart3.xml"/><Relationship Id="rId41" Type="http://schemas.openxmlformats.org/officeDocument/2006/relationships/hyperlink" Target="http://www.doe.mass.edu/mtss/ta/mf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Data" Target="diagrams/data1.xml"/><Relationship Id="rId32" Type="http://schemas.openxmlformats.org/officeDocument/2006/relationships/hyperlink" Target="http://www.doe.mass.edu/research/StrategicPlan.pdf" TargetMode="External"/><Relationship Id="rId37" Type="http://schemas.openxmlformats.org/officeDocument/2006/relationships/hyperlink" Target="http://www.doe.mass.edu/sped/ImproveIEP/" TargetMode="External"/><Relationship Id="rId40" Type="http://schemas.openxmlformats.org/officeDocument/2006/relationships/hyperlink" Target="http://www.doe.mass.edu/mtss/default.html" TargetMode="External"/><Relationship Id="rId45" Type="http://schemas.openxmlformats.org/officeDocument/2006/relationships/hyperlink" Target="http://www.doe.mass.edu/mtss/ta/LearningDisability.pdf"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doe.mass.edu/sped/spp/" TargetMode="External"/><Relationship Id="rId23" Type="http://schemas.openxmlformats.org/officeDocument/2006/relationships/chart" Target="charts/chart2.xml"/><Relationship Id="rId28" Type="http://schemas.microsoft.com/office/2007/relationships/diagramDrawing" Target="diagrams/drawing1.xml"/><Relationship Id="rId36" Type="http://schemas.openxmlformats.org/officeDocument/2006/relationships/hyperlink" Target="http://www.doe.mass.edu/sped/hehir/" TargetMode="External"/><Relationship Id="rId49" Type="http://schemas.openxmlformats.org/officeDocument/2006/relationships/chart" Target="charts/chart5.xml"/><Relationship Id="rId10" Type="http://schemas.openxmlformats.org/officeDocument/2006/relationships/footnotes" Target="footnotes.xml"/><Relationship Id="rId19" Type="http://schemas.openxmlformats.org/officeDocument/2006/relationships/hyperlink" Target="http://www.doe.mass.edu/sped/hehir/" TargetMode="External"/><Relationship Id="rId31" Type="http://schemas.openxmlformats.org/officeDocument/2006/relationships/hyperlink" Target="http://www.doe.mass.edu/sped/spp" TargetMode="External"/><Relationship Id="rId44" Type="http://schemas.openxmlformats.org/officeDocument/2006/relationships/hyperlink" Target="http://www.doe.mass.edu/mtss/ta/scheduling.pdf"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chart" Target="charts/chart1.xml"/><Relationship Id="rId27" Type="http://schemas.openxmlformats.org/officeDocument/2006/relationships/diagramColors" Target="diagrams/colors1.xml"/><Relationship Id="rId30" Type="http://schemas.openxmlformats.org/officeDocument/2006/relationships/chart" Target="charts/chart4.xml"/><Relationship Id="rId35" Type="http://schemas.openxmlformats.org/officeDocument/2006/relationships/hyperlink" Target="http://www.doe.mass.edu/sped/2014/synthesis.pdf" TargetMode="External"/><Relationship Id="rId43" Type="http://schemas.openxmlformats.org/officeDocument/2006/relationships/hyperlink" Target="http://www.doe.mass.edu/mtss/ta/StudentSupportTeams.pdf" TargetMode="External"/><Relationship Id="rId48" Type="http://schemas.openxmlformats.org/officeDocument/2006/relationships/hyperlink" Target="http://www.ed.gov/policy/rights/reg/ocr/edlite-34cfr104.html" TargetMode="External"/><Relationship Id="rId8" Type="http://schemas.openxmlformats.org/officeDocument/2006/relationships/settings" Target="settings.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g\Documents\Legislation\Legislative%20Reports\Legislative%20Report%202014.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CAW\AppData\Local\Microsoft\Windows\Temporary%20Internet%20Files\Content.Outlook\VF0O6W7J\graphs_8-29-2014%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cg\Documents\November%20Report%20FY14%20Oct4\education%20environment%206-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cg\Documents\November%20Report%20FY14%20Oct4\Medicaid%20Paid%20Claims%20FY13%20Data%20for%20FY14%20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cg\Documents\November%20Report%20FY14%20Oct4\Medicaid%20Paid%20Claims%20FY13%20Data%20for%20FY14%20Repor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cg\Documents\November%20Report%20FY14%20Oct4\BSEA%20Charts%20for%20November%20Report%20FY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Sheet2!$B$3</c:f>
              <c:strCache>
                <c:ptCount val="1"/>
                <c:pt idx="0">
                  <c:v>Low Income</c:v>
                </c:pt>
              </c:strCache>
            </c:strRef>
          </c:tx>
          <c:spPr>
            <a:solidFill>
              <a:schemeClr val="tx1"/>
            </a:solidFill>
          </c:spPr>
          <c:dLbls>
            <c:showVal val="1"/>
          </c:dLbls>
          <c:cat>
            <c:strRef>
              <c:f>Sheet2!$C$2:$G$2</c:f>
              <c:strCache>
                <c:ptCount val="5"/>
                <c:pt idx="0">
                  <c:v>FY10</c:v>
                </c:pt>
                <c:pt idx="1">
                  <c:v>FY11</c:v>
                </c:pt>
                <c:pt idx="2">
                  <c:v>FY12</c:v>
                </c:pt>
                <c:pt idx="3">
                  <c:v>FY13</c:v>
                </c:pt>
                <c:pt idx="4">
                  <c:v>FY14</c:v>
                </c:pt>
              </c:strCache>
            </c:strRef>
          </c:cat>
          <c:val>
            <c:numRef>
              <c:f>Sheet2!$C$3:$G$3</c:f>
              <c:numCache>
                <c:formatCode>0.0</c:formatCode>
                <c:ptCount val="5"/>
                <c:pt idx="0">
                  <c:v>41.599179845554545</c:v>
                </c:pt>
                <c:pt idx="1">
                  <c:v>43.244834892630095</c:v>
                </c:pt>
                <c:pt idx="2">
                  <c:v>44.171213167235898</c:v>
                </c:pt>
                <c:pt idx="3">
                  <c:v>46.098425461045245</c:v>
                </c:pt>
                <c:pt idx="4">
                  <c:v>48.148305909843252</c:v>
                </c:pt>
              </c:numCache>
            </c:numRef>
          </c:val>
        </c:ser>
        <c:ser>
          <c:idx val="1"/>
          <c:order val="1"/>
          <c:tx>
            <c:strRef>
              <c:f>Sheet2!$B$4</c:f>
              <c:strCache>
                <c:ptCount val="1"/>
                <c:pt idx="0">
                  <c:v>LEP</c:v>
                </c:pt>
              </c:strCache>
            </c:strRef>
          </c:tx>
          <c:spPr>
            <a:gradFill>
              <a:gsLst>
                <a:gs pos="78000">
                  <a:schemeClr val="bg1"/>
                </a:gs>
                <a:gs pos="0">
                  <a:schemeClr val="bg1"/>
                </a:gs>
                <a:gs pos="20000">
                  <a:schemeClr val="bg1"/>
                </a:gs>
                <a:gs pos="58000">
                  <a:schemeClr val="bg1"/>
                </a:gs>
                <a:gs pos="75000">
                  <a:schemeClr val="tx1"/>
                </a:gs>
                <a:gs pos="47000">
                  <a:schemeClr val="bg1">
                    <a:lumMod val="85000"/>
                  </a:schemeClr>
                </a:gs>
                <a:gs pos="34000">
                  <a:schemeClr val="bg1">
                    <a:lumMod val="65000"/>
                  </a:schemeClr>
                </a:gs>
                <a:gs pos="17000">
                  <a:schemeClr val="tx1"/>
                </a:gs>
                <a:gs pos="100000">
                  <a:schemeClr val="bg1">
                    <a:lumMod val="65000"/>
                  </a:schemeClr>
                </a:gs>
              </a:gsLst>
              <a:lin ang="5400000" scaled="0"/>
            </a:gradFill>
          </c:spPr>
          <c:dLbls>
            <c:showVal val="1"/>
          </c:dLbls>
          <c:cat>
            <c:strRef>
              <c:f>Sheet2!$C$2:$G$2</c:f>
              <c:strCache>
                <c:ptCount val="5"/>
                <c:pt idx="0">
                  <c:v>FY10</c:v>
                </c:pt>
                <c:pt idx="1">
                  <c:v>FY11</c:v>
                </c:pt>
                <c:pt idx="2">
                  <c:v>FY12</c:v>
                </c:pt>
                <c:pt idx="3">
                  <c:v>FY13</c:v>
                </c:pt>
                <c:pt idx="4">
                  <c:v>FY14</c:v>
                </c:pt>
              </c:strCache>
            </c:strRef>
          </c:cat>
          <c:val>
            <c:numRef>
              <c:f>Sheet2!$C$4:$G$4</c:f>
              <c:numCache>
                <c:formatCode>0.0</c:formatCode>
                <c:ptCount val="5"/>
                <c:pt idx="0">
                  <c:v>5.6646466117066065</c:v>
                </c:pt>
                <c:pt idx="1">
                  <c:v>6.19084335593858</c:v>
                </c:pt>
                <c:pt idx="2">
                  <c:v>6.96301908002859</c:v>
                </c:pt>
                <c:pt idx="3">
                  <c:v>7.4853130471385603</c:v>
                </c:pt>
                <c:pt idx="4">
                  <c:v>7.7560607535780424</c:v>
                </c:pt>
              </c:numCache>
            </c:numRef>
          </c:val>
        </c:ser>
        <c:ser>
          <c:idx val="2"/>
          <c:order val="2"/>
          <c:tx>
            <c:strRef>
              <c:f>Sheet2!$B$5</c:f>
              <c:strCache>
                <c:ptCount val="1"/>
                <c:pt idx="0">
                  <c:v>FLNE</c:v>
                </c:pt>
              </c:strCache>
            </c:strRef>
          </c:tx>
          <c:spPr>
            <a:solidFill>
              <a:schemeClr val="bg1">
                <a:lumMod val="65000"/>
              </a:schemeClr>
            </a:solidFill>
          </c:spPr>
          <c:dLbls>
            <c:showVal val="1"/>
          </c:dLbls>
          <c:cat>
            <c:strRef>
              <c:f>Sheet2!$C$2:$G$2</c:f>
              <c:strCache>
                <c:ptCount val="5"/>
                <c:pt idx="0">
                  <c:v>FY10</c:v>
                </c:pt>
                <c:pt idx="1">
                  <c:v>FY11</c:v>
                </c:pt>
                <c:pt idx="2">
                  <c:v>FY12</c:v>
                </c:pt>
                <c:pt idx="3">
                  <c:v>FY13</c:v>
                </c:pt>
                <c:pt idx="4">
                  <c:v>FY14</c:v>
                </c:pt>
              </c:strCache>
            </c:strRef>
          </c:cat>
          <c:val>
            <c:numRef>
              <c:f>Sheet2!$C$5:$G$5</c:f>
              <c:numCache>
                <c:formatCode>0.0</c:formatCode>
                <c:ptCount val="5"/>
                <c:pt idx="0">
                  <c:v>14.346029955049326</c:v>
                </c:pt>
                <c:pt idx="1">
                  <c:v>14.909751018450502</c:v>
                </c:pt>
                <c:pt idx="2">
                  <c:v>15.512069355262406</c:v>
                </c:pt>
                <c:pt idx="3">
                  <c:v>15.9997803820133</c:v>
                </c:pt>
                <c:pt idx="4">
                  <c:v>16.374379320416931</c:v>
                </c:pt>
              </c:numCache>
            </c:numRef>
          </c:val>
        </c:ser>
        <c:axId val="90192128"/>
        <c:axId val="90218496"/>
      </c:barChart>
      <c:catAx>
        <c:axId val="90192128"/>
        <c:scaling>
          <c:orientation val="minMax"/>
        </c:scaling>
        <c:axPos val="b"/>
        <c:tickLblPos val="nextTo"/>
        <c:crossAx val="90218496"/>
        <c:crosses val="autoZero"/>
        <c:auto val="1"/>
        <c:lblAlgn val="ctr"/>
        <c:lblOffset val="100"/>
      </c:catAx>
      <c:valAx>
        <c:axId val="90218496"/>
        <c:scaling>
          <c:orientation val="minMax"/>
          <c:max val="100"/>
          <c:min val="0"/>
        </c:scaling>
        <c:axPos val="l"/>
        <c:majorGridlines/>
        <c:title>
          <c:tx>
            <c:rich>
              <a:bodyPr rot="-5400000" vert="horz"/>
              <a:lstStyle/>
              <a:p>
                <a:pPr>
                  <a:defRPr/>
                </a:pPr>
                <a:r>
                  <a:rPr lang="en-US"/>
                  <a:t>% of Students</a:t>
                </a:r>
              </a:p>
            </c:rich>
          </c:tx>
        </c:title>
        <c:numFmt formatCode="0" sourceLinked="0"/>
        <c:tickLblPos val="nextTo"/>
        <c:crossAx val="90192128"/>
        <c:crosses val="autoZero"/>
        <c:crossBetween val="between"/>
        <c:majorUnit val="10"/>
        <c:minorUnit val="2"/>
      </c:valAx>
    </c:plotArea>
    <c:legend>
      <c:legendPos val="r"/>
    </c:legend>
    <c:plotVisOnly val="1"/>
    <c:dispBlanksAs val="gap"/>
  </c:chart>
  <c:spPr>
    <a:solidFill>
      <a:schemeClr val="lt1"/>
    </a:solidFill>
    <a:ln w="3175" cap="flat" cmpd="sng" algn="ctr">
      <a:solidFill>
        <a:schemeClr val="dk1"/>
      </a:solidFill>
      <a:prstDash val="solid"/>
    </a:ln>
    <a:effectLst/>
  </c:spPr>
  <c:txPr>
    <a:bodyPr/>
    <a:lstStyle/>
    <a:p>
      <a:pPr>
        <a:lnSpc>
          <a:spcPct val="150000"/>
        </a:lnSpc>
        <a:spcAft>
          <a:spcPts val="600"/>
        </a:spcAft>
        <a:defRPr>
          <a:solidFill>
            <a:schemeClr val="dk1"/>
          </a:solidFill>
          <a:latin typeface="+mn-lt"/>
          <a:ea typeface="+mn-ea"/>
          <a:cs typeface="+mn-cs"/>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8.0825394451956759E-2"/>
          <c:y val="4.5622097323038589E-2"/>
          <c:w val="0.89586111232564525"/>
          <c:h val="0.74137221218336824"/>
        </c:manualLayout>
      </c:layout>
      <c:lineChart>
        <c:grouping val="standard"/>
        <c:ser>
          <c:idx val="0"/>
          <c:order val="0"/>
          <c:tx>
            <c:strRef>
              <c:f>Sheet1!$H$1</c:f>
              <c:strCache>
                <c:ptCount val="1"/>
                <c:pt idx="0">
                  <c:v>Full Inclusion</c:v>
                </c:pt>
              </c:strCache>
            </c:strRef>
          </c:tx>
          <c:dLbls>
            <c:dLblPos val="t"/>
            <c:showVal val="1"/>
          </c:dLbls>
          <c:cat>
            <c:strRef>
              <c:f>Sheet1!$G$2:$G$11</c:f>
              <c:strCache>
                <c:ptCount val="10"/>
                <c:pt idx="0">
                  <c:v>2005</c:v>
                </c:pt>
                <c:pt idx="1">
                  <c:v>2006</c:v>
                </c:pt>
                <c:pt idx="2">
                  <c:v>2007</c:v>
                </c:pt>
                <c:pt idx="3">
                  <c:v>2008</c:v>
                </c:pt>
                <c:pt idx="4">
                  <c:v>2009</c:v>
                </c:pt>
                <c:pt idx="5">
                  <c:v>2010</c:v>
                </c:pt>
                <c:pt idx="6">
                  <c:v>2011</c:v>
                </c:pt>
                <c:pt idx="7">
                  <c:v>2012</c:v>
                </c:pt>
                <c:pt idx="8">
                  <c:v>2013</c:v>
                </c:pt>
                <c:pt idx="9">
                  <c:v>2014</c:v>
                </c:pt>
              </c:strCache>
            </c:strRef>
          </c:cat>
          <c:val>
            <c:numRef>
              <c:f>Sheet1!$H$2:$H$11</c:f>
              <c:numCache>
                <c:formatCode>0.0%</c:formatCode>
                <c:ptCount val="10"/>
                <c:pt idx="0">
                  <c:v>0.43400000000000138</c:v>
                </c:pt>
                <c:pt idx="1">
                  <c:v>0.49100000000000038</c:v>
                </c:pt>
                <c:pt idx="2">
                  <c:v>0.53</c:v>
                </c:pt>
                <c:pt idx="3">
                  <c:v>0.55700000000000005</c:v>
                </c:pt>
                <c:pt idx="4">
                  <c:v>0.56799999999999995</c:v>
                </c:pt>
                <c:pt idx="5">
                  <c:v>0.56999999999999995</c:v>
                </c:pt>
                <c:pt idx="6">
                  <c:v>0.58000000000000007</c:v>
                </c:pt>
                <c:pt idx="7">
                  <c:v>0.58099999999999996</c:v>
                </c:pt>
                <c:pt idx="8">
                  <c:v>0.59200000000000008</c:v>
                </c:pt>
                <c:pt idx="9">
                  <c:v>0.61100000000000065</c:v>
                </c:pt>
              </c:numCache>
            </c:numRef>
          </c:val>
        </c:ser>
        <c:ser>
          <c:idx val="1"/>
          <c:order val="1"/>
          <c:tx>
            <c:strRef>
              <c:f>Sheet1!$I$1</c:f>
              <c:strCache>
                <c:ptCount val="1"/>
                <c:pt idx="0">
                  <c:v>Partial Inclusion</c:v>
                </c:pt>
              </c:strCache>
            </c:strRef>
          </c:tx>
          <c:dLbls>
            <c:dLblPos val="t"/>
            <c:showVal val="1"/>
          </c:dLbls>
          <c:cat>
            <c:strRef>
              <c:f>Sheet1!$G$2:$G$11</c:f>
              <c:strCache>
                <c:ptCount val="10"/>
                <c:pt idx="0">
                  <c:v>2005</c:v>
                </c:pt>
                <c:pt idx="1">
                  <c:v>2006</c:v>
                </c:pt>
                <c:pt idx="2">
                  <c:v>2007</c:v>
                </c:pt>
                <c:pt idx="3">
                  <c:v>2008</c:v>
                </c:pt>
                <c:pt idx="4">
                  <c:v>2009</c:v>
                </c:pt>
                <c:pt idx="5">
                  <c:v>2010</c:v>
                </c:pt>
                <c:pt idx="6">
                  <c:v>2011</c:v>
                </c:pt>
                <c:pt idx="7">
                  <c:v>2012</c:v>
                </c:pt>
                <c:pt idx="8">
                  <c:v>2013</c:v>
                </c:pt>
                <c:pt idx="9">
                  <c:v>2014</c:v>
                </c:pt>
              </c:strCache>
            </c:strRef>
          </c:cat>
          <c:val>
            <c:numRef>
              <c:f>Sheet1!$I$2:$I$11</c:f>
              <c:numCache>
                <c:formatCode>0.0%</c:formatCode>
                <c:ptCount val="10"/>
                <c:pt idx="0">
                  <c:v>0.33600000000000413</c:v>
                </c:pt>
                <c:pt idx="1">
                  <c:v>0.28500000000000031</c:v>
                </c:pt>
                <c:pt idx="2">
                  <c:v>0.25</c:v>
                </c:pt>
                <c:pt idx="3">
                  <c:v>0.22500000000000001</c:v>
                </c:pt>
                <c:pt idx="4">
                  <c:v>0.21100000000000024</c:v>
                </c:pt>
                <c:pt idx="5">
                  <c:v>0.20800000000000021</c:v>
                </c:pt>
                <c:pt idx="6">
                  <c:v>0.20100000000000001</c:v>
                </c:pt>
                <c:pt idx="7">
                  <c:v>0.19900000000000001</c:v>
                </c:pt>
                <c:pt idx="8">
                  <c:v>0.18800000000000044</c:v>
                </c:pt>
                <c:pt idx="9">
                  <c:v>0.17300000000000001</c:v>
                </c:pt>
              </c:numCache>
            </c:numRef>
          </c:val>
        </c:ser>
        <c:ser>
          <c:idx val="2"/>
          <c:order val="2"/>
          <c:tx>
            <c:strRef>
              <c:f>Sheet1!$J$1</c:f>
              <c:strCache>
                <c:ptCount val="1"/>
                <c:pt idx="0">
                  <c:v>Substantially Separate</c:v>
                </c:pt>
              </c:strCache>
            </c:strRef>
          </c:tx>
          <c:dLbls>
            <c:showVal val="1"/>
          </c:dLbls>
          <c:cat>
            <c:strRef>
              <c:f>Sheet1!$G$2:$G$11</c:f>
              <c:strCache>
                <c:ptCount val="10"/>
                <c:pt idx="0">
                  <c:v>2005</c:v>
                </c:pt>
                <c:pt idx="1">
                  <c:v>2006</c:v>
                </c:pt>
                <c:pt idx="2">
                  <c:v>2007</c:v>
                </c:pt>
                <c:pt idx="3">
                  <c:v>2008</c:v>
                </c:pt>
                <c:pt idx="4">
                  <c:v>2009</c:v>
                </c:pt>
                <c:pt idx="5">
                  <c:v>2010</c:v>
                </c:pt>
                <c:pt idx="6">
                  <c:v>2011</c:v>
                </c:pt>
                <c:pt idx="7">
                  <c:v>2012</c:v>
                </c:pt>
                <c:pt idx="8">
                  <c:v>2013</c:v>
                </c:pt>
                <c:pt idx="9">
                  <c:v>2014</c:v>
                </c:pt>
              </c:strCache>
            </c:strRef>
          </c:cat>
          <c:val>
            <c:numRef>
              <c:f>Sheet1!$J$2:$J$11</c:f>
              <c:numCache>
                <c:formatCode>0.0%</c:formatCode>
                <c:ptCount val="10"/>
                <c:pt idx="0">
                  <c:v>0.16200000000000001</c:v>
                </c:pt>
                <c:pt idx="1">
                  <c:v>0.15700000000000044</c:v>
                </c:pt>
                <c:pt idx="2">
                  <c:v>0.15300000000000041</c:v>
                </c:pt>
                <c:pt idx="3">
                  <c:v>0.15100000000000041</c:v>
                </c:pt>
                <c:pt idx="4">
                  <c:v>0.15400000000000041</c:v>
                </c:pt>
                <c:pt idx="5">
                  <c:v>0.15400000000000041</c:v>
                </c:pt>
                <c:pt idx="6">
                  <c:v>0.15100000000000041</c:v>
                </c:pt>
                <c:pt idx="7">
                  <c:v>0.15000000000000024</c:v>
                </c:pt>
                <c:pt idx="8">
                  <c:v>0.15000000000000024</c:v>
                </c:pt>
                <c:pt idx="9">
                  <c:v>0.14700000000000021</c:v>
                </c:pt>
              </c:numCache>
            </c:numRef>
          </c:val>
        </c:ser>
        <c:ser>
          <c:idx val="3"/>
          <c:order val="3"/>
          <c:tx>
            <c:strRef>
              <c:f>Sheet1!$K$1</c:f>
              <c:strCache>
                <c:ptCount val="1"/>
                <c:pt idx="0">
                  <c:v>Other</c:v>
                </c:pt>
              </c:strCache>
            </c:strRef>
          </c:tx>
          <c:dLbls>
            <c:showVal val="1"/>
          </c:dLbls>
          <c:cat>
            <c:strRef>
              <c:f>Sheet1!$G$2:$G$11</c:f>
              <c:strCache>
                <c:ptCount val="10"/>
                <c:pt idx="0">
                  <c:v>2005</c:v>
                </c:pt>
                <c:pt idx="1">
                  <c:v>2006</c:v>
                </c:pt>
                <c:pt idx="2">
                  <c:v>2007</c:v>
                </c:pt>
                <c:pt idx="3">
                  <c:v>2008</c:v>
                </c:pt>
                <c:pt idx="4">
                  <c:v>2009</c:v>
                </c:pt>
                <c:pt idx="5">
                  <c:v>2010</c:v>
                </c:pt>
                <c:pt idx="6">
                  <c:v>2011</c:v>
                </c:pt>
                <c:pt idx="7">
                  <c:v>2012</c:v>
                </c:pt>
                <c:pt idx="8">
                  <c:v>2013</c:v>
                </c:pt>
                <c:pt idx="9">
                  <c:v>2014</c:v>
                </c:pt>
              </c:strCache>
            </c:strRef>
          </c:cat>
          <c:val>
            <c:numRef>
              <c:f>Sheet1!$K$2:$K$11</c:f>
              <c:numCache>
                <c:formatCode>0.0%</c:formatCode>
                <c:ptCount val="10"/>
                <c:pt idx="0">
                  <c:v>6.8000000000000019E-2</c:v>
                </c:pt>
                <c:pt idx="1">
                  <c:v>6.7000000000000004E-2</c:v>
                </c:pt>
                <c:pt idx="2">
                  <c:v>6.7000000000000004E-2</c:v>
                </c:pt>
                <c:pt idx="3">
                  <c:v>6.7000000000000004E-2</c:v>
                </c:pt>
                <c:pt idx="4">
                  <c:v>6.8000000000000019E-2</c:v>
                </c:pt>
                <c:pt idx="5">
                  <c:v>6.8000000000000019E-2</c:v>
                </c:pt>
                <c:pt idx="6">
                  <c:v>6.8000000000000019E-2</c:v>
                </c:pt>
                <c:pt idx="7">
                  <c:v>7.0000000000000021E-2</c:v>
                </c:pt>
                <c:pt idx="8">
                  <c:v>7.0000000000000021E-2</c:v>
                </c:pt>
                <c:pt idx="9">
                  <c:v>6.9000000000000034E-2</c:v>
                </c:pt>
              </c:numCache>
            </c:numRef>
          </c:val>
        </c:ser>
        <c:marker val="1"/>
        <c:axId val="90845184"/>
        <c:axId val="90846720"/>
      </c:lineChart>
      <c:catAx>
        <c:axId val="90845184"/>
        <c:scaling>
          <c:orientation val="minMax"/>
        </c:scaling>
        <c:axPos val="b"/>
        <c:tickLblPos val="nextTo"/>
        <c:crossAx val="90846720"/>
        <c:crosses val="autoZero"/>
        <c:auto val="1"/>
        <c:lblAlgn val="ctr"/>
        <c:lblOffset val="100"/>
      </c:catAx>
      <c:valAx>
        <c:axId val="90846720"/>
        <c:scaling>
          <c:orientation val="minMax"/>
          <c:max val="1"/>
          <c:min val="0"/>
        </c:scaling>
        <c:axPos val="l"/>
        <c:numFmt formatCode="0%" sourceLinked="0"/>
        <c:tickLblPos val="nextTo"/>
        <c:crossAx val="90845184"/>
        <c:crosses val="autoZero"/>
        <c:crossBetween val="between"/>
        <c:majorUnit val="0.1"/>
      </c:valAx>
    </c:plotArea>
    <c:legend>
      <c:legendPos val="b"/>
      <c:layout>
        <c:manualLayout>
          <c:xMode val="edge"/>
          <c:yMode val="edge"/>
          <c:x val="8.2925118140315168E-2"/>
          <c:y val="0.83773498619023412"/>
          <c:w val="0.83414976371936966"/>
          <c:h val="0.16226501380976591"/>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5126618547681792"/>
          <c:y val="3.7037037037037056E-2"/>
          <c:w val="0.78762270341207363"/>
          <c:h val="0.8373997521143256"/>
        </c:manualLayout>
      </c:layout>
      <c:barChart>
        <c:barDir val="col"/>
        <c:grouping val="clustered"/>
        <c:ser>
          <c:idx val="0"/>
          <c:order val="0"/>
          <c:dLbls>
            <c:dLbl>
              <c:idx val="0"/>
              <c:layout>
                <c:manualLayout>
                  <c:x val="0"/>
                  <c:y val="1.01010101010101E-2"/>
                </c:manualLayout>
              </c:layout>
              <c:tx>
                <c:rich>
                  <a:bodyPr/>
                  <a:lstStyle/>
                  <a:p>
                    <a:r>
                      <a:rPr lang="en-US"/>
                      <a:t>108.0</a:t>
                    </a:r>
                  </a:p>
                </c:rich>
              </c:tx>
              <c:dLblPos val="outEnd"/>
              <c:showVal val="1"/>
            </c:dLbl>
            <c:dLbl>
              <c:idx val="1"/>
              <c:layout>
                <c:manualLayout>
                  <c:x val="0"/>
                  <c:y val="1.5151515151515181E-2"/>
                </c:manualLayout>
              </c:layout>
              <c:tx>
                <c:rich>
                  <a:bodyPr/>
                  <a:lstStyle/>
                  <a:p>
                    <a:r>
                      <a:rPr lang="en-US"/>
                      <a:t>111.0</a:t>
                    </a:r>
                  </a:p>
                </c:rich>
              </c:tx>
              <c:dLblPos val="outEnd"/>
              <c:showVal val="1"/>
            </c:dLbl>
            <c:dLbl>
              <c:idx val="2"/>
              <c:layout>
                <c:manualLayout>
                  <c:x val="0"/>
                  <c:y val="3.0303030303030311E-2"/>
                </c:manualLayout>
              </c:layout>
              <c:tx>
                <c:rich>
                  <a:bodyPr/>
                  <a:lstStyle/>
                  <a:p>
                    <a:r>
                      <a:rPr lang="en-US"/>
                      <a:t>110.8</a:t>
                    </a:r>
                  </a:p>
                </c:rich>
              </c:tx>
              <c:dLblPos val="outEnd"/>
              <c:showVal val="1"/>
            </c:dLbl>
            <c:dLbl>
              <c:idx val="3"/>
              <c:layout>
                <c:manualLayout>
                  <c:x val="0"/>
                  <c:y val="1.5151515151515181E-2"/>
                </c:manualLayout>
              </c:layout>
              <c:tx>
                <c:rich>
                  <a:bodyPr/>
                  <a:lstStyle/>
                  <a:p>
                    <a:r>
                      <a:rPr lang="en-US"/>
                      <a:t>65.1</a:t>
                    </a:r>
                  </a:p>
                </c:rich>
              </c:tx>
              <c:dLblPos val="outEnd"/>
              <c:showVal val="1"/>
            </c:dLbl>
            <c:dLbl>
              <c:idx val="4"/>
              <c:layout>
                <c:manualLayout>
                  <c:x val="8.1616567824371528E-17"/>
                  <c:y val="3.0303030303030349E-2"/>
                </c:manualLayout>
              </c:layout>
              <c:tx>
                <c:rich>
                  <a:bodyPr/>
                  <a:lstStyle/>
                  <a:p>
                    <a:r>
                      <a:rPr lang="en-US"/>
                      <a:t>64.1</a:t>
                    </a:r>
                  </a:p>
                </c:rich>
              </c:tx>
              <c:dLblPos val="outEnd"/>
              <c:showVal val="1"/>
            </c:dLbl>
            <c:dLbl>
              <c:idx val="5"/>
              <c:layout>
                <c:manualLayout>
                  <c:x val="0"/>
                  <c:y val="1.5151515151515221E-2"/>
                </c:manualLayout>
              </c:layout>
              <c:tx>
                <c:rich>
                  <a:bodyPr/>
                  <a:lstStyle/>
                  <a:p>
                    <a:r>
                      <a:rPr lang="en-US"/>
                      <a:t>65.8</a:t>
                    </a:r>
                  </a:p>
                </c:rich>
              </c:tx>
              <c:dLblPos val="outEnd"/>
              <c:showVal val="1"/>
            </c:dLbl>
            <c:dLbl>
              <c:idx val="6"/>
              <c:layout>
                <c:manualLayout>
                  <c:x val="0"/>
                  <c:y val="2.0202020202020249E-2"/>
                </c:manualLayout>
              </c:layout>
              <c:tx>
                <c:rich>
                  <a:bodyPr/>
                  <a:lstStyle/>
                  <a:p>
                    <a:r>
                      <a:rPr lang="en-US"/>
                      <a:t>73.9</a:t>
                    </a:r>
                  </a:p>
                </c:rich>
              </c:tx>
              <c:dLblPos val="outEnd"/>
              <c:showVal val="1"/>
            </c:dLbl>
            <c:dLblPos val="outEnd"/>
            <c:showVal val="1"/>
          </c:dLbls>
          <c:cat>
            <c:strRef>
              <c:f>'Chart for Report'!$B$1:$B$7</c:f>
              <c:strCache>
                <c:ptCount val="7"/>
                <c:pt idx="0">
                  <c:v>FY7</c:v>
                </c:pt>
                <c:pt idx="1">
                  <c:v>FY8</c:v>
                </c:pt>
                <c:pt idx="2">
                  <c:v>FY9</c:v>
                </c:pt>
                <c:pt idx="3">
                  <c:v>FY10</c:v>
                </c:pt>
                <c:pt idx="4">
                  <c:v>FY11</c:v>
                </c:pt>
                <c:pt idx="5">
                  <c:v>FY12</c:v>
                </c:pt>
                <c:pt idx="6">
                  <c:v>FY13</c:v>
                </c:pt>
              </c:strCache>
            </c:strRef>
          </c:cat>
          <c:val>
            <c:numRef>
              <c:f>'Chart for Report'!$C$1:$C$7</c:f>
              <c:numCache>
                <c:formatCode>0</c:formatCode>
                <c:ptCount val="7"/>
                <c:pt idx="0">
                  <c:v>108</c:v>
                </c:pt>
                <c:pt idx="1">
                  <c:v>111</c:v>
                </c:pt>
                <c:pt idx="2">
                  <c:v>110.8</c:v>
                </c:pt>
                <c:pt idx="3">
                  <c:v>65.099999999999994</c:v>
                </c:pt>
                <c:pt idx="4">
                  <c:v>64.099999999999994</c:v>
                </c:pt>
                <c:pt idx="5">
                  <c:v>65.8</c:v>
                </c:pt>
                <c:pt idx="6">
                  <c:v>73.900000000000006</c:v>
                </c:pt>
              </c:numCache>
            </c:numRef>
          </c:val>
        </c:ser>
        <c:axId val="95215616"/>
        <c:axId val="95217152"/>
      </c:barChart>
      <c:catAx>
        <c:axId val="95215616"/>
        <c:scaling>
          <c:orientation val="minMax"/>
        </c:scaling>
        <c:axPos val="b"/>
        <c:tickLblPos val="nextTo"/>
        <c:crossAx val="95217152"/>
        <c:crosses val="autoZero"/>
        <c:auto val="1"/>
        <c:lblAlgn val="ctr"/>
        <c:lblOffset val="100"/>
      </c:catAx>
      <c:valAx>
        <c:axId val="95217152"/>
        <c:scaling>
          <c:orientation val="minMax"/>
        </c:scaling>
        <c:axPos val="l"/>
        <c:majorGridlines/>
        <c:title>
          <c:tx>
            <c:rich>
              <a:bodyPr rot="-5400000" vert="horz"/>
              <a:lstStyle/>
              <a:p>
                <a:pPr>
                  <a:defRPr/>
                </a:pPr>
                <a:r>
                  <a:rPr lang="en-US"/>
                  <a:t>Dollars Rounded to the Nearest Tenth of a Million</a:t>
                </a:r>
              </a:p>
            </c:rich>
          </c:tx>
        </c:title>
        <c:numFmt formatCode="0" sourceLinked="1"/>
        <c:tickLblPos val="nextTo"/>
        <c:crossAx val="95215616"/>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marker>
            <c:symbol val="none"/>
          </c:marker>
          <c:dLbls>
            <c:dLbl>
              <c:idx val="0"/>
              <c:layout>
                <c:manualLayout>
                  <c:x val="0"/>
                  <c:y val="2.7777413240011681E-2"/>
                </c:manualLayout>
              </c:layout>
              <c:showVal val="1"/>
            </c:dLbl>
            <c:dLbl>
              <c:idx val="1"/>
              <c:layout>
                <c:manualLayout>
                  <c:x val="-1.2618296529968456E-2"/>
                  <c:y val="-2.7777777777778269E-2"/>
                </c:manualLayout>
              </c:layout>
              <c:showVal val="1"/>
            </c:dLbl>
            <c:dLbl>
              <c:idx val="2"/>
              <c:layout>
                <c:manualLayout>
                  <c:x val="-2.5236593059936911E-2"/>
                  <c:y val="3.2407407407407808E-2"/>
                </c:manualLayout>
              </c:layout>
              <c:showVal val="1"/>
            </c:dLbl>
            <c:dLbl>
              <c:idx val="3"/>
              <c:layout>
                <c:manualLayout>
                  <c:x val="-2.7339642481598623E-2"/>
                  <c:y val="-5.0925925925925923E-2"/>
                </c:manualLayout>
              </c:layout>
              <c:showVal val="1"/>
            </c:dLbl>
            <c:dLbl>
              <c:idx val="4"/>
              <c:layout>
                <c:manualLayout>
                  <c:x val="-2.7339642481598703E-2"/>
                  <c:y val="3.2407407407407808E-2"/>
                </c:manualLayout>
              </c:layout>
              <c:showVal val="1"/>
            </c:dLbl>
            <c:dLbl>
              <c:idx val="5"/>
              <c:layout>
                <c:manualLayout>
                  <c:x val="-3.1545741324921252E-2"/>
                  <c:y val="-3.2407407407407808E-2"/>
                </c:manualLayout>
              </c:layout>
              <c:showVal val="1"/>
            </c:dLbl>
            <c:dLbl>
              <c:idx val="6"/>
              <c:layout>
                <c:manualLayout>
                  <c:x val="-6.3091482649842842E-3"/>
                  <c:y val="-1.3888888888889067E-2"/>
                </c:manualLayout>
              </c:layout>
              <c:showVal val="1"/>
            </c:dLbl>
            <c:showVal val="1"/>
          </c:dLbls>
          <c:cat>
            <c:strRef>
              <c:f>'Chart for Report'!$B$21:$B$27</c:f>
              <c:strCache>
                <c:ptCount val="7"/>
                <c:pt idx="0">
                  <c:v>FY7</c:v>
                </c:pt>
                <c:pt idx="1">
                  <c:v>FY8</c:v>
                </c:pt>
                <c:pt idx="2">
                  <c:v>FY9</c:v>
                </c:pt>
                <c:pt idx="3">
                  <c:v>FY10</c:v>
                </c:pt>
                <c:pt idx="4">
                  <c:v>FY11</c:v>
                </c:pt>
                <c:pt idx="5">
                  <c:v>FY12</c:v>
                </c:pt>
                <c:pt idx="6">
                  <c:v>FY13</c:v>
                </c:pt>
              </c:strCache>
            </c:strRef>
          </c:cat>
          <c:val>
            <c:numRef>
              <c:f>'Chart for Report'!$C$21:$C$27</c:f>
              <c:numCache>
                <c:formatCode>0%</c:formatCode>
                <c:ptCount val="7"/>
                <c:pt idx="0">
                  <c:v>0.86000000000000065</c:v>
                </c:pt>
                <c:pt idx="1">
                  <c:v>0.9</c:v>
                </c:pt>
                <c:pt idx="2">
                  <c:v>0.87000000000000466</c:v>
                </c:pt>
                <c:pt idx="3">
                  <c:v>0.78</c:v>
                </c:pt>
                <c:pt idx="4">
                  <c:v>0.75000000000000477</c:v>
                </c:pt>
                <c:pt idx="5">
                  <c:v>0.81</c:v>
                </c:pt>
                <c:pt idx="6">
                  <c:v>0.82000000000000062</c:v>
                </c:pt>
              </c:numCache>
            </c:numRef>
          </c:val>
        </c:ser>
        <c:dLbls>
          <c:showVal val="1"/>
        </c:dLbls>
        <c:marker val="1"/>
        <c:axId val="95499392"/>
        <c:axId val="95500928"/>
      </c:lineChart>
      <c:catAx>
        <c:axId val="95499392"/>
        <c:scaling>
          <c:orientation val="minMax"/>
        </c:scaling>
        <c:axPos val="b"/>
        <c:tickLblPos val="nextTo"/>
        <c:crossAx val="95500928"/>
        <c:crosses val="autoZero"/>
        <c:auto val="1"/>
        <c:lblAlgn val="ctr"/>
        <c:lblOffset val="100"/>
      </c:catAx>
      <c:valAx>
        <c:axId val="95500928"/>
        <c:scaling>
          <c:orientation val="minMax"/>
        </c:scaling>
        <c:axPos val="l"/>
        <c:majorGridlines/>
        <c:numFmt formatCode="0%" sourceLinked="1"/>
        <c:tickLblPos val="nextTo"/>
        <c:crossAx val="95499392"/>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Sheet1!$B$2</c:f>
              <c:strCache>
                <c:ptCount val="1"/>
                <c:pt idx="0">
                  <c:v>Number of Meetings</c:v>
                </c:pt>
              </c:strCache>
            </c:strRef>
          </c:tx>
          <c:dLbls>
            <c:dLbl>
              <c:idx val="0"/>
              <c:layout>
                <c:manualLayout>
                  <c:x val="0"/>
                  <c:y val="1.183431952662722E-2"/>
                </c:manualLayout>
              </c:layout>
              <c:showVal val="1"/>
            </c:dLbl>
            <c:dLbl>
              <c:idx val="1"/>
              <c:layout>
                <c:manualLayout>
                  <c:x val="0"/>
                  <c:y val="3.1558185404339252E-2"/>
                </c:manualLayout>
              </c:layout>
              <c:showVal val="1"/>
            </c:dLbl>
            <c:dLbl>
              <c:idx val="2"/>
              <c:layout>
                <c:manualLayout>
                  <c:x val="0"/>
                  <c:y val="3.5502958579881658E-2"/>
                </c:manualLayout>
              </c:layout>
              <c:showVal val="1"/>
            </c:dLbl>
            <c:dLbl>
              <c:idx val="3"/>
              <c:layout>
                <c:manualLayout>
                  <c:x val="-1.9723868940948069E-3"/>
                  <c:y val="2.7613412228797148E-2"/>
                </c:manualLayout>
              </c:layout>
              <c:showVal val="1"/>
            </c:dLbl>
            <c:dLbl>
              <c:idx val="4"/>
              <c:layout>
                <c:manualLayout>
                  <c:x val="-5.9171606822844358E-3"/>
                  <c:y val="3.5502958579881658E-2"/>
                </c:manualLayout>
              </c:layout>
              <c:showVal val="1"/>
            </c:dLbl>
            <c:dLbl>
              <c:idx val="5"/>
              <c:layout>
                <c:manualLayout>
                  <c:x val="-5.9171606822844358E-3"/>
                  <c:y val="4.3392504930967475E-2"/>
                </c:manualLayout>
              </c:layout>
              <c:showVal val="1"/>
            </c:dLbl>
            <c:dLbl>
              <c:idx val="6"/>
              <c:layout>
                <c:manualLayout>
                  <c:x val="-2.6126031754854399E-2"/>
                  <c:y val="6.7763980479611907E-2"/>
                </c:manualLayout>
              </c:layout>
              <c:showVal val="1"/>
            </c:dLbl>
            <c:dLbl>
              <c:idx val="7"/>
              <c:layout>
                <c:manualLayout>
                  <c:x val="-1.7751482046852989E-2"/>
                  <c:y val="4.3392504930967496E-2"/>
                </c:manualLayout>
              </c:layout>
              <c:showVal val="1"/>
            </c:dLbl>
            <c:showVal val="1"/>
          </c:dLbls>
          <c:cat>
            <c:numRef>
              <c:f>Sheet1!$A$3:$A$11</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Sheet1!$B$3:$B$11</c:f>
              <c:numCache>
                <c:formatCode>General</c:formatCode>
                <c:ptCount val="9"/>
                <c:pt idx="0">
                  <c:v>7</c:v>
                </c:pt>
                <c:pt idx="1">
                  <c:v>18</c:v>
                </c:pt>
                <c:pt idx="2">
                  <c:v>45</c:v>
                </c:pt>
                <c:pt idx="3">
                  <c:v>63</c:v>
                </c:pt>
                <c:pt idx="4">
                  <c:v>111</c:v>
                </c:pt>
                <c:pt idx="5">
                  <c:v>123</c:v>
                </c:pt>
                <c:pt idx="6">
                  <c:v>143</c:v>
                </c:pt>
                <c:pt idx="7">
                  <c:v>140</c:v>
                </c:pt>
                <c:pt idx="8">
                  <c:v>150</c:v>
                </c:pt>
              </c:numCache>
            </c:numRef>
          </c:val>
        </c:ser>
        <c:marker val="1"/>
        <c:axId val="95548160"/>
        <c:axId val="95549696"/>
      </c:lineChart>
      <c:catAx>
        <c:axId val="95548160"/>
        <c:scaling>
          <c:orientation val="minMax"/>
        </c:scaling>
        <c:axPos val="b"/>
        <c:numFmt formatCode="General" sourceLinked="1"/>
        <c:tickLblPos val="nextTo"/>
        <c:crossAx val="95549696"/>
        <c:crosses val="autoZero"/>
        <c:auto val="1"/>
        <c:lblAlgn val="ctr"/>
        <c:lblOffset val="100"/>
      </c:catAx>
      <c:valAx>
        <c:axId val="95549696"/>
        <c:scaling>
          <c:orientation val="minMax"/>
        </c:scaling>
        <c:axPos val="l"/>
        <c:majorGridlines/>
        <c:numFmt formatCode="General" sourceLinked="1"/>
        <c:tickLblPos val="nextTo"/>
        <c:crossAx val="95548160"/>
        <c:crosses val="autoZero"/>
        <c:crossBetween val="between"/>
      </c:valAx>
    </c:plotArea>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96E738-6255-40B4-9560-63B7C79148CB}"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US"/>
        </a:p>
      </dgm:t>
    </dgm:pt>
    <dgm:pt modelId="{C225DE99-90EB-4FFE-8C72-8FB971C8CC69}">
      <dgm:prSet phldrT="[Text]"/>
      <dgm:spPr>
        <a:solidFill>
          <a:schemeClr val="bg1">
            <a:lumMod val="85000"/>
          </a:schemeClr>
        </a:solidFill>
      </dgm:spPr>
      <dgm:t>
        <a:bodyPr/>
        <a:lstStyle/>
        <a:p>
          <a:r>
            <a:rPr lang="en-US">
              <a:solidFill>
                <a:sysClr val="windowText" lastClr="000000"/>
              </a:solidFill>
              <a:latin typeface="+mn-lt"/>
            </a:rPr>
            <a:t>403 Districts in State</a:t>
          </a:r>
          <a:endParaRPr lang="en-US">
            <a:solidFill>
              <a:sysClr val="windowText" lastClr="000000"/>
            </a:solidFill>
          </a:endParaRPr>
        </a:p>
      </dgm:t>
    </dgm:pt>
    <dgm:pt modelId="{C04A0ED6-E3AE-4164-AB1C-D4F23E819934}" type="parTrans" cxnId="{62F7FF4F-6F82-43A4-BF9B-A0C6A1A4D3F3}">
      <dgm:prSet/>
      <dgm:spPr/>
      <dgm:t>
        <a:bodyPr/>
        <a:lstStyle/>
        <a:p>
          <a:endParaRPr lang="en-US">
            <a:solidFill>
              <a:sysClr val="windowText" lastClr="000000"/>
            </a:solidFill>
          </a:endParaRPr>
        </a:p>
      </dgm:t>
    </dgm:pt>
    <dgm:pt modelId="{8E2B68BE-4B8F-4C76-BE49-A4C34DE88660}" type="sibTrans" cxnId="{62F7FF4F-6F82-43A4-BF9B-A0C6A1A4D3F3}">
      <dgm:prSet/>
      <dgm:spPr/>
      <dgm:t>
        <a:bodyPr/>
        <a:lstStyle/>
        <a:p>
          <a:endParaRPr lang="en-US">
            <a:solidFill>
              <a:sysClr val="windowText" lastClr="000000"/>
            </a:solidFill>
          </a:endParaRPr>
        </a:p>
      </dgm:t>
    </dgm:pt>
    <dgm:pt modelId="{10F7EF5D-A9BB-4877-AB6B-33EB15CC4725}" type="asst">
      <dgm:prSet/>
      <dgm:spPr/>
      <dgm:t>
        <a:bodyPr/>
        <a:lstStyle/>
        <a:p>
          <a:r>
            <a:rPr lang="en-US">
              <a:solidFill>
                <a:sysClr val="windowText" lastClr="000000"/>
              </a:solidFill>
            </a:rPr>
            <a:t>74 Districts Did Not Participate (18%)</a:t>
          </a:r>
        </a:p>
      </dgm:t>
    </dgm:pt>
    <dgm:pt modelId="{603D0F55-E3CB-4CF3-B253-FE85B53A69E4}" type="parTrans" cxnId="{4C9F5794-F077-4610-8D30-5EE760753A65}">
      <dgm:prSet/>
      <dgm:spPr/>
      <dgm:t>
        <a:bodyPr/>
        <a:lstStyle/>
        <a:p>
          <a:endParaRPr lang="en-US">
            <a:solidFill>
              <a:sysClr val="windowText" lastClr="000000"/>
            </a:solidFill>
          </a:endParaRPr>
        </a:p>
      </dgm:t>
    </dgm:pt>
    <dgm:pt modelId="{FC33FE64-66BE-4B42-8815-051B104BC094}" type="sibTrans" cxnId="{4C9F5794-F077-4610-8D30-5EE760753A65}">
      <dgm:prSet/>
      <dgm:spPr/>
      <dgm:t>
        <a:bodyPr/>
        <a:lstStyle/>
        <a:p>
          <a:endParaRPr lang="en-US">
            <a:solidFill>
              <a:sysClr val="windowText" lastClr="000000"/>
            </a:solidFill>
          </a:endParaRPr>
        </a:p>
      </dgm:t>
    </dgm:pt>
    <dgm:pt modelId="{EF42854B-F976-4709-9817-D00648FA9A08}">
      <dgm:prSet/>
      <dgm:spPr>
        <a:solidFill>
          <a:schemeClr val="bg1">
            <a:lumMod val="85000"/>
          </a:schemeClr>
        </a:solidFill>
      </dgm:spPr>
      <dgm:t>
        <a:bodyPr/>
        <a:lstStyle/>
        <a:p>
          <a:r>
            <a:rPr lang="en-US">
              <a:solidFill>
                <a:sysClr val="windowText" lastClr="000000"/>
              </a:solidFill>
            </a:rPr>
            <a:t>291 Districts Received Revenue</a:t>
          </a:r>
        </a:p>
      </dgm:t>
    </dgm:pt>
    <dgm:pt modelId="{433F244A-BA52-4CBF-9CAC-273A0EFB1D10}" type="parTrans" cxnId="{3142B2D6-BF64-4AA8-9AC9-CCE4ABB0FA5A}">
      <dgm:prSet/>
      <dgm:spPr/>
      <dgm:t>
        <a:bodyPr/>
        <a:lstStyle/>
        <a:p>
          <a:endParaRPr lang="en-US">
            <a:solidFill>
              <a:sysClr val="windowText" lastClr="000000"/>
            </a:solidFill>
          </a:endParaRPr>
        </a:p>
      </dgm:t>
    </dgm:pt>
    <dgm:pt modelId="{15D32282-4644-4815-8CB5-163ADF8E9D4E}" type="sibTrans" cxnId="{3142B2D6-BF64-4AA8-9AC9-CCE4ABB0FA5A}">
      <dgm:prSet/>
      <dgm:spPr/>
      <dgm:t>
        <a:bodyPr/>
        <a:lstStyle/>
        <a:p>
          <a:endParaRPr lang="en-US">
            <a:solidFill>
              <a:sysClr val="windowText" lastClr="000000"/>
            </a:solidFill>
          </a:endParaRPr>
        </a:p>
      </dgm:t>
    </dgm:pt>
    <dgm:pt modelId="{4B4A28F4-B1F7-45D0-8C80-690FDC9A0175}">
      <dgm:prSet/>
      <dgm:spPr/>
      <dgm:t>
        <a:bodyPr/>
        <a:lstStyle/>
        <a:p>
          <a:r>
            <a:rPr lang="en-US">
              <a:solidFill>
                <a:sysClr val="windowText" lastClr="000000"/>
              </a:solidFill>
            </a:rPr>
            <a:t>38 Districts Received no Revenue</a:t>
          </a:r>
        </a:p>
      </dgm:t>
    </dgm:pt>
    <dgm:pt modelId="{DC60B17A-450F-4436-9A18-43E33C360404}" type="parTrans" cxnId="{FFE333D2-FB3C-475E-87CE-AD5DA183FFE9}">
      <dgm:prSet/>
      <dgm:spPr/>
      <dgm:t>
        <a:bodyPr/>
        <a:lstStyle/>
        <a:p>
          <a:endParaRPr lang="en-US">
            <a:solidFill>
              <a:sysClr val="windowText" lastClr="000000"/>
            </a:solidFill>
          </a:endParaRPr>
        </a:p>
      </dgm:t>
    </dgm:pt>
    <dgm:pt modelId="{DE1720F3-869D-4DAC-95F4-8CC033C2C254}" type="sibTrans" cxnId="{FFE333D2-FB3C-475E-87CE-AD5DA183FFE9}">
      <dgm:prSet/>
      <dgm:spPr/>
      <dgm:t>
        <a:bodyPr/>
        <a:lstStyle/>
        <a:p>
          <a:endParaRPr lang="en-US">
            <a:solidFill>
              <a:sysClr val="windowText" lastClr="000000"/>
            </a:solidFill>
          </a:endParaRPr>
        </a:p>
      </dgm:t>
    </dgm:pt>
    <dgm:pt modelId="{9C95855E-DB23-4744-B405-1CAB66C98170}">
      <dgm:prSet/>
      <dgm:spPr/>
      <dgm:t>
        <a:bodyPr/>
        <a:lstStyle/>
        <a:p>
          <a:r>
            <a:rPr lang="en-US">
              <a:solidFill>
                <a:sysClr val="windowText" lastClr="000000"/>
              </a:solidFill>
            </a:rPr>
            <a:t>34 Districts Received Some Income</a:t>
          </a:r>
        </a:p>
      </dgm:t>
    </dgm:pt>
    <dgm:pt modelId="{4B026543-B400-4EC6-8ECA-CEEC527B2926}" type="parTrans" cxnId="{A5A6EF4B-B85A-457E-9DE5-D5C3D3F3701A}">
      <dgm:prSet/>
      <dgm:spPr/>
      <dgm:t>
        <a:bodyPr/>
        <a:lstStyle/>
        <a:p>
          <a:endParaRPr lang="en-US">
            <a:solidFill>
              <a:sysClr val="windowText" lastClr="000000"/>
            </a:solidFill>
          </a:endParaRPr>
        </a:p>
      </dgm:t>
    </dgm:pt>
    <dgm:pt modelId="{5238523C-E6A8-4B1C-B462-2A8AE987A008}" type="sibTrans" cxnId="{A5A6EF4B-B85A-457E-9DE5-D5C3D3F3701A}">
      <dgm:prSet/>
      <dgm:spPr/>
      <dgm:t>
        <a:bodyPr/>
        <a:lstStyle/>
        <a:p>
          <a:endParaRPr lang="en-US">
            <a:solidFill>
              <a:sysClr val="windowText" lastClr="000000"/>
            </a:solidFill>
          </a:endParaRPr>
        </a:p>
      </dgm:t>
    </dgm:pt>
    <dgm:pt modelId="{9D2CD2A3-B8A0-47ED-A7E4-D19121BABA6F}">
      <dgm:prSet/>
      <dgm:spPr>
        <a:solidFill>
          <a:schemeClr val="bg1">
            <a:lumMod val="85000"/>
          </a:schemeClr>
        </a:solidFill>
      </dgm:spPr>
      <dgm:t>
        <a:bodyPr/>
        <a:lstStyle/>
        <a:p>
          <a:r>
            <a:rPr lang="en-US">
              <a:solidFill>
                <a:sysClr val="windowText" lastClr="000000"/>
              </a:solidFill>
            </a:rPr>
            <a:t>257 Districts Received 100% of Claims</a:t>
          </a:r>
        </a:p>
      </dgm:t>
    </dgm:pt>
    <dgm:pt modelId="{72750387-F266-46CC-81D1-4906173B8917}" type="parTrans" cxnId="{362EB4AA-E525-4E9D-8CAE-AF510705C294}">
      <dgm:prSet/>
      <dgm:spPr/>
      <dgm:t>
        <a:bodyPr/>
        <a:lstStyle/>
        <a:p>
          <a:endParaRPr lang="en-US">
            <a:solidFill>
              <a:sysClr val="windowText" lastClr="000000"/>
            </a:solidFill>
          </a:endParaRPr>
        </a:p>
      </dgm:t>
    </dgm:pt>
    <dgm:pt modelId="{196F379D-1C83-411C-A123-4FD0BBE20D32}" type="sibTrans" cxnId="{362EB4AA-E525-4E9D-8CAE-AF510705C294}">
      <dgm:prSet/>
      <dgm:spPr/>
      <dgm:t>
        <a:bodyPr/>
        <a:lstStyle/>
        <a:p>
          <a:endParaRPr lang="en-US">
            <a:solidFill>
              <a:sysClr val="windowText" lastClr="000000"/>
            </a:solidFill>
          </a:endParaRPr>
        </a:p>
      </dgm:t>
    </dgm:pt>
    <dgm:pt modelId="{E6949A7E-292C-424C-97A4-6EAF8A90370E}" type="asst">
      <dgm:prSet phldrT="[Text]"/>
      <dgm:spPr>
        <a:solidFill>
          <a:schemeClr val="bg1">
            <a:lumMod val="85000"/>
          </a:schemeClr>
        </a:solidFill>
      </dgm:spPr>
      <dgm:t>
        <a:bodyPr/>
        <a:lstStyle/>
        <a:p>
          <a:r>
            <a:rPr lang="en-US">
              <a:solidFill>
                <a:sysClr val="windowText" lastClr="000000"/>
              </a:solidFill>
            </a:rPr>
            <a:t>329 School Districts Participated (82%)</a:t>
          </a:r>
        </a:p>
      </dgm:t>
    </dgm:pt>
    <dgm:pt modelId="{9A2C3995-4530-454D-85ED-EE1B82CEE2CB}" type="sibTrans" cxnId="{D081E9EF-4BCA-4D4B-B3C1-2CAB6E241F05}">
      <dgm:prSet/>
      <dgm:spPr/>
      <dgm:t>
        <a:bodyPr/>
        <a:lstStyle/>
        <a:p>
          <a:endParaRPr lang="en-US">
            <a:solidFill>
              <a:sysClr val="windowText" lastClr="000000"/>
            </a:solidFill>
          </a:endParaRPr>
        </a:p>
      </dgm:t>
    </dgm:pt>
    <dgm:pt modelId="{DA0C8B97-5893-41C3-902C-8C9946324270}" type="parTrans" cxnId="{D081E9EF-4BCA-4D4B-B3C1-2CAB6E241F05}">
      <dgm:prSet/>
      <dgm:spPr/>
      <dgm:t>
        <a:bodyPr/>
        <a:lstStyle/>
        <a:p>
          <a:endParaRPr lang="en-US">
            <a:solidFill>
              <a:sysClr val="windowText" lastClr="000000"/>
            </a:solidFill>
          </a:endParaRPr>
        </a:p>
      </dgm:t>
    </dgm:pt>
    <dgm:pt modelId="{3F5174BC-5E2B-4F8C-BFBC-B46B1036F45F}" type="pres">
      <dgm:prSet presAssocID="{3796E738-6255-40B4-9560-63B7C79148CB}" presName="mainComposite" presStyleCnt="0">
        <dgm:presLayoutVars>
          <dgm:chPref val="1"/>
          <dgm:dir/>
          <dgm:animOne val="branch"/>
          <dgm:animLvl val="lvl"/>
          <dgm:resizeHandles val="exact"/>
        </dgm:presLayoutVars>
      </dgm:prSet>
      <dgm:spPr/>
      <dgm:t>
        <a:bodyPr/>
        <a:lstStyle/>
        <a:p>
          <a:endParaRPr lang="en-US"/>
        </a:p>
      </dgm:t>
    </dgm:pt>
    <dgm:pt modelId="{662D310E-C0DB-410B-AFF0-4E58239A5A94}" type="pres">
      <dgm:prSet presAssocID="{3796E738-6255-40B4-9560-63B7C79148CB}" presName="hierFlow" presStyleCnt="0"/>
      <dgm:spPr/>
      <dgm:t>
        <a:bodyPr/>
        <a:lstStyle/>
        <a:p>
          <a:endParaRPr lang="en-US"/>
        </a:p>
      </dgm:t>
    </dgm:pt>
    <dgm:pt modelId="{24255BDB-DD52-4BD1-A84B-606475587C91}" type="pres">
      <dgm:prSet presAssocID="{3796E738-6255-40B4-9560-63B7C79148CB}" presName="hierChild1" presStyleCnt="0">
        <dgm:presLayoutVars>
          <dgm:chPref val="1"/>
          <dgm:animOne val="branch"/>
          <dgm:animLvl val="lvl"/>
        </dgm:presLayoutVars>
      </dgm:prSet>
      <dgm:spPr/>
      <dgm:t>
        <a:bodyPr/>
        <a:lstStyle/>
        <a:p>
          <a:endParaRPr lang="en-US"/>
        </a:p>
      </dgm:t>
    </dgm:pt>
    <dgm:pt modelId="{51EA02DA-F502-4C70-B2BE-023268F40CB9}" type="pres">
      <dgm:prSet presAssocID="{C225DE99-90EB-4FFE-8C72-8FB971C8CC69}" presName="Name14" presStyleCnt="0"/>
      <dgm:spPr/>
      <dgm:t>
        <a:bodyPr/>
        <a:lstStyle/>
        <a:p>
          <a:endParaRPr lang="en-US"/>
        </a:p>
      </dgm:t>
    </dgm:pt>
    <dgm:pt modelId="{70038396-408A-4DF8-8B02-BE9BFF2D23F4}" type="pres">
      <dgm:prSet presAssocID="{C225DE99-90EB-4FFE-8C72-8FB971C8CC69}" presName="level1Shape" presStyleLbl="node0" presStyleIdx="0" presStyleCnt="1" custScaleX="75614" custScaleY="69352" custLinFactNeighborX="413" custLinFactNeighborY="619">
        <dgm:presLayoutVars>
          <dgm:chPref val="3"/>
        </dgm:presLayoutVars>
      </dgm:prSet>
      <dgm:spPr/>
      <dgm:t>
        <a:bodyPr/>
        <a:lstStyle/>
        <a:p>
          <a:endParaRPr lang="en-US"/>
        </a:p>
      </dgm:t>
    </dgm:pt>
    <dgm:pt modelId="{21AA2220-A2C6-4602-B178-AE16354A3A23}" type="pres">
      <dgm:prSet presAssocID="{C225DE99-90EB-4FFE-8C72-8FB971C8CC69}" presName="hierChild2" presStyleCnt="0"/>
      <dgm:spPr/>
      <dgm:t>
        <a:bodyPr/>
        <a:lstStyle/>
        <a:p>
          <a:endParaRPr lang="en-US"/>
        </a:p>
      </dgm:t>
    </dgm:pt>
    <dgm:pt modelId="{52D39BAA-D141-44A7-AFC8-78BDB6ED3419}" type="pres">
      <dgm:prSet presAssocID="{603D0F55-E3CB-4CF3-B253-FE85B53A69E4}" presName="Name19" presStyleLbl="parChTrans1D2" presStyleIdx="0" presStyleCnt="2"/>
      <dgm:spPr/>
      <dgm:t>
        <a:bodyPr/>
        <a:lstStyle/>
        <a:p>
          <a:endParaRPr lang="en-US"/>
        </a:p>
      </dgm:t>
    </dgm:pt>
    <dgm:pt modelId="{CCF66381-8169-4A9B-BD0D-5FEF9266C9C1}" type="pres">
      <dgm:prSet presAssocID="{10F7EF5D-A9BB-4877-AB6B-33EB15CC4725}" presName="Name21" presStyleCnt="0"/>
      <dgm:spPr/>
      <dgm:t>
        <a:bodyPr/>
        <a:lstStyle/>
        <a:p>
          <a:endParaRPr lang="en-US"/>
        </a:p>
      </dgm:t>
    </dgm:pt>
    <dgm:pt modelId="{4A141375-2D7A-4633-9345-E9DA980EABB6}" type="pres">
      <dgm:prSet presAssocID="{10F7EF5D-A9BB-4877-AB6B-33EB15CC4725}" presName="level2Shape" presStyleLbl="asst1" presStyleIdx="0" presStyleCnt="2" custScaleX="76858" custScaleY="60698"/>
      <dgm:spPr/>
      <dgm:t>
        <a:bodyPr/>
        <a:lstStyle/>
        <a:p>
          <a:endParaRPr lang="en-US"/>
        </a:p>
      </dgm:t>
    </dgm:pt>
    <dgm:pt modelId="{197600FB-F0A2-406B-BD10-21BCA55E3A49}" type="pres">
      <dgm:prSet presAssocID="{10F7EF5D-A9BB-4877-AB6B-33EB15CC4725}" presName="hierChild3" presStyleCnt="0"/>
      <dgm:spPr/>
      <dgm:t>
        <a:bodyPr/>
        <a:lstStyle/>
        <a:p>
          <a:endParaRPr lang="en-US"/>
        </a:p>
      </dgm:t>
    </dgm:pt>
    <dgm:pt modelId="{B9788B94-52F5-4F72-91DA-D970F80FC3D8}" type="pres">
      <dgm:prSet presAssocID="{DA0C8B97-5893-41C3-902C-8C9946324270}" presName="Name19" presStyleLbl="parChTrans1D2" presStyleIdx="1" presStyleCnt="2"/>
      <dgm:spPr/>
      <dgm:t>
        <a:bodyPr/>
        <a:lstStyle/>
        <a:p>
          <a:endParaRPr lang="en-US"/>
        </a:p>
      </dgm:t>
    </dgm:pt>
    <dgm:pt modelId="{8B0ED2AB-9C10-4459-8AAC-F7915A76C550}" type="pres">
      <dgm:prSet presAssocID="{E6949A7E-292C-424C-97A4-6EAF8A90370E}" presName="Name21" presStyleCnt="0"/>
      <dgm:spPr/>
      <dgm:t>
        <a:bodyPr/>
        <a:lstStyle/>
        <a:p>
          <a:endParaRPr lang="en-US"/>
        </a:p>
      </dgm:t>
    </dgm:pt>
    <dgm:pt modelId="{4EDDB55C-14EF-442C-916A-8A7FA2855BF6}" type="pres">
      <dgm:prSet presAssocID="{E6949A7E-292C-424C-97A4-6EAF8A90370E}" presName="level2Shape" presStyleLbl="asst1" presStyleIdx="1" presStyleCnt="2" custScaleX="73299" custScaleY="45561"/>
      <dgm:spPr/>
      <dgm:t>
        <a:bodyPr/>
        <a:lstStyle/>
        <a:p>
          <a:endParaRPr lang="en-US"/>
        </a:p>
      </dgm:t>
    </dgm:pt>
    <dgm:pt modelId="{115E9457-F9DB-4677-BB00-57F8FC79AE1D}" type="pres">
      <dgm:prSet presAssocID="{E6949A7E-292C-424C-97A4-6EAF8A90370E}" presName="hierChild3" presStyleCnt="0"/>
      <dgm:spPr/>
      <dgm:t>
        <a:bodyPr/>
        <a:lstStyle/>
        <a:p>
          <a:endParaRPr lang="en-US"/>
        </a:p>
      </dgm:t>
    </dgm:pt>
    <dgm:pt modelId="{EE043C36-BAE6-48C7-9138-AAC2DF2FB8F4}" type="pres">
      <dgm:prSet presAssocID="{DC60B17A-450F-4436-9A18-43E33C360404}" presName="Name19" presStyleLbl="parChTrans1D3" presStyleIdx="0" presStyleCnt="2"/>
      <dgm:spPr/>
      <dgm:t>
        <a:bodyPr/>
        <a:lstStyle/>
        <a:p>
          <a:endParaRPr lang="en-US"/>
        </a:p>
      </dgm:t>
    </dgm:pt>
    <dgm:pt modelId="{76E03503-C559-4336-B501-F55FADD6EAFF}" type="pres">
      <dgm:prSet presAssocID="{4B4A28F4-B1F7-45D0-8C80-690FDC9A0175}" presName="Name21" presStyleCnt="0"/>
      <dgm:spPr/>
      <dgm:t>
        <a:bodyPr/>
        <a:lstStyle/>
        <a:p>
          <a:endParaRPr lang="en-US"/>
        </a:p>
      </dgm:t>
    </dgm:pt>
    <dgm:pt modelId="{0CD3AECE-C54E-4E03-B53F-0911AA2B5721}" type="pres">
      <dgm:prSet presAssocID="{4B4A28F4-B1F7-45D0-8C80-690FDC9A0175}" presName="level2Shape" presStyleLbl="node3" presStyleIdx="0" presStyleCnt="2" custScaleX="76557" custScaleY="56687"/>
      <dgm:spPr/>
      <dgm:t>
        <a:bodyPr/>
        <a:lstStyle/>
        <a:p>
          <a:endParaRPr lang="en-US"/>
        </a:p>
      </dgm:t>
    </dgm:pt>
    <dgm:pt modelId="{46944CEC-C1BE-4001-B218-00ECBDF432CF}" type="pres">
      <dgm:prSet presAssocID="{4B4A28F4-B1F7-45D0-8C80-690FDC9A0175}" presName="hierChild3" presStyleCnt="0"/>
      <dgm:spPr/>
      <dgm:t>
        <a:bodyPr/>
        <a:lstStyle/>
        <a:p>
          <a:endParaRPr lang="en-US"/>
        </a:p>
      </dgm:t>
    </dgm:pt>
    <dgm:pt modelId="{4178954A-8392-4469-AABB-8DA71E3BC680}" type="pres">
      <dgm:prSet presAssocID="{433F244A-BA52-4CBF-9CAC-273A0EFB1D10}" presName="Name19" presStyleLbl="parChTrans1D3" presStyleIdx="1" presStyleCnt="2"/>
      <dgm:spPr/>
      <dgm:t>
        <a:bodyPr/>
        <a:lstStyle/>
        <a:p>
          <a:endParaRPr lang="en-US"/>
        </a:p>
      </dgm:t>
    </dgm:pt>
    <dgm:pt modelId="{E425BA47-5F74-4D0B-B307-37482305893E}" type="pres">
      <dgm:prSet presAssocID="{EF42854B-F976-4709-9817-D00648FA9A08}" presName="Name21" presStyleCnt="0"/>
      <dgm:spPr/>
      <dgm:t>
        <a:bodyPr/>
        <a:lstStyle/>
        <a:p>
          <a:endParaRPr lang="en-US"/>
        </a:p>
      </dgm:t>
    </dgm:pt>
    <dgm:pt modelId="{D6F7E802-A8AC-4161-A9B0-480C7D17E259}" type="pres">
      <dgm:prSet presAssocID="{EF42854B-F976-4709-9817-D00648FA9A08}" presName="level2Shape" presStyleLbl="node3" presStyleIdx="1" presStyleCnt="2" custScaleX="69188" custScaleY="65756" custLinFactNeighborY="16"/>
      <dgm:spPr/>
      <dgm:t>
        <a:bodyPr/>
        <a:lstStyle/>
        <a:p>
          <a:endParaRPr lang="en-US"/>
        </a:p>
      </dgm:t>
    </dgm:pt>
    <dgm:pt modelId="{38C4FD8E-2BFB-41DE-8B8E-CC9C74A80BFD}" type="pres">
      <dgm:prSet presAssocID="{EF42854B-F976-4709-9817-D00648FA9A08}" presName="hierChild3" presStyleCnt="0"/>
      <dgm:spPr/>
      <dgm:t>
        <a:bodyPr/>
        <a:lstStyle/>
        <a:p>
          <a:endParaRPr lang="en-US"/>
        </a:p>
      </dgm:t>
    </dgm:pt>
    <dgm:pt modelId="{7CFBD841-2B21-4E3A-A637-1725D78EF286}" type="pres">
      <dgm:prSet presAssocID="{4B026543-B400-4EC6-8ECA-CEEC527B2926}" presName="Name19" presStyleLbl="parChTrans1D4" presStyleIdx="0" presStyleCnt="2"/>
      <dgm:spPr/>
      <dgm:t>
        <a:bodyPr/>
        <a:lstStyle/>
        <a:p>
          <a:endParaRPr lang="en-US"/>
        </a:p>
      </dgm:t>
    </dgm:pt>
    <dgm:pt modelId="{EED28BAA-BE14-43C9-BBA6-901B9BF79271}" type="pres">
      <dgm:prSet presAssocID="{9C95855E-DB23-4744-B405-1CAB66C98170}" presName="Name21" presStyleCnt="0"/>
      <dgm:spPr/>
      <dgm:t>
        <a:bodyPr/>
        <a:lstStyle/>
        <a:p>
          <a:endParaRPr lang="en-US"/>
        </a:p>
      </dgm:t>
    </dgm:pt>
    <dgm:pt modelId="{CB44605C-EAB0-45B4-A876-6DB691F961C2}" type="pres">
      <dgm:prSet presAssocID="{9C95855E-DB23-4744-B405-1CAB66C98170}" presName="level2Shape" presStyleLbl="node4" presStyleIdx="0" presStyleCnt="2" custScaleX="83217" custScaleY="47361"/>
      <dgm:spPr/>
      <dgm:t>
        <a:bodyPr/>
        <a:lstStyle/>
        <a:p>
          <a:endParaRPr lang="en-US"/>
        </a:p>
      </dgm:t>
    </dgm:pt>
    <dgm:pt modelId="{BDB2AA4A-9112-452D-A31C-1BC5A0406395}" type="pres">
      <dgm:prSet presAssocID="{9C95855E-DB23-4744-B405-1CAB66C98170}" presName="hierChild3" presStyleCnt="0"/>
      <dgm:spPr/>
      <dgm:t>
        <a:bodyPr/>
        <a:lstStyle/>
        <a:p>
          <a:endParaRPr lang="en-US"/>
        </a:p>
      </dgm:t>
    </dgm:pt>
    <dgm:pt modelId="{FB89B606-A6E3-48FE-9C79-BBC8E76098C0}" type="pres">
      <dgm:prSet presAssocID="{72750387-F266-46CC-81D1-4906173B8917}" presName="Name19" presStyleLbl="parChTrans1D4" presStyleIdx="1" presStyleCnt="2"/>
      <dgm:spPr/>
      <dgm:t>
        <a:bodyPr/>
        <a:lstStyle/>
        <a:p>
          <a:endParaRPr lang="en-US"/>
        </a:p>
      </dgm:t>
    </dgm:pt>
    <dgm:pt modelId="{B797C848-1F0E-4BAA-9BC4-958406D1A4D7}" type="pres">
      <dgm:prSet presAssocID="{9D2CD2A3-B8A0-47ED-A7E4-D19121BABA6F}" presName="Name21" presStyleCnt="0"/>
      <dgm:spPr/>
      <dgm:t>
        <a:bodyPr/>
        <a:lstStyle/>
        <a:p>
          <a:endParaRPr lang="en-US"/>
        </a:p>
      </dgm:t>
    </dgm:pt>
    <dgm:pt modelId="{C1B3AC6D-2DBC-4E26-AE14-FD882358930B}" type="pres">
      <dgm:prSet presAssocID="{9D2CD2A3-B8A0-47ED-A7E4-D19121BABA6F}" presName="level2Shape" presStyleLbl="node4" presStyleIdx="1" presStyleCnt="2" custScaleX="88439" custScaleY="45537"/>
      <dgm:spPr/>
      <dgm:t>
        <a:bodyPr/>
        <a:lstStyle/>
        <a:p>
          <a:endParaRPr lang="en-US"/>
        </a:p>
      </dgm:t>
    </dgm:pt>
    <dgm:pt modelId="{9458E5F4-17B4-4054-BF46-98156F5E7400}" type="pres">
      <dgm:prSet presAssocID="{9D2CD2A3-B8A0-47ED-A7E4-D19121BABA6F}" presName="hierChild3" presStyleCnt="0"/>
      <dgm:spPr/>
      <dgm:t>
        <a:bodyPr/>
        <a:lstStyle/>
        <a:p>
          <a:endParaRPr lang="en-US"/>
        </a:p>
      </dgm:t>
    </dgm:pt>
    <dgm:pt modelId="{BB9B9C71-73EA-46FB-B4D2-D6787C415CC4}" type="pres">
      <dgm:prSet presAssocID="{3796E738-6255-40B4-9560-63B7C79148CB}" presName="bgShapesFlow" presStyleCnt="0"/>
      <dgm:spPr/>
      <dgm:t>
        <a:bodyPr/>
        <a:lstStyle/>
        <a:p>
          <a:endParaRPr lang="en-US"/>
        </a:p>
      </dgm:t>
    </dgm:pt>
  </dgm:ptLst>
  <dgm:cxnLst>
    <dgm:cxn modelId="{D081E9EF-4BCA-4D4B-B3C1-2CAB6E241F05}" srcId="{C225DE99-90EB-4FFE-8C72-8FB971C8CC69}" destId="{E6949A7E-292C-424C-97A4-6EAF8A90370E}" srcOrd="1" destOrd="0" parTransId="{DA0C8B97-5893-41C3-902C-8C9946324270}" sibTransId="{9A2C3995-4530-454D-85ED-EE1B82CEE2CB}"/>
    <dgm:cxn modelId="{FACB0E29-862C-466E-8B5E-5D8521367C6C}" type="presOf" srcId="{DC60B17A-450F-4436-9A18-43E33C360404}" destId="{EE043C36-BAE6-48C7-9138-AAC2DF2FB8F4}" srcOrd="0" destOrd="0" presId="urn:microsoft.com/office/officeart/2005/8/layout/hierarchy6"/>
    <dgm:cxn modelId="{9EE3845C-9F61-4465-A584-A6E06B6826DE}" type="presOf" srcId="{603D0F55-E3CB-4CF3-B253-FE85B53A69E4}" destId="{52D39BAA-D141-44A7-AFC8-78BDB6ED3419}" srcOrd="0" destOrd="0" presId="urn:microsoft.com/office/officeart/2005/8/layout/hierarchy6"/>
    <dgm:cxn modelId="{4C9F5794-F077-4610-8D30-5EE760753A65}" srcId="{C225DE99-90EB-4FFE-8C72-8FB971C8CC69}" destId="{10F7EF5D-A9BB-4877-AB6B-33EB15CC4725}" srcOrd="0" destOrd="0" parTransId="{603D0F55-E3CB-4CF3-B253-FE85B53A69E4}" sibTransId="{FC33FE64-66BE-4B42-8815-051B104BC094}"/>
    <dgm:cxn modelId="{FFE333D2-FB3C-475E-87CE-AD5DA183FFE9}" srcId="{E6949A7E-292C-424C-97A4-6EAF8A90370E}" destId="{4B4A28F4-B1F7-45D0-8C80-690FDC9A0175}" srcOrd="0" destOrd="0" parTransId="{DC60B17A-450F-4436-9A18-43E33C360404}" sibTransId="{DE1720F3-869D-4DAC-95F4-8CC033C2C254}"/>
    <dgm:cxn modelId="{B5789829-E022-4762-8353-6EBEC404F913}" type="presOf" srcId="{4B4A28F4-B1F7-45D0-8C80-690FDC9A0175}" destId="{0CD3AECE-C54E-4E03-B53F-0911AA2B5721}" srcOrd="0" destOrd="0" presId="urn:microsoft.com/office/officeart/2005/8/layout/hierarchy6"/>
    <dgm:cxn modelId="{27AA056A-30E2-4D6F-851E-DD5F3D355F86}" type="presOf" srcId="{433F244A-BA52-4CBF-9CAC-273A0EFB1D10}" destId="{4178954A-8392-4469-AABB-8DA71E3BC680}" srcOrd="0" destOrd="0" presId="urn:microsoft.com/office/officeart/2005/8/layout/hierarchy6"/>
    <dgm:cxn modelId="{A6EEA3E9-64BF-4D78-8BA7-3CC147818849}" type="presOf" srcId="{DA0C8B97-5893-41C3-902C-8C9946324270}" destId="{B9788B94-52F5-4F72-91DA-D970F80FC3D8}" srcOrd="0" destOrd="0" presId="urn:microsoft.com/office/officeart/2005/8/layout/hierarchy6"/>
    <dgm:cxn modelId="{3142B2D6-BF64-4AA8-9AC9-CCE4ABB0FA5A}" srcId="{E6949A7E-292C-424C-97A4-6EAF8A90370E}" destId="{EF42854B-F976-4709-9817-D00648FA9A08}" srcOrd="1" destOrd="0" parTransId="{433F244A-BA52-4CBF-9CAC-273A0EFB1D10}" sibTransId="{15D32282-4644-4815-8CB5-163ADF8E9D4E}"/>
    <dgm:cxn modelId="{62F7FF4F-6F82-43A4-BF9B-A0C6A1A4D3F3}" srcId="{3796E738-6255-40B4-9560-63B7C79148CB}" destId="{C225DE99-90EB-4FFE-8C72-8FB971C8CC69}" srcOrd="0" destOrd="0" parTransId="{C04A0ED6-E3AE-4164-AB1C-D4F23E819934}" sibTransId="{8E2B68BE-4B8F-4C76-BE49-A4C34DE88660}"/>
    <dgm:cxn modelId="{A5A6EF4B-B85A-457E-9DE5-D5C3D3F3701A}" srcId="{EF42854B-F976-4709-9817-D00648FA9A08}" destId="{9C95855E-DB23-4744-B405-1CAB66C98170}" srcOrd="0" destOrd="0" parTransId="{4B026543-B400-4EC6-8ECA-CEEC527B2926}" sibTransId="{5238523C-E6A8-4B1C-B462-2A8AE987A008}"/>
    <dgm:cxn modelId="{E5995015-14D2-46CD-B099-72731A339447}" type="presOf" srcId="{C225DE99-90EB-4FFE-8C72-8FB971C8CC69}" destId="{70038396-408A-4DF8-8B02-BE9BFF2D23F4}" srcOrd="0" destOrd="0" presId="urn:microsoft.com/office/officeart/2005/8/layout/hierarchy6"/>
    <dgm:cxn modelId="{015B5214-3A4D-4D9D-BB81-691089071644}" type="presOf" srcId="{4B026543-B400-4EC6-8ECA-CEEC527B2926}" destId="{7CFBD841-2B21-4E3A-A637-1725D78EF286}" srcOrd="0" destOrd="0" presId="urn:microsoft.com/office/officeart/2005/8/layout/hierarchy6"/>
    <dgm:cxn modelId="{AEF835FA-D1DA-4B34-88C2-62F51EC4B985}" type="presOf" srcId="{9D2CD2A3-B8A0-47ED-A7E4-D19121BABA6F}" destId="{C1B3AC6D-2DBC-4E26-AE14-FD882358930B}" srcOrd="0" destOrd="0" presId="urn:microsoft.com/office/officeart/2005/8/layout/hierarchy6"/>
    <dgm:cxn modelId="{362EB4AA-E525-4E9D-8CAE-AF510705C294}" srcId="{EF42854B-F976-4709-9817-D00648FA9A08}" destId="{9D2CD2A3-B8A0-47ED-A7E4-D19121BABA6F}" srcOrd="1" destOrd="0" parTransId="{72750387-F266-46CC-81D1-4906173B8917}" sibTransId="{196F379D-1C83-411C-A123-4FD0BBE20D32}"/>
    <dgm:cxn modelId="{0B44E0C7-5B4C-4846-8240-1585A70EE8F1}" type="presOf" srcId="{10F7EF5D-A9BB-4877-AB6B-33EB15CC4725}" destId="{4A141375-2D7A-4633-9345-E9DA980EABB6}" srcOrd="0" destOrd="0" presId="urn:microsoft.com/office/officeart/2005/8/layout/hierarchy6"/>
    <dgm:cxn modelId="{4BD14D4E-3A25-4321-AFB0-E06996ACEA55}" type="presOf" srcId="{72750387-F266-46CC-81D1-4906173B8917}" destId="{FB89B606-A6E3-48FE-9C79-BBC8E76098C0}" srcOrd="0" destOrd="0" presId="urn:microsoft.com/office/officeart/2005/8/layout/hierarchy6"/>
    <dgm:cxn modelId="{8924FCBA-0440-485C-ADF3-9DFA52AF354D}" type="presOf" srcId="{EF42854B-F976-4709-9817-D00648FA9A08}" destId="{D6F7E802-A8AC-4161-A9B0-480C7D17E259}" srcOrd="0" destOrd="0" presId="urn:microsoft.com/office/officeart/2005/8/layout/hierarchy6"/>
    <dgm:cxn modelId="{1A25F7E8-1321-4AAE-A387-4E3A2A42F06D}" type="presOf" srcId="{E6949A7E-292C-424C-97A4-6EAF8A90370E}" destId="{4EDDB55C-14EF-442C-916A-8A7FA2855BF6}" srcOrd="0" destOrd="0" presId="urn:microsoft.com/office/officeart/2005/8/layout/hierarchy6"/>
    <dgm:cxn modelId="{C6899CDF-E2EE-462C-B037-AE720E897056}" type="presOf" srcId="{3796E738-6255-40B4-9560-63B7C79148CB}" destId="{3F5174BC-5E2B-4F8C-BFBC-B46B1036F45F}" srcOrd="0" destOrd="0" presId="urn:microsoft.com/office/officeart/2005/8/layout/hierarchy6"/>
    <dgm:cxn modelId="{CBB9ACEC-3B9D-465E-ABDC-9B6B73E2BDDC}" type="presOf" srcId="{9C95855E-DB23-4744-B405-1CAB66C98170}" destId="{CB44605C-EAB0-45B4-A876-6DB691F961C2}" srcOrd="0" destOrd="0" presId="urn:microsoft.com/office/officeart/2005/8/layout/hierarchy6"/>
    <dgm:cxn modelId="{D229E0F4-9CFB-46A4-91D8-7F2724188BC8}" type="presParOf" srcId="{3F5174BC-5E2B-4F8C-BFBC-B46B1036F45F}" destId="{662D310E-C0DB-410B-AFF0-4E58239A5A94}" srcOrd="0" destOrd="0" presId="urn:microsoft.com/office/officeart/2005/8/layout/hierarchy6"/>
    <dgm:cxn modelId="{94DFF423-137D-4869-93E2-914652991C86}" type="presParOf" srcId="{662D310E-C0DB-410B-AFF0-4E58239A5A94}" destId="{24255BDB-DD52-4BD1-A84B-606475587C91}" srcOrd="0" destOrd="0" presId="urn:microsoft.com/office/officeart/2005/8/layout/hierarchy6"/>
    <dgm:cxn modelId="{F133AEFB-2163-4CED-BB5E-ED5213237445}" type="presParOf" srcId="{24255BDB-DD52-4BD1-A84B-606475587C91}" destId="{51EA02DA-F502-4C70-B2BE-023268F40CB9}" srcOrd="0" destOrd="0" presId="urn:microsoft.com/office/officeart/2005/8/layout/hierarchy6"/>
    <dgm:cxn modelId="{5034D21F-5899-445A-933C-378D20C7A10D}" type="presParOf" srcId="{51EA02DA-F502-4C70-B2BE-023268F40CB9}" destId="{70038396-408A-4DF8-8B02-BE9BFF2D23F4}" srcOrd="0" destOrd="0" presId="urn:microsoft.com/office/officeart/2005/8/layout/hierarchy6"/>
    <dgm:cxn modelId="{517384B5-0163-4EDF-8DC5-D4884C98FFA6}" type="presParOf" srcId="{51EA02DA-F502-4C70-B2BE-023268F40CB9}" destId="{21AA2220-A2C6-4602-B178-AE16354A3A23}" srcOrd="1" destOrd="0" presId="urn:microsoft.com/office/officeart/2005/8/layout/hierarchy6"/>
    <dgm:cxn modelId="{D6180780-F07C-4E73-863A-33CC5557E61E}" type="presParOf" srcId="{21AA2220-A2C6-4602-B178-AE16354A3A23}" destId="{52D39BAA-D141-44A7-AFC8-78BDB6ED3419}" srcOrd="0" destOrd="0" presId="urn:microsoft.com/office/officeart/2005/8/layout/hierarchy6"/>
    <dgm:cxn modelId="{4E0BD93B-E647-421E-BB99-8F9B3E3DDD95}" type="presParOf" srcId="{21AA2220-A2C6-4602-B178-AE16354A3A23}" destId="{CCF66381-8169-4A9B-BD0D-5FEF9266C9C1}" srcOrd="1" destOrd="0" presId="urn:microsoft.com/office/officeart/2005/8/layout/hierarchy6"/>
    <dgm:cxn modelId="{1AD82802-ACD0-4954-99C4-94B6E6D4CDC5}" type="presParOf" srcId="{CCF66381-8169-4A9B-BD0D-5FEF9266C9C1}" destId="{4A141375-2D7A-4633-9345-E9DA980EABB6}" srcOrd="0" destOrd="0" presId="urn:microsoft.com/office/officeart/2005/8/layout/hierarchy6"/>
    <dgm:cxn modelId="{C7B366DE-5476-48AF-96F4-BD12EFAE5C73}" type="presParOf" srcId="{CCF66381-8169-4A9B-BD0D-5FEF9266C9C1}" destId="{197600FB-F0A2-406B-BD10-21BCA55E3A49}" srcOrd="1" destOrd="0" presId="urn:microsoft.com/office/officeart/2005/8/layout/hierarchy6"/>
    <dgm:cxn modelId="{BEA31D3E-4B44-4980-BF17-092671848F95}" type="presParOf" srcId="{21AA2220-A2C6-4602-B178-AE16354A3A23}" destId="{B9788B94-52F5-4F72-91DA-D970F80FC3D8}" srcOrd="2" destOrd="0" presId="urn:microsoft.com/office/officeart/2005/8/layout/hierarchy6"/>
    <dgm:cxn modelId="{A908C64F-61B6-4D50-858D-C76B37FFA5D8}" type="presParOf" srcId="{21AA2220-A2C6-4602-B178-AE16354A3A23}" destId="{8B0ED2AB-9C10-4459-8AAC-F7915A76C550}" srcOrd="3" destOrd="0" presId="urn:microsoft.com/office/officeart/2005/8/layout/hierarchy6"/>
    <dgm:cxn modelId="{0D609A3E-01D8-4C6F-8A0A-E89C16CD25F1}" type="presParOf" srcId="{8B0ED2AB-9C10-4459-8AAC-F7915A76C550}" destId="{4EDDB55C-14EF-442C-916A-8A7FA2855BF6}" srcOrd="0" destOrd="0" presId="urn:microsoft.com/office/officeart/2005/8/layout/hierarchy6"/>
    <dgm:cxn modelId="{9D4D719A-18EF-4509-AA7C-592BA2BE1860}" type="presParOf" srcId="{8B0ED2AB-9C10-4459-8AAC-F7915A76C550}" destId="{115E9457-F9DB-4677-BB00-57F8FC79AE1D}" srcOrd="1" destOrd="0" presId="urn:microsoft.com/office/officeart/2005/8/layout/hierarchy6"/>
    <dgm:cxn modelId="{C274781C-3DA1-43D7-93E7-0EDFDEE70567}" type="presParOf" srcId="{115E9457-F9DB-4677-BB00-57F8FC79AE1D}" destId="{EE043C36-BAE6-48C7-9138-AAC2DF2FB8F4}" srcOrd="0" destOrd="0" presId="urn:microsoft.com/office/officeart/2005/8/layout/hierarchy6"/>
    <dgm:cxn modelId="{179A6563-3411-4B81-9927-CA6230E9A2E1}" type="presParOf" srcId="{115E9457-F9DB-4677-BB00-57F8FC79AE1D}" destId="{76E03503-C559-4336-B501-F55FADD6EAFF}" srcOrd="1" destOrd="0" presId="urn:microsoft.com/office/officeart/2005/8/layout/hierarchy6"/>
    <dgm:cxn modelId="{588FC83E-BF29-4A71-827C-B65C37873502}" type="presParOf" srcId="{76E03503-C559-4336-B501-F55FADD6EAFF}" destId="{0CD3AECE-C54E-4E03-B53F-0911AA2B5721}" srcOrd="0" destOrd="0" presId="urn:microsoft.com/office/officeart/2005/8/layout/hierarchy6"/>
    <dgm:cxn modelId="{8BC3C9DB-C6BC-4568-9BEC-1B67004B7251}" type="presParOf" srcId="{76E03503-C559-4336-B501-F55FADD6EAFF}" destId="{46944CEC-C1BE-4001-B218-00ECBDF432CF}" srcOrd="1" destOrd="0" presId="urn:microsoft.com/office/officeart/2005/8/layout/hierarchy6"/>
    <dgm:cxn modelId="{A1661160-063D-4D43-B72F-F025863E10F0}" type="presParOf" srcId="{115E9457-F9DB-4677-BB00-57F8FC79AE1D}" destId="{4178954A-8392-4469-AABB-8DA71E3BC680}" srcOrd="2" destOrd="0" presId="urn:microsoft.com/office/officeart/2005/8/layout/hierarchy6"/>
    <dgm:cxn modelId="{9946814A-B33F-47B0-9F17-A8453BE0B71B}" type="presParOf" srcId="{115E9457-F9DB-4677-BB00-57F8FC79AE1D}" destId="{E425BA47-5F74-4D0B-B307-37482305893E}" srcOrd="3" destOrd="0" presId="urn:microsoft.com/office/officeart/2005/8/layout/hierarchy6"/>
    <dgm:cxn modelId="{FA167732-D374-4C27-BE48-C89323689283}" type="presParOf" srcId="{E425BA47-5F74-4D0B-B307-37482305893E}" destId="{D6F7E802-A8AC-4161-A9B0-480C7D17E259}" srcOrd="0" destOrd="0" presId="urn:microsoft.com/office/officeart/2005/8/layout/hierarchy6"/>
    <dgm:cxn modelId="{16201813-E10A-4A2C-85E7-41323366FBF3}" type="presParOf" srcId="{E425BA47-5F74-4D0B-B307-37482305893E}" destId="{38C4FD8E-2BFB-41DE-8B8E-CC9C74A80BFD}" srcOrd="1" destOrd="0" presId="urn:microsoft.com/office/officeart/2005/8/layout/hierarchy6"/>
    <dgm:cxn modelId="{3BC76415-D818-45E0-9AD3-BB9159FEDA3B}" type="presParOf" srcId="{38C4FD8E-2BFB-41DE-8B8E-CC9C74A80BFD}" destId="{7CFBD841-2B21-4E3A-A637-1725D78EF286}" srcOrd="0" destOrd="0" presId="urn:microsoft.com/office/officeart/2005/8/layout/hierarchy6"/>
    <dgm:cxn modelId="{E3F3C992-0EB3-4844-AF29-39B96FA62F50}" type="presParOf" srcId="{38C4FD8E-2BFB-41DE-8B8E-CC9C74A80BFD}" destId="{EED28BAA-BE14-43C9-BBA6-901B9BF79271}" srcOrd="1" destOrd="0" presId="urn:microsoft.com/office/officeart/2005/8/layout/hierarchy6"/>
    <dgm:cxn modelId="{277A4C1E-DEF7-4BE5-B1EA-4223BA7D9B03}" type="presParOf" srcId="{EED28BAA-BE14-43C9-BBA6-901B9BF79271}" destId="{CB44605C-EAB0-45B4-A876-6DB691F961C2}" srcOrd="0" destOrd="0" presId="urn:microsoft.com/office/officeart/2005/8/layout/hierarchy6"/>
    <dgm:cxn modelId="{6E360281-6DBE-42A9-96B0-EE9A9229182E}" type="presParOf" srcId="{EED28BAA-BE14-43C9-BBA6-901B9BF79271}" destId="{BDB2AA4A-9112-452D-A31C-1BC5A0406395}" srcOrd="1" destOrd="0" presId="urn:microsoft.com/office/officeart/2005/8/layout/hierarchy6"/>
    <dgm:cxn modelId="{823C472A-2540-4338-BD9A-F69DF243D1E7}" type="presParOf" srcId="{38C4FD8E-2BFB-41DE-8B8E-CC9C74A80BFD}" destId="{FB89B606-A6E3-48FE-9C79-BBC8E76098C0}" srcOrd="2" destOrd="0" presId="urn:microsoft.com/office/officeart/2005/8/layout/hierarchy6"/>
    <dgm:cxn modelId="{0E277572-646A-45FE-8B33-D9E3EF74A2A0}" type="presParOf" srcId="{38C4FD8E-2BFB-41DE-8B8E-CC9C74A80BFD}" destId="{B797C848-1F0E-4BAA-9BC4-958406D1A4D7}" srcOrd="3" destOrd="0" presId="urn:microsoft.com/office/officeart/2005/8/layout/hierarchy6"/>
    <dgm:cxn modelId="{001A1580-A982-4101-A5CC-BDAD326F1DEA}" type="presParOf" srcId="{B797C848-1F0E-4BAA-9BC4-958406D1A4D7}" destId="{C1B3AC6D-2DBC-4E26-AE14-FD882358930B}" srcOrd="0" destOrd="0" presId="urn:microsoft.com/office/officeart/2005/8/layout/hierarchy6"/>
    <dgm:cxn modelId="{7B20D331-CEF1-496A-840B-45AF29F6AAB9}" type="presParOf" srcId="{B797C848-1F0E-4BAA-9BC4-958406D1A4D7}" destId="{9458E5F4-17B4-4054-BF46-98156F5E7400}" srcOrd="1" destOrd="0" presId="urn:microsoft.com/office/officeart/2005/8/layout/hierarchy6"/>
    <dgm:cxn modelId="{39F93DDE-C680-4FAA-AF0C-65A1C073BCEC}" type="presParOf" srcId="{3F5174BC-5E2B-4F8C-BFBC-B46B1036F45F}" destId="{BB9B9C71-73EA-46FB-B4D2-D6787C415CC4}" srcOrd="1" destOrd="0" presId="urn:microsoft.com/office/officeart/2005/8/layout/hierarchy6"/>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0038396-408A-4DF8-8B02-BE9BFF2D23F4}">
      <dsp:nvSpPr>
        <dsp:cNvPr id="0" name=""/>
        <dsp:cNvSpPr/>
      </dsp:nvSpPr>
      <dsp:spPr>
        <a:xfrm>
          <a:off x="1623414" y="192869"/>
          <a:ext cx="1062195" cy="649486"/>
        </a:xfrm>
        <a:prstGeom prst="roundRect">
          <a:avLst>
            <a:gd name="adj" fmla="val 10000"/>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mn-lt"/>
            </a:rPr>
            <a:t>403 Districts in State</a:t>
          </a:r>
          <a:endParaRPr lang="en-US" sz="900" kern="1200">
            <a:solidFill>
              <a:sysClr val="windowText" lastClr="000000"/>
            </a:solidFill>
          </a:endParaRPr>
        </a:p>
      </dsp:txBody>
      <dsp:txXfrm>
        <a:off x="1623414" y="192869"/>
        <a:ext cx="1062195" cy="649486"/>
      </dsp:txXfrm>
    </dsp:sp>
    <dsp:sp modelId="{52D39BAA-D141-44A7-AFC8-78BDB6ED3419}">
      <dsp:nvSpPr>
        <dsp:cNvPr id="0" name=""/>
        <dsp:cNvSpPr/>
      </dsp:nvSpPr>
      <dsp:spPr>
        <a:xfrm>
          <a:off x="1423158" y="842355"/>
          <a:ext cx="731353" cy="368805"/>
        </a:xfrm>
        <a:custGeom>
          <a:avLst/>
          <a:gdLst/>
          <a:ahLst/>
          <a:cxnLst/>
          <a:rect l="0" t="0" r="0" b="0"/>
          <a:pathLst>
            <a:path>
              <a:moveTo>
                <a:pt x="731353" y="0"/>
              </a:moveTo>
              <a:lnTo>
                <a:pt x="731353" y="184402"/>
              </a:lnTo>
              <a:lnTo>
                <a:pt x="0" y="184402"/>
              </a:lnTo>
              <a:lnTo>
                <a:pt x="0" y="36880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141375-2D7A-4633-9345-E9DA980EABB6}">
      <dsp:nvSpPr>
        <dsp:cNvPr id="0" name=""/>
        <dsp:cNvSpPr/>
      </dsp:nvSpPr>
      <dsp:spPr>
        <a:xfrm>
          <a:off x="883323" y="1211161"/>
          <a:ext cx="1079670" cy="5684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74 Districts Did Not Participate (18%)</a:t>
          </a:r>
        </a:p>
      </dsp:txBody>
      <dsp:txXfrm>
        <a:off x="883323" y="1211161"/>
        <a:ext cx="1079670" cy="568440"/>
      </dsp:txXfrm>
    </dsp:sp>
    <dsp:sp modelId="{B9788B94-52F5-4F72-91DA-D970F80FC3D8}">
      <dsp:nvSpPr>
        <dsp:cNvPr id="0" name=""/>
        <dsp:cNvSpPr/>
      </dsp:nvSpPr>
      <dsp:spPr>
        <a:xfrm>
          <a:off x="2154511" y="842355"/>
          <a:ext cx="744747" cy="368805"/>
        </a:xfrm>
        <a:custGeom>
          <a:avLst/>
          <a:gdLst/>
          <a:ahLst/>
          <a:cxnLst/>
          <a:rect l="0" t="0" r="0" b="0"/>
          <a:pathLst>
            <a:path>
              <a:moveTo>
                <a:pt x="0" y="0"/>
              </a:moveTo>
              <a:lnTo>
                <a:pt x="0" y="184402"/>
              </a:lnTo>
              <a:lnTo>
                <a:pt x="744747" y="184402"/>
              </a:lnTo>
              <a:lnTo>
                <a:pt x="744747" y="36880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DDB55C-14EF-442C-916A-8A7FA2855BF6}">
      <dsp:nvSpPr>
        <dsp:cNvPr id="0" name=""/>
        <dsp:cNvSpPr/>
      </dsp:nvSpPr>
      <dsp:spPr>
        <a:xfrm>
          <a:off x="2384422" y="1211161"/>
          <a:ext cx="1029675" cy="426681"/>
        </a:xfrm>
        <a:prstGeom prst="roundRect">
          <a:avLst>
            <a:gd name="adj" fmla="val 10000"/>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329 School Districts Participated (82%)</a:t>
          </a:r>
        </a:p>
      </dsp:txBody>
      <dsp:txXfrm>
        <a:off x="2384422" y="1211161"/>
        <a:ext cx="1029675" cy="426681"/>
      </dsp:txXfrm>
    </dsp:sp>
    <dsp:sp modelId="{EE043C36-BAE6-48C7-9138-AAC2DF2FB8F4}">
      <dsp:nvSpPr>
        <dsp:cNvPr id="0" name=""/>
        <dsp:cNvSpPr/>
      </dsp:nvSpPr>
      <dsp:spPr>
        <a:xfrm>
          <a:off x="2202582" y="1637843"/>
          <a:ext cx="696676" cy="374602"/>
        </a:xfrm>
        <a:custGeom>
          <a:avLst/>
          <a:gdLst/>
          <a:ahLst/>
          <a:cxnLst/>
          <a:rect l="0" t="0" r="0" b="0"/>
          <a:pathLst>
            <a:path>
              <a:moveTo>
                <a:pt x="696676" y="0"/>
              </a:moveTo>
              <a:lnTo>
                <a:pt x="696676" y="187301"/>
              </a:lnTo>
              <a:lnTo>
                <a:pt x="0" y="187301"/>
              </a:lnTo>
              <a:lnTo>
                <a:pt x="0" y="37460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D3AECE-C54E-4E03-B53F-0911AA2B5721}">
      <dsp:nvSpPr>
        <dsp:cNvPr id="0" name=""/>
        <dsp:cNvSpPr/>
      </dsp:nvSpPr>
      <dsp:spPr>
        <a:xfrm>
          <a:off x="1664861" y="2012446"/>
          <a:ext cx="1075442" cy="53087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38 Districts Received no Revenue</a:t>
          </a:r>
        </a:p>
      </dsp:txBody>
      <dsp:txXfrm>
        <a:off x="1664861" y="2012446"/>
        <a:ext cx="1075442" cy="530877"/>
      </dsp:txXfrm>
    </dsp:sp>
    <dsp:sp modelId="{4178954A-8392-4469-AABB-8DA71E3BC680}">
      <dsp:nvSpPr>
        <dsp:cNvPr id="0" name=""/>
        <dsp:cNvSpPr/>
      </dsp:nvSpPr>
      <dsp:spPr>
        <a:xfrm>
          <a:off x="2899259" y="1637843"/>
          <a:ext cx="748435" cy="374752"/>
        </a:xfrm>
        <a:custGeom>
          <a:avLst/>
          <a:gdLst/>
          <a:ahLst/>
          <a:cxnLst/>
          <a:rect l="0" t="0" r="0" b="0"/>
          <a:pathLst>
            <a:path>
              <a:moveTo>
                <a:pt x="0" y="0"/>
              </a:moveTo>
              <a:lnTo>
                <a:pt x="0" y="187376"/>
              </a:lnTo>
              <a:lnTo>
                <a:pt x="748435" y="187376"/>
              </a:lnTo>
              <a:lnTo>
                <a:pt x="748435" y="37475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F7E802-A8AC-4161-A9B0-480C7D17E259}">
      <dsp:nvSpPr>
        <dsp:cNvPr id="0" name=""/>
        <dsp:cNvSpPr/>
      </dsp:nvSpPr>
      <dsp:spPr>
        <a:xfrm>
          <a:off x="3161732" y="2012596"/>
          <a:ext cx="971925" cy="615809"/>
        </a:xfrm>
        <a:prstGeom prst="roundRect">
          <a:avLst>
            <a:gd name="adj" fmla="val 10000"/>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291 Districts Received Revenue</a:t>
          </a:r>
        </a:p>
      </dsp:txBody>
      <dsp:txXfrm>
        <a:off x="3161732" y="2012596"/>
        <a:ext cx="971925" cy="615809"/>
      </dsp:txXfrm>
    </dsp:sp>
    <dsp:sp modelId="{7CFBD841-2B21-4E3A-A637-1725D78EF286}">
      <dsp:nvSpPr>
        <dsp:cNvPr id="0" name=""/>
        <dsp:cNvSpPr/>
      </dsp:nvSpPr>
      <dsp:spPr>
        <a:xfrm>
          <a:off x="2815802" y="2628405"/>
          <a:ext cx="831892" cy="374452"/>
        </a:xfrm>
        <a:custGeom>
          <a:avLst/>
          <a:gdLst/>
          <a:ahLst/>
          <a:cxnLst/>
          <a:rect l="0" t="0" r="0" b="0"/>
          <a:pathLst>
            <a:path>
              <a:moveTo>
                <a:pt x="831892" y="0"/>
              </a:moveTo>
              <a:lnTo>
                <a:pt x="831892" y="187226"/>
              </a:lnTo>
              <a:lnTo>
                <a:pt x="0" y="187226"/>
              </a:lnTo>
              <a:lnTo>
                <a:pt x="0" y="37445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44605C-EAB0-45B4-A876-6DB691F961C2}">
      <dsp:nvSpPr>
        <dsp:cNvPr id="0" name=""/>
        <dsp:cNvSpPr/>
      </dsp:nvSpPr>
      <dsp:spPr>
        <a:xfrm>
          <a:off x="2231303" y="3002858"/>
          <a:ext cx="1168999" cy="44353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34 Districts Received Some Income</a:t>
          </a:r>
        </a:p>
      </dsp:txBody>
      <dsp:txXfrm>
        <a:off x="2231303" y="3002858"/>
        <a:ext cx="1168999" cy="443539"/>
      </dsp:txXfrm>
    </dsp:sp>
    <dsp:sp modelId="{FB89B606-A6E3-48FE-9C79-BBC8E76098C0}">
      <dsp:nvSpPr>
        <dsp:cNvPr id="0" name=""/>
        <dsp:cNvSpPr/>
      </dsp:nvSpPr>
      <dsp:spPr>
        <a:xfrm>
          <a:off x="3647694" y="2628405"/>
          <a:ext cx="795213" cy="374452"/>
        </a:xfrm>
        <a:custGeom>
          <a:avLst/>
          <a:gdLst/>
          <a:ahLst/>
          <a:cxnLst/>
          <a:rect l="0" t="0" r="0" b="0"/>
          <a:pathLst>
            <a:path>
              <a:moveTo>
                <a:pt x="0" y="0"/>
              </a:moveTo>
              <a:lnTo>
                <a:pt x="0" y="187226"/>
              </a:lnTo>
              <a:lnTo>
                <a:pt x="795213" y="187226"/>
              </a:lnTo>
              <a:lnTo>
                <a:pt x="795213" y="37445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B3AC6D-2DBC-4E26-AE14-FD882358930B}">
      <dsp:nvSpPr>
        <dsp:cNvPr id="0" name=""/>
        <dsp:cNvSpPr/>
      </dsp:nvSpPr>
      <dsp:spPr>
        <a:xfrm>
          <a:off x="3821730" y="3002858"/>
          <a:ext cx="1242356" cy="426457"/>
        </a:xfrm>
        <a:prstGeom prst="roundRect">
          <a:avLst>
            <a:gd name="adj" fmla="val 10000"/>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257 Districts Received 100% of Claims</a:t>
          </a:r>
        </a:p>
      </dsp:txBody>
      <dsp:txXfrm>
        <a:off x="3821730" y="3002858"/>
        <a:ext cx="1242356" cy="42645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DESE-231-14252</_dlc_DocId>
    <_dlc_DocIdUrl xmlns="733efe1c-5bbe-4968-87dc-d400e65c879f">
      <Url>https://sharepoint.doemass.org/ese/webteam/cps/_layouts/DocIdRedir.aspx?ID=DESE-231-14252</Url>
      <Description>DESE-231-14252</Description>
    </_dlc_DocIdUrl>
    <_vti_RoutingExistingProperties xmlns="0a4e05da-b9bc-4326-ad73-01ef31b95567" xsi:nil="true"/>
    <_dlc_DocIdPersistId xmlns="733efe1c-5bbe-4968-87dc-d400e65c879f">true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62D48-1CDC-4D7A-A9F3-40773642E6CB}">
  <ds:schemaRefs>
    <ds:schemaRef ds:uri="http://schemas.microsoft.com/sharepoint/v3/contenttype/forms"/>
  </ds:schemaRefs>
</ds:datastoreItem>
</file>

<file path=customXml/itemProps2.xml><?xml version="1.0" encoding="utf-8"?>
<ds:datastoreItem xmlns:ds="http://schemas.openxmlformats.org/officeDocument/2006/customXml" ds:itemID="{0E2AD5F6-5D24-449A-B707-84AC00C26AD3}">
  <ds:schemaRefs>
    <ds:schemaRef ds:uri="http://schemas.microsoft.com/sharepoint/events"/>
  </ds:schemaRefs>
</ds:datastoreItem>
</file>

<file path=customXml/itemProps3.xml><?xml version="1.0" encoding="utf-8"?>
<ds:datastoreItem xmlns:ds="http://schemas.openxmlformats.org/officeDocument/2006/customXml" ds:itemID="{1703D83B-330C-4913-935C-9FDB15FC8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48FBF5-07B0-4288-83A0-EC56902ADE9F}">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5.xml><?xml version="1.0" encoding="utf-8"?>
<ds:datastoreItem xmlns:ds="http://schemas.openxmlformats.org/officeDocument/2006/customXml" ds:itemID="{429B12DC-DF32-44F0-8C85-8F0CE9B1F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Legislative Report 2014.dotx</Template>
  <TotalTime>4</TotalTime>
  <Pages>22</Pages>
  <Words>7111</Words>
  <Characters>46729</Characters>
  <Application>Microsoft Office Word</Application>
  <DocSecurity>0</DocSecurity>
  <Lines>389</Lines>
  <Paragraphs>107</Paragraphs>
  <ScaleCrop>false</ScaleCrop>
  <HeadingPairs>
    <vt:vector size="2" baseType="variant">
      <vt:variant>
        <vt:lpstr>Title</vt:lpstr>
      </vt:variant>
      <vt:variant>
        <vt:i4>1</vt:i4>
      </vt:variant>
    </vt:vector>
  </HeadingPairs>
  <TitlesOfParts>
    <vt:vector size="1" baseType="lpstr">
      <vt:lpstr>Students with Disabilities Annual Report 2013-2014 (December 2014)</vt:lpstr>
    </vt:vector>
  </TitlesOfParts>
  <Company/>
  <LinksUpToDate>false</LinksUpToDate>
  <CharactersWithSpaces>53733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with Disabilities Annual Report 2013-2014 (December 2014)</dc:title>
  <dc:creator>ESE</dc:creator>
  <cp:keywords/>
  <cp:lastModifiedBy>dzou</cp:lastModifiedBy>
  <cp:revision>5</cp:revision>
  <cp:lastPrinted>2015-02-03T18:25:00Z</cp:lastPrinted>
  <dcterms:created xsi:type="dcterms:W3CDTF">2015-03-04T14:25:00Z</dcterms:created>
  <dcterms:modified xsi:type="dcterms:W3CDTF">2017-06-15T20:44:00Z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4 2015</vt:lpwstr>
  </property>
</Properties>
</file>