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CF" w:rsidRPr="00312AB0" w:rsidRDefault="00C83B4E" w:rsidP="00312AB0">
      <w:pPr>
        <w:pStyle w:val="Title"/>
      </w:pPr>
      <w:r>
        <w:t xml:space="preserve">Massachusetts </w:t>
      </w:r>
      <w:r w:rsidR="006F7DA1">
        <w:t>Study on Assessment Practices in Districts</w:t>
      </w:r>
      <w:r w:rsidR="00954F32" w:rsidRPr="00312AB0">
        <w:t xml:space="preserve">: </w:t>
      </w:r>
      <w:r w:rsidR="006F7DA1">
        <w:t>Phase 1 Summary</w:t>
      </w:r>
    </w:p>
    <w:tbl>
      <w:tblPr>
        <w:tblW w:w="0" w:type="auto"/>
        <w:tblBorders>
          <w:top w:val="single" w:sz="18" w:space="0" w:color="4B76A0"/>
          <w:bottom w:val="single" w:sz="18" w:space="0" w:color="4B76A0"/>
        </w:tblBorders>
        <w:tblCellMar>
          <w:top w:w="72" w:type="dxa"/>
          <w:left w:w="115" w:type="dxa"/>
          <w:bottom w:w="72" w:type="dxa"/>
          <w:right w:w="115" w:type="dxa"/>
        </w:tblCellMar>
        <w:tblLook w:val="04A0"/>
      </w:tblPr>
      <w:tblGrid>
        <w:gridCol w:w="1098"/>
        <w:gridCol w:w="8438"/>
      </w:tblGrid>
      <w:tr w:rsidR="007C4E10" w:rsidRPr="003A0929" w:rsidTr="006974C4">
        <w:tc>
          <w:tcPr>
            <w:tcW w:w="1098" w:type="dxa"/>
            <w:shd w:val="clear" w:color="auto" w:fill="auto"/>
          </w:tcPr>
          <w:p w:rsidR="007C4E10" w:rsidRPr="00E30A49" w:rsidRDefault="007C4E10" w:rsidP="006974C4">
            <w:pPr>
              <w:pStyle w:val="NoSpacing"/>
              <w:rPr>
                <w:rStyle w:val="Strong"/>
              </w:rPr>
            </w:pPr>
            <w:bookmarkStart w:id="0" w:name="_Toc345928177"/>
            <w:r w:rsidRPr="00E30A49">
              <w:rPr>
                <w:rStyle w:val="Strong"/>
              </w:rPr>
              <w:t>Date:</w:t>
            </w:r>
          </w:p>
        </w:tc>
        <w:tc>
          <w:tcPr>
            <w:tcW w:w="8438" w:type="dxa"/>
            <w:shd w:val="clear" w:color="auto" w:fill="auto"/>
          </w:tcPr>
          <w:p w:rsidR="007C4E10" w:rsidRPr="00591404" w:rsidRDefault="00F665E4" w:rsidP="003220DF">
            <w:pPr>
              <w:pStyle w:val="MDY"/>
            </w:pPr>
            <w:r>
              <w:t xml:space="preserve">March </w:t>
            </w:r>
            <w:r w:rsidR="00B50174">
              <w:t>1</w:t>
            </w:r>
            <w:r w:rsidR="003220DF">
              <w:t>4</w:t>
            </w:r>
            <w:r w:rsidR="006F7DA1">
              <w:t>, 2015</w:t>
            </w:r>
            <w:bookmarkStart w:id="1" w:name="_GoBack"/>
            <w:bookmarkEnd w:id="1"/>
          </w:p>
        </w:tc>
      </w:tr>
      <w:tr w:rsidR="007C4E10" w:rsidRPr="003A0929" w:rsidTr="006974C4">
        <w:tc>
          <w:tcPr>
            <w:tcW w:w="1098" w:type="dxa"/>
            <w:shd w:val="clear" w:color="auto" w:fill="auto"/>
          </w:tcPr>
          <w:p w:rsidR="007C4E10" w:rsidRPr="00E30A49" w:rsidRDefault="007C4E10" w:rsidP="006974C4">
            <w:pPr>
              <w:pStyle w:val="NoSpacing"/>
              <w:rPr>
                <w:rStyle w:val="Strong"/>
              </w:rPr>
            </w:pPr>
            <w:r>
              <w:rPr>
                <w:rStyle w:val="Strong"/>
              </w:rPr>
              <w:t>To:</w:t>
            </w:r>
          </w:p>
        </w:tc>
        <w:tc>
          <w:tcPr>
            <w:tcW w:w="8438" w:type="dxa"/>
            <w:shd w:val="clear" w:color="auto" w:fill="auto"/>
          </w:tcPr>
          <w:p w:rsidR="007C4E10" w:rsidRDefault="006F7DA1" w:rsidP="006974C4">
            <w:pPr>
              <w:pStyle w:val="Recipient"/>
            </w:pPr>
            <w:r>
              <w:t xml:space="preserve">Carrie Conaway, </w:t>
            </w:r>
            <w:r w:rsidR="00F76E16">
              <w:t xml:space="preserve">Massachusetts </w:t>
            </w:r>
            <w:r>
              <w:t>Department of Elementary and Secondary Education</w:t>
            </w:r>
          </w:p>
          <w:p w:rsidR="006F7DA1" w:rsidRPr="006F7DA1" w:rsidRDefault="006F7DA1" w:rsidP="00F76E16">
            <w:pPr>
              <w:pStyle w:val="NoSpacing"/>
            </w:pPr>
            <w:r>
              <w:t>Kendra Winner, M</w:t>
            </w:r>
            <w:r w:rsidR="00F76E16">
              <w:t>assachusetts</w:t>
            </w:r>
            <w:r>
              <w:t xml:space="preserve"> Department of Elementary and Secondary Education</w:t>
            </w:r>
          </w:p>
        </w:tc>
      </w:tr>
      <w:tr w:rsidR="007C4E10" w:rsidRPr="003A0929" w:rsidTr="006974C4">
        <w:tc>
          <w:tcPr>
            <w:tcW w:w="1098" w:type="dxa"/>
            <w:shd w:val="clear" w:color="auto" w:fill="auto"/>
          </w:tcPr>
          <w:p w:rsidR="007C4E10" w:rsidRPr="00E30A49" w:rsidRDefault="007C4E10" w:rsidP="006974C4">
            <w:pPr>
              <w:pStyle w:val="NoSpacing"/>
              <w:rPr>
                <w:rStyle w:val="Strong"/>
              </w:rPr>
            </w:pPr>
            <w:r>
              <w:rPr>
                <w:rStyle w:val="Strong"/>
              </w:rPr>
              <w:t>From:</w:t>
            </w:r>
          </w:p>
        </w:tc>
        <w:tc>
          <w:tcPr>
            <w:tcW w:w="8438" w:type="dxa"/>
            <w:shd w:val="clear" w:color="auto" w:fill="auto"/>
          </w:tcPr>
          <w:p w:rsidR="00E17B0A" w:rsidRDefault="00B675A4" w:rsidP="00A4757A">
            <w:pPr>
              <w:pStyle w:val="Author"/>
            </w:pPr>
            <w:r>
              <w:t>Julia Marchand</w:t>
            </w:r>
          </w:p>
          <w:p w:rsidR="00B675A4" w:rsidRDefault="00B675A4" w:rsidP="00A4757A">
            <w:pPr>
              <w:pStyle w:val="NoSpacing"/>
            </w:pPr>
            <w:r>
              <w:t>Corrin Pitluck</w:t>
            </w:r>
          </w:p>
          <w:p w:rsidR="00B675A4" w:rsidRPr="00B675A4" w:rsidRDefault="00B675A4" w:rsidP="00A4757A">
            <w:pPr>
              <w:pStyle w:val="NoSpacing"/>
            </w:pPr>
            <w:r>
              <w:t>Sarah Cristobal</w:t>
            </w:r>
          </w:p>
        </w:tc>
      </w:tr>
    </w:tbl>
    <w:bookmarkEnd w:id="0"/>
    <w:p w:rsidR="00E17B0A" w:rsidRDefault="00E17B0A" w:rsidP="00CA759E">
      <w:pPr>
        <w:pStyle w:val="BodyText"/>
      </w:pPr>
      <w:r w:rsidRPr="00DC76C9">
        <w:t xml:space="preserve">In November 2014, the Massachusetts Department of Elementary and Secondary Education (ESE) partnered with American Institutes for Research (AIR) to conduct a study </w:t>
      </w:r>
      <w:r w:rsidR="00842660">
        <w:t>examining</w:t>
      </w:r>
      <w:r w:rsidRPr="00DC76C9">
        <w:t xml:space="preserve"> assessment preparation, practices, and supports in districts. The study</w:t>
      </w:r>
      <w:r w:rsidR="00B0378C">
        <w:t>, to be completed in spring </w:t>
      </w:r>
      <w:r>
        <w:t>2015,</w:t>
      </w:r>
      <w:r w:rsidRPr="00DC76C9">
        <w:t xml:space="preserve"> will be </w:t>
      </w:r>
      <w:r>
        <w:t>carried out</w:t>
      </w:r>
      <w:r w:rsidRPr="00DC76C9">
        <w:t xml:space="preserve"> in two interrelated phases. The first phase builds on the findings from </w:t>
      </w:r>
      <w:r>
        <w:t>a</w:t>
      </w:r>
      <w:r w:rsidRPr="00DC76C9">
        <w:t xml:space="preserve"> recent </w:t>
      </w:r>
      <w:r>
        <w:t xml:space="preserve">ESE-administered </w:t>
      </w:r>
      <w:r w:rsidRPr="00DC76C9">
        <w:t xml:space="preserve">statewide survey </w:t>
      </w:r>
      <w:r>
        <w:t xml:space="preserve">of district leaders on their assessment practices </w:t>
      </w:r>
      <w:r w:rsidRPr="00DC76C9">
        <w:t xml:space="preserve">by gathering </w:t>
      </w:r>
      <w:r>
        <w:t xml:space="preserve">focused </w:t>
      </w:r>
      <w:r w:rsidRPr="00DC76C9">
        <w:t xml:space="preserve">qualitative </w:t>
      </w:r>
      <w:r w:rsidR="00842660">
        <w:t>information</w:t>
      </w:r>
      <w:r w:rsidR="00842660" w:rsidRPr="00DC76C9">
        <w:t xml:space="preserve"> </w:t>
      </w:r>
      <w:r>
        <w:t>from</w:t>
      </w:r>
      <w:r w:rsidRPr="00DC76C9">
        <w:t xml:space="preserve"> a representative sample of districts across the state about </w:t>
      </w:r>
      <w:r w:rsidR="00842660">
        <w:t>their</w:t>
      </w:r>
      <w:r w:rsidRPr="00DC76C9">
        <w:t xml:space="preserve"> practices, procedures, and strategies related to assessment. The study’s second phase will more closely examine assessments and assessment practices in a set of four districts that participated in Phase </w:t>
      </w:r>
      <w:r>
        <w:t xml:space="preserve">1. </w:t>
      </w:r>
    </w:p>
    <w:p w:rsidR="00E17B0A" w:rsidRDefault="00E17B0A" w:rsidP="00CA759E">
      <w:pPr>
        <w:pStyle w:val="BodyText"/>
      </w:pPr>
      <w:r>
        <w:t>This memo summarizes findings from Phase 1 of the study,</w:t>
      </w:r>
      <w:r w:rsidR="00B0378C">
        <w:t xml:space="preserve"> which took place from December </w:t>
      </w:r>
      <w:r>
        <w:t xml:space="preserve">2014 through </w:t>
      </w:r>
      <w:r w:rsidR="00842660">
        <w:t xml:space="preserve">February </w:t>
      </w:r>
      <w:r>
        <w:t>2015.</w:t>
      </w:r>
    </w:p>
    <w:p w:rsidR="00E17B0A" w:rsidRDefault="00E17B0A" w:rsidP="00CA759E">
      <w:pPr>
        <w:pStyle w:val="Heading1"/>
      </w:pPr>
      <w:r>
        <w:t>Phase 1 Overview</w:t>
      </w:r>
    </w:p>
    <w:p w:rsidR="00E17B0A" w:rsidRPr="00BD7964" w:rsidRDefault="00E17B0A" w:rsidP="00CA759E">
      <w:pPr>
        <w:pStyle w:val="BodyText"/>
      </w:pPr>
      <w:r>
        <w:t>The o</w:t>
      </w:r>
      <w:r w:rsidRPr="00BD7964">
        <w:t xml:space="preserve">bjectives of Phase 1 </w:t>
      </w:r>
      <w:r>
        <w:t xml:space="preserve">were </w:t>
      </w:r>
      <w:r w:rsidRPr="00BD7964">
        <w:t xml:space="preserve">to identify examples of promising or best practices </w:t>
      </w:r>
      <w:r>
        <w:t xml:space="preserve">related to assessment practices </w:t>
      </w:r>
      <w:r w:rsidRPr="00BD7964">
        <w:t xml:space="preserve">to share statewide and to identify potential districts for participation in the second phase of the study. </w:t>
      </w:r>
      <w:r>
        <w:t xml:space="preserve">To accomplish this, AIR researchers conducted telephone interviews with district- and school-level assessment leads in districts from across the state. </w:t>
      </w:r>
    </w:p>
    <w:p w:rsidR="00E17B0A" w:rsidRPr="00510890" w:rsidRDefault="00E17B0A" w:rsidP="00CA759E">
      <w:pPr>
        <w:pStyle w:val="Heading2"/>
        <w:rPr>
          <w:rStyle w:val="BodyTextChar"/>
          <w:sz w:val="26"/>
        </w:rPr>
      </w:pPr>
      <w:r w:rsidRPr="00510890">
        <w:rPr>
          <w:rStyle w:val="BodyTextChar"/>
          <w:sz w:val="26"/>
        </w:rPr>
        <w:t>Sample</w:t>
      </w:r>
    </w:p>
    <w:p w:rsidR="00E17B0A" w:rsidRDefault="00E17B0A" w:rsidP="00CA759E">
      <w:pPr>
        <w:pStyle w:val="BodyText"/>
        <w:rPr>
          <w:rStyle w:val="BodyTextChar"/>
          <w:rFonts w:eastAsiaTheme="minorHAnsi"/>
        </w:rPr>
      </w:pPr>
      <w:r>
        <w:rPr>
          <w:rStyle w:val="BodyTextChar"/>
          <w:rFonts w:eastAsiaTheme="minorHAnsi"/>
        </w:rPr>
        <w:t>The sample in this study was drawn with several purposes in mind: to obtain a representative and inclusive sample of districts from across the state and to ensure proportional numbers of elementary, middle, and high school administrators across participating districts are well-represented. Quota sampling—a nonprobabilistic method—was used. AIR researchers began with a matrix that described the target population’s characteristics: what proportion of all the districts is urban or no</w:t>
      </w:r>
      <w:r w:rsidR="003B5BEF">
        <w:rPr>
          <w:rStyle w:val="BodyTextChar"/>
          <w:rFonts w:eastAsiaTheme="minorHAnsi"/>
        </w:rPr>
        <w:t>n</w:t>
      </w:r>
      <w:r>
        <w:rPr>
          <w:rStyle w:val="BodyTextChar"/>
          <w:rFonts w:eastAsiaTheme="minorHAnsi"/>
        </w:rPr>
        <w:t xml:space="preserve">urban, for example, and for the urbanicity classification, what proportions fall into various regions, accountability levels, district size, percentage of English </w:t>
      </w:r>
      <w:r w:rsidR="009F6642">
        <w:rPr>
          <w:rStyle w:val="BodyTextChar"/>
          <w:rFonts w:eastAsiaTheme="minorHAnsi"/>
        </w:rPr>
        <w:t xml:space="preserve">language learners </w:t>
      </w:r>
      <w:r>
        <w:rPr>
          <w:rStyle w:val="BodyTextChar"/>
          <w:rFonts w:eastAsiaTheme="minorHAnsi"/>
        </w:rPr>
        <w:t xml:space="preserve">(ELLs), and school type (i.e., charter and traditional). </w:t>
      </w:r>
    </w:p>
    <w:p w:rsidR="00E17B0A" w:rsidRDefault="00E17B0A" w:rsidP="00CA759E">
      <w:pPr>
        <w:pStyle w:val="BodyText"/>
        <w:rPr>
          <w:rStyle w:val="BodyTextChar"/>
          <w:rFonts w:eastAsiaTheme="minorHAnsi"/>
        </w:rPr>
      </w:pPr>
      <w:r>
        <w:rPr>
          <w:rStyle w:val="BodyTextChar"/>
          <w:rFonts w:eastAsiaTheme="minorHAnsi"/>
        </w:rPr>
        <w:lastRenderedPageBreak/>
        <w:t xml:space="preserve">Once the matrix had been created and a relative proportion was assigned to each cell in the matrix, a quota sample of 40 school districts was established. The researchers then collected the list of schools within each sampled district. Another matrix was created to define the schools’ characteristics (e.g., grade levels served, student enrollment, and percentage of students with limited English proficiency). One school from each sampled district was selected after </w:t>
      </w:r>
      <w:r w:rsidR="003B18E3">
        <w:rPr>
          <w:rStyle w:val="BodyTextChar"/>
          <w:rFonts w:eastAsiaTheme="minorHAnsi"/>
        </w:rPr>
        <w:t xml:space="preserve">the </w:t>
      </w:r>
      <w:r>
        <w:rPr>
          <w:rStyle w:val="BodyTextChar"/>
          <w:rFonts w:eastAsiaTheme="minorHAnsi"/>
        </w:rPr>
        <w:t>schools were assigned a weight that is appropriate to their portion of the total population to ensure a reasonable representation.</w:t>
      </w:r>
      <w:r w:rsidR="00B0378C">
        <w:rPr>
          <w:rStyle w:val="BodyTextChar"/>
          <w:rFonts w:eastAsiaTheme="minorHAnsi"/>
        </w:rPr>
        <w:t xml:space="preserve"> </w:t>
      </w:r>
      <w:r w:rsidR="003B18E3">
        <w:rPr>
          <w:rStyle w:val="BodyTextChar"/>
          <w:rFonts w:eastAsiaTheme="minorHAnsi"/>
        </w:rPr>
        <w:t xml:space="preserve">Figures 1 through </w:t>
      </w:r>
      <w:r w:rsidR="001B677A">
        <w:rPr>
          <w:rStyle w:val="BodyTextChar"/>
          <w:rFonts w:eastAsiaTheme="minorHAnsi"/>
        </w:rPr>
        <w:t>3</w:t>
      </w:r>
      <w:r>
        <w:rPr>
          <w:rStyle w:val="BodyTextChar"/>
          <w:rFonts w:eastAsiaTheme="minorHAnsi"/>
        </w:rPr>
        <w:t xml:space="preserve"> describe the sample of 40 districts drawn based on characteristics of interest to this study.</w:t>
      </w:r>
    </w:p>
    <w:p w:rsidR="00E17B0A" w:rsidRDefault="00E17B0A" w:rsidP="00CA759E">
      <w:pPr>
        <w:pStyle w:val="Caption"/>
        <w:rPr>
          <w:rStyle w:val="BodyTextChar"/>
          <w:rFonts w:eastAsiaTheme="minorHAnsi"/>
          <w:b w:val="0"/>
        </w:rPr>
      </w:pPr>
      <w:r>
        <w:rPr>
          <w:rStyle w:val="BodyTextChar"/>
          <w:rFonts w:eastAsiaTheme="minorHAnsi"/>
        </w:rPr>
        <w:t>Figure 1</w:t>
      </w:r>
      <w:r w:rsidRPr="008850AA">
        <w:rPr>
          <w:rStyle w:val="BodyTextChar"/>
          <w:rFonts w:eastAsiaTheme="minorHAnsi"/>
        </w:rPr>
        <w:t xml:space="preserve">. </w:t>
      </w:r>
      <w:r>
        <w:rPr>
          <w:rStyle w:val="BodyTextChar"/>
          <w:rFonts w:eastAsiaTheme="minorHAnsi"/>
        </w:rPr>
        <w:t>Districts by Accountability Level</w:t>
      </w:r>
      <w:r w:rsidR="00B37DE4">
        <w:rPr>
          <w:rStyle w:val="BodyTextChar"/>
          <w:rFonts w:eastAsiaTheme="minorHAnsi"/>
        </w:rPr>
        <w:t xml:space="preserve"> </w:t>
      </w:r>
      <w:r w:rsidR="00B37DE4" w:rsidRPr="008850AA">
        <w:rPr>
          <w:rFonts w:ascii="Times New Roman" w:hAnsi="Times New Roman" w:cs="Times New Roman"/>
        </w:rPr>
        <w:t>(</w:t>
      </w:r>
      <w:r w:rsidR="00B37DE4" w:rsidRPr="008850AA">
        <w:rPr>
          <w:rFonts w:ascii="Times New Roman" w:hAnsi="Times New Roman" w:cs="Times New Roman"/>
          <w:i/>
        </w:rPr>
        <w:t>N</w:t>
      </w:r>
      <w:r w:rsidR="00B37DE4" w:rsidRPr="008850AA">
        <w:rPr>
          <w:rFonts w:ascii="Times New Roman" w:hAnsi="Times New Roman" w:cs="Times New Roman"/>
        </w:rPr>
        <w:t xml:space="preserve"> = 35)</w:t>
      </w:r>
    </w:p>
    <w:p w:rsidR="00E17B0A" w:rsidRPr="00C507D8" w:rsidRDefault="00E17B0A" w:rsidP="00C5034D">
      <w:pPr>
        <w:pStyle w:val="BodyText"/>
        <w:spacing w:after="240"/>
        <w:rPr>
          <w:rStyle w:val="BodyTextChar"/>
          <w:rFonts w:eastAsiaTheme="minorHAnsi"/>
          <w:b/>
        </w:rPr>
      </w:pPr>
      <w:r>
        <w:rPr>
          <w:noProof/>
          <w:lang w:eastAsia="zh-CN" w:bidi="km-KH"/>
        </w:rPr>
        <w:drawing>
          <wp:inline distT="0" distB="0" distL="0" distR="0">
            <wp:extent cx="5852160" cy="1371600"/>
            <wp:effectExtent l="19050" t="0" r="15240" b="0"/>
            <wp:docPr id="3" name="Chart 3" descr="Figure 1. Districts by Accountability Level (N = 35)&#10;&#10;Level 4: 5%&#10;Level 3: 43%&#10;Level 2: 30%&#10;Level 1: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7B0A" w:rsidRPr="00F62FA3" w:rsidRDefault="00E17B0A" w:rsidP="00CA759E">
      <w:pPr>
        <w:pStyle w:val="Caption"/>
        <w:rPr>
          <w:rStyle w:val="BodyTextChar"/>
          <w:rFonts w:eastAsiaTheme="minorHAnsi"/>
          <w:b w:val="0"/>
        </w:rPr>
      </w:pPr>
      <w:r w:rsidRPr="00476DB3">
        <w:rPr>
          <w:rStyle w:val="BodyTextChar"/>
          <w:rFonts w:eastAsiaTheme="minorHAnsi"/>
        </w:rPr>
        <w:t>Figure 2. Districts by Region</w:t>
      </w:r>
      <w:r w:rsidR="00B37DE4">
        <w:rPr>
          <w:rStyle w:val="BodyTextChar"/>
          <w:rFonts w:eastAsiaTheme="minorHAnsi"/>
        </w:rPr>
        <w:t xml:space="preserve"> </w:t>
      </w:r>
      <w:r w:rsidR="00B37DE4" w:rsidRPr="008850AA">
        <w:rPr>
          <w:rFonts w:ascii="Times New Roman" w:hAnsi="Times New Roman" w:cs="Times New Roman"/>
        </w:rPr>
        <w:t>(</w:t>
      </w:r>
      <w:r w:rsidR="00B37DE4" w:rsidRPr="008850AA">
        <w:rPr>
          <w:rFonts w:ascii="Times New Roman" w:hAnsi="Times New Roman" w:cs="Times New Roman"/>
          <w:i/>
        </w:rPr>
        <w:t>N</w:t>
      </w:r>
      <w:r w:rsidR="00B37DE4" w:rsidRPr="008850AA">
        <w:rPr>
          <w:rFonts w:ascii="Times New Roman" w:hAnsi="Times New Roman" w:cs="Times New Roman"/>
        </w:rPr>
        <w:t xml:space="preserve"> = 35)</w:t>
      </w:r>
    </w:p>
    <w:p w:rsidR="00E17B0A" w:rsidRDefault="00F62FA3" w:rsidP="00C5034D">
      <w:pPr>
        <w:pStyle w:val="BodyText"/>
        <w:spacing w:after="240"/>
        <w:rPr>
          <w:rStyle w:val="BodyTextChar"/>
          <w:rFonts w:eastAsiaTheme="minorHAnsi"/>
        </w:rPr>
      </w:pPr>
      <w:r w:rsidRPr="004B58F2">
        <w:rPr>
          <w:noProof/>
          <w:lang w:eastAsia="zh-CN" w:bidi="km-KH"/>
        </w:rPr>
        <w:drawing>
          <wp:inline distT="0" distB="0" distL="0" distR="0">
            <wp:extent cx="4211053" cy="2751221"/>
            <wp:effectExtent l="19050" t="0" r="18047" b="0"/>
            <wp:docPr id="7" name="Chart 7" descr="Figure 2. Districts by Region (N = 35)&#10;&#10;Southwest: 3%&#10;Berkshires: 7%&#10;Central: 15%&#10;Northeast: 15%&#10;Pioneer Valley: 15%&#10;Greater Boston: 22%&#10;Southeast: 2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7B0A" w:rsidRPr="00476DB3" w:rsidRDefault="00E17B0A" w:rsidP="00CA759E">
      <w:pPr>
        <w:pStyle w:val="Caption"/>
        <w:rPr>
          <w:rStyle w:val="BodyTextChar"/>
          <w:rFonts w:eastAsiaTheme="minorHAnsi"/>
          <w:b w:val="0"/>
        </w:rPr>
      </w:pPr>
      <w:r w:rsidRPr="00476DB3">
        <w:rPr>
          <w:rStyle w:val="BodyTextChar"/>
          <w:rFonts w:eastAsiaTheme="minorHAnsi"/>
        </w:rPr>
        <w:lastRenderedPageBreak/>
        <w:t>Figure 3. Districts by Urbanicity</w:t>
      </w:r>
      <w:r w:rsidR="004321FE">
        <w:rPr>
          <w:rStyle w:val="BodyTextChar"/>
          <w:rFonts w:eastAsiaTheme="minorHAnsi"/>
        </w:rPr>
        <w:t xml:space="preserve"> and Charter Status</w:t>
      </w:r>
      <w:r w:rsidR="00B37DE4">
        <w:rPr>
          <w:rStyle w:val="BodyTextChar"/>
          <w:rFonts w:eastAsiaTheme="minorHAnsi"/>
        </w:rPr>
        <w:t xml:space="preserve"> </w:t>
      </w:r>
      <w:r w:rsidR="00B37DE4" w:rsidRPr="008850AA">
        <w:rPr>
          <w:rFonts w:ascii="Times New Roman" w:hAnsi="Times New Roman" w:cs="Times New Roman"/>
        </w:rPr>
        <w:t>(</w:t>
      </w:r>
      <w:r w:rsidR="00B37DE4" w:rsidRPr="008850AA">
        <w:rPr>
          <w:rFonts w:ascii="Times New Roman" w:hAnsi="Times New Roman" w:cs="Times New Roman"/>
          <w:i/>
        </w:rPr>
        <w:t>N</w:t>
      </w:r>
      <w:r w:rsidR="00B37DE4" w:rsidRPr="008850AA">
        <w:rPr>
          <w:rFonts w:ascii="Times New Roman" w:hAnsi="Times New Roman" w:cs="Times New Roman"/>
        </w:rPr>
        <w:t xml:space="preserve"> = 35)</w:t>
      </w:r>
    </w:p>
    <w:p w:rsidR="00E17B0A" w:rsidRDefault="00144093" w:rsidP="00C5034D">
      <w:pPr>
        <w:pStyle w:val="BodyText"/>
        <w:spacing w:after="240"/>
        <w:rPr>
          <w:rStyle w:val="BodyTextChar"/>
          <w:rFonts w:eastAsiaTheme="minorHAnsi"/>
        </w:rPr>
      </w:pPr>
      <w:r>
        <w:rPr>
          <w:noProof/>
          <w:lang w:eastAsia="zh-CN" w:bidi="km-KH"/>
        </w:rPr>
        <w:drawing>
          <wp:inline distT="0" distB="0" distL="0" distR="0">
            <wp:extent cx="4572000" cy="2179930"/>
            <wp:effectExtent l="19050" t="0" r="19050" b="0"/>
            <wp:docPr id="4" name="Chart 4" descr="Figure 3. Districts by Urbanicity and Charter Status (N = 35)&#10;&#10;Urban District: 22% &quot;Yes&quot;, 78% &quot;No&quot;&#10;Charter District: 20% &quot;Yes&quot; , 80% &quot;No&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7B0A" w:rsidRDefault="00E17B0A" w:rsidP="00CA759E">
      <w:pPr>
        <w:pStyle w:val="BodyText"/>
        <w:rPr>
          <w:rStyle w:val="BodyTextChar"/>
          <w:rFonts w:eastAsiaTheme="minorHAnsi"/>
        </w:rPr>
      </w:pPr>
      <w:r>
        <w:rPr>
          <w:rStyle w:val="BodyTextChar"/>
          <w:rFonts w:eastAsiaTheme="minorHAnsi"/>
        </w:rPr>
        <w:t>Given the range of district-level data for specific continuous variable</w:t>
      </w:r>
      <w:r w:rsidR="006974C4">
        <w:rPr>
          <w:rStyle w:val="BodyTextChar"/>
          <w:rFonts w:eastAsiaTheme="minorHAnsi"/>
        </w:rPr>
        <w:t>s</w:t>
      </w:r>
      <w:r>
        <w:rPr>
          <w:rStyle w:val="BodyTextChar"/>
          <w:rFonts w:eastAsiaTheme="minorHAnsi"/>
        </w:rPr>
        <w:t xml:space="preserve"> of interest, AIR researchers created unique categories from low to high that allow for </w:t>
      </w:r>
      <w:r w:rsidR="003B18E3">
        <w:rPr>
          <w:rStyle w:val="BodyTextChar"/>
          <w:rFonts w:eastAsiaTheme="minorHAnsi"/>
        </w:rPr>
        <w:t xml:space="preserve">the </w:t>
      </w:r>
      <w:r>
        <w:rPr>
          <w:rStyle w:val="BodyTextChar"/>
          <w:rFonts w:eastAsiaTheme="minorHAnsi"/>
        </w:rPr>
        <w:t>comparison of groups of districts. Table 1 specifies the overall and disaggregated ranges for each of the variables in question</w:t>
      </w:r>
      <w:r w:rsidR="0045532E">
        <w:rPr>
          <w:rStyle w:val="BodyTextChar"/>
          <w:rFonts w:eastAsiaTheme="minorHAnsi"/>
        </w:rPr>
        <w:t>.</w:t>
      </w:r>
      <w:r>
        <w:rPr>
          <w:rStyle w:val="BodyTextChar"/>
          <w:rFonts w:eastAsiaTheme="minorHAnsi"/>
        </w:rPr>
        <w:t xml:space="preserve"> Figures 4 and 5</w:t>
      </w:r>
      <w:r w:rsidR="0045532E">
        <w:rPr>
          <w:rStyle w:val="BodyTextChar"/>
          <w:rFonts w:eastAsiaTheme="minorHAnsi"/>
        </w:rPr>
        <w:t xml:space="preserve"> present the data for each category</w:t>
      </w:r>
      <w:r>
        <w:rPr>
          <w:rStyle w:val="BodyTextChar"/>
          <w:rFonts w:eastAsiaTheme="minorHAnsi"/>
        </w:rPr>
        <w:t>.</w:t>
      </w:r>
    </w:p>
    <w:p w:rsidR="00E17B0A" w:rsidRPr="00383B2F" w:rsidRDefault="00E17B0A" w:rsidP="00CA759E">
      <w:pPr>
        <w:pStyle w:val="TableTitle"/>
        <w:rPr>
          <w:rStyle w:val="BodyTextChar"/>
          <w:rFonts w:eastAsiaTheme="minorHAnsi"/>
          <w:b w:val="0"/>
        </w:rPr>
      </w:pPr>
      <w:r w:rsidRPr="00383B2F">
        <w:rPr>
          <w:rStyle w:val="BodyTextChar"/>
          <w:rFonts w:eastAsiaTheme="minorHAnsi"/>
        </w:rPr>
        <w:t>Table 1. Disaggregated Variables</w:t>
      </w:r>
      <w:r w:rsidR="00B37DE4">
        <w:rPr>
          <w:rStyle w:val="BodyTextChar"/>
          <w:rFonts w:eastAsiaTheme="minorHAnsi"/>
        </w:rPr>
        <w:t xml:space="preserve"> </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2130"/>
        <w:gridCol w:w="2331"/>
        <w:gridCol w:w="2484"/>
      </w:tblGrid>
      <w:tr w:rsidR="003B2A47" w:rsidRPr="00CA759E" w:rsidTr="00C5034D">
        <w:trPr>
          <w:cnfStyle w:val="100000000000"/>
        </w:trPr>
        <w:tc>
          <w:tcPr>
            <w:cnfStyle w:val="001000000000"/>
            <w:tcW w:w="1290" w:type="pct"/>
            <w:shd w:val="clear" w:color="auto" w:fill="B5C7DB" w:themeFill="text2" w:themeFillTint="66"/>
            <w:vAlign w:val="bottom"/>
          </w:tcPr>
          <w:p w:rsidR="003B2A47" w:rsidRPr="003B18E3" w:rsidRDefault="003B2A47" w:rsidP="003B18E3">
            <w:pPr>
              <w:pStyle w:val="TableColumnHeadCentered"/>
              <w:rPr>
                <w:rStyle w:val="BodyTextChar"/>
                <w:color w:val="auto"/>
                <w:sz w:val="22"/>
              </w:rPr>
            </w:pPr>
          </w:p>
        </w:tc>
        <w:tc>
          <w:tcPr>
            <w:tcW w:w="1138" w:type="pct"/>
            <w:shd w:val="clear" w:color="auto" w:fill="B5C7DB" w:themeFill="text2" w:themeFillTint="66"/>
          </w:tcPr>
          <w:p w:rsidR="003B2A47" w:rsidRPr="003B18E3" w:rsidRDefault="00223983" w:rsidP="00C5034D">
            <w:pPr>
              <w:pStyle w:val="TableColumnHeadCentered"/>
              <w:cnfStyle w:val="100000000000"/>
              <w:rPr>
                <w:rStyle w:val="BodyTextChar"/>
                <w:color w:val="auto"/>
                <w:sz w:val="22"/>
              </w:rPr>
            </w:pPr>
            <w:r>
              <w:rPr>
                <w:rStyle w:val="BodyTextChar"/>
                <w:color w:val="auto"/>
                <w:sz w:val="22"/>
              </w:rPr>
              <w:t>Percentage of</w:t>
            </w:r>
            <w:r w:rsidRPr="003B18E3">
              <w:rPr>
                <w:rStyle w:val="BodyTextChar"/>
                <w:color w:val="auto"/>
                <w:sz w:val="22"/>
              </w:rPr>
              <w:t xml:space="preserve"> </w:t>
            </w:r>
            <w:r w:rsidR="003B2A47" w:rsidRPr="003B18E3">
              <w:rPr>
                <w:rStyle w:val="BodyTextChar"/>
                <w:color w:val="auto"/>
                <w:sz w:val="22"/>
              </w:rPr>
              <w:t>Special Education</w:t>
            </w:r>
          </w:p>
        </w:tc>
        <w:tc>
          <w:tcPr>
            <w:tcW w:w="1245" w:type="pct"/>
            <w:shd w:val="clear" w:color="auto" w:fill="B5C7DB" w:themeFill="text2" w:themeFillTint="66"/>
          </w:tcPr>
          <w:p w:rsidR="003B2A47" w:rsidRPr="003B18E3" w:rsidRDefault="00223983" w:rsidP="00C5034D">
            <w:pPr>
              <w:pStyle w:val="TableColumnHeadCentered"/>
              <w:cnfStyle w:val="100000000000"/>
              <w:rPr>
                <w:rStyle w:val="BodyTextChar"/>
                <w:color w:val="auto"/>
                <w:sz w:val="22"/>
              </w:rPr>
            </w:pPr>
            <w:r>
              <w:rPr>
                <w:rStyle w:val="BodyTextChar"/>
                <w:color w:val="auto"/>
                <w:sz w:val="22"/>
              </w:rPr>
              <w:t>Percentage of</w:t>
            </w:r>
            <w:r w:rsidRPr="003B18E3">
              <w:rPr>
                <w:rStyle w:val="BodyTextChar"/>
                <w:color w:val="auto"/>
                <w:sz w:val="22"/>
              </w:rPr>
              <w:t xml:space="preserve"> </w:t>
            </w:r>
            <w:r w:rsidR="003B2A47" w:rsidRPr="003B18E3">
              <w:rPr>
                <w:rStyle w:val="BodyTextChar"/>
                <w:color w:val="auto"/>
                <w:sz w:val="22"/>
              </w:rPr>
              <w:t>ELL</w:t>
            </w:r>
            <w:r w:rsidR="001B677A">
              <w:rPr>
                <w:rStyle w:val="BodyTextChar"/>
                <w:color w:val="auto"/>
                <w:sz w:val="22"/>
              </w:rPr>
              <w:t>s</w:t>
            </w:r>
          </w:p>
        </w:tc>
        <w:tc>
          <w:tcPr>
            <w:tcW w:w="1327" w:type="pct"/>
            <w:shd w:val="clear" w:color="auto" w:fill="B5C7DB" w:themeFill="text2" w:themeFillTint="66"/>
          </w:tcPr>
          <w:p w:rsidR="003B2A47" w:rsidRPr="003B18E3" w:rsidRDefault="00223983" w:rsidP="00C5034D">
            <w:pPr>
              <w:pStyle w:val="TableColumnHeadCentered"/>
              <w:cnfStyle w:val="100000000000"/>
              <w:rPr>
                <w:rStyle w:val="BodyTextChar"/>
                <w:color w:val="auto"/>
                <w:sz w:val="22"/>
              </w:rPr>
            </w:pPr>
            <w:r>
              <w:rPr>
                <w:rStyle w:val="BodyTextChar"/>
                <w:color w:val="auto"/>
                <w:sz w:val="22"/>
              </w:rPr>
              <w:t>Percentage of</w:t>
            </w:r>
            <w:r w:rsidRPr="003B18E3">
              <w:rPr>
                <w:rStyle w:val="BodyTextChar"/>
                <w:color w:val="auto"/>
                <w:sz w:val="22"/>
              </w:rPr>
              <w:t xml:space="preserve"> </w:t>
            </w:r>
            <w:r w:rsidR="003B2A47" w:rsidRPr="003B18E3">
              <w:rPr>
                <w:rStyle w:val="BodyTextChar"/>
                <w:color w:val="auto"/>
                <w:sz w:val="22"/>
              </w:rPr>
              <w:t xml:space="preserve">Proficient or Higher on MCAS </w:t>
            </w:r>
            <w:r w:rsidR="005E5142" w:rsidRPr="003B18E3">
              <w:rPr>
                <w:rStyle w:val="BodyTextChar"/>
                <w:color w:val="auto"/>
                <w:sz w:val="22"/>
              </w:rPr>
              <w:t>2014</w:t>
            </w:r>
            <w:r>
              <w:rPr>
                <w:rStyle w:val="BodyTextChar"/>
                <w:color w:val="auto"/>
                <w:sz w:val="22"/>
                <w:vertAlign w:val="superscript"/>
              </w:rPr>
              <w:t>a</w:t>
            </w:r>
          </w:p>
        </w:tc>
      </w:tr>
      <w:tr w:rsidR="003B2A47" w:rsidTr="00A35A6F">
        <w:trPr>
          <w:cnfStyle w:val="000000100000"/>
        </w:trPr>
        <w:tc>
          <w:tcPr>
            <w:cnfStyle w:val="001000000000"/>
            <w:tcW w:w="1290" w:type="pct"/>
            <w:tcBorders>
              <w:top w:val="none" w:sz="0" w:space="0" w:color="auto"/>
              <w:left w:val="none" w:sz="0" w:space="0" w:color="auto"/>
              <w:bottom w:val="none" w:sz="0" w:space="0" w:color="auto"/>
            </w:tcBorders>
          </w:tcPr>
          <w:p w:rsidR="003B2A47" w:rsidRPr="00383B2F" w:rsidRDefault="003B2A47" w:rsidP="003B18E3">
            <w:pPr>
              <w:pStyle w:val="TableText"/>
              <w:rPr>
                <w:rStyle w:val="BodyTextChar"/>
                <w:b w:val="0"/>
                <w:sz w:val="22"/>
              </w:rPr>
            </w:pPr>
            <w:r w:rsidRPr="00383B2F">
              <w:rPr>
                <w:rStyle w:val="BodyTextChar"/>
                <w:b w:val="0"/>
                <w:sz w:val="22"/>
              </w:rPr>
              <w:t xml:space="preserve">Overall </w:t>
            </w:r>
            <w:r w:rsidR="003B18E3">
              <w:rPr>
                <w:rStyle w:val="BodyTextChar"/>
                <w:b w:val="0"/>
                <w:sz w:val="22"/>
              </w:rPr>
              <w:t>r</w:t>
            </w:r>
            <w:r w:rsidR="003B18E3" w:rsidRPr="00383B2F">
              <w:rPr>
                <w:rStyle w:val="BodyTextChar"/>
                <w:b w:val="0"/>
                <w:sz w:val="22"/>
              </w:rPr>
              <w:t>ange</w:t>
            </w:r>
          </w:p>
        </w:tc>
        <w:tc>
          <w:tcPr>
            <w:tcW w:w="1138" w:type="pct"/>
            <w:tcBorders>
              <w:top w:val="none" w:sz="0" w:space="0" w:color="auto"/>
              <w:bottom w:val="none" w:sz="0" w:space="0" w:color="auto"/>
            </w:tcBorders>
          </w:tcPr>
          <w:p w:rsidR="003B2A47" w:rsidRPr="00383B2F" w:rsidRDefault="003B2A47" w:rsidP="00B0378C">
            <w:pPr>
              <w:pStyle w:val="TableText"/>
              <w:jc w:val="center"/>
              <w:cnfStyle w:val="000000100000"/>
              <w:rPr>
                <w:rStyle w:val="BodyTextChar"/>
                <w:sz w:val="22"/>
              </w:rPr>
            </w:pPr>
            <w:r w:rsidRPr="00383B2F">
              <w:rPr>
                <w:rStyle w:val="BodyTextChar"/>
                <w:sz w:val="22"/>
              </w:rPr>
              <w:t>3</w:t>
            </w:r>
            <w:r w:rsidR="00B0378C">
              <w:rPr>
                <w:rStyle w:val="BodyTextChar"/>
                <w:sz w:val="22"/>
              </w:rPr>
              <w:t>–</w:t>
            </w:r>
            <w:r w:rsidRPr="00383B2F">
              <w:rPr>
                <w:rStyle w:val="BodyTextChar"/>
                <w:sz w:val="22"/>
              </w:rPr>
              <w:t>37%</w:t>
            </w:r>
          </w:p>
        </w:tc>
        <w:tc>
          <w:tcPr>
            <w:tcW w:w="1245" w:type="pct"/>
            <w:tcBorders>
              <w:top w:val="none" w:sz="0" w:space="0" w:color="auto"/>
              <w:bottom w:val="none" w:sz="0" w:space="0" w:color="auto"/>
            </w:tcBorders>
          </w:tcPr>
          <w:p w:rsidR="003B2A47" w:rsidRPr="00383B2F" w:rsidRDefault="003B2A47" w:rsidP="00B0378C">
            <w:pPr>
              <w:pStyle w:val="TableText"/>
              <w:jc w:val="center"/>
              <w:cnfStyle w:val="000000100000"/>
              <w:rPr>
                <w:rStyle w:val="BodyTextChar"/>
                <w:sz w:val="22"/>
              </w:rPr>
            </w:pPr>
            <w:r w:rsidRPr="00383B2F">
              <w:rPr>
                <w:rStyle w:val="BodyTextChar"/>
                <w:sz w:val="22"/>
              </w:rPr>
              <w:t>0</w:t>
            </w:r>
            <w:r w:rsidR="00B0378C">
              <w:rPr>
                <w:rStyle w:val="BodyTextChar"/>
                <w:sz w:val="22"/>
              </w:rPr>
              <w:t>–</w:t>
            </w:r>
            <w:r w:rsidRPr="00383B2F">
              <w:rPr>
                <w:rStyle w:val="BodyTextChar"/>
                <w:sz w:val="22"/>
              </w:rPr>
              <w:t>47%</w:t>
            </w:r>
          </w:p>
        </w:tc>
        <w:tc>
          <w:tcPr>
            <w:tcW w:w="1327" w:type="pct"/>
            <w:tcBorders>
              <w:top w:val="none" w:sz="0" w:space="0" w:color="auto"/>
              <w:bottom w:val="none" w:sz="0" w:space="0" w:color="auto"/>
              <w:right w:val="none" w:sz="0" w:space="0" w:color="auto"/>
            </w:tcBorders>
          </w:tcPr>
          <w:p w:rsidR="003B2A47" w:rsidRPr="00383B2F" w:rsidRDefault="003B2A47" w:rsidP="00B0378C">
            <w:pPr>
              <w:pStyle w:val="TableText"/>
              <w:jc w:val="center"/>
              <w:cnfStyle w:val="000000100000"/>
              <w:rPr>
                <w:rStyle w:val="BodyTextChar"/>
                <w:sz w:val="22"/>
              </w:rPr>
            </w:pPr>
            <w:r w:rsidRPr="00383B2F">
              <w:rPr>
                <w:rStyle w:val="BodyTextChar"/>
                <w:sz w:val="22"/>
              </w:rPr>
              <w:t>40</w:t>
            </w:r>
            <w:r w:rsidR="00B0378C">
              <w:rPr>
                <w:rStyle w:val="BodyTextChar"/>
                <w:sz w:val="22"/>
              </w:rPr>
              <w:t>–</w:t>
            </w:r>
            <w:r w:rsidRPr="00383B2F">
              <w:rPr>
                <w:rStyle w:val="BodyTextChar"/>
                <w:sz w:val="22"/>
              </w:rPr>
              <w:t>87%</w:t>
            </w:r>
          </w:p>
        </w:tc>
      </w:tr>
      <w:tr w:rsidR="003B2A47" w:rsidTr="00A35A6F">
        <w:tc>
          <w:tcPr>
            <w:cnfStyle w:val="001000000000"/>
            <w:tcW w:w="1290" w:type="pct"/>
          </w:tcPr>
          <w:p w:rsidR="003B2A47" w:rsidRPr="00383B2F" w:rsidRDefault="003B2A47" w:rsidP="00CA759E">
            <w:pPr>
              <w:pStyle w:val="TableText"/>
              <w:rPr>
                <w:rStyle w:val="BodyTextChar"/>
                <w:b w:val="0"/>
                <w:sz w:val="22"/>
              </w:rPr>
            </w:pPr>
            <w:r w:rsidRPr="00383B2F">
              <w:rPr>
                <w:rStyle w:val="BodyTextChar"/>
                <w:b w:val="0"/>
                <w:sz w:val="22"/>
              </w:rPr>
              <w:t>Low</w:t>
            </w:r>
          </w:p>
        </w:tc>
        <w:tc>
          <w:tcPr>
            <w:tcW w:w="1138" w:type="pct"/>
          </w:tcPr>
          <w:p w:rsidR="003B2A47" w:rsidRPr="00383B2F" w:rsidRDefault="003B2A47" w:rsidP="00B0378C">
            <w:pPr>
              <w:pStyle w:val="TableText"/>
              <w:jc w:val="center"/>
              <w:cnfStyle w:val="000000000000"/>
              <w:rPr>
                <w:rStyle w:val="BodyTextChar"/>
                <w:sz w:val="22"/>
              </w:rPr>
            </w:pPr>
            <w:r w:rsidRPr="00383B2F">
              <w:rPr>
                <w:rStyle w:val="BodyTextChar"/>
                <w:sz w:val="22"/>
              </w:rPr>
              <w:t>0</w:t>
            </w:r>
            <w:r w:rsidR="00B0378C">
              <w:rPr>
                <w:rStyle w:val="BodyTextChar"/>
                <w:sz w:val="22"/>
              </w:rPr>
              <w:t>–</w:t>
            </w:r>
            <w:r w:rsidRPr="00383B2F">
              <w:rPr>
                <w:rStyle w:val="BodyTextChar"/>
                <w:sz w:val="22"/>
              </w:rPr>
              <w:t>10%</w:t>
            </w:r>
          </w:p>
        </w:tc>
        <w:tc>
          <w:tcPr>
            <w:tcW w:w="1245" w:type="pct"/>
          </w:tcPr>
          <w:p w:rsidR="003B2A47" w:rsidRPr="00383B2F" w:rsidRDefault="003B2A47" w:rsidP="00B0378C">
            <w:pPr>
              <w:pStyle w:val="TableText"/>
              <w:jc w:val="center"/>
              <w:cnfStyle w:val="000000000000"/>
              <w:rPr>
                <w:rStyle w:val="BodyTextChar"/>
                <w:sz w:val="22"/>
              </w:rPr>
            </w:pPr>
            <w:r w:rsidRPr="00383B2F">
              <w:rPr>
                <w:rStyle w:val="BodyTextChar"/>
                <w:sz w:val="22"/>
              </w:rPr>
              <w:t>0</w:t>
            </w:r>
            <w:r w:rsidR="00B0378C">
              <w:rPr>
                <w:rStyle w:val="BodyTextChar"/>
                <w:sz w:val="22"/>
              </w:rPr>
              <w:t>–</w:t>
            </w:r>
            <w:r w:rsidRPr="00383B2F">
              <w:rPr>
                <w:rStyle w:val="BodyTextChar"/>
                <w:sz w:val="22"/>
              </w:rPr>
              <w:t>10%</w:t>
            </w:r>
          </w:p>
        </w:tc>
        <w:tc>
          <w:tcPr>
            <w:tcW w:w="1327" w:type="pct"/>
          </w:tcPr>
          <w:p w:rsidR="003B2A47" w:rsidRPr="00383B2F" w:rsidRDefault="003B2A47" w:rsidP="00B0378C">
            <w:pPr>
              <w:pStyle w:val="TableText"/>
              <w:jc w:val="center"/>
              <w:cnfStyle w:val="000000000000"/>
              <w:rPr>
                <w:rStyle w:val="BodyTextChar"/>
                <w:sz w:val="22"/>
              </w:rPr>
            </w:pPr>
            <w:r w:rsidRPr="00383B2F">
              <w:rPr>
                <w:rStyle w:val="BodyTextChar"/>
                <w:sz w:val="22"/>
              </w:rPr>
              <w:t>40</w:t>
            </w:r>
            <w:r w:rsidR="00B0378C">
              <w:rPr>
                <w:rStyle w:val="BodyTextChar"/>
                <w:sz w:val="22"/>
              </w:rPr>
              <w:t>–</w:t>
            </w:r>
            <w:r w:rsidRPr="00383B2F">
              <w:rPr>
                <w:rStyle w:val="BodyTextChar"/>
                <w:sz w:val="22"/>
              </w:rPr>
              <w:t>55%</w:t>
            </w:r>
          </w:p>
        </w:tc>
      </w:tr>
      <w:tr w:rsidR="003B2A47" w:rsidTr="00A35A6F">
        <w:trPr>
          <w:cnfStyle w:val="000000100000"/>
        </w:trPr>
        <w:tc>
          <w:tcPr>
            <w:cnfStyle w:val="001000000000"/>
            <w:tcW w:w="1290" w:type="pct"/>
            <w:tcBorders>
              <w:top w:val="none" w:sz="0" w:space="0" w:color="auto"/>
              <w:left w:val="none" w:sz="0" w:space="0" w:color="auto"/>
              <w:bottom w:val="none" w:sz="0" w:space="0" w:color="auto"/>
            </w:tcBorders>
          </w:tcPr>
          <w:p w:rsidR="003B2A47" w:rsidRPr="00383B2F" w:rsidRDefault="003B2A47" w:rsidP="00CA759E">
            <w:pPr>
              <w:pStyle w:val="TableText"/>
              <w:rPr>
                <w:rStyle w:val="BodyTextChar"/>
                <w:b w:val="0"/>
                <w:sz w:val="22"/>
              </w:rPr>
            </w:pPr>
            <w:r w:rsidRPr="00383B2F">
              <w:rPr>
                <w:rStyle w:val="BodyTextChar"/>
                <w:b w:val="0"/>
                <w:sz w:val="22"/>
              </w:rPr>
              <w:t xml:space="preserve">Medium </w:t>
            </w:r>
          </w:p>
        </w:tc>
        <w:tc>
          <w:tcPr>
            <w:tcW w:w="1138" w:type="pct"/>
            <w:tcBorders>
              <w:top w:val="none" w:sz="0" w:space="0" w:color="auto"/>
              <w:bottom w:val="none" w:sz="0" w:space="0" w:color="auto"/>
            </w:tcBorders>
          </w:tcPr>
          <w:p w:rsidR="003B2A47" w:rsidRPr="00383B2F" w:rsidRDefault="003B2A47" w:rsidP="00B0378C">
            <w:pPr>
              <w:pStyle w:val="TableText"/>
              <w:jc w:val="center"/>
              <w:cnfStyle w:val="000000100000"/>
              <w:rPr>
                <w:rStyle w:val="BodyTextChar"/>
                <w:sz w:val="22"/>
              </w:rPr>
            </w:pPr>
            <w:r w:rsidRPr="00383B2F">
              <w:rPr>
                <w:rStyle w:val="BodyTextChar"/>
                <w:sz w:val="22"/>
              </w:rPr>
              <w:t>11</w:t>
            </w:r>
            <w:r w:rsidR="00B0378C">
              <w:rPr>
                <w:rStyle w:val="BodyTextChar"/>
                <w:sz w:val="22"/>
              </w:rPr>
              <w:t>–</w:t>
            </w:r>
            <w:r w:rsidRPr="00383B2F">
              <w:rPr>
                <w:rStyle w:val="BodyTextChar"/>
                <w:sz w:val="22"/>
              </w:rPr>
              <w:t>20%</w:t>
            </w:r>
          </w:p>
        </w:tc>
        <w:tc>
          <w:tcPr>
            <w:tcW w:w="1245" w:type="pct"/>
            <w:tcBorders>
              <w:top w:val="none" w:sz="0" w:space="0" w:color="auto"/>
              <w:bottom w:val="none" w:sz="0" w:space="0" w:color="auto"/>
            </w:tcBorders>
          </w:tcPr>
          <w:p w:rsidR="003B2A47" w:rsidRPr="00383B2F" w:rsidRDefault="003B2A47" w:rsidP="00B0378C">
            <w:pPr>
              <w:pStyle w:val="TableText"/>
              <w:jc w:val="center"/>
              <w:cnfStyle w:val="000000100000"/>
              <w:rPr>
                <w:rStyle w:val="BodyTextChar"/>
                <w:sz w:val="22"/>
              </w:rPr>
            </w:pPr>
            <w:r w:rsidRPr="00383B2F">
              <w:rPr>
                <w:rStyle w:val="BodyTextChar"/>
                <w:sz w:val="22"/>
              </w:rPr>
              <w:t>11</w:t>
            </w:r>
            <w:r w:rsidR="00B0378C">
              <w:rPr>
                <w:rStyle w:val="BodyTextChar"/>
                <w:sz w:val="22"/>
              </w:rPr>
              <w:t>–</w:t>
            </w:r>
            <w:r w:rsidRPr="00383B2F">
              <w:rPr>
                <w:rStyle w:val="BodyTextChar"/>
                <w:sz w:val="22"/>
              </w:rPr>
              <w:t>20%</w:t>
            </w:r>
          </w:p>
        </w:tc>
        <w:tc>
          <w:tcPr>
            <w:tcW w:w="1327" w:type="pct"/>
            <w:tcBorders>
              <w:top w:val="none" w:sz="0" w:space="0" w:color="auto"/>
              <w:bottom w:val="none" w:sz="0" w:space="0" w:color="auto"/>
              <w:right w:val="none" w:sz="0" w:space="0" w:color="auto"/>
            </w:tcBorders>
          </w:tcPr>
          <w:p w:rsidR="003B2A47" w:rsidRPr="00383B2F" w:rsidRDefault="003B2A47" w:rsidP="00B0378C">
            <w:pPr>
              <w:pStyle w:val="TableText"/>
              <w:jc w:val="center"/>
              <w:cnfStyle w:val="000000100000"/>
              <w:rPr>
                <w:rStyle w:val="BodyTextChar"/>
                <w:sz w:val="22"/>
              </w:rPr>
            </w:pPr>
            <w:r w:rsidRPr="00383B2F">
              <w:rPr>
                <w:rStyle w:val="BodyTextChar"/>
                <w:sz w:val="22"/>
              </w:rPr>
              <w:t>56</w:t>
            </w:r>
            <w:r w:rsidR="00B0378C">
              <w:rPr>
                <w:rStyle w:val="BodyTextChar"/>
                <w:sz w:val="22"/>
              </w:rPr>
              <w:t>–</w:t>
            </w:r>
            <w:r w:rsidR="008472DF">
              <w:rPr>
                <w:rStyle w:val="BodyTextChar"/>
                <w:sz w:val="22"/>
              </w:rPr>
              <w:t>69</w:t>
            </w:r>
            <w:r w:rsidRPr="00383B2F">
              <w:rPr>
                <w:rStyle w:val="BodyTextChar"/>
                <w:sz w:val="22"/>
              </w:rPr>
              <w:t>%</w:t>
            </w:r>
          </w:p>
        </w:tc>
      </w:tr>
      <w:tr w:rsidR="003B2A47" w:rsidTr="00A35A6F">
        <w:tc>
          <w:tcPr>
            <w:cnfStyle w:val="001000000000"/>
            <w:tcW w:w="1290" w:type="pct"/>
          </w:tcPr>
          <w:p w:rsidR="003B2A47" w:rsidRPr="00383B2F" w:rsidRDefault="003B2A47" w:rsidP="00CA759E">
            <w:pPr>
              <w:pStyle w:val="TableText"/>
              <w:rPr>
                <w:rStyle w:val="BodyTextChar"/>
                <w:b w:val="0"/>
                <w:sz w:val="22"/>
              </w:rPr>
            </w:pPr>
            <w:r w:rsidRPr="00383B2F">
              <w:rPr>
                <w:rStyle w:val="BodyTextChar"/>
                <w:b w:val="0"/>
                <w:sz w:val="22"/>
              </w:rPr>
              <w:t>High</w:t>
            </w:r>
          </w:p>
        </w:tc>
        <w:tc>
          <w:tcPr>
            <w:tcW w:w="1138" w:type="pct"/>
          </w:tcPr>
          <w:p w:rsidR="003B2A47" w:rsidRPr="00383B2F" w:rsidRDefault="003B2A47" w:rsidP="00B0378C">
            <w:pPr>
              <w:pStyle w:val="TableText"/>
              <w:jc w:val="center"/>
              <w:cnfStyle w:val="000000000000"/>
              <w:rPr>
                <w:rStyle w:val="BodyTextChar"/>
                <w:sz w:val="22"/>
              </w:rPr>
            </w:pPr>
            <w:r w:rsidRPr="00383B2F">
              <w:rPr>
                <w:rStyle w:val="BodyTextChar"/>
                <w:sz w:val="22"/>
              </w:rPr>
              <w:t>&gt;20%</w:t>
            </w:r>
          </w:p>
        </w:tc>
        <w:tc>
          <w:tcPr>
            <w:tcW w:w="1245" w:type="pct"/>
          </w:tcPr>
          <w:p w:rsidR="003B2A47" w:rsidRPr="00383B2F" w:rsidRDefault="003B2A47" w:rsidP="00B0378C">
            <w:pPr>
              <w:pStyle w:val="TableText"/>
              <w:jc w:val="center"/>
              <w:cnfStyle w:val="000000000000"/>
              <w:rPr>
                <w:rStyle w:val="BodyTextChar"/>
                <w:sz w:val="22"/>
              </w:rPr>
            </w:pPr>
            <w:r w:rsidRPr="00383B2F">
              <w:rPr>
                <w:rStyle w:val="BodyTextChar"/>
                <w:sz w:val="22"/>
              </w:rPr>
              <w:t>&gt;20%</w:t>
            </w:r>
          </w:p>
        </w:tc>
        <w:tc>
          <w:tcPr>
            <w:tcW w:w="1327" w:type="pct"/>
          </w:tcPr>
          <w:p w:rsidR="003B2A47" w:rsidRPr="00383B2F" w:rsidRDefault="008472DF" w:rsidP="00B0378C">
            <w:pPr>
              <w:pStyle w:val="TableText"/>
              <w:jc w:val="center"/>
              <w:cnfStyle w:val="000000000000"/>
              <w:rPr>
                <w:rStyle w:val="BodyTextChar"/>
                <w:sz w:val="22"/>
              </w:rPr>
            </w:pPr>
            <w:r>
              <w:rPr>
                <w:rStyle w:val="BodyTextChar"/>
                <w:rFonts w:cstheme="minorHAnsi"/>
                <w:sz w:val="22"/>
              </w:rPr>
              <w:t>≥</w:t>
            </w:r>
            <w:r w:rsidR="003B2A47" w:rsidRPr="00383B2F">
              <w:rPr>
                <w:rStyle w:val="BodyTextChar"/>
                <w:sz w:val="22"/>
              </w:rPr>
              <w:t>70%</w:t>
            </w:r>
          </w:p>
        </w:tc>
      </w:tr>
    </w:tbl>
    <w:p w:rsidR="00223983" w:rsidRPr="0010703B" w:rsidRDefault="00DA6EC6" w:rsidP="00CA759E">
      <w:pPr>
        <w:pStyle w:val="TableNote"/>
        <w:rPr>
          <w:rStyle w:val="BodyTextChar"/>
          <w:rFonts w:eastAsiaTheme="minorHAnsi"/>
          <w:sz w:val="20"/>
        </w:rPr>
      </w:pPr>
      <w:r w:rsidRPr="00DA6EC6">
        <w:rPr>
          <w:rStyle w:val="BodyTextChar"/>
          <w:rFonts w:eastAsiaTheme="minorHAnsi"/>
          <w:i/>
          <w:sz w:val="20"/>
        </w:rPr>
        <w:t>Note</w:t>
      </w:r>
      <w:r>
        <w:rPr>
          <w:rStyle w:val="BodyTextChar"/>
          <w:rFonts w:eastAsiaTheme="minorHAnsi"/>
          <w:sz w:val="20"/>
        </w:rPr>
        <w:t xml:space="preserve">. </w:t>
      </w:r>
      <w:r w:rsidR="00223983">
        <w:rPr>
          <w:rStyle w:val="BodyTextChar"/>
          <w:rFonts w:eastAsiaTheme="minorHAnsi"/>
          <w:sz w:val="20"/>
        </w:rPr>
        <w:t xml:space="preserve">MCAS = </w:t>
      </w:r>
      <w:r w:rsidR="00223983" w:rsidRPr="00223983">
        <w:rPr>
          <w:rStyle w:val="BodyTextChar"/>
          <w:rFonts w:eastAsiaTheme="minorHAnsi"/>
          <w:sz w:val="20"/>
        </w:rPr>
        <w:t>Massachusetts Comprehensive Assessment System</w:t>
      </w:r>
      <w:r w:rsidR="00223983">
        <w:rPr>
          <w:rStyle w:val="BodyTextChar"/>
          <w:rFonts w:eastAsiaTheme="minorHAnsi"/>
          <w:sz w:val="20"/>
        </w:rPr>
        <w:t>.</w:t>
      </w:r>
    </w:p>
    <w:p w:rsidR="00E17B0A" w:rsidRDefault="00223983" w:rsidP="00CA759E">
      <w:pPr>
        <w:pStyle w:val="TableNote"/>
        <w:rPr>
          <w:rStyle w:val="BodyTextChar"/>
          <w:rFonts w:eastAsiaTheme="minorHAnsi"/>
        </w:rPr>
      </w:pPr>
      <w:r w:rsidRPr="00223983">
        <w:rPr>
          <w:rStyle w:val="BodyTextChar"/>
          <w:rFonts w:eastAsiaTheme="minorHAnsi"/>
          <w:sz w:val="20"/>
          <w:vertAlign w:val="superscript"/>
        </w:rPr>
        <w:t>a</w:t>
      </w:r>
      <w:r w:rsidR="004321FE" w:rsidRPr="00A4757A">
        <w:rPr>
          <w:rStyle w:val="BodyTextChar"/>
          <w:rFonts w:eastAsiaTheme="minorHAnsi"/>
          <w:sz w:val="20"/>
        </w:rPr>
        <w:t>Average percent</w:t>
      </w:r>
      <w:r w:rsidR="00A4757A">
        <w:rPr>
          <w:rStyle w:val="BodyTextChar"/>
          <w:rFonts w:eastAsiaTheme="minorHAnsi"/>
          <w:sz w:val="20"/>
        </w:rPr>
        <w:t>age</w:t>
      </w:r>
      <w:r w:rsidR="004321FE" w:rsidRPr="00A4757A">
        <w:rPr>
          <w:rStyle w:val="BodyTextChar"/>
          <w:rFonts w:eastAsiaTheme="minorHAnsi"/>
          <w:sz w:val="20"/>
        </w:rPr>
        <w:t xml:space="preserve"> </w:t>
      </w:r>
      <w:r w:rsidR="00A4757A">
        <w:rPr>
          <w:rStyle w:val="BodyTextChar"/>
          <w:rFonts w:eastAsiaTheme="minorHAnsi"/>
          <w:sz w:val="20"/>
        </w:rPr>
        <w:t>in</w:t>
      </w:r>
      <w:r w:rsidR="004321FE" w:rsidRPr="00A4757A">
        <w:rPr>
          <w:rStyle w:val="BodyTextChar"/>
          <w:rFonts w:eastAsiaTheme="minorHAnsi"/>
          <w:sz w:val="20"/>
        </w:rPr>
        <w:t xml:space="preserve"> </w:t>
      </w:r>
      <w:r w:rsidR="003B18E3">
        <w:rPr>
          <w:rStyle w:val="BodyTextChar"/>
          <w:rFonts w:eastAsiaTheme="minorHAnsi"/>
          <w:sz w:val="20"/>
        </w:rPr>
        <w:t>English language arts</w:t>
      </w:r>
      <w:r w:rsidR="003B18E3" w:rsidRPr="00A4757A">
        <w:rPr>
          <w:rStyle w:val="BodyTextChar"/>
          <w:rFonts w:eastAsiaTheme="minorHAnsi"/>
          <w:sz w:val="20"/>
        </w:rPr>
        <w:t xml:space="preserve"> </w:t>
      </w:r>
      <w:r w:rsidR="004321FE" w:rsidRPr="00A4757A">
        <w:rPr>
          <w:rStyle w:val="BodyTextChar"/>
          <w:rFonts w:eastAsiaTheme="minorHAnsi"/>
          <w:sz w:val="20"/>
        </w:rPr>
        <w:t xml:space="preserve">and </w:t>
      </w:r>
      <w:r w:rsidR="003B18E3">
        <w:rPr>
          <w:rStyle w:val="BodyTextChar"/>
          <w:rFonts w:eastAsiaTheme="minorHAnsi"/>
          <w:sz w:val="20"/>
        </w:rPr>
        <w:t>m</w:t>
      </w:r>
      <w:r w:rsidR="003B18E3" w:rsidRPr="00A4757A">
        <w:rPr>
          <w:rStyle w:val="BodyTextChar"/>
          <w:rFonts w:eastAsiaTheme="minorHAnsi"/>
          <w:sz w:val="20"/>
        </w:rPr>
        <w:t>ath</w:t>
      </w:r>
      <w:r w:rsidR="003B18E3">
        <w:rPr>
          <w:rStyle w:val="BodyTextChar"/>
          <w:rFonts w:eastAsiaTheme="minorHAnsi"/>
          <w:sz w:val="20"/>
        </w:rPr>
        <w:t>ematics.</w:t>
      </w:r>
    </w:p>
    <w:p w:rsidR="00E17B0A" w:rsidRDefault="00E17B0A" w:rsidP="00CA759E">
      <w:pPr>
        <w:pStyle w:val="Caption"/>
        <w:rPr>
          <w:rStyle w:val="BodyTextChar"/>
          <w:rFonts w:eastAsiaTheme="minorHAnsi"/>
          <w:b w:val="0"/>
        </w:rPr>
      </w:pPr>
      <w:r w:rsidRPr="00476DB3">
        <w:rPr>
          <w:rStyle w:val="BodyTextChar"/>
          <w:rFonts w:eastAsiaTheme="minorHAnsi"/>
        </w:rPr>
        <w:t>Figure 4. Districts by Proportion of Special Populations</w:t>
      </w:r>
      <w:r w:rsidR="00B37DE4">
        <w:rPr>
          <w:rStyle w:val="BodyTextChar"/>
          <w:rFonts w:eastAsiaTheme="minorHAnsi"/>
        </w:rPr>
        <w:t xml:space="preserve"> </w:t>
      </w:r>
      <w:r w:rsidR="00B37DE4" w:rsidRPr="008850AA">
        <w:rPr>
          <w:rFonts w:ascii="Times New Roman" w:hAnsi="Times New Roman" w:cs="Times New Roman"/>
        </w:rPr>
        <w:t>(</w:t>
      </w:r>
      <w:r w:rsidR="00B37DE4" w:rsidRPr="008850AA">
        <w:rPr>
          <w:rFonts w:ascii="Times New Roman" w:hAnsi="Times New Roman" w:cs="Times New Roman"/>
          <w:i/>
        </w:rPr>
        <w:t>N</w:t>
      </w:r>
      <w:r w:rsidR="00B37DE4" w:rsidRPr="008850AA">
        <w:rPr>
          <w:rFonts w:ascii="Times New Roman" w:hAnsi="Times New Roman" w:cs="Times New Roman"/>
        </w:rPr>
        <w:t xml:space="preserve"> = 35)</w:t>
      </w:r>
    </w:p>
    <w:p w:rsidR="00E17B0A" w:rsidRDefault="003B2A47" w:rsidP="00CA759E">
      <w:pPr>
        <w:pStyle w:val="BodyText"/>
        <w:rPr>
          <w:rStyle w:val="BodyTextChar"/>
          <w:rFonts w:eastAsiaTheme="minorHAnsi"/>
        </w:rPr>
      </w:pPr>
      <w:r>
        <w:rPr>
          <w:noProof/>
          <w:lang w:eastAsia="zh-CN" w:bidi="km-KH"/>
        </w:rPr>
        <w:drawing>
          <wp:inline distT="0" distB="0" distL="0" distR="0">
            <wp:extent cx="5852160" cy="1828800"/>
            <wp:effectExtent l="19050" t="0" r="15240" b="0"/>
            <wp:docPr id="10" name="Chart 10" descr="Figure 4. Districts by Proportion of Special Populations (N = 35)&#10;&#10;Special Education: 8% Low, 80% Medium, 12% High&#10;ELL: 53% Low, 28% Medium, 20% Hig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7B0A" w:rsidRPr="00476DB3" w:rsidRDefault="00A92750" w:rsidP="00CA759E">
      <w:pPr>
        <w:pStyle w:val="Caption"/>
        <w:rPr>
          <w:rStyle w:val="BodyTextChar"/>
          <w:rFonts w:eastAsiaTheme="minorHAnsi"/>
          <w:b w:val="0"/>
        </w:rPr>
      </w:pPr>
      <w:r>
        <w:rPr>
          <w:rStyle w:val="BodyTextChar"/>
          <w:rFonts w:eastAsiaTheme="minorHAnsi"/>
        </w:rPr>
        <w:lastRenderedPageBreak/>
        <w:t xml:space="preserve">Figure 5. Districts by MCAS </w:t>
      </w:r>
      <w:r w:rsidR="004321FE">
        <w:rPr>
          <w:rStyle w:val="BodyTextChar"/>
          <w:rFonts w:eastAsiaTheme="minorHAnsi"/>
        </w:rPr>
        <w:t>Achievement</w:t>
      </w:r>
      <w:r>
        <w:rPr>
          <w:rStyle w:val="BodyTextChar"/>
          <w:rFonts w:eastAsiaTheme="minorHAnsi"/>
        </w:rPr>
        <w:t xml:space="preserve"> </w:t>
      </w:r>
      <w:r w:rsidR="00B37DE4" w:rsidRPr="008850AA">
        <w:rPr>
          <w:rFonts w:ascii="Times New Roman" w:hAnsi="Times New Roman" w:cs="Times New Roman"/>
        </w:rPr>
        <w:t>(</w:t>
      </w:r>
      <w:r w:rsidR="00B37DE4" w:rsidRPr="008850AA">
        <w:rPr>
          <w:rFonts w:ascii="Times New Roman" w:hAnsi="Times New Roman" w:cs="Times New Roman"/>
          <w:i/>
        </w:rPr>
        <w:t>N</w:t>
      </w:r>
      <w:r w:rsidR="00B37DE4" w:rsidRPr="008850AA">
        <w:rPr>
          <w:rFonts w:ascii="Times New Roman" w:hAnsi="Times New Roman" w:cs="Times New Roman"/>
        </w:rPr>
        <w:t xml:space="preserve"> = 35)</w:t>
      </w:r>
    </w:p>
    <w:p w:rsidR="00E17B0A" w:rsidRDefault="00F62FA3" w:rsidP="00CA759E">
      <w:pPr>
        <w:pStyle w:val="BodyText"/>
        <w:rPr>
          <w:rFonts w:ascii="Times New Roman" w:hAnsi="Times New Roman" w:cs="Times New Roman"/>
          <w:szCs w:val="24"/>
        </w:rPr>
      </w:pPr>
      <w:r>
        <w:rPr>
          <w:noProof/>
          <w:lang w:eastAsia="zh-CN" w:bidi="km-KH"/>
        </w:rPr>
        <w:drawing>
          <wp:inline distT="0" distB="0" distL="0" distR="0">
            <wp:extent cx="4563979" cy="2125579"/>
            <wp:effectExtent l="19050" t="0" r="27071" b="8021"/>
            <wp:docPr id="9" name="Chart 9" descr="Figure 5. Districts by MCAS Achievement (N = 35)&#10;&#10;Low: 28%&#10;Medium: 40%&#10;High: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7B0A" w:rsidRDefault="00E17B0A" w:rsidP="00CA759E">
      <w:pPr>
        <w:pStyle w:val="Heading2"/>
      </w:pPr>
      <w:r>
        <w:t>Analysis</w:t>
      </w:r>
    </w:p>
    <w:p w:rsidR="00E17B0A" w:rsidRPr="00BD7964" w:rsidRDefault="00E17B0A" w:rsidP="00CA759E">
      <w:pPr>
        <w:pStyle w:val="BodyText"/>
      </w:pPr>
      <w:r w:rsidRPr="00BD7964">
        <w:t xml:space="preserve">During initial contact, the researchers identified an appropriate curriculum, assessment, or accountability administrator at the district and school level for participation in a </w:t>
      </w:r>
      <w:r>
        <w:t xml:space="preserve">30-minute </w:t>
      </w:r>
      <w:r w:rsidRPr="00BD7964">
        <w:t>telephone interview.</w:t>
      </w:r>
      <w:r>
        <w:t xml:space="preserve"> </w:t>
      </w:r>
      <w:r w:rsidR="00E52B02">
        <w:t>O</w:t>
      </w:r>
      <w:r>
        <w:t>f the 40 districts invited to participate in Phase 1, 35 did so for a response rate of 88 percent.</w:t>
      </w:r>
    </w:p>
    <w:p w:rsidR="00E17B0A" w:rsidRPr="00CA759E" w:rsidRDefault="00E17B0A" w:rsidP="00CA759E">
      <w:pPr>
        <w:pStyle w:val="BodyText"/>
      </w:pPr>
      <w:r w:rsidRPr="00CA759E">
        <w:t>Detailed notes were taken during interviewing, and if allowed</w:t>
      </w:r>
      <w:r w:rsidR="00DD6415" w:rsidRPr="00CA759E">
        <w:t xml:space="preserve"> by the respondent</w:t>
      </w:r>
      <w:r w:rsidRPr="00CA759E">
        <w:t xml:space="preserve">, </w:t>
      </w:r>
      <w:r w:rsidR="00E52B02">
        <w:t xml:space="preserve">the </w:t>
      </w:r>
      <w:r w:rsidRPr="00CA759E">
        <w:t xml:space="preserve">interviews were also recorded at the discretion of the interviewer. Notes were compiled and subsequently used to complete a summary report for each participating district that incorporates the district- and school-level data collected. AIR researchers then looked for patterns and themes across districts to determine the most important findings. Districts were also disaggregated based on MCAS </w:t>
      </w:r>
      <w:r w:rsidR="005E5142" w:rsidRPr="00CA759E">
        <w:t xml:space="preserve">2014 </w:t>
      </w:r>
      <w:r w:rsidR="0029620B" w:rsidRPr="00CA759E">
        <w:t>proficiency</w:t>
      </w:r>
      <w:r w:rsidRPr="00CA759E">
        <w:t xml:space="preserve"> level, urbanicity, region, and other district characteristics of interest to explore additional themes, differences, and similarities across subsets of districts. </w:t>
      </w:r>
    </w:p>
    <w:p w:rsidR="00E17B0A" w:rsidRDefault="00E17B0A" w:rsidP="00CA759E">
      <w:pPr>
        <w:pStyle w:val="Heading2"/>
      </w:pPr>
      <w:r>
        <w:t>Data Limitations</w:t>
      </w:r>
    </w:p>
    <w:p w:rsidR="001A43F2" w:rsidRDefault="001A43F2" w:rsidP="00CA759E">
      <w:pPr>
        <w:pStyle w:val="BodyText"/>
      </w:pPr>
      <w:r>
        <w:t>Data collection in Phase 1 was designed to collect a brief account of the assessment program in each district</w:t>
      </w:r>
      <w:r w:rsidR="00DD6415">
        <w:t>,</w:t>
      </w:r>
      <w:r>
        <w:t xml:space="preserve"> which contributed to the following data limitations:</w:t>
      </w:r>
    </w:p>
    <w:p w:rsidR="001A43F2" w:rsidRPr="008178E3" w:rsidRDefault="00557759" w:rsidP="00CA759E">
      <w:pPr>
        <w:pStyle w:val="Bullet1"/>
      </w:pPr>
      <w:r w:rsidRPr="002014DD">
        <w:t>Responses to questions about the time required to administer state</w:t>
      </w:r>
      <w:r w:rsidR="00E52B02">
        <w:t>-</w:t>
      </w:r>
      <w:r w:rsidRPr="002014DD">
        <w:t xml:space="preserve"> and </w:t>
      </w:r>
      <w:r w:rsidR="00E52B02" w:rsidRPr="002014DD">
        <w:t>district</w:t>
      </w:r>
      <w:r w:rsidR="00E52B02">
        <w:t>-</w:t>
      </w:r>
      <w:r w:rsidRPr="002014DD">
        <w:t xml:space="preserve">mandated assessments varied considerably, reducing our ability to make valid claims about test administration time. </w:t>
      </w:r>
      <w:r w:rsidR="007801FD" w:rsidRPr="002014DD">
        <w:t xml:space="preserve">The wide range of responses, from statements of the minutes a hypothetical student might need to complete a specific assessment to descriptions of broad testing </w:t>
      </w:r>
      <w:r w:rsidR="00A760A2" w:rsidRPr="002014DD">
        <w:t>“seasons</w:t>
      </w:r>
      <w:r w:rsidR="004D6482" w:rsidRPr="002014DD">
        <w:t>,</w:t>
      </w:r>
      <w:r w:rsidR="00A760A2" w:rsidRPr="002014DD">
        <w:t>”</w:t>
      </w:r>
      <w:r w:rsidR="007801FD" w:rsidRPr="002014DD">
        <w:t xml:space="preserve"> suggest complexity </w:t>
      </w:r>
      <w:r w:rsidR="00AF46BE" w:rsidRPr="002014DD">
        <w:t xml:space="preserve">in thinking about assessment administration </w:t>
      </w:r>
      <w:r w:rsidR="007801FD" w:rsidRPr="002014DD">
        <w:t xml:space="preserve">that cannot be captured in condensed telephone interviews. </w:t>
      </w:r>
    </w:p>
    <w:p w:rsidR="001D59B6" w:rsidRPr="002014DD" w:rsidRDefault="001A43F2" w:rsidP="00CA759E">
      <w:pPr>
        <w:pStyle w:val="Bullet1"/>
      </w:pPr>
      <w:r w:rsidRPr="002014DD">
        <w:t>V</w:t>
      </w:r>
      <w:r w:rsidR="00A760A2" w:rsidRPr="002014DD">
        <w:t xml:space="preserve">ariation in the level of detail and specificity provided by respondents suggests that in some </w:t>
      </w:r>
      <w:r w:rsidR="00AF46BE" w:rsidRPr="002014DD">
        <w:t>districts</w:t>
      </w:r>
      <w:r w:rsidR="00A760A2" w:rsidRPr="002014DD">
        <w:t xml:space="preserve">, multiple personnel </w:t>
      </w:r>
      <w:r w:rsidR="00E52B02">
        <w:t>might</w:t>
      </w:r>
      <w:r w:rsidR="00E52B02" w:rsidRPr="002014DD">
        <w:t xml:space="preserve"> </w:t>
      </w:r>
      <w:r w:rsidR="00A760A2" w:rsidRPr="002014DD">
        <w:t xml:space="preserve">handle different aspects of a district’s assessment system, providing individuals with only part of the picture. </w:t>
      </w:r>
    </w:p>
    <w:p w:rsidR="00E17B0A" w:rsidRPr="00BD7964" w:rsidRDefault="00E17B0A" w:rsidP="00CA759E">
      <w:pPr>
        <w:pStyle w:val="Heading1"/>
      </w:pPr>
      <w:r>
        <w:lastRenderedPageBreak/>
        <w:t>Findings</w:t>
      </w:r>
    </w:p>
    <w:p w:rsidR="00E17B0A" w:rsidRDefault="00267F07" w:rsidP="00CA759E">
      <w:pPr>
        <w:pStyle w:val="Heading2"/>
      </w:pPr>
      <w:r>
        <w:t xml:space="preserve">Required </w:t>
      </w:r>
      <w:r w:rsidR="00E17B0A">
        <w:t>District Assessments</w:t>
      </w:r>
    </w:p>
    <w:p w:rsidR="0029620B" w:rsidRDefault="0029620B" w:rsidP="00CA759E">
      <w:pPr>
        <w:pStyle w:val="BodyText"/>
      </w:pPr>
      <w:r w:rsidRPr="00CD745A">
        <w:t xml:space="preserve">Table </w:t>
      </w:r>
      <w:r>
        <w:t>2</w:t>
      </w:r>
      <w:r w:rsidRPr="00CD745A">
        <w:t xml:space="preserve"> </w:t>
      </w:r>
      <w:r>
        <w:t>provides an overview</w:t>
      </w:r>
      <w:r w:rsidRPr="00CD745A">
        <w:t xml:space="preserve"> of </w:t>
      </w:r>
      <w:r>
        <w:t xml:space="preserve">the required assessments for all participating </w:t>
      </w:r>
      <w:r w:rsidRPr="00CD745A">
        <w:t xml:space="preserve">districts. </w:t>
      </w:r>
      <w:r>
        <w:t>Across all participating districts, the average number of assessment</w:t>
      </w:r>
      <w:r w:rsidR="00267F07">
        <w:t>s</w:t>
      </w:r>
      <w:r>
        <w:t xml:space="preserve"> required by districts is 6.7. Because most assessments are administered multiple times per year, exploring the number of testing sessions students experience per year </w:t>
      </w:r>
      <w:r w:rsidR="00E52B02">
        <w:t xml:space="preserve">could </w:t>
      </w:r>
      <w:r>
        <w:t>be informative. The average number of district-required testin</w:t>
      </w:r>
      <w:r w:rsidR="00AD279A">
        <w:t>g sessions in the sample is 19</w:t>
      </w:r>
      <w:r>
        <w:t>.</w:t>
      </w:r>
    </w:p>
    <w:p w:rsidR="00E17B0A" w:rsidRPr="008850AA" w:rsidRDefault="00E17B0A" w:rsidP="00CA759E">
      <w:pPr>
        <w:pStyle w:val="TableTitle"/>
      </w:pPr>
      <w:r w:rsidRPr="008850AA">
        <w:t xml:space="preserve">Table </w:t>
      </w:r>
      <w:r>
        <w:t>2.</w:t>
      </w:r>
      <w:r w:rsidRPr="008850AA">
        <w:t xml:space="preserve"> </w:t>
      </w:r>
      <w:r>
        <w:t xml:space="preserve">District </w:t>
      </w:r>
      <w:r w:rsidRPr="008850AA">
        <w:t xml:space="preserve">Assessments </w:t>
      </w:r>
      <w:r w:rsidR="00E52B02">
        <w:t>A</w:t>
      </w:r>
      <w:r w:rsidR="00E52B02" w:rsidRPr="008850AA">
        <w:t xml:space="preserve">cross </w:t>
      </w:r>
      <w:r>
        <w:t>A</w:t>
      </w:r>
      <w:r w:rsidRPr="008850AA">
        <w:t xml:space="preserve">ll </w:t>
      </w:r>
      <w:r>
        <w:t>R</w:t>
      </w:r>
      <w:r w:rsidRPr="008850AA">
        <w:t xml:space="preserve">esponding </w:t>
      </w:r>
      <w:r>
        <w:t>D</w:t>
      </w:r>
      <w:r w:rsidRPr="008850AA">
        <w:t>istricts (</w:t>
      </w:r>
      <w:r w:rsidRPr="008850AA">
        <w:rPr>
          <w:i/>
        </w:rPr>
        <w:t>N</w:t>
      </w:r>
      <w:r w:rsidRPr="008850AA">
        <w:t xml:space="preserve"> = 35)</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340"/>
        <w:gridCol w:w="2340"/>
        <w:gridCol w:w="2340"/>
      </w:tblGrid>
      <w:tr w:rsidR="0010703B" w:rsidRPr="0010703B" w:rsidTr="00C5034D">
        <w:trPr>
          <w:cnfStyle w:val="100000000000"/>
        </w:trPr>
        <w:tc>
          <w:tcPr>
            <w:cnfStyle w:val="001000000000"/>
            <w:tcW w:w="1250" w:type="pct"/>
            <w:shd w:val="clear" w:color="auto" w:fill="B5C7DB" w:themeFill="text2" w:themeFillTint="66"/>
          </w:tcPr>
          <w:p w:rsidR="00E17B0A" w:rsidRPr="0010703B" w:rsidRDefault="00E17B0A" w:rsidP="00C5034D">
            <w:pPr>
              <w:pStyle w:val="TableColHeadingLeft"/>
              <w:jc w:val="center"/>
              <w:rPr>
                <w:color w:val="000000" w:themeColor="text1"/>
              </w:rPr>
            </w:pPr>
          </w:p>
        </w:tc>
        <w:tc>
          <w:tcPr>
            <w:tcW w:w="1250" w:type="pct"/>
            <w:shd w:val="clear" w:color="auto" w:fill="B5C7DB" w:themeFill="text2" w:themeFillTint="66"/>
          </w:tcPr>
          <w:p w:rsidR="00E17B0A" w:rsidRPr="0010703B" w:rsidRDefault="00E17B0A" w:rsidP="0010703B">
            <w:pPr>
              <w:pStyle w:val="TableColumnHeadCentered"/>
              <w:cnfStyle w:val="100000000000"/>
              <w:rPr>
                <w:color w:val="000000" w:themeColor="text1"/>
              </w:rPr>
            </w:pPr>
            <w:r w:rsidRPr="0010703B">
              <w:rPr>
                <w:color w:val="000000" w:themeColor="text1"/>
              </w:rPr>
              <w:t xml:space="preserve">Number of </w:t>
            </w:r>
            <w:r w:rsidR="00EB08F8" w:rsidRPr="0010703B">
              <w:rPr>
                <w:color w:val="000000" w:themeColor="text1"/>
              </w:rPr>
              <w:t>Districts</w:t>
            </w:r>
          </w:p>
        </w:tc>
        <w:tc>
          <w:tcPr>
            <w:tcW w:w="1250" w:type="pct"/>
            <w:shd w:val="clear" w:color="auto" w:fill="B5C7DB" w:themeFill="text2" w:themeFillTint="66"/>
          </w:tcPr>
          <w:p w:rsidR="00E17B0A" w:rsidRPr="0010703B" w:rsidRDefault="00E17B0A" w:rsidP="0010703B">
            <w:pPr>
              <w:pStyle w:val="TableColumnHeadCentered"/>
              <w:cnfStyle w:val="100000000000"/>
              <w:rPr>
                <w:color w:val="000000" w:themeColor="text1"/>
              </w:rPr>
            </w:pPr>
            <w:r w:rsidRPr="0010703B">
              <w:rPr>
                <w:color w:val="000000" w:themeColor="text1"/>
              </w:rPr>
              <w:t xml:space="preserve">Average </w:t>
            </w:r>
            <w:r w:rsidR="00EB08F8" w:rsidRPr="0010703B">
              <w:rPr>
                <w:color w:val="000000" w:themeColor="text1"/>
              </w:rPr>
              <w:t xml:space="preserve">Number </w:t>
            </w:r>
            <w:r w:rsidRPr="0010703B">
              <w:rPr>
                <w:color w:val="000000" w:themeColor="text1"/>
              </w:rPr>
              <w:t xml:space="preserve">of </w:t>
            </w:r>
            <w:r w:rsidR="00EB08F8" w:rsidRPr="0010703B">
              <w:rPr>
                <w:color w:val="000000" w:themeColor="text1"/>
              </w:rPr>
              <w:t>Required District Assessments</w:t>
            </w:r>
          </w:p>
        </w:tc>
        <w:tc>
          <w:tcPr>
            <w:tcW w:w="1250" w:type="pct"/>
            <w:shd w:val="clear" w:color="auto" w:fill="B5C7DB" w:themeFill="text2" w:themeFillTint="66"/>
          </w:tcPr>
          <w:p w:rsidR="00E17B0A" w:rsidRPr="0010703B" w:rsidRDefault="00E17B0A" w:rsidP="0010703B">
            <w:pPr>
              <w:pStyle w:val="TableColumnHeadCentered"/>
              <w:cnfStyle w:val="100000000000"/>
              <w:rPr>
                <w:color w:val="000000" w:themeColor="text1"/>
              </w:rPr>
            </w:pPr>
            <w:r w:rsidRPr="0010703B">
              <w:rPr>
                <w:color w:val="000000" w:themeColor="text1"/>
              </w:rPr>
              <w:t xml:space="preserve">Average </w:t>
            </w:r>
            <w:r w:rsidR="00EB08F8" w:rsidRPr="0010703B">
              <w:rPr>
                <w:color w:val="000000" w:themeColor="text1"/>
              </w:rPr>
              <w:t xml:space="preserve">Number </w:t>
            </w:r>
            <w:r w:rsidRPr="0010703B">
              <w:rPr>
                <w:color w:val="000000" w:themeColor="text1"/>
              </w:rPr>
              <w:t xml:space="preserve">of </w:t>
            </w:r>
            <w:r w:rsidR="00EB08F8" w:rsidRPr="0010703B">
              <w:rPr>
                <w:color w:val="000000" w:themeColor="text1"/>
              </w:rPr>
              <w:t>District</w:t>
            </w:r>
            <w:r w:rsidRPr="0010703B">
              <w:rPr>
                <w:color w:val="000000" w:themeColor="text1"/>
              </w:rPr>
              <w:t>-</w:t>
            </w:r>
            <w:r w:rsidR="00EB08F8" w:rsidRPr="0010703B">
              <w:rPr>
                <w:color w:val="000000" w:themeColor="text1"/>
              </w:rPr>
              <w:t>Required Testing Sessions</w:t>
            </w:r>
          </w:p>
        </w:tc>
      </w:tr>
      <w:tr w:rsidR="00E17B0A" w:rsidRPr="00CD745A" w:rsidTr="0010703B">
        <w:trPr>
          <w:cnfStyle w:val="000000100000"/>
        </w:trPr>
        <w:tc>
          <w:tcPr>
            <w:cnfStyle w:val="001000000000"/>
            <w:tcW w:w="1250" w:type="pct"/>
            <w:tcBorders>
              <w:top w:val="none" w:sz="0" w:space="0" w:color="auto"/>
              <w:left w:val="none" w:sz="0" w:space="0" w:color="auto"/>
              <w:bottom w:val="none" w:sz="0" w:space="0" w:color="auto"/>
            </w:tcBorders>
            <w:vAlign w:val="center"/>
          </w:tcPr>
          <w:p w:rsidR="00E17B0A" w:rsidRPr="0010703B" w:rsidRDefault="00BE0AEA" w:rsidP="00CA759E">
            <w:pPr>
              <w:pStyle w:val="TableText"/>
              <w:rPr>
                <w:b w:val="0"/>
              </w:rPr>
            </w:pPr>
            <w:r w:rsidRPr="00EB08F8">
              <w:rPr>
                <w:b w:val="0"/>
              </w:rPr>
              <w:t xml:space="preserve">Sample </w:t>
            </w:r>
            <w:r w:rsidR="00635406" w:rsidRPr="00EB08F8">
              <w:rPr>
                <w:b w:val="0"/>
              </w:rPr>
              <w:t xml:space="preserve">of </w:t>
            </w:r>
            <w:r w:rsidR="00E17B0A" w:rsidRPr="00EB08F8">
              <w:rPr>
                <w:b w:val="0"/>
              </w:rPr>
              <w:t>districts</w:t>
            </w:r>
          </w:p>
        </w:tc>
        <w:tc>
          <w:tcPr>
            <w:tcW w:w="1250" w:type="pct"/>
            <w:tcBorders>
              <w:top w:val="none" w:sz="0" w:space="0" w:color="auto"/>
              <w:bottom w:val="none" w:sz="0" w:space="0" w:color="auto"/>
            </w:tcBorders>
            <w:vAlign w:val="center"/>
          </w:tcPr>
          <w:p w:rsidR="00E17B0A" w:rsidRPr="00635406" w:rsidRDefault="00E17B0A" w:rsidP="00B0378C">
            <w:pPr>
              <w:pStyle w:val="TableText"/>
              <w:jc w:val="center"/>
              <w:cnfStyle w:val="000000100000"/>
            </w:pPr>
            <w:r w:rsidRPr="00635406">
              <w:t>35</w:t>
            </w:r>
          </w:p>
        </w:tc>
        <w:tc>
          <w:tcPr>
            <w:tcW w:w="1250" w:type="pct"/>
            <w:tcBorders>
              <w:top w:val="none" w:sz="0" w:space="0" w:color="auto"/>
              <w:bottom w:val="none" w:sz="0" w:space="0" w:color="auto"/>
            </w:tcBorders>
            <w:vAlign w:val="center"/>
          </w:tcPr>
          <w:p w:rsidR="00E17B0A" w:rsidRPr="00635406" w:rsidRDefault="00E17B0A" w:rsidP="00B0378C">
            <w:pPr>
              <w:pStyle w:val="TableText"/>
              <w:jc w:val="center"/>
              <w:cnfStyle w:val="000000100000"/>
            </w:pPr>
            <w:r w:rsidRPr="00635406">
              <w:t>6.7</w:t>
            </w:r>
          </w:p>
        </w:tc>
        <w:tc>
          <w:tcPr>
            <w:tcW w:w="1250" w:type="pct"/>
            <w:tcBorders>
              <w:top w:val="none" w:sz="0" w:space="0" w:color="auto"/>
              <w:bottom w:val="none" w:sz="0" w:space="0" w:color="auto"/>
              <w:right w:val="none" w:sz="0" w:space="0" w:color="auto"/>
            </w:tcBorders>
            <w:vAlign w:val="center"/>
          </w:tcPr>
          <w:p w:rsidR="00E17B0A" w:rsidRPr="00635406" w:rsidRDefault="00E17B0A" w:rsidP="00B0378C">
            <w:pPr>
              <w:pStyle w:val="TableText"/>
              <w:jc w:val="center"/>
              <w:cnfStyle w:val="000000100000"/>
            </w:pPr>
            <w:r w:rsidRPr="00635406">
              <w:t>19.1</w:t>
            </w:r>
          </w:p>
        </w:tc>
      </w:tr>
    </w:tbl>
    <w:p w:rsidR="0029620B" w:rsidRDefault="0029620B" w:rsidP="00CA759E">
      <w:pPr>
        <w:pStyle w:val="BodyText"/>
      </w:pPr>
      <w:r>
        <w:t>Because the averages in Table 2 aggregate a large amount of data, the average number of district required assessments and testing sessions are shown in Table 3 by grade span. Not al</w:t>
      </w:r>
      <w:r w:rsidR="00B0378C">
        <w:t>l districts in the sample are K</w:t>
      </w:r>
      <w:r w:rsidR="00B0378C">
        <w:rPr>
          <w:rStyle w:val="BodyTextChar"/>
          <w:sz w:val="22"/>
        </w:rPr>
        <w:t>–</w:t>
      </w:r>
      <w:r>
        <w:t xml:space="preserve">12, so the number of districts serving each grade span is shown. </w:t>
      </w:r>
      <w:r w:rsidR="000C6BA2">
        <w:t xml:space="preserve">Typically, districts will require two to four assessments per grade span per year and will administer each assessment two or three times per year. </w:t>
      </w:r>
      <w:r w:rsidR="00BE0AEA">
        <w:t xml:space="preserve">The range of assessment approaches includes districts mandating benchmark assessments every five weeks to districts who do not mandate assessments. </w:t>
      </w:r>
      <w:r w:rsidR="000C6BA2">
        <w:t>At elementary and high school levels, districts commonly use assessments targeted at subgroups</w:t>
      </w:r>
      <w:r w:rsidR="00965FF6">
        <w:t xml:space="preserve"> by grade</w:t>
      </w:r>
      <w:r w:rsidR="000C6BA2">
        <w:t xml:space="preserve">. </w:t>
      </w:r>
    </w:p>
    <w:p w:rsidR="00BE0AEA" w:rsidRPr="002F122E" w:rsidRDefault="00BE0AEA" w:rsidP="00CA759E">
      <w:pPr>
        <w:pStyle w:val="TableTitle"/>
      </w:pPr>
      <w:r w:rsidRPr="002F122E">
        <w:t xml:space="preserve">Table </w:t>
      </w:r>
      <w:r>
        <w:t>3.</w:t>
      </w:r>
      <w:r w:rsidRPr="002F122E">
        <w:t xml:space="preserve"> </w:t>
      </w:r>
      <w:r>
        <w:t xml:space="preserve">District </w:t>
      </w:r>
      <w:r w:rsidRPr="002F122E">
        <w:t xml:space="preserve">Assessments </w:t>
      </w:r>
      <w:r>
        <w:t>by Grade Span (</w:t>
      </w:r>
      <w:r w:rsidRPr="002F122E">
        <w:rPr>
          <w:i/>
        </w:rPr>
        <w:t>N</w:t>
      </w:r>
      <w:r w:rsidRPr="002F122E">
        <w:t xml:space="preserve"> = 35</w:t>
      </w:r>
      <w:r>
        <w:t>)</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1283"/>
        <w:gridCol w:w="1894"/>
        <w:gridCol w:w="2667"/>
        <w:gridCol w:w="2362"/>
      </w:tblGrid>
      <w:tr w:rsidR="0010703B" w:rsidRPr="0010703B" w:rsidTr="00C5034D">
        <w:trPr>
          <w:cnfStyle w:val="100000000000"/>
        </w:trPr>
        <w:tc>
          <w:tcPr>
            <w:cnfStyle w:val="001000000000"/>
            <w:tcW w:w="0" w:type="auto"/>
            <w:shd w:val="clear" w:color="auto" w:fill="B5C7DB" w:themeFill="text2" w:themeFillTint="66"/>
            <w:vAlign w:val="bottom"/>
          </w:tcPr>
          <w:p w:rsidR="00BE0AEA" w:rsidRPr="0010703B" w:rsidRDefault="00BE0AEA" w:rsidP="00CA759E">
            <w:pPr>
              <w:pStyle w:val="TableColHeadingLeft"/>
              <w:rPr>
                <w:color w:val="000000" w:themeColor="text1"/>
              </w:rPr>
            </w:pPr>
          </w:p>
        </w:tc>
        <w:tc>
          <w:tcPr>
            <w:tcW w:w="0" w:type="auto"/>
            <w:shd w:val="clear" w:color="auto" w:fill="B5C7DB" w:themeFill="text2" w:themeFillTint="66"/>
          </w:tcPr>
          <w:p w:rsidR="00BE0AEA" w:rsidRPr="0010703B" w:rsidRDefault="00BE0AEA" w:rsidP="0010703B">
            <w:pPr>
              <w:pStyle w:val="TableColumnHeadCentered"/>
              <w:cnfStyle w:val="100000000000"/>
              <w:rPr>
                <w:color w:val="000000" w:themeColor="text1"/>
              </w:rPr>
            </w:pPr>
            <w:r w:rsidRPr="0010703B">
              <w:rPr>
                <w:color w:val="000000" w:themeColor="text1"/>
              </w:rPr>
              <w:t xml:space="preserve">Number of </w:t>
            </w:r>
            <w:r w:rsidR="00207CCB" w:rsidRPr="0010703B">
              <w:rPr>
                <w:color w:val="000000" w:themeColor="text1"/>
              </w:rPr>
              <w:t>Districts</w:t>
            </w:r>
          </w:p>
        </w:tc>
        <w:tc>
          <w:tcPr>
            <w:tcW w:w="0" w:type="auto"/>
            <w:shd w:val="clear" w:color="auto" w:fill="B5C7DB" w:themeFill="text2" w:themeFillTint="66"/>
          </w:tcPr>
          <w:p w:rsidR="00BE0AEA" w:rsidRPr="0010703B" w:rsidRDefault="00BE0AEA" w:rsidP="0010703B">
            <w:pPr>
              <w:pStyle w:val="TableColumnHeadCentered"/>
              <w:cnfStyle w:val="100000000000"/>
              <w:rPr>
                <w:color w:val="000000" w:themeColor="text1"/>
              </w:rPr>
            </w:pPr>
            <w:r w:rsidRPr="0010703B">
              <w:rPr>
                <w:color w:val="000000" w:themeColor="text1"/>
              </w:rPr>
              <w:t xml:space="preserve">Number of </w:t>
            </w:r>
            <w:r w:rsidR="00207CCB" w:rsidRPr="0010703B">
              <w:rPr>
                <w:color w:val="000000" w:themeColor="text1"/>
              </w:rPr>
              <w:t>Each Grade Span Across Districts</w:t>
            </w:r>
          </w:p>
        </w:tc>
        <w:tc>
          <w:tcPr>
            <w:tcW w:w="0" w:type="auto"/>
            <w:shd w:val="clear" w:color="auto" w:fill="B5C7DB" w:themeFill="text2" w:themeFillTint="66"/>
          </w:tcPr>
          <w:p w:rsidR="00BE0AEA" w:rsidRPr="0010703B" w:rsidRDefault="00BE0AEA" w:rsidP="0010703B">
            <w:pPr>
              <w:pStyle w:val="TableColumnHeadCentered"/>
              <w:cnfStyle w:val="100000000000"/>
              <w:rPr>
                <w:color w:val="000000" w:themeColor="text1"/>
              </w:rPr>
            </w:pPr>
            <w:r w:rsidRPr="0010703B">
              <w:rPr>
                <w:color w:val="000000" w:themeColor="text1"/>
              </w:rPr>
              <w:t xml:space="preserve">Average </w:t>
            </w:r>
            <w:r w:rsidR="00207CCB" w:rsidRPr="0010703B">
              <w:rPr>
                <w:color w:val="000000" w:themeColor="text1"/>
              </w:rPr>
              <w:t xml:space="preserve">Number </w:t>
            </w:r>
            <w:r w:rsidRPr="0010703B">
              <w:rPr>
                <w:color w:val="000000" w:themeColor="text1"/>
              </w:rPr>
              <w:t xml:space="preserve">of </w:t>
            </w:r>
            <w:r w:rsidR="00207CCB" w:rsidRPr="0010703B">
              <w:rPr>
                <w:color w:val="000000" w:themeColor="text1"/>
              </w:rPr>
              <w:t xml:space="preserve">Required District Assessments </w:t>
            </w:r>
            <w:r w:rsidRPr="0010703B">
              <w:rPr>
                <w:color w:val="000000" w:themeColor="text1"/>
              </w:rPr>
              <w:t xml:space="preserve">by </w:t>
            </w:r>
            <w:r w:rsidR="00207CCB" w:rsidRPr="0010703B">
              <w:rPr>
                <w:color w:val="000000" w:themeColor="text1"/>
              </w:rPr>
              <w:t>Grade Span</w:t>
            </w:r>
          </w:p>
        </w:tc>
        <w:tc>
          <w:tcPr>
            <w:tcW w:w="0" w:type="auto"/>
            <w:shd w:val="clear" w:color="auto" w:fill="B5C7DB" w:themeFill="text2" w:themeFillTint="66"/>
          </w:tcPr>
          <w:p w:rsidR="00BE0AEA" w:rsidRPr="0010703B" w:rsidRDefault="00BE0AEA" w:rsidP="0010703B">
            <w:pPr>
              <w:pStyle w:val="TableColumnHeadCentered"/>
              <w:cnfStyle w:val="100000000000"/>
              <w:rPr>
                <w:color w:val="000000" w:themeColor="text1"/>
              </w:rPr>
            </w:pPr>
            <w:r w:rsidRPr="0010703B">
              <w:rPr>
                <w:color w:val="000000" w:themeColor="text1"/>
              </w:rPr>
              <w:t xml:space="preserve">Number of </w:t>
            </w:r>
            <w:r w:rsidR="00207CCB" w:rsidRPr="0010703B">
              <w:rPr>
                <w:color w:val="000000" w:themeColor="text1"/>
              </w:rPr>
              <w:t xml:space="preserve">District-Required Testing Sessions </w:t>
            </w:r>
            <w:r w:rsidRPr="0010703B">
              <w:rPr>
                <w:color w:val="000000" w:themeColor="text1"/>
              </w:rPr>
              <w:t xml:space="preserve">per </w:t>
            </w:r>
            <w:r w:rsidR="00207CCB" w:rsidRPr="0010703B">
              <w:rPr>
                <w:color w:val="000000" w:themeColor="text1"/>
              </w:rPr>
              <w:t>Grade Span</w:t>
            </w:r>
          </w:p>
        </w:tc>
      </w:tr>
      <w:tr w:rsidR="00BE0AEA" w:rsidRPr="00873A37" w:rsidTr="00A67B6B">
        <w:trPr>
          <w:cnfStyle w:val="000000100000"/>
        </w:trPr>
        <w:tc>
          <w:tcPr>
            <w:cnfStyle w:val="001000000000"/>
            <w:tcW w:w="0" w:type="auto"/>
            <w:tcBorders>
              <w:top w:val="none" w:sz="0" w:space="0" w:color="auto"/>
              <w:left w:val="none" w:sz="0" w:space="0" w:color="auto"/>
              <w:bottom w:val="none" w:sz="0" w:space="0" w:color="auto"/>
            </w:tcBorders>
            <w:vAlign w:val="center"/>
          </w:tcPr>
          <w:p w:rsidR="00BE0AEA" w:rsidRPr="00207CCB" w:rsidRDefault="00BE0AEA" w:rsidP="009B7686">
            <w:pPr>
              <w:pStyle w:val="TableText"/>
              <w:rPr>
                <w:b w:val="0"/>
              </w:rPr>
            </w:pPr>
            <w:r w:rsidRPr="00207CCB">
              <w:rPr>
                <w:b w:val="0"/>
              </w:rPr>
              <w:t xml:space="preserve">Sample of </w:t>
            </w:r>
            <w:r w:rsidR="009B7686">
              <w:rPr>
                <w:b w:val="0"/>
              </w:rPr>
              <w:t>d</w:t>
            </w:r>
            <w:r w:rsidR="00207CCB" w:rsidRPr="00207CCB">
              <w:rPr>
                <w:b w:val="0"/>
              </w:rPr>
              <w:t>istricts</w:t>
            </w:r>
          </w:p>
        </w:tc>
        <w:tc>
          <w:tcPr>
            <w:tcW w:w="0" w:type="auto"/>
            <w:tcBorders>
              <w:top w:val="none" w:sz="0" w:space="0" w:color="auto"/>
              <w:bottom w:val="none" w:sz="0" w:space="0" w:color="auto"/>
            </w:tcBorders>
            <w:vAlign w:val="center"/>
          </w:tcPr>
          <w:p w:rsidR="00BE0AEA" w:rsidRPr="00635406" w:rsidRDefault="00BE0AEA" w:rsidP="00B0378C">
            <w:pPr>
              <w:pStyle w:val="TableText"/>
              <w:jc w:val="center"/>
              <w:cnfStyle w:val="000000100000"/>
            </w:pPr>
            <w:r w:rsidRPr="00635406">
              <w:t>35</w:t>
            </w:r>
          </w:p>
        </w:tc>
        <w:tc>
          <w:tcPr>
            <w:tcW w:w="0" w:type="auto"/>
            <w:tcBorders>
              <w:top w:val="none" w:sz="0" w:space="0" w:color="auto"/>
              <w:bottom w:val="none" w:sz="0" w:space="0" w:color="auto"/>
            </w:tcBorders>
            <w:vAlign w:val="center"/>
          </w:tcPr>
          <w:p w:rsidR="00BE0AEA" w:rsidRPr="00635406" w:rsidRDefault="00BE0AEA" w:rsidP="00B0378C">
            <w:pPr>
              <w:pStyle w:val="TableText"/>
              <w:jc w:val="center"/>
              <w:cnfStyle w:val="000000100000"/>
            </w:pPr>
            <w:r w:rsidRPr="00635406">
              <w:t>ES: 31</w:t>
            </w:r>
          </w:p>
          <w:p w:rsidR="00BE0AEA" w:rsidRPr="00635406" w:rsidRDefault="00BE0AEA" w:rsidP="00B0378C">
            <w:pPr>
              <w:pStyle w:val="TableText"/>
              <w:jc w:val="center"/>
              <w:cnfStyle w:val="000000100000"/>
            </w:pPr>
            <w:r w:rsidRPr="00635406">
              <w:t>MS:</w:t>
            </w:r>
            <w:r w:rsidR="00A67B6B">
              <w:t xml:space="preserve"> </w:t>
            </w:r>
            <w:r w:rsidRPr="00635406">
              <w:t>29</w:t>
            </w:r>
          </w:p>
          <w:p w:rsidR="00BE0AEA" w:rsidRPr="00635406" w:rsidRDefault="00BE0AEA" w:rsidP="00A67B6B">
            <w:pPr>
              <w:pStyle w:val="TableText"/>
              <w:jc w:val="center"/>
              <w:cnfStyle w:val="000000100000"/>
            </w:pPr>
            <w:r w:rsidRPr="00635406">
              <w:t>HS: 26</w:t>
            </w:r>
          </w:p>
        </w:tc>
        <w:tc>
          <w:tcPr>
            <w:tcW w:w="0" w:type="auto"/>
            <w:tcBorders>
              <w:top w:val="none" w:sz="0" w:space="0" w:color="auto"/>
              <w:bottom w:val="none" w:sz="0" w:space="0" w:color="auto"/>
            </w:tcBorders>
            <w:vAlign w:val="center"/>
          </w:tcPr>
          <w:p w:rsidR="00BE0AEA" w:rsidRPr="00635406" w:rsidRDefault="00BE0AEA" w:rsidP="00B0378C">
            <w:pPr>
              <w:pStyle w:val="TableText"/>
              <w:jc w:val="center"/>
              <w:cnfStyle w:val="000000100000"/>
            </w:pPr>
            <w:r w:rsidRPr="00635406">
              <w:t>ES: 2.9</w:t>
            </w:r>
          </w:p>
          <w:p w:rsidR="00BE0AEA" w:rsidRPr="00635406" w:rsidRDefault="00BE0AEA" w:rsidP="00B0378C">
            <w:pPr>
              <w:pStyle w:val="TableText"/>
              <w:jc w:val="center"/>
              <w:cnfStyle w:val="000000100000"/>
            </w:pPr>
            <w:r w:rsidRPr="00635406">
              <w:t>MS: 2.6</w:t>
            </w:r>
          </w:p>
          <w:p w:rsidR="00BE0AEA" w:rsidRPr="00635406" w:rsidRDefault="00BE0AEA" w:rsidP="00A67B6B">
            <w:pPr>
              <w:pStyle w:val="TableText"/>
              <w:jc w:val="center"/>
              <w:cnfStyle w:val="000000100000"/>
            </w:pPr>
            <w:r w:rsidRPr="00635406">
              <w:t>HS: 1.9</w:t>
            </w:r>
          </w:p>
        </w:tc>
        <w:tc>
          <w:tcPr>
            <w:tcW w:w="0" w:type="auto"/>
            <w:tcBorders>
              <w:top w:val="none" w:sz="0" w:space="0" w:color="auto"/>
              <w:bottom w:val="none" w:sz="0" w:space="0" w:color="auto"/>
              <w:right w:val="none" w:sz="0" w:space="0" w:color="auto"/>
            </w:tcBorders>
            <w:vAlign w:val="center"/>
          </w:tcPr>
          <w:p w:rsidR="00BE0AEA" w:rsidRPr="00635406" w:rsidRDefault="00BE0AEA" w:rsidP="00B0378C">
            <w:pPr>
              <w:pStyle w:val="TableText"/>
              <w:jc w:val="center"/>
              <w:cnfStyle w:val="000000100000"/>
            </w:pPr>
            <w:r w:rsidRPr="00635406">
              <w:t>ES: 8.3</w:t>
            </w:r>
          </w:p>
          <w:p w:rsidR="00BE0AEA" w:rsidRPr="00635406" w:rsidRDefault="00BE0AEA" w:rsidP="00B0378C">
            <w:pPr>
              <w:pStyle w:val="TableText"/>
              <w:jc w:val="center"/>
              <w:cnfStyle w:val="000000100000"/>
            </w:pPr>
            <w:r w:rsidRPr="00635406">
              <w:t>MS: 7.5</w:t>
            </w:r>
          </w:p>
          <w:p w:rsidR="00BE0AEA" w:rsidRPr="00635406" w:rsidRDefault="00BE0AEA" w:rsidP="00A67B6B">
            <w:pPr>
              <w:pStyle w:val="TableText"/>
              <w:jc w:val="center"/>
              <w:cnfStyle w:val="000000100000"/>
            </w:pPr>
            <w:r w:rsidRPr="00635406">
              <w:t>HS: 5.6</w:t>
            </w:r>
          </w:p>
        </w:tc>
      </w:tr>
    </w:tbl>
    <w:p w:rsidR="00207CCB" w:rsidRDefault="008C4491" w:rsidP="00207CCB">
      <w:pPr>
        <w:pStyle w:val="TableNote"/>
      </w:pPr>
      <w:r>
        <w:rPr>
          <w:i/>
        </w:rPr>
        <w:t xml:space="preserve">Note. </w:t>
      </w:r>
      <w:r w:rsidR="00207CCB">
        <w:t xml:space="preserve">ES = elementary school; </w:t>
      </w:r>
      <w:r w:rsidR="00D4594C">
        <w:t xml:space="preserve">HS </w:t>
      </w:r>
      <w:r w:rsidR="00207CCB">
        <w:t>= high school; MS = middle school.</w:t>
      </w:r>
    </w:p>
    <w:p w:rsidR="00FE685F" w:rsidRDefault="00FE685F" w:rsidP="00CA759E">
      <w:pPr>
        <w:pStyle w:val="BodyText"/>
      </w:pPr>
      <w:r>
        <w:t xml:space="preserve">Table 3 shows that the average elementary school student in the sample is required to take 2.9 assessments by their district, in 8.3 separate testing sessions. The table </w:t>
      </w:r>
      <w:r w:rsidR="00B121F3">
        <w:t xml:space="preserve">shows </w:t>
      </w:r>
      <w:r w:rsidR="008771D5">
        <w:t xml:space="preserve">also </w:t>
      </w:r>
      <w:r>
        <w:t xml:space="preserve">that elementary school students are required by their districts to take slightly more assessments than middle school students. Similarly, middle school students, on average, take more district-required assessments than high school students. </w:t>
      </w:r>
    </w:p>
    <w:p w:rsidR="003D6DB4" w:rsidRDefault="00BE0AEA" w:rsidP="00CA759E">
      <w:pPr>
        <w:pStyle w:val="BodyText"/>
      </w:pPr>
      <w:r>
        <w:t xml:space="preserve">The average number of testing sessions experienced by students per year is illuminating, and </w:t>
      </w:r>
      <w:r w:rsidR="006A7DFD">
        <w:t xml:space="preserve">an estimate of the average amount of time individual students </w:t>
      </w:r>
      <w:r w:rsidR="008C4491">
        <w:t xml:space="preserve">could </w:t>
      </w:r>
      <w:r w:rsidR="006A7DFD">
        <w:t>spend taking tests would be more so. Unfortunately, e</w:t>
      </w:r>
      <w:r w:rsidR="003D6DB4">
        <w:t xml:space="preserve">stimating the length of testing sessions experienced by students is </w:t>
      </w:r>
      <w:r w:rsidR="006A7DFD">
        <w:t>not possible because</w:t>
      </w:r>
      <w:r w:rsidR="003D6DB4">
        <w:t xml:space="preserve"> the packaged assessments named most frequently by respondents, including </w:t>
      </w:r>
      <w:r w:rsidR="00B121F3">
        <w:lastRenderedPageBreak/>
        <w:t>Northwest Evaluation Association’s Measures of Academic Progress (</w:t>
      </w:r>
      <w:r w:rsidR="003D6DB4">
        <w:t>MAP</w:t>
      </w:r>
      <w:r w:rsidR="00B121F3">
        <w:t>)</w:t>
      </w:r>
      <w:r w:rsidR="003D6DB4">
        <w:t xml:space="preserve"> series, </w:t>
      </w:r>
      <w:r w:rsidR="00B121F3">
        <w:t xml:space="preserve">Standardized Testing and Reporting </w:t>
      </w:r>
      <w:r w:rsidR="003D6DB4">
        <w:t xml:space="preserve">assessments, Scholastic Reading Inventory, </w:t>
      </w:r>
      <w:r w:rsidR="00B121F3">
        <w:t xml:space="preserve">Fountas </w:t>
      </w:r>
      <w:r w:rsidR="003D6DB4">
        <w:t xml:space="preserve">and Pinnell (F&amp;P), and </w:t>
      </w:r>
      <w:r w:rsidR="008C4491">
        <w:t>Dynamic Indicators of Basic Early Literacy Skills</w:t>
      </w:r>
      <w:r w:rsidR="003D6DB4">
        <w:t xml:space="preserve">, are not timed. </w:t>
      </w:r>
      <w:r w:rsidR="00B121F3">
        <w:t xml:space="preserve">Although </w:t>
      </w:r>
      <w:r w:rsidR="003D6DB4">
        <w:t>several of these companies provide average administration times, the assessments included in the set vary widely in their design, from a few minutes for a student taking an F&amp;P ear</w:t>
      </w:r>
      <w:r w:rsidR="00B0378C">
        <w:t>ly literacy assessment, to a 60</w:t>
      </w:r>
      <w:r w:rsidR="00B121F3">
        <w:t xml:space="preserve">- to </w:t>
      </w:r>
      <w:r w:rsidR="003D6DB4">
        <w:t>75</w:t>
      </w:r>
      <w:r w:rsidR="00B121F3">
        <w:t>-</w:t>
      </w:r>
      <w:r w:rsidR="003D6DB4">
        <w:t xml:space="preserve">minute MAP Goals Survey. </w:t>
      </w:r>
      <w:r w:rsidR="006A7DFD">
        <w:t>These characteristics of commonly used assessments present variables that interfere with accurate estimation.</w:t>
      </w:r>
    </w:p>
    <w:p w:rsidR="00FE685F" w:rsidRPr="00FE685F" w:rsidRDefault="00FE685F" w:rsidP="00CA759E">
      <w:pPr>
        <w:pStyle w:val="Heading2"/>
      </w:pPr>
      <w:r w:rsidRPr="00FE685F">
        <w:t xml:space="preserve">Required District Assessments by </w:t>
      </w:r>
      <w:r>
        <w:t>District Characteristics</w:t>
      </w:r>
    </w:p>
    <w:p w:rsidR="00FE685F" w:rsidRDefault="00FE685F" w:rsidP="00CA759E">
      <w:pPr>
        <w:pStyle w:val="BodyText"/>
      </w:pPr>
      <w:r>
        <w:t xml:space="preserve">As described </w:t>
      </w:r>
      <w:r w:rsidR="00BD65A9">
        <w:t>previously</w:t>
      </w:r>
      <w:r>
        <w:t xml:space="preserve">, </w:t>
      </w:r>
      <w:r w:rsidR="00BD65A9">
        <w:t xml:space="preserve">the </w:t>
      </w:r>
      <w:r>
        <w:t xml:space="preserve">districts were sampled by relevant characteristics, accountability level, urbanicity, charter status, region, and MCAS achievement level. In this section, </w:t>
      </w:r>
      <w:r w:rsidR="007C4A5A">
        <w:t xml:space="preserve">the distribution of the 35 participating districts is explored across each characteristic by the </w:t>
      </w:r>
      <w:r>
        <w:t>average number of district required assessments and the average number of district-required testing sessions</w:t>
      </w:r>
      <w:r w:rsidR="007C4A5A">
        <w:t>.</w:t>
      </w:r>
      <w:r>
        <w:t xml:space="preserve"> </w:t>
      </w:r>
    </w:p>
    <w:p w:rsidR="0029620B" w:rsidRDefault="008771D5" w:rsidP="00CA759E">
      <w:pPr>
        <w:pStyle w:val="BodyText"/>
      </w:pPr>
      <w:r>
        <w:rPr>
          <w:b/>
        </w:rPr>
        <w:t xml:space="preserve">Accountability </w:t>
      </w:r>
      <w:r w:rsidR="007C4A5A">
        <w:rPr>
          <w:b/>
        </w:rPr>
        <w:t>L</w:t>
      </w:r>
      <w:r w:rsidR="007C4A5A" w:rsidRPr="007C4A5A">
        <w:rPr>
          <w:b/>
        </w:rPr>
        <w:t>evel.</w:t>
      </w:r>
      <w:r w:rsidR="007C4A5A">
        <w:t xml:space="preserve"> </w:t>
      </w:r>
      <w:r w:rsidR="0029620B">
        <w:t xml:space="preserve">As shown in Table 4, Level 4 districts </w:t>
      </w:r>
      <w:r w:rsidR="00BD65A9">
        <w:t xml:space="preserve">seem </w:t>
      </w:r>
      <w:r w:rsidR="0029620B">
        <w:t xml:space="preserve">to require the lowest average number of assessments, but the small number of these districts in </w:t>
      </w:r>
      <w:r w:rsidR="00204C2C">
        <w:t xml:space="preserve">the </w:t>
      </w:r>
      <w:r w:rsidR="0029620B">
        <w:t xml:space="preserve">sample </w:t>
      </w:r>
      <w:r w:rsidR="00BD65A9">
        <w:t xml:space="preserve">might </w:t>
      </w:r>
      <w:r w:rsidR="0029620B">
        <w:t xml:space="preserve">reduce the validity of </w:t>
      </w:r>
      <w:r w:rsidR="00204C2C">
        <w:t xml:space="preserve">this </w:t>
      </w:r>
      <w:r w:rsidR="0029620B">
        <w:t xml:space="preserve">finding. </w:t>
      </w:r>
      <w:r w:rsidR="007C4A5A">
        <w:t>Level 1 districts require the next-lowest average, suggesting that higher numbers of required assessments are clustered in districts at Levels 2 and 3.</w:t>
      </w:r>
    </w:p>
    <w:p w:rsidR="00E17B0A" w:rsidRPr="002F122E" w:rsidRDefault="00E17B0A" w:rsidP="00CA759E">
      <w:pPr>
        <w:pStyle w:val="TableTitle"/>
      </w:pPr>
      <w:r>
        <w:t>Table 4.</w:t>
      </w:r>
      <w:r w:rsidRPr="002F122E">
        <w:t xml:space="preserve"> </w:t>
      </w:r>
      <w:r>
        <w:t xml:space="preserve">District </w:t>
      </w:r>
      <w:r w:rsidRPr="002F122E">
        <w:t>Assessments by Accountability</w:t>
      </w:r>
      <w:r>
        <w:t xml:space="preserve"> Level (</w:t>
      </w:r>
      <w:r w:rsidRPr="00192551">
        <w:rPr>
          <w:i/>
        </w:rPr>
        <w:t>N</w:t>
      </w:r>
      <w:r w:rsidRPr="002F122E">
        <w:t xml:space="preserve"> = 35</w:t>
      </w:r>
      <w:r>
        <w:t>)</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1493"/>
        <w:gridCol w:w="3004"/>
        <w:gridCol w:w="3010"/>
      </w:tblGrid>
      <w:tr w:rsidR="00E17B0A" w:rsidRPr="00892825" w:rsidTr="008C4491">
        <w:trPr>
          <w:cnfStyle w:val="100000000000"/>
        </w:trPr>
        <w:tc>
          <w:tcPr>
            <w:cnfStyle w:val="001000000000"/>
            <w:tcW w:w="0" w:type="auto"/>
            <w:shd w:val="clear" w:color="auto" w:fill="B5C7DB" w:themeFill="text2" w:themeFillTint="66"/>
          </w:tcPr>
          <w:p w:rsidR="00E17B0A" w:rsidRPr="00892825" w:rsidRDefault="009B7686" w:rsidP="008C4491">
            <w:pPr>
              <w:pStyle w:val="TableColHeadingLeft"/>
              <w:jc w:val="center"/>
            </w:pPr>
            <w:r w:rsidRPr="008C4491">
              <w:rPr>
                <w:color w:val="auto"/>
              </w:rPr>
              <w:t>Accountability Level</w:t>
            </w:r>
          </w:p>
        </w:tc>
        <w:tc>
          <w:tcPr>
            <w:tcW w:w="0" w:type="auto"/>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Number of </w:t>
            </w:r>
            <w:r w:rsidR="00BD65A9">
              <w:rPr>
                <w:color w:val="auto"/>
              </w:rPr>
              <w:t>D</w:t>
            </w:r>
            <w:r w:rsidR="00BD65A9" w:rsidRPr="00BD65A9">
              <w:rPr>
                <w:color w:val="auto"/>
              </w:rPr>
              <w:t>istricts</w:t>
            </w:r>
          </w:p>
        </w:tc>
        <w:tc>
          <w:tcPr>
            <w:tcW w:w="0" w:type="auto"/>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Average </w:t>
            </w:r>
            <w:r w:rsidR="00BD65A9">
              <w:rPr>
                <w:color w:val="auto"/>
              </w:rPr>
              <w:t>N</w:t>
            </w:r>
            <w:r w:rsidRPr="00BD65A9">
              <w:rPr>
                <w:color w:val="auto"/>
              </w:rPr>
              <w:t xml:space="preserve">umber of </w:t>
            </w:r>
            <w:r w:rsidR="00BD65A9" w:rsidRPr="00BD65A9">
              <w:rPr>
                <w:color w:val="auto"/>
              </w:rPr>
              <w:t>District-Required Assessments</w:t>
            </w:r>
          </w:p>
        </w:tc>
        <w:tc>
          <w:tcPr>
            <w:tcW w:w="0" w:type="auto"/>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Average </w:t>
            </w:r>
            <w:r w:rsidR="00BD65A9">
              <w:rPr>
                <w:color w:val="auto"/>
              </w:rPr>
              <w:t>N</w:t>
            </w:r>
            <w:r w:rsidR="00BD65A9" w:rsidRPr="00BD65A9">
              <w:rPr>
                <w:color w:val="auto"/>
              </w:rPr>
              <w:t xml:space="preserve">umber </w:t>
            </w:r>
            <w:r w:rsidRPr="00BD65A9">
              <w:rPr>
                <w:color w:val="auto"/>
              </w:rPr>
              <w:t xml:space="preserve">of </w:t>
            </w:r>
            <w:r w:rsidR="00BD65A9" w:rsidRPr="00BD65A9">
              <w:rPr>
                <w:color w:val="auto"/>
              </w:rPr>
              <w:t>District-Required Testing Sessions</w:t>
            </w:r>
          </w:p>
        </w:tc>
      </w:tr>
      <w:tr w:rsidR="00E17B0A" w:rsidRPr="00CD745A" w:rsidTr="009B7686">
        <w:trPr>
          <w:cnfStyle w:val="000000100000"/>
        </w:trPr>
        <w:tc>
          <w:tcPr>
            <w:cnfStyle w:val="001000000000"/>
            <w:tcW w:w="0" w:type="auto"/>
            <w:tcBorders>
              <w:top w:val="none" w:sz="0" w:space="0" w:color="auto"/>
              <w:left w:val="none" w:sz="0" w:space="0" w:color="auto"/>
              <w:bottom w:val="none" w:sz="0" w:space="0" w:color="auto"/>
            </w:tcBorders>
          </w:tcPr>
          <w:p w:rsidR="00E17B0A" w:rsidRPr="00892825" w:rsidRDefault="00E17B0A" w:rsidP="00892825">
            <w:pPr>
              <w:pStyle w:val="TableText"/>
              <w:rPr>
                <w:b w:val="0"/>
              </w:rPr>
            </w:pPr>
            <w:r w:rsidRPr="00892825">
              <w:rPr>
                <w:b w:val="0"/>
              </w:rPr>
              <w:t>Level 1</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8</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5.5</w:t>
            </w:r>
          </w:p>
        </w:tc>
        <w:tc>
          <w:tcPr>
            <w:tcW w:w="0" w:type="auto"/>
            <w:tcBorders>
              <w:top w:val="none" w:sz="0" w:space="0" w:color="auto"/>
              <w:bottom w:val="none" w:sz="0" w:space="0" w:color="auto"/>
              <w:right w:val="none" w:sz="0" w:space="0" w:color="auto"/>
            </w:tcBorders>
            <w:vAlign w:val="center"/>
          </w:tcPr>
          <w:p w:rsidR="00E17B0A" w:rsidRPr="00892825" w:rsidRDefault="00E17B0A" w:rsidP="00B0378C">
            <w:pPr>
              <w:pStyle w:val="TableText"/>
              <w:jc w:val="center"/>
              <w:cnfStyle w:val="000000100000"/>
            </w:pPr>
            <w:r w:rsidRPr="00892825">
              <w:t>14.5</w:t>
            </w:r>
          </w:p>
        </w:tc>
      </w:tr>
      <w:tr w:rsidR="00E17B0A" w:rsidRPr="00CD745A" w:rsidTr="009B7686">
        <w:tc>
          <w:tcPr>
            <w:cnfStyle w:val="001000000000"/>
            <w:tcW w:w="0" w:type="auto"/>
          </w:tcPr>
          <w:p w:rsidR="00E17B0A" w:rsidRPr="00892825" w:rsidRDefault="00E17B0A" w:rsidP="00892825">
            <w:pPr>
              <w:pStyle w:val="TableText"/>
              <w:rPr>
                <w:b w:val="0"/>
              </w:rPr>
            </w:pPr>
            <w:r w:rsidRPr="00892825">
              <w:rPr>
                <w:b w:val="0"/>
              </w:rPr>
              <w:t>Level 2</w:t>
            </w:r>
          </w:p>
        </w:tc>
        <w:tc>
          <w:tcPr>
            <w:tcW w:w="0" w:type="auto"/>
            <w:vAlign w:val="center"/>
          </w:tcPr>
          <w:p w:rsidR="00E17B0A" w:rsidRPr="00892825" w:rsidRDefault="00E17B0A" w:rsidP="00B0378C">
            <w:pPr>
              <w:pStyle w:val="TableText"/>
              <w:jc w:val="center"/>
              <w:cnfStyle w:val="000000000000"/>
            </w:pPr>
            <w:r w:rsidRPr="00892825">
              <w:t>11</w:t>
            </w:r>
          </w:p>
        </w:tc>
        <w:tc>
          <w:tcPr>
            <w:tcW w:w="0" w:type="auto"/>
            <w:vAlign w:val="center"/>
          </w:tcPr>
          <w:p w:rsidR="00E17B0A" w:rsidRPr="00892825" w:rsidRDefault="00E17B0A" w:rsidP="00B0378C">
            <w:pPr>
              <w:pStyle w:val="TableText"/>
              <w:jc w:val="center"/>
              <w:cnfStyle w:val="000000000000"/>
            </w:pPr>
            <w:r w:rsidRPr="00892825">
              <w:t>8.3</w:t>
            </w:r>
          </w:p>
        </w:tc>
        <w:tc>
          <w:tcPr>
            <w:tcW w:w="0" w:type="auto"/>
            <w:vAlign w:val="center"/>
          </w:tcPr>
          <w:p w:rsidR="00E17B0A" w:rsidRPr="00892825" w:rsidRDefault="00E17B0A" w:rsidP="00B0378C">
            <w:pPr>
              <w:pStyle w:val="TableText"/>
              <w:jc w:val="center"/>
              <w:cnfStyle w:val="000000000000"/>
            </w:pPr>
            <w:r w:rsidRPr="00892825">
              <w:t>22.3</w:t>
            </w:r>
          </w:p>
        </w:tc>
      </w:tr>
      <w:tr w:rsidR="00E17B0A" w:rsidRPr="00CD745A" w:rsidTr="009B7686">
        <w:trPr>
          <w:cnfStyle w:val="000000100000"/>
        </w:trPr>
        <w:tc>
          <w:tcPr>
            <w:cnfStyle w:val="001000000000"/>
            <w:tcW w:w="0" w:type="auto"/>
            <w:tcBorders>
              <w:top w:val="none" w:sz="0" w:space="0" w:color="auto"/>
              <w:left w:val="none" w:sz="0" w:space="0" w:color="auto"/>
              <w:bottom w:val="none" w:sz="0" w:space="0" w:color="auto"/>
            </w:tcBorders>
          </w:tcPr>
          <w:p w:rsidR="00E17B0A" w:rsidRPr="00892825" w:rsidRDefault="00E17B0A" w:rsidP="00892825">
            <w:pPr>
              <w:pStyle w:val="TableText"/>
              <w:rPr>
                <w:b w:val="0"/>
              </w:rPr>
            </w:pPr>
            <w:r w:rsidRPr="00892825">
              <w:rPr>
                <w:b w:val="0"/>
              </w:rPr>
              <w:t>Level 3</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14</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6.4</w:t>
            </w:r>
          </w:p>
        </w:tc>
        <w:tc>
          <w:tcPr>
            <w:tcW w:w="0" w:type="auto"/>
            <w:tcBorders>
              <w:top w:val="none" w:sz="0" w:space="0" w:color="auto"/>
              <w:bottom w:val="none" w:sz="0" w:space="0" w:color="auto"/>
              <w:right w:val="none" w:sz="0" w:space="0" w:color="auto"/>
            </w:tcBorders>
            <w:vAlign w:val="center"/>
          </w:tcPr>
          <w:p w:rsidR="00E17B0A" w:rsidRPr="00892825" w:rsidRDefault="00E17B0A" w:rsidP="00B0378C">
            <w:pPr>
              <w:pStyle w:val="TableText"/>
              <w:jc w:val="center"/>
              <w:cnfStyle w:val="000000100000"/>
            </w:pPr>
            <w:r w:rsidRPr="00892825">
              <w:t>19.4</w:t>
            </w:r>
          </w:p>
        </w:tc>
      </w:tr>
      <w:tr w:rsidR="00E17B0A" w:rsidRPr="00CD745A" w:rsidTr="009B7686">
        <w:tc>
          <w:tcPr>
            <w:cnfStyle w:val="001000000000"/>
            <w:tcW w:w="0" w:type="auto"/>
          </w:tcPr>
          <w:p w:rsidR="00E17B0A" w:rsidRPr="00892825" w:rsidRDefault="00E17B0A" w:rsidP="00892825">
            <w:pPr>
              <w:pStyle w:val="TableText"/>
              <w:rPr>
                <w:b w:val="0"/>
              </w:rPr>
            </w:pPr>
            <w:r w:rsidRPr="00892825">
              <w:rPr>
                <w:b w:val="0"/>
              </w:rPr>
              <w:t>Level 4</w:t>
            </w:r>
          </w:p>
        </w:tc>
        <w:tc>
          <w:tcPr>
            <w:tcW w:w="0" w:type="auto"/>
            <w:vAlign w:val="center"/>
          </w:tcPr>
          <w:p w:rsidR="00E17B0A" w:rsidRPr="00892825" w:rsidRDefault="00E17B0A" w:rsidP="00B0378C">
            <w:pPr>
              <w:pStyle w:val="TableText"/>
              <w:jc w:val="center"/>
              <w:cnfStyle w:val="000000000000"/>
            </w:pPr>
            <w:r w:rsidRPr="00892825">
              <w:t>2</w:t>
            </w:r>
          </w:p>
        </w:tc>
        <w:tc>
          <w:tcPr>
            <w:tcW w:w="0" w:type="auto"/>
            <w:vAlign w:val="center"/>
          </w:tcPr>
          <w:p w:rsidR="00E17B0A" w:rsidRPr="00892825" w:rsidRDefault="00E17B0A" w:rsidP="00B0378C">
            <w:pPr>
              <w:pStyle w:val="TableText"/>
              <w:jc w:val="center"/>
              <w:cnfStyle w:val="000000000000"/>
            </w:pPr>
            <w:r w:rsidRPr="00892825">
              <w:t>5</w:t>
            </w:r>
          </w:p>
        </w:tc>
        <w:tc>
          <w:tcPr>
            <w:tcW w:w="0" w:type="auto"/>
            <w:vAlign w:val="center"/>
          </w:tcPr>
          <w:p w:rsidR="00E17B0A" w:rsidRPr="00892825" w:rsidRDefault="00E17B0A" w:rsidP="00B0378C">
            <w:pPr>
              <w:pStyle w:val="TableText"/>
              <w:jc w:val="center"/>
              <w:cnfStyle w:val="000000000000"/>
            </w:pPr>
            <w:r w:rsidRPr="00892825">
              <w:t>18.5</w:t>
            </w:r>
          </w:p>
        </w:tc>
      </w:tr>
    </w:tbl>
    <w:p w:rsidR="0029620B" w:rsidRPr="00CD745A" w:rsidRDefault="007C4A5A" w:rsidP="00892825">
      <w:pPr>
        <w:pStyle w:val="BodyText"/>
      </w:pPr>
      <w:r w:rsidRPr="007C4A5A">
        <w:rPr>
          <w:b/>
        </w:rPr>
        <w:t>Urbanicity.</w:t>
      </w:r>
      <w:r>
        <w:t xml:space="preserve"> </w:t>
      </w:r>
      <w:r w:rsidR="0029620B">
        <w:t xml:space="preserve">Table 5 shows that the differences between urban and nonurban districts in our sample, in terms of the number of assessments districts require, is not substantial. </w:t>
      </w:r>
    </w:p>
    <w:p w:rsidR="00E17B0A" w:rsidRPr="00192551" w:rsidRDefault="00E17B0A" w:rsidP="00892825">
      <w:pPr>
        <w:pStyle w:val="TableTitle"/>
      </w:pPr>
      <w:r w:rsidRPr="00192551">
        <w:t xml:space="preserve">Table </w:t>
      </w:r>
      <w:r>
        <w:t>5. District Assessments by Urbanicity (</w:t>
      </w:r>
      <w:r w:rsidRPr="00192551">
        <w:rPr>
          <w:i/>
        </w:rPr>
        <w:t>N</w:t>
      </w:r>
      <w:r w:rsidRPr="00192551">
        <w:t xml:space="preserve"> = 35</w:t>
      </w:r>
      <w:r>
        <w:t>)</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2140"/>
        <w:gridCol w:w="3184"/>
        <w:gridCol w:w="2805"/>
      </w:tblGrid>
      <w:tr w:rsidR="00BD65A9" w:rsidRPr="00BD65A9" w:rsidTr="008C4491">
        <w:trPr>
          <w:cnfStyle w:val="100000000000"/>
        </w:trPr>
        <w:tc>
          <w:tcPr>
            <w:cnfStyle w:val="001000000000"/>
            <w:tcW w:w="1188" w:type="dxa"/>
            <w:shd w:val="clear" w:color="auto" w:fill="B5C7DB" w:themeFill="text2" w:themeFillTint="66"/>
          </w:tcPr>
          <w:p w:rsidR="00E17B0A" w:rsidRPr="00BD65A9" w:rsidRDefault="0039373D" w:rsidP="008C4491">
            <w:pPr>
              <w:pStyle w:val="TableColHeadingLeft"/>
              <w:jc w:val="center"/>
              <w:rPr>
                <w:color w:val="auto"/>
              </w:rPr>
            </w:pPr>
            <w:r>
              <w:rPr>
                <w:color w:val="auto"/>
              </w:rPr>
              <w:t>Urbanicity</w:t>
            </w:r>
          </w:p>
        </w:tc>
        <w:tc>
          <w:tcPr>
            <w:tcW w:w="2140" w:type="dxa"/>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Number of </w:t>
            </w:r>
            <w:r w:rsidR="00BD65A9">
              <w:rPr>
                <w:color w:val="auto"/>
              </w:rPr>
              <w:t>D</w:t>
            </w:r>
            <w:r w:rsidR="00BD65A9" w:rsidRPr="00BD65A9">
              <w:rPr>
                <w:color w:val="auto"/>
              </w:rPr>
              <w:t>istricts</w:t>
            </w:r>
          </w:p>
        </w:tc>
        <w:tc>
          <w:tcPr>
            <w:tcW w:w="0" w:type="auto"/>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Average </w:t>
            </w:r>
            <w:r w:rsidR="00BD65A9">
              <w:rPr>
                <w:color w:val="auto"/>
              </w:rPr>
              <w:t>N</w:t>
            </w:r>
            <w:r w:rsidR="00BD65A9" w:rsidRPr="00BD65A9">
              <w:rPr>
                <w:color w:val="auto"/>
              </w:rPr>
              <w:t xml:space="preserve">umber </w:t>
            </w:r>
            <w:r w:rsidRPr="00BD65A9">
              <w:rPr>
                <w:color w:val="auto"/>
              </w:rPr>
              <w:t xml:space="preserve">of </w:t>
            </w:r>
            <w:r w:rsidR="00BD65A9" w:rsidRPr="00BD65A9">
              <w:rPr>
                <w:color w:val="auto"/>
              </w:rPr>
              <w:t>District-Required Assessments</w:t>
            </w:r>
          </w:p>
        </w:tc>
        <w:tc>
          <w:tcPr>
            <w:tcW w:w="0" w:type="auto"/>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Number of </w:t>
            </w:r>
            <w:r w:rsidR="00BD65A9" w:rsidRPr="00BD65A9">
              <w:rPr>
                <w:color w:val="auto"/>
              </w:rPr>
              <w:t>District-Required Testing Sessions</w:t>
            </w:r>
          </w:p>
        </w:tc>
      </w:tr>
      <w:tr w:rsidR="00E17B0A" w:rsidRPr="00CD745A" w:rsidTr="00BD65A9">
        <w:trPr>
          <w:cnfStyle w:val="000000100000"/>
        </w:trPr>
        <w:tc>
          <w:tcPr>
            <w:cnfStyle w:val="001000000000"/>
            <w:tcW w:w="1188" w:type="dxa"/>
            <w:tcBorders>
              <w:top w:val="none" w:sz="0" w:space="0" w:color="auto"/>
              <w:left w:val="none" w:sz="0" w:space="0" w:color="auto"/>
              <w:bottom w:val="none" w:sz="0" w:space="0" w:color="auto"/>
            </w:tcBorders>
          </w:tcPr>
          <w:p w:rsidR="00E17B0A" w:rsidRPr="00892825" w:rsidRDefault="00E17B0A" w:rsidP="00892825">
            <w:pPr>
              <w:pStyle w:val="TableText"/>
              <w:rPr>
                <w:b w:val="0"/>
              </w:rPr>
            </w:pPr>
            <w:r w:rsidRPr="00892825">
              <w:rPr>
                <w:b w:val="0"/>
              </w:rPr>
              <w:t>Urban</w:t>
            </w:r>
          </w:p>
        </w:tc>
        <w:tc>
          <w:tcPr>
            <w:tcW w:w="2140" w:type="dxa"/>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9</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6.6</w:t>
            </w:r>
          </w:p>
        </w:tc>
        <w:tc>
          <w:tcPr>
            <w:tcW w:w="0" w:type="auto"/>
            <w:tcBorders>
              <w:top w:val="none" w:sz="0" w:space="0" w:color="auto"/>
              <w:bottom w:val="none" w:sz="0" w:space="0" w:color="auto"/>
              <w:right w:val="none" w:sz="0" w:space="0" w:color="auto"/>
            </w:tcBorders>
            <w:vAlign w:val="center"/>
          </w:tcPr>
          <w:p w:rsidR="00E17B0A" w:rsidRPr="00892825" w:rsidRDefault="00E17B0A" w:rsidP="00B0378C">
            <w:pPr>
              <w:pStyle w:val="TableText"/>
              <w:jc w:val="center"/>
              <w:cnfStyle w:val="000000100000"/>
            </w:pPr>
            <w:r w:rsidRPr="00892825">
              <w:t>20.3</w:t>
            </w:r>
          </w:p>
        </w:tc>
      </w:tr>
      <w:tr w:rsidR="00E17B0A" w:rsidRPr="00CD745A" w:rsidTr="00BD65A9">
        <w:tc>
          <w:tcPr>
            <w:cnfStyle w:val="001000000000"/>
            <w:tcW w:w="1188" w:type="dxa"/>
          </w:tcPr>
          <w:p w:rsidR="00E17B0A" w:rsidRPr="00892825" w:rsidRDefault="00E17B0A" w:rsidP="00BD65A9">
            <w:pPr>
              <w:pStyle w:val="TableText"/>
              <w:rPr>
                <w:b w:val="0"/>
              </w:rPr>
            </w:pPr>
            <w:r w:rsidRPr="00892825">
              <w:rPr>
                <w:b w:val="0"/>
              </w:rPr>
              <w:t>Non</w:t>
            </w:r>
            <w:r w:rsidR="00BD65A9">
              <w:rPr>
                <w:b w:val="0"/>
              </w:rPr>
              <w:t>u</w:t>
            </w:r>
            <w:r w:rsidRPr="00892825">
              <w:rPr>
                <w:b w:val="0"/>
              </w:rPr>
              <w:t>rban</w:t>
            </w:r>
          </w:p>
        </w:tc>
        <w:tc>
          <w:tcPr>
            <w:tcW w:w="2140" w:type="dxa"/>
            <w:vAlign w:val="center"/>
          </w:tcPr>
          <w:p w:rsidR="00E17B0A" w:rsidRPr="00892825" w:rsidRDefault="00E17B0A" w:rsidP="00B0378C">
            <w:pPr>
              <w:pStyle w:val="TableText"/>
              <w:jc w:val="center"/>
              <w:cnfStyle w:val="000000000000"/>
            </w:pPr>
            <w:r w:rsidRPr="00892825">
              <w:t>26</w:t>
            </w:r>
          </w:p>
        </w:tc>
        <w:tc>
          <w:tcPr>
            <w:tcW w:w="0" w:type="auto"/>
            <w:vAlign w:val="center"/>
          </w:tcPr>
          <w:p w:rsidR="00E17B0A" w:rsidRPr="00892825" w:rsidRDefault="00E17B0A" w:rsidP="00B0378C">
            <w:pPr>
              <w:pStyle w:val="TableText"/>
              <w:jc w:val="center"/>
              <w:cnfStyle w:val="000000000000"/>
            </w:pPr>
            <w:r w:rsidRPr="00892825">
              <w:t>6.7</w:t>
            </w:r>
          </w:p>
        </w:tc>
        <w:tc>
          <w:tcPr>
            <w:tcW w:w="0" w:type="auto"/>
            <w:vAlign w:val="center"/>
          </w:tcPr>
          <w:p w:rsidR="00E17B0A" w:rsidRPr="00892825" w:rsidRDefault="00E17B0A" w:rsidP="00B0378C">
            <w:pPr>
              <w:pStyle w:val="TableText"/>
              <w:jc w:val="center"/>
              <w:cnfStyle w:val="000000000000"/>
            </w:pPr>
            <w:r w:rsidRPr="00892825">
              <w:t>18.7</w:t>
            </w:r>
          </w:p>
        </w:tc>
      </w:tr>
    </w:tbl>
    <w:p w:rsidR="00635406" w:rsidRPr="00CD745A" w:rsidRDefault="007C4A5A" w:rsidP="00892825">
      <w:pPr>
        <w:pStyle w:val="BodyText"/>
      </w:pPr>
      <w:r w:rsidRPr="007C4A5A">
        <w:rPr>
          <w:b/>
        </w:rPr>
        <w:t>Charter Status.</w:t>
      </w:r>
      <w:r>
        <w:t xml:space="preserve"> </w:t>
      </w:r>
      <w:r w:rsidR="00635406">
        <w:t xml:space="preserve">As Table 6 shows, the charter school districts in the study require fewer assessments than traditional districts, on average. </w:t>
      </w:r>
    </w:p>
    <w:p w:rsidR="00E17B0A" w:rsidRPr="00192551" w:rsidRDefault="00E17B0A" w:rsidP="00892825">
      <w:pPr>
        <w:pStyle w:val="TableTitle"/>
      </w:pPr>
      <w:r w:rsidRPr="00192551">
        <w:lastRenderedPageBreak/>
        <w:t xml:space="preserve">Table </w:t>
      </w:r>
      <w:r>
        <w:t>6.</w:t>
      </w:r>
      <w:r w:rsidRPr="00192551">
        <w:t xml:space="preserve"> </w:t>
      </w:r>
      <w:r>
        <w:t xml:space="preserve">District </w:t>
      </w:r>
      <w:r w:rsidRPr="00192551">
        <w:t>Assess</w:t>
      </w:r>
      <w:r>
        <w:t>ments by Charter Status (</w:t>
      </w:r>
      <w:r w:rsidRPr="00192551">
        <w:rPr>
          <w:i/>
        </w:rPr>
        <w:t>N</w:t>
      </w:r>
      <w:r w:rsidRPr="00192551">
        <w:t xml:space="preserve"> = 35</w:t>
      </w:r>
      <w:r>
        <w:t>)</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2161"/>
        <w:gridCol w:w="3626"/>
        <w:gridCol w:w="2295"/>
      </w:tblGrid>
      <w:tr w:rsidR="00BD65A9" w:rsidRPr="00BD65A9" w:rsidTr="008C4491">
        <w:trPr>
          <w:cnfStyle w:val="100000000000"/>
        </w:trPr>
        <w:tc>
          <w:tcPr>
            <w:cnfStyle w:val="001000000000"/>
            <w:tcW w:w="1278" w:type="dxa"/>
            <w:shd w:val="clear" w:color="auto" w:fill="B5C7DB" w:themeFill="text2" w:themeFillTint="66"/>
          </w:tcPr>
          <w:p w:rsidR="00E17B0A" w:rsidRPr="00BD65A9" w:rsidRDefault="00DA6EC6" w:rsidP="008C4491">
            <w:pPr>
              <w:pStyle w:val="TableColHeadingLeft"/>
              <w:keepNext/>
              <w:jc w:val="center"/>
              <w:rPr>
                <w:color w:val="auto"/>
              </w:rPr>
            </w:pPr>
            <w:r>
              <w:rPr>
                <w:color w:val="auto"/>
              </w:rPr>
              <w:t>Charter Status</w:t>
            </w:r>
          </w:p>
        </w:tc>
        <w:tc>
          <w:tcPr>
            <w:tcW w:w="2161" w:type="dxa"/>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Number of </w:t>
            </w:r>
            <w:r w:rsidR="00BD65A9">
              <w:rPr>
                <w:color w:val="auto"/>
              </w:rPr>
              <w:t>D</w:t>
            </w:r>
            <w:r w:rsidR="00BD65A9" w:rsidRPr="00BD65A9">
              <w:rPr>
                <w:color w:val="auto"/>
              </w:rPr>
              <w:t>istricts</w:t>
            </w:r>
          </w:p>
        </w:tc>
        <w:tc>
          <w:tcPr>
            <w:tcW w:w="3626" w:type="dxa"/>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Average </w:t>
            </w:r>
            <w:r w:rsidR="00BD65A9">
              <w:rPr>
                <w:color w:val="auto"/>
              </w:rPr>
              <w:t>N</w:t>
            </w:r>
            <w:r w:rsidR="00BD65A9" w:rsidRPr="00BD65A9">
              <w:rPr>
                <w:color w:val="auto"/>
              </w:rPr>
              <w:t xml:space="preserve">umber </w:t>
            </w:r>
            <w:r w:rsidRPr="00BD65A9">
              <w:rPr>
                <w:color w:val="auto"/>
              </w:rPr>
              <w:t xml:space="preserve">of </w:t>
            </w:r>
            <w:r w:rsidR="00220FE1">
              <w:rPr>
                <w:color w:val="auto"/>
              </w:rPr>
              <w:t>D</w:t>
            </w:r>
            <w:r w:rsidR="00220FE1" w:rsidRPr="00BD65A9">
              <w:rPr>
                <w:color w:val="auto"/>
              </w:rPr>
              <w:t>istrict</w:t>
            </w:r>
            <w:r w:rsidRPr="00BD65A9">
              <w:rPr>
                <w:color w:val="auto"/>
              </w:rPr>
              <w:t>-</w:t>
            </w:r>
            <w:r w:rsidR="00220FE1">
              <w:rPr>
                <w:color w:val="auto"/>
              </w:rPr>
              <w:t>R</w:t>
            </w:r>
            <w:r w:rsidR="00220FE1" w:rsidRPr="00BD65A9">
              <w:rPr>
                <w:color w:val="auto"/>
              </w:rPr>
              <w:t>equired</w:t>
            </w:r>
            <w:r w:rsidR="00220FE1">
              <w:rPr>
                <w:color w:val="auto"/>
              </w:rPr>
              <w:t xml:space="preserve"> Assessments</w:t>
            </w:r>
          </w:p>
        </w:tc>
        <w:tc>
          <w:tcPr>
            <w:tcW w:w="0" w:type="auto"/>
            <w:shd w:val="clear" w:color="auto" w:fill="B5C7DB" w:themeFill="text2" w:themeFillTint="66"/>
          </w:tcPr>
          <w:p w:rsidR="00E17B0A" w:rsidRPr="00BD65A9" w:rsidRDefault="00E17B0A" w:rsidP="008C4491">
            <w:pPr>
              <w:pStyle w:val="TableColHeadingLeft"/>
              <w:jc w:val="center"/>
              <w:cnfStyle w:val="100000000000"/>
              <w:rPr>
                <w:color w:val="auto"/>
              </w:rPr>
            </w:pPr>
            <w:r w:rsidRPr="00BD65A9">
              <w:rPr>
                <w:color w:val="auto"/>
              </w:rPr>
              <w:t xml:space="preserve">Number of </w:t>
            </w:r>
            <w:r w:rsidR="00220FE1" w:rsidRPr="00BD65A9">
              <w:rPr>
                <w:color w:val="auto"/>
              </w:rPr>
              <w:t>District-Required Testing Sessions</w:t>
            </w:r>
          </w:p>
        </w:tc>
      </w:tr>
      <w:tr w:rsidR="00E17B0A" w:rsidRPr="00CD745A" w:rsidTr="00220FE1">
        <w:trPr>
          <w:cnfStyle w:val="000000100000"/>
        </w:trPr>
        <w:tc>
          <w:tcPr>
            <w:cnfStyle w:val="001000000000"/>
            <w:tcW w:w="1278" w:type="dxa"/>
            <w:tcBorders>
              <w:top w:val="none" w:sz="0" w:space="0" w:color="auto"/>
              <w:left w:val="none" w:sz="0" w:space="0" w:color="auto"/>
              <w:bottom w:val="none" w:sz="0" w:space="0" w:color="auto"/>
            </w:tcBorders>
          </w:tcPr>
          <w:p w:rsidR="00E17B0A" w:rsidRPr="00892825" w:rsidRDefault="00E17B0A" w:rsidP="00892825">
            <w:pPr>
              <w:pStyle w:val="TableText"/>
              <w:rPr>
                <w:b w:val="0"/>
              </w:rPr>
            </w:pPr>
            <w:r w:rsidRPr="00892825">
              <w:rPr>
                <w:b w:val="0"/>
              </w:rPr>
              <w:t>Charter</w:t>
            </w:r>
          </w:p>
        </w:tc>
        <w:tc>
          <w:tcPr>
            <w:tcW w:w="2161" w:type="dxa"/>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7</w:t>
            </w:r>
          </w:p>
        </w:tc>
        <w:tc>
          <w:tcPr>
            <w:tcW w:w="3626" w:type="dxa"/>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4.3</w:t>
            </w:r>
          </w:p>
        </w:tc>
        <w:tc>
          <w:tcPr>
            <w:tcW w:w="0" w:type="auto"/>
            <w:tcBorders>
              <w:top w:val="none" w:sz="0" w:space="0" w:color="auto"/>
              <w:bottom w:val="none" w:sz="0" w:space="0" w:color="auto"/>
              <w:right w:val="none" w:sz="0" w:space="0" w:color="auto"/>
            </w:tcBorders>
            <w:vAlign w:val="center"/>
          </w:tcPr>
          <w:p w:rsidR="00E17B0A" w:rsidRPr="00892825" w:rsidRDefault="00E17B0A" w:rsidP="00B0378C">
            <w:pPr>
              <w:pStyle w:val="TableText"/>
              <w:jc w:val="center"/>
              <w:cnfStyle w:val="000000100000"/>
            </w:pPr>
            <w:r w:rsidRPr="00892825">
              <w:t>14.7</w:t>
            </w:r>
          </w:p>
        </w:tc>
      </w:tr>
      <w:tr w:rsidR="00E17B0A" w:rsidRPr="00CD745A" w:rsidTr="00220FE1">
        <w:tc>
          <w:tcPr>
            <w:cnfStyle w:val="001000000000"/>
            <w:tcW w:w="1278" w:type="dxa"/>
          </w:tcPr>
          <w:p w:rsidR="00E17B0A" w:rsidRPr="00892825" w:rsidRDefault="00E17B0A" w:rsidP="00220FE1">
            <w:pPr>
              <w:pStyle w:val="TableText"/>
              <w:rPr>
                <w:b w:val="0"/>
              </w:rPr>
            </w:pPr>
            <w:r w:rsidRPr="00892825">
              <w:rPr>
                <w:b w:val="0"/>
              </w:rPr>
              <w:t>Non</w:t>
            </w:r>
            <w:r w:rsidR="00220FE1">
              <w:rPr>
                <w:b w:val="0"/>
              </w:rPr>
              <w:t>c</w:t>
            </w:r>
            <w:r w:rsidRPr="00892825">
              <w:rPr>
                <w:b w:val="0"/>
              </w:rPr>
              <w:t>harter</w:t>
            </w:r>
          </w:p>
        </w:tc>
        <w:tc>
          <w:tcPr>
            <w:tcW w:w="2161" w:type="dxa"/>
            <w:vAlign w:val="center"/>
          </w:tcPr>
          <w:p w:rsidR="00E17B0A" w:rsidRPr="00892825" w:rsidRDefault="00E17B0A" w:rsidP="00B0378C">
            <w:pPr>
              <w:pStyle w:val="TableText"/>
              <w:jc w:val="center"/>
              <w:cnfStyle w:val="000000000000"/>
            </w:pPr>
            <w:r w:rsidRPr="00892825">
              <w:t>28</w:t>
            </w:r>
          </w:p>
        </w:tc>
        <w:tc>
          <w:tcPr>
            <w:tcW w:w="3626" w:type="dxa"/>
            <w:vAlign w:val="center"/>
          </w:tcPr>
          <w:p w:rsidR="00E17B0A" w:rsidRPr="00892825" w:rsidRDefault="00E17B0A" w:rsidP="00B0378C">
            <w:pPr>
              <w:pStyle w:val="TableText"/>
              <w:jc w:val="center"/>
              <w:cnfStyle w:val="000000000000"/>
            </w:pPr>
            <w:r w:rsidRPr="00892825">
              <w:t>7.3</w:t>
            </w:r>
          </w:p>
        </w:tc>
        <w:tc>
          <w:tcPr>
            <w:tcW w:w="0" w:type="auto"/>
            <w:vAlign w:val="center"/>
          </w:tcPr>
          <w:p w:rsidR="00E17B0A" w:rsidRPr="00892825" w:rsidRDefault="00E17B0A" w:rsidP="00B0378C">
            <w:pPr>
              <w:pStyle w:val="TableText"/>
              <w:jc w:val="center"/>
              <w:cnfStyle w:val="000000000000"/>
            </w:pPr>
            <w:r w:rsidRPr="00892825">
              <w:t>20.2</w:t>
            </w:r>
          </w:p>
        </w:tc>
      </w:tr>
    </w:tbl>
    <w:p w:rsidR="00635406" w:rsidRDefault="007C4A5A" w:rsidP="00892825">
      <w:pPr>
        <w:pStyle w:val="BodyText"/>
      </w:pPr>
      <w:r w:rsidRPr="007C4A5A">
        <w:rPr>
          <w:b/>
        </w:rPr>
        <w:t>Region.</w:t>
      </w:r>
      <w:r>
        <w:t xml:space="preserve"> </w:t>
      </w:r>
      <w:r w:rsidR="00635406">
        <w:t>Viewing the data by region</w:t>
      </w:r>
      <w:r w:rsidR="00424983">
        <w:t xml:space="preserve"> (Table 7)</w:t>
      </w:r>
      <w:r w:rsidR="00635406">
        <w:t xml:space="preserve">, the lowest average number of district-required assessments is found in the Greater Boston region. The </w:t>
      </w:r>
      <w:r w:rsidR="00965FF6">
        <w:t xml:space="preserve">highest </w:t>
      </w:r>
      <w:r w:rsidR="00635406">
        <w:t>average number is in the Northeast region.</w:t>
      </w:r>
    </w:p>
    <w:p w:rsidR="00E17B0A" w:rsidRPr="00192551" w:rsidRDefault="00E17B0A" w:rsidP="008C4491">
      <w:pPr>
        <w:pStyle w:val="TableTitle"/>
      </w:pPr>
      <w:r w:rsidRPr="00192551">
        <w:t>Table 7</w:t>
      </w:r>
      <w:r>
        <w:t>. District Assessments by Region (</w:t>
      </w:r>
      <w:r w:rsidRPr="00192551">
        <w:rPr>
          <w:i/>
        </w:rPr>
        <w:t>N</w:t>
      </w:r>
      <w:r w:rsidRPr="00192551">
        <w:t xml:space="preserve"> = 35</w:t>
      </w:r>
      <w:r>
        <w:t>)</w:t>
      </w:r>
      <w:r w:rsidRPr="00192551">
        <w:t xml:space="preserve"> </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15"/>
        <w:gridCol w:w="3079"/>
        <w:gridCol w:w="3098"/>
      </w:tblGrid>
      <w:tr w:rsidR="00E17B0A" w:rsidRPr="00892825" w:rsidTr="008C4491">
        <w:trPr>
          <w:cnfStyle w:val="100000000000"/>
        </w:trPr>
        <w:tc>
          <w:tcPr>
            <w:cnfStyle w:val="001000000000"/>
            <w:tcW w:w="0" w:type="auto"/>
            <w:shd w:val="clear" w:color="auto" w:fill="B5C7DB" w:themeFill="text2" w:themeFillTint="66"/>
          </w:tcPr>
          <w:p w:rsidR="00E17B0A" w:rsidRPr="00220FE1" w:rsidRDefault="00DA6EC6" w:rsidP="008C4491">
            <w:pPr>
              <w:pStyle w:val="TableColHeadingLeft"/>
              <w:jc w:val="center"/>
              <w:rPr>
                <w:color w:val="auto"/>
              </w:rPr>
            </w:pPr>
            <w:r>
              <w:rPr>
                <w:color w:val="auto"/>
              </w:rPr>
              <w:t>Region</w:t>
            </w:r>
          </w:p>
        </w:tc>
        <w:tc>
          <w:tcPr>
            <w:tcW w:w="0" w:type="auto"/>
            <w:shd w:val="clear" w:color="auto" w:fill="B5C7DB" w:themeFill="text2" w:themeFillTint="66"/>
          </w:tcPr>
          <w:p w:rsidR="00E17B0A" w:rsidRPr="00220FE1" w:rsidRDefault="00E17B0A" w:rsidP="008C4491">
            <w:pPr>
              <w:pStyle w:val="TableColHeadingLeft"/>
              <w:jc w:val="center"/>
              <w:cnfStyle w:val="100000000000"/>
              <w:rPr>
                <w:color w:val="auto"/>
              </w:rPr>
            </w:pPr>
            <w:r w:rsidRPr="00220FE1">
              <w:rPr>
                <w:color w:val="auto"/>
              </w:rPr>
              <w:t xml:space="preserve">Number of </w:t>
            </w:r>
            <w:r w:rsidR="00220FE1" w:rsidRPr="00220FE1">
              <w:rPr>
                <w:color w:val="auto"/>
              </w:rPr>
              <w:t>Districts</w:t>
            </w:r>
          </w:p>
        </w:tc>
        <w:tc>
          <w:tcPr>
            <w:tcW w:w="0" w:type="auto"/>
            <w:shd w:val="clear" w:color="auto" w:fill="B5C7DB" w:themeFill="text2" w:themeFillTint="66"/>
          </w:tcPr>
          <w:p w:rsidR="00E17B0A" w:rsidRPr="00220FE1" w:rsidRDefault="00E17B0A" w:rsidP="008C4491">
            <w:pPr>
              <w:pStyle w:val="TableColHeadingLeft"/>
              <w:jc w:val="center"/>
              <w:cnfStyle w:val="100000000000"/>
              <w:rPr>
                <w:color w:val="auto"/>
              </w:rPr>
            </w:pPr>
            <w:r w:rsidRPr="00220FE1">
              <w:rPr>
                <w:color w:val="auto"/>
              </w:rPr>
              <w:t xml:space="preserve">Average </w:t>
            </w:r>
            <w:r w:rsidR="00220FE1" w:rsidRPr="00220FE1">
              <w:rPr>
                <w:color w:val="auto"/>
              </w:rPr>
              <w:t xml:space="preserve">Number </w:t>
            </w:r>
            <w:r w:rsidRPr="00220FE1">
              <w:rPr>
                <w:color w:val="auto"/>
              </w:rPr>
              <w:t xml:space="preserve">of </w:t>
            </w:r>
            <w:r w:rsidR="00220FE1" w:rsidRPr="00220FE1">
              <w:rPr>
                <w:color w:val="auto"/>
              </w:rPr>
              <w:t>District-Required Assessments</w:t>
            </w:r>
          </w:p>
        </w:tc>
        <w:tc>
          <w:tcPr>
            <w:tcW w:w="0" w:type="auto"/>
            <w:shd w:val="clear" w:color="auto" w:fill="B5C7DB" w:themeFill="text2" w:themeFillTint="66"/>
          </w:tcPr>
          <w:p w:rsidR="00E17B0A" w:rsidRPr="00220FE1" w:rsidRDefault="00E17B0A" w:rsidP="008C4491">
            <w:pPr>
              <w:pStyle w:val="TableColHeadingLeft"/>
              <w:jc w:val="center"/>
              <w:cnfStyle w:val="100000000000"/>
              <w:rPr>
                <w:color w:val="auto"/>
              </w:rPr>
            </w:pPr>
            <w:r w:rsidRPr="00220FE1">
              <w:rPr>
                <w:color w:val="auto"/>
              </w:rPr>
              <w:t xml:space="preserve">Average </w:t>
            </w:r>
            <w:r w:rsidR="00220FE1" w:rsidRPr="00220FE1">
              <w:rPr>
                <w:color w:val="auto"/>
              </w:rPr>
              <w:t xml:space="preserve">Number </w:t>
            </w:r>
            <w:r w:rsidRPr="00220FE1">
              <w:rPr>
                <w:color w:val="auto"/>
              </w:rPr>
              <w:t xml:space="preserve">of </w:t>
            </w:r>
            <w:r w:rsidR="00220FE1" w:rsidRPr="00220FE1">
              <w:rPr>
                <w:color w:val="auto"/>
              </w:rPr>
              <w:t>District-Required Testing Sessions</w:t>
            </w:r>
          </w:p>
        </w:tc>
      </w:tr>
      <w:tr w:rsidR="00E17B0A" w:rsidRPr="00892825" w:rsidTr="00220FE1">
        <w:trPr>
          <w:cnfStyle w:val="000000100000"/>
        </w:trPr>
        <w:tc>
          <w:tcPr>
            <w:cnfStyle w:val="001000000000"/>
            <w:tcW w:w="0" w:type="auto"/>
            <w:tcBorders>
              <w:top w:val="none" w:sz="0" w:space="0" w:color="auto"/>
              <w:left w:val="none" w:sz="0" w:space="0" w:color="auto"/>
              <w:bottom w:val="none" w:sz="0" w:space="0" w:color="auto"/>
            </w:tcBorders>
          </w:tcPr>
          <w:p w:rsidR="00E17B0A" w:rsidRPr="00892825" w:rsidRDefault="00E17B0A" w:rsidP="00892825">
            <w:pPr>
              <w:pStyle w:val="TableText"/>
              <w:rPr>
                <w:b w:val="0"/>
              </w:rPr>
            </w:pPr>
            <w:r w:rsidRPr="00892825">
              <w:rPr>
                <w:b w:val="0"/>
              </w:rPr>
              <w:t>Berkshires, Southwest</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3</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5.7</w:t>
            </w:r>
          </w:p>
        </w:tc>
        <w:tc>
          <w:tcPr>
            <w:tcW w:w="0" w:type="auto"/>
            <w:tcBorders>
              <w:top w:val="none" w:sz="0" w:space="0" w:color="auto"/>
              <w:bottom w:val="none" w:sz="0" w:space="0" w:color="auto"/>
              <w:right w:val="none" w:sz="0" w:space="0" w:color="auto"/>
            </w:tcBorders>
            <w:vAlign w:val="center"/>
          </w:tcPr>
          <w:p w:rsidR="00E17B0A" w:rsidRPr="00892825" w:rsidRDefault="00E17B0A" w:rsidP="00B0378C">
            <w:pPr>
              <w:pStyle w:val="TableText"/>
              <w:jc w:val="center"/>
              <w:cnfStyle w:val="000000100000"/>
            </w:pPr>
            <w:r w:rsidRPr="00892825">
              <w:t>17</w:t>
            </w:r>
            <w:r w:rsidR="0029620B" w:rsidRPr="00892825">
              <w:t>.0</w:t>
            </w:r>
          </w:p>
        </w:tc>
      </w:tr>
      <w:tr w:rsidR="00E17B0A" w:rsidRPr="00892825" w:rsidTr="00220FE1">
        <w:tc>
          <w:tcPr>
            <w:cnfStyle w:val="001000000000"/>
            <w:tcW w:w="0" w:type="auto"/>
          </w:tcPr>
          <w:p w:rsidR="00E17B0A" w:rsidRPr="00892825" w:rsidRDefault="00E17B0A" w:rsidP="00892825">
            <w:pPr>
              <w:pStyle w:val="TableText"/>
              <w:rPr>
                <w:b w:val="0"/>
              </w:rPr>
            </w:pPr>
            <w:r w:rsidRPr="00892825">
              <w:rPr>
                <w:b w:val="0"/>
              </w:rPr>
              <w:t>Central</w:t>
            </w:r>
          </w:p>
        </w:tc>
        <w:tc>
          <w:tcPr>
            <w:tcW w:w="0" w:type="auto"/>
            <w:vAlign w:val="center"/>
          </w:tcPr>
          <w:p w:rsidR="00E17B0A" w:rsidRPr="00892825" w:rsidRDefault="00E17B0A" w:rsidP="00B0378C">
            <w:pPr>
              <w:pStyle w:val="TableText"/>
              <w:jc w:val="center"/>
              <w:cnfStyle w:val="000000000000"/>
            </w:pPr>
            <w:r w:rsidRPr="00892825">
              <w:t>6</w:t>
            </w:r>
          </w:p>
        </w:tc>
        <w:tc>
          <w:tcPr>
            <w:tcW w:w="0" w:type="auto"/>
            <w:vAlign w:val="center"/>
          </w:tcPr>
          <w:p w:rsidR="00E17B0A" w:rsidRPr="00892825" w:rsidRDefault="00E17B0A" w:rsidP="00B0378C">
            <w:pPr>
              <w:pStyle w:val="TableText"/>
              <w:jc w:val="center"/>
              <w:cnfStyle w:val="000000000000"/>
            </w:pPr>
            <w:r w:rsidRPr="00892825">
              <w:t>7.7</w:t>
            </w:r>
          </w:p>
        </w:tc>
        <w:tc>
          <w:tcPr>
            <w:tcW w:w="0" w:type="auto"/>
            <w:vAlign w:val="center"/>
          </w:tcPr>
          <w:p w:rsidR="00E17B0A" w:rsidRPr="00892825" w:rsidRDefault="00E17B0A" w:rsidP="00B0378C">
            <w:pPr>
              <w:pStyle w:val="TableText"/>
              <w:jc w:val="center"/>
              <w:cnfStyle w:val="000000000000"/>
            </w:pPr>
            <w:r w:rsidRPr="00892825">
              <w:t>23.3</w:t>
            </w:r>
          </w:p>
        </w:tc>
      </w:tr>
      <w:tr w:rsidR="00E17B0A" w:rsidRPr="00892825" w:rsidTr="00220FE1">
        <w:trPr>
          <w:cnfStyle w:val="000000100000"/>
        </w:trPr>
        <w:tc>
          <w:tcPr>
            <w:cnfStyle w:val="001000000000"/>
            <w:tcW w:w="0" w:type="auto"/>
            <w:tcBorders>
              <w:top w:val="none" w:sz="0" w:space="0" w:color="auto"/>
              <w:left w:val="none" w:sz="0" w:space="0" w:color="auto"/>
              <w:bottom w:val="none" w:sz="0" w:space="0" w:color="auto"/>
            </w:tcBorders>
          </w:tcPr>
          <w:p w:rsidR="00E17B0A" w:rsidRPr="00892825" w:rsidRDefault="00E17B0A" w:rsidP="00892825">
            <w:pPr>
              <w:pStyle w:val="TableText"/>
              <w:rPr>
                <w:b w:val="0"/>
              </w:rPr>
            </w:pPr>
            <w:r w:rsidRPr="00892825">
              <w:rPr>
                <w:b w:val="0"/>
              </w:rPr>
              <w:t>Greater Boston</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9</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4.4</w:t>
            </w:r>
          </w:p>
        </w:tc>
        <w:tc>
          <w:tcPr>
            <w:tcW w:w="0" w:type="auto"/>
            <w:tcBorders>
              <w:top w:val="none" w:sz="0" w:space="0" w:color="auto"/>
              <w:bottom w:val="none" w:sz="0" w:space="0" w:color="auto"/>
              <w:right w:val="none" w:sz="0" w:space="0" w:color="auto"/>
            </w:tcBorders>
            <w:vAlign w:val="center"/>
          </w:tcPr>
          <w:p w:rsidR="00E17B0A" w:rsidRPr="00892825" w:rsidRDefault="00E17B0A" w:rsidP="00B0378C">
            <w:pPr>
              <w:pStyle w:val="TableText"/>
              <w:jc w:val="center"/>
              <w:cnfStyle w:val="000000100000"/>
            </w:pPr>
            <w:r w:rsidRPr="00892825">
              <w:t>14.3</w:t>
            </w:r>
          </w:p>
        </w:tc>
      </w:tr>
      <w:tr w:rsidR="00E17B0A" w:rsidRPr="00892825" w:rsidTr="00220FE1">
        <w:tc>
          <w:tcPr>
            <w:cnfStyle w:val="001000000000"/>
            <w:tcW w:w="0" w:type="auto"/>
          </w:tcPr>
          <w:p w:rsidR="00E17B0A" w:rsidRPr="00892825" w:rsidRDefault="00E17B0A" w:rsidP="00892825">
            <w:pPr>
              <w:pStyle w:val="TableText"/>
              <w:rPr>
                <w:b w:val="0"/>
              </w:rPr>
            </w:pPr>
            <w:r w:rsidRPr="00892825">
              <w:rPr>
                <w:b w:val="0"/>
              </w:rPr>
              <w:t>Northeast</w:t>
            </w:r>
          </w:p>
        </w:tc>
        <w:tc>
          <w:tcPr>
            <w:tcW w:w="0" w:type="auto"/>
            <w:vAlign w:val="center"/>
          </w:tcPr>
          <w:p w:rsidR="00E17B0A" w:rsidRPr="00892825" w:rsidRDefault="00E17B0A" w:rsidP="00B0378C">
            <w:pPr>
              <w:pStyle w:val="TableText"/>
              <w:jc w:val="center"/>
              <w:cnfStyle w:val="000000000000"/>
            </w:pPr>
            <w:r w:rsidRPr="00892825">
              <w:t>5</w:t>
            </w:r>
          </w:p>
        </w:tc>
        <w:tc>
          <w:tcPr>
            <w:tcW w:w="0" w:type="auto"/>
            <w:vAlign w:val="center"/>
          </w:tcPr>
          <w:p w:rsidR="00E17B0A" w:rsidRPr="00892825" w:rsidRDefault="00E17B0A" w:rsidP="00B0378C">
            <w:pPr>
              <w:pStyle w:val="TableText"/>
              <w:jc w:val="center"/>
              <w:cnfStyle w:val="000000000000"/>
            </w:pPr>
            <w:r w:rsidRPr="00892825">
              <w:t>10.6</w:t>
            </w:r>
          </w:p>
        </w:tc>
        <w:tc>
          <w:tcPr>
            <w:tcW w:w="0" w:type="auto"/>
            <w:vAlign w:val="center"/>
          </w:tcPr>
          <w:p w:rsidR="00E17B0A" w:rsidRPr="00892825" w:rsidRDefault="00E17B0A" w:rsidP="00B0378C">
            <w:pPr>
              <w:pStyle w:val="TableText"/>
              <w:jc w:val="center"/>
              <w:cnfStyle w:val="000000000000"/>
            </w:pPr>
            <w:r w:rsidRPr="00892825">
              <w:t>28</w:t>
            </w:r>
            <w:r w:rsidR="0029620B" w:rsidRPr="00892825">
              <w:t>.0</w:t>
            </w:r>
          </w:p>
        </w:tc>
      </w:tr>
      <w:tr w:rsidR="00E17B0A" w:rsidRPr="00892825" w:rsidTr="00220FE1">
        <w:trPr>
          <w:cnfStyle w:val="000000100000"/>
        </w:trPr>
        <w:tc>
          <w:tcPr>
            <w:cnfStyle w:val="001000000000"/>
            <w:tcW w:w="0" w:type="auto"/>
            <w:tcBorders>
              <w:top w:val="none" w:sz="0" w:space="0" w:color="auto"/>
              <w:left w:val="none" w:sz="0" w:space="0" w:color="auto"/>
              <w:bottom w:val="none" w:sz="0" w:space="0" w:color="auto"/>
            </w:tcBorders>
          </w:tcPr>
          <w:p w:rsidR="00E17B0A" w:rsidRPr="00892825" w:rsidRDefault="00E17B0A" w:rsidP="00892825">
            <w:pPr>
              <w:pStyle w:val="TableText"/>
              <w:rPr>
                <w:b w:val="0"/>
              </w:rPr>
            </w:pPr>
            <w:r w:rsidRPr="00892825">
              <w:rPr>
                <w:b w:val="0"/>
              </w:rPr>
              <w:t>Pioneer Valley</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6</w:t>
            </w:r>
          </w:p>
        </w:tc>
        <w:tc>
          <w:tcPr>
            <w:tcW w:w="0" w:type="auto"/>
            <w:tcBorders>
              <w:top w:val="none" w:sz="0" w:space="0" w:color="auto"/>
              <w:bottom w:val="none" w:sz="0" w:space="0" w:color="auto"/>
            </w:tcBorders>
            <w:vAlign w:val="center"/>
          </w:tcPr>
          <w:p w:rsidR="00E17B0A" w:rsidRPr="00892825" w:rsidRDefault="00E17B0A" w:rsidP="00B0378C">
            <w:pPr>
              <w:pStyle w:val="TableText"/>
              <w:jc w:val="center"/>
              <w:cnfStyle w:val="000000100000"/>
            </w:pPr>
            <w:r w:rsidRPr="00892825">
              <w:t>5.8</w:t>
            </w:r>
          </w:p>
        </w:tc>
        <w:tc>
          <w:tcPr>
            <w:tcW w:w="0" w:type="auto"/>
            <w:tcBorders>
              <w:top w:val="none" w:sz="0" w:space="0" w:color="auto"/>
              <w:bottom w:val="none" w:sz="0" w:space="0" w:color="auto"/>
              <w:right w:val="none" w:sz="0" w:space="0" w:color="auto"/>
            </w:tcBorders>
            <w:vAlign w:val="center"/>
          </w:tcPr>
          <w:p w:rsidR="00E17B0A" w:rsidRPr="00892825" w:rsidRDefault="00E17B0A" w:rsidP="00B0378C">
            <w:pPr>
              <w:pStyle w:val="TableText"/>
              <w:jc w:val="center"/>
              <w:cnfStyle w:val="000000100000"/>
            </w:pPr>
            <w:r w:rsidRPr="00892825">
              <w:t>16.5</w:t>
            </w:r>
          </w:p>
        </w:tc>
      </w:tr>
      <w:tr w:rsidR="00E17B0A" w:rsidRPr="00892825" w:rsidTr="00220FE1">
        <w:tc>
          <w:tcPr>
            <w:cnfStyle w:val="001000000000"/>
            <w:tcW w:w="0" w:type="auto"/>
          </w:tcPr>
          <w:p w:rsidR="00E17B0A" w:rsidRPr="00892825" w:rsidRDefault="00E17B0A" w:rsidP="00892825">
            <w:pPr>
              <w:pStyle w:val="TableText"/>
              <w:rPr>
                <w:b w:val="0"/>
              </w:rPr>
            </w:pPr>
            <w:r w:rsidRPr="00892825">
              <w:rPr>
                <w:b w:val="0"/>
              </w:rPr>
              <w:t>Southeast</w:t>
            </w:r>
          </w:p>
        </w:tc>
        <w:tc>
          <w:tcPr>
            <w:tcW w:w="0" w:type="auto"/>
            <w:vAlign w:val="center"/>
          </w:tcPr>
          <w:p w:rsidR="00E17B0A" w:rsidRPr="00892825" w:rsidRDefault="00E17B0A" w:rsidP="00B0378C">
            <w:pPr>
              <w:pStyle w:val="TableText"/>
              <w:jc w:val="center"/>
              <w:cnfStyle w:val="000000000000"/>
            </w:pPr>
            <w:r w:rsidRPr="00892825">
              <w:t>6</w:t>
            </w:r>
          </w:p>
        </w:tc>
        <w:tc>
          <w:tcPr>
            <w:tcW w:w="0" w:type="auto"/>
            <w:vAlign w:val="center"/>
          </w:tcPr>
          <w:p w:rsidR="00E17B0A" w:rsidRPr="00892825" w:rsidRDefault="00E17B0A" w:rsidP="00B0378C">
            <w:pPr>
              <w:pStyle w:val="TableText"/>
              <w:jc w:val="center"/>
              <w:cnfStyle w:val="000000000000"/>
            </w:pPr>
            <w:r w:rsidRPr="00892825">
              <w:t>7.2</w:t>
            </w:r>
          </w:p>
        </w:tc>
        <w:tc>
          <w:tcPr>
            <w:tcW w:w="0" w:type="auto"/>
            <w:vAlign w:val="center"/>
          </w:tcPr>
          <w:p w:rsidR="00E17B0A" w:rsidRPr="00892825" w:rsidRDefault="00E17B0A" w:rsidP="00B0378C">
            <w:pPr>
              <w:pStyle w:val="TableText"/>
              <w:jc w:val="center"/>
              <w:cnfStyle w:val="000000000000"/>
            </w:pPr>
            <w:r w:rsidRPr="00892825">
              <w:t>18.3</w:t>
            </w:r>
          </w:p>
        </w:tc>
      </w:tr>
    </w:tbl>
    <w:p w:rsidR="00E17B0A" w:rsidRDefault="00E17B0A" w:rsidP="00892825">
      <w:pPr>
        <w:pStyle w:val="TableNote"/>
      </w:pPr>
      <w:r w:rsidRPr="0043070F">
        <w:rPr>
          <w:i/>
        </w:rPr>
        <w:t>Note</w:t>
      </w:r>
      <w:r w:rsidR="0043070F">
        <w:t>.</w:t>
      </w:r>
      <w:r w:rsidR="0043070F" w:rsidRPr="00A4757A">
        <w:t xml:space="preserve"> </w:t>
      </w:r>
      <w:r w:rsidR="006256DB" w:rsidRPr="00A4757A">
        <w:t xml:space="preserve">Few districts in </w:t>
      </w:r>
      <w:r w:rsidRPr="00A4757A">
        <w:t xml:space="preserve">The Berkshires and Southwest regions </w:t>
      </w:r>
      <w:r w:rsidR="006256DB" w:rsidRPr="00A4757A">
        <w:t>are</w:t>
      </w:r>
      <w:r w:rsidRPr="00A4757A">
        <w:t xml:space="preserve"> participating in this study. As adjacent regions in the state, they were combined to protect participants’ anonymity.</w:t>
      </w:r>
    </w:p>
    <w:p w:rsidR="007C4A5A" w:rsidRDefault="007C4A5A" w:rsidP="00892825">
      <w:pPr>
        <w:pStyle w:val="BodyText"/>
      </w:pPr>
      <w:r w:rsidRPr="007C4A5A">
        <w:rPr>
          <w:b/>
        </w:rPr>
        <w:t>MCAS Achievement.</w:t>
      </w:r>
      <w:r>
        <w:t xml:space="preserve"> </w:t>
      </w:r>
      <w:r w:rsidR="00635406">
        <w:t xml:space="preserve">Considering the data by MCAS </w:t>
      </w:r>
      <w:r w:rsidR="004321FE">
        <w:t>achievement</w:t>
      </w:r>
      <w:r w:rsidR="00635406">
        <w:t xml:space="preserve"> level, lower-achieving districts, on average, require fewer assessments. </w:t>
      </w:r>
      <w:r w:rsidR="0043070F">
        <w:t xml:space="preserve">Although </w:t>
      </w:r>
      <w:r>
        <w:t xml:space="preserve">medium- and higher-achieving districts </w:t>
      </w:r>
      <w:r w:rsidR="0043070F">
        <w:t xml:space="preserve">seem </w:t>
      </w:r>
      <w:r>
        <w:t>to require a similar number of assessments, students in medium-achieving districts experience more testing sessions.</w:t>
      </w:r>
    </w:p>
    <w:p w:rsidR="00E17B0A" w:rsidRPr="00192551" w:rsidRDefault="00E17B0A" w:rsidP="00892825">
      <w:pPr>
        <w:pStyle w:val="TableTitle"/>
      </w:pPr>
      <w:r>
        <w:t>Table 8.</w:t>
      </w:r>
      <w:r w:rsidRPr="00192551">
        <w:t xml:space="preserve"> </w:t>
      </w:r>
      <w:r>
        <w:t xml:space="preserve">District </w:t>
      </w:r>
      <w:r w:rsidRPr="00192551">
        <w:t xml:space="preserve">Assessments by </w:t>
      </w:r>
      <w:r w:rsidR="005E5142">
        <w:t xml:space="preserve">MCAS </w:t>
      </w:r>
      <w:r w:rsidR="00A875F7">
        <w:t xml:space="preserve">2014 </w:t>
      </w:r>
      <w:r w:rsidR="005E5142">
        <w:t>Achievement Level</w:t>
      </w:r>
      <w:r w:rsidR="004321FE">
        <w:t xml:space="preserve"> </w:t>
      </w:r>
      <w:r>
        <w:t>(</w:t>
      </w:r>
      <w:r w:rsidRPr="00192551">
        <w:rPr>
          <w:i/>
        </w:rPr>
        <w:t>N</w:t>
      </w:r>
      <w:r w:rsidR="00972417">
        <w:rPr>
          <w:i/>
        </w:rPr>
        <w:t xml:space="preserve"> </w:t>
      </w:r>
      <w:r w:rsidRPr="00192551">
        <w:t>=</w:t>
      </w:r>
      <w:r w:rsidR="00972417">
        <w:t xml:space="preserve"> </w:t>
      </w:r>
      <w:r w:rsidRPr="00192551">
        <w:t>35</w:t>
      </w:r>
      <w:r>
        <w:t>)</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514"/>
        <w:gridCol w:w="3077"/>
        <w:gridCol w:w="2704"/>
      </w:tblGrid>
      <w:tr w:rsidR="00E17B0A" w:rsidRPr="00892825" w:rsidTr="008C4491">
        <w:trPr>
          <w:cnfStyle w:val="100000000000"/>
        </w:trPr>
        <w:tc>
          <w:tcPr>
            <w:cnfStyle w:val="001000000000"/>
            <w:tcW w:w="0" w:type="auto"/>
            <w:shd w:val="clear" w:color="auto" w:fill="B5C7DB" w:themeFill="text2" w:themeFillTint="66"/>
          </w:tcPr>
          <w:p w:rsidR="00E17B0A" w:rsidRPr="0043070F" w:rsidRDefault="00635406" w:rsidP="008C4491">
            <w:pPr>
              <w:pStyle w:val="TableColHeadingLeft"/>
              <w:jc w:val="center"/>
              <w:rPr>
                <w:color w:val="auto"/>
              </w:rPr>
            </w:pPr>
            <w:r w:rsidRPr="0043070F">
              <w:rPr>
                <w:color w:val="auto"/>
              </w:rPr>
              <w:t xml:space="preserve">MCAS </w:t>
            </w:r>
            <w:r w:rsidR="00A875F7" w:rsidRPr="0043070F">
              <w:rPr>
                <w:color w:val="auto"/>
              </w:rPr>
              <w:t>Achievement Level</w:t>
            </w:r>
            <w:r w:rsidR="0043070F" w:rsidRPr="0043070F">
              <w:rPr>
                <w:color w:val="auto"/>
                <w:vertAlign w:val="superscript"/>
              </w:rPr>
              <w:t>a</w:t>
            </w:r>
          </w:p>
        </w:tc>
        <w:tc>
          <w:tcPr>
            <w:tcW w:w="0" w:type="auto"/>
            <w:shd w:val="clear" w:color="auto" w:fill="B5C7DB" w:themeFill="text2" w:themeFillTint="66"/>
          </w:tcPr>
          <w:p w:rsidR="00E17B0A" w:rsidRPr="0043070F" w:rsidRDefault="00E17B0A" w:rsidP="008C4491">
            <w:pPr>
              <w:pStyle w:val="TableColHeadingCenter"/>
              <w:cnfStyle w:val="100000000000"/>
              <w:rPr>
                <w:color w:val="auto"/>
              </w:rPr>
            </w:pPr>
            <w:r w:rsidRPr="0043070F">
              <w:rPr>
                <w:color w:val="auto"/>
              </w:rPr>
              <w:t xml:space="preserve">Number of </w:t>
            </w:r>
            <w:r w:rsidR="0043070F" w:rsidRPr="0043070F">
              <w:rPr>
                <w:color w:val="auto"/>
              </w:rPr>
              <w:t>Districts</w:t>
            </w:r>
          </w:p>
        </w:tc>
        <w:tc>
          <w:tcPr>
            <w:tcW w:w="0" w:type="auto"/>
            <w:shd w:val="clear" w:color="auto" w:fill="B5C7DB" w:themeFill="text2" w:themeFillTint="66"/>
          </w:tcPr>
          <w:p w:rsidR="00E17B0A" w:rsidRPr="0043070F" w:rsidRDefault="00E17B0A" w:rsidP="008C4491">
            <w:pPr>
              <w:pStyle w:val="TableColHeadingCenter"/>
              <w:cnfStyle w:val="100000000000"/>
              <w:rPr>
                <w:color w:val="auto"/>
              </w:rPr>
            </w:pPr>
            <w:r w:rsidRPr="0043070F">
              <w:rPr>
                <w:color w:val="auto"/>
              </w:rPr>
              <w:t xml:space="preserve">Average </w:t>
            </w:r>
            <w:r w:rsidR="0043070F" w:rsidRPr="0043070F">
              <w:rPr>
                <w:color w:val="auto"/>
              </w:rPr>
              <w:t xml:space="preserve">Number </w:t>
            </w:r>
            <w:r w:rsidRPr="0043070F">
              <w:rPr>
                <w:color w:val="auto"/>
              </w:rPr>
              <w:t xml:space="preserve">of </w:t>
            </w:r>
            <w:r w:rsidR="0043070F" w:rsidRPr="0043070F">
              <w:rPr>
                <w:color w:val="auto"/>
              </w:rPr>
              <w:t>District-Required Assessments</w:t>
            </w:r>
          </w:p>
        </w:tc>
        <w:tc>
          <w:tcPr>
            <w:tcW w:w="0" w:type="auto"/>
            <w:shd w:val="clear" w:color="auto" w:fill="B5C7DB" w:themeFill="text2" w:themeFillTint="66"/>
          </w:tcPr>
          <w:p w:rsidR="00E17B0A" w:rsidRPr="0043070F" w:rsidRDefault="00E17B0A" w:rsidP="008C4491">
            <w:pPr>
              <w:pStyle w:val="TableColHeadingCenter"/>
              <w:cnfStyle w:val="100000000000"/>
              <w:rPr>
                <w:color w:val="auto"/>
              </w:rPr>
            </w:pPr>
            <w:r w:rsidRPr="0043070F">
              <w:rPr>
                <w:color w:val="auto"/>
              </w:rPr>
              <w:t xml:space="preserve">Number of </w:t>
            </w:r>
            <w:r w:rsidR="0043070F" w:rsidRPr="0043070F">
              <w:rPr>
                <w:color w:val="auto"/>
              </w:rPr>
              <w:t>District-Required Testing Sessions</w:t>
            </w:r>
          </w:p>
        </w:tc>
      </w:tr>
      <w:tr w:rsidR="00E17B0A" w:rsidRPr="00635406" w:rsidTr="0043070F">
        <w:trPr>
          <w:cnfStyle w:val="000000100000"/>
        </w:trPr>
        <w:tc>
          <w:tcPr>
            <w:cnfStyle w:val="001000000000"/>
            <w:tcW w:w="0" w:type="auto"/>
            <w:tcBorders>
              <w:top w:val="none" w:sz="0" w:space="0" w:color="auto"/>
              <w:left w:val="none" w:sz="0" w:space="0" w:color="auto"/>
              <w:bottom w:val="none" w:sz="0" w:space="0" w:color="auto"/>
            </w:tcBorders>
          </w:tcPr>
          <w:p w:rsidR="00E17B0A" w:rsidRPr="00892825" w:rsidRDefault="00E17B0A" w:rsidP="0043070F">
            <w:pPr>
              <w:pStyle w:val="TableText"/>
              <w:rPr>
                <w:b w:val="0"/>
              </w:rPr>
            </w:pPr>
            <w:r w:rsidRPr="00892825">
              <w:rPr>
                <w:b w:val="0"/>
              </w:rPr>
              <w:t>Low</w:t>
            </w:r>
            <w:r w:rsidR="00635406" w:rsidRPr="00892825">
              <w:rPr>
                <w:b w:val="0"/>
              </w:rPr>
              <w:t xml:space="preserve"> (40</w:t>
            </w:r>
            <w:r w:rsidR="0043070F">
              <w:rPr>
                <w:b w:val="0"/>
              </w:rPr>
              <w:t>–</w:t>
            </w:r>
            <w:r w:rsidR="00635406" w:rsidRPr="00892825">
              <w:rPr>
                <w:b w:val="0"/>
              </w:rPr>
              <w:t>55%)</w:t>
            </w:r>
          </w:p>
        </w:tc>
        <w:tc>
          <w:tcPr>
            <w:tcW w:w="0" w:type="auto"/>
            <w:tcBorders>
              <w:top w:val="none" w:sz="0" w:space="0" w:color="auto"/>
              <w:bottom w:val="none" w:sz="0" w:space="0" w:color="auto"/>
            </w:tcBorders>
          </w:tcPr>
          <w:p w:rsidR="00E17B0A" w:rsidRPr="00635406" w:rsidRDefault="00E17B0A" w:rsidP="00892825">
            <w:pPr>
              <w:pStyle w:val="TableTextCentered"/>
              <w:cnfStyle w:val="000000100000"/>
            </w:pPr>
            <w:r w:rsidRPr="00635406">
              <w:t>10</w:t>
            </w:r>
          </w:p>
        </w:tc>
        <w:tc>
          <w:tcPr>
            <w:tcW w:w="0" w:type="auto"/>
            <w:tcBorders>
              <w:top w:val="none" w:sz="0" w:space="0" w:color="auto"/>
              <w:bottom w:val="none" w:sz="0" w:space="0" w:color="auto"/>
            </w:tcBorders>
          </w:tcPr>
          <w:p w:rsidR="00E17B0A" w:rsidRPr="00635406" w:rsidRDefault="00E17B0A" w:rsidP="00892825">
            <w:pPr>
              <w:pStyle w:val="TableTextCentered"/>
              <w:cnfStyle w:val="000000100000"/>
            </w:pPr>
            <w:r w:rsidRPr="00635406">
              <w:t>5.2</w:t>
            </w:r>
          </w:p>
        </w:tc>
        <w:tc>
          <w:tcPr>
            <w:tcW w:w="0" w:type="auto"/>
            <w:tcBorders>
              <w:top w:val="none" w:sz="0" w:space="0" w:color="auto"/>
              <w:bottom w:val="none" w:sz="0" w:space="0" w:color="auto"/>
              <w:right w:val="none" w:sz="0" w:space="0" w:color="auto"/>
            </w:tcBorders>
          </w:tcPr>
          <w:p w:rsidR="00E17B0A" w:rsidRPr="00635406" w:rsidRDefault="00E17B0A" w:rsidP="00892825">
            <w:pPr>
              <w:pStyle w:val="TableTextCentered"/>
              <w:cnfStyle w:val="000000100000"/>
            </w:pPr>
            <w:r w:rsidRPr="00635406">
              <w:t>18</w:t>
            </w:r>
          </w:p>
        </w:tc>
      </w:tr>
      <w:tr w:rsidR="00635406" w:rsidRPr="00635406" w:rsidTr="0043070F">
        <w:tc>
          <w:tcPr>
            <w:cnfStyle w:val="001000000000"/>
            <w:tcW w:w="0" w:type="auto"/>
          </w:tcPr>
          <w:p w:rsidR="00635406" w:rsidRPr="00892825" w:rsidRDefault="00635406" w:rsidP="0043070F">
            <w:pPr>
              <w:pStyle w:val="TableText"/>
              <w:rPr>
                <w:b w:val="0"/>
              </w:rPr>
            </w:pPr>
            <w:r w:rsidRPr="00892825">
              <w:rPr>
                <w:b w:val="0"/>
              </w:rPr>
              <w:t>Medium (56</w:t>
            </w:r>
            <w:r w:rsidR="0043070F">
              <w:rPr>
                <w:b w:val="0"/>
              </w:rPr>
              <w:t>–</w:t>
            </w:r>
            <w:r w:rsidRPr="00892825">
              <w:rPr>
                <w:b w:val="0"/>
              </w:rPr>
              <w:t>69%)</w:t>
            </w:r>
          </w:p>
        </w:tc>
        <w:tc>
          <w:tcPr>
            <w:tcW w:w="0" w:type="auto"/>
          </w:tcPr>
          <w:p w:rsidR="00635406" w:rsidRPr="00635406" w:rsidRDefault="00635406" w:rsidP="00892825">
            <w:pPr>
              <w:pStyle w:val="TableTextCentered"/>
              <w:cnfStyle w:val="000000000000"/>
            </w:pPr>
            <w:r w:rsidRPr="00635406">
              <w:t>14</w:t>
            </w:r>
          </w:p>
        </w:tc>
        <w:tc>
          <w:tcPr>
            <w:tcW w:w="0" w:type="auto"/>
          </w:tcPr>
          <w:p w:rsidR="00635406" w:rsidRPr="00635406" w:rsidRDefault="00635406" w:rsidP="00892825">
            <w:pPr>
              <w:pStyle w:val="TableTextCentered"/>
              <w:cnfStyle w:val="000000000000"/>
            </w:pPr>
            <w:r w:rsidRPr="00635406">
              <w:t>7.3</w:t>
            </w:r>
          </w:p>
        </w:tc>
        <w:tc>
          <w:tcPr>
            <w:tcW w:w="0" w:type="auto"/>
          </w:tcPr>
          <w:p w:rsidR="00635406" w:rsidRPr="00635406" w:rsidRDefault="00635406" w:rsidP="00892825">
            <w:pPr>
              <w:pStyle w:val="TableTextCentered"/>
              <w:cnfStyle w:val="000000000000"/>
            </w:pPr>
            <w:r w:rsidRPr="00635406">
              <w:t>21.6</w:t>
            </w:r>
          </w:p>
        </w:tc>
      </w:tr>
      <w:tr w:rsidR="00635406" w:rsidRPr="00635406" w:rsidTr="0043070F">
        <w:trPr>
          <w:cnfStyle w:val="000000100000"/>
        </w:trPr>
        <w:tc>
          <w:tcPr>
            <w:cnfStyle w:val="001000000000"/>
            <w:tcW w:w="0" w:type="auto"/>
            <w:tcBorders>
              <w:top w:val="none" w:sz="0" w:space="0" w:color="auto"/>
              <w:left w:val="none" w:sz="0" w:space="0" w:color="auto"/>
              <w:bottom w:val="none" w:sz="0" w:space="0" w:color="auto"/>
            </w:tcBorders>
          </w:tcPr>
          <w:p w:rsidR="00635406" w:rsidRPr="00892825" w:rsidRDefault="00635406" w:rsidP="00892825">
            <w:pPr>
              <w:pStyle w:val="TableText"/>
              <w:rPr>
                <w:b w:val="0"/>
              </w:rPr>
            </w:pPr>
            <w:r w:rsidRPr="00892825">
              <w:rPr>
                <w:b w:val="0"/>
              </w:rPr>
              <w:t>High (</w:t>
            </w:r>
            <w:r w:rsidRPr="00892825">
              <w:rPr>
                <w:rFonts w:cstheme="minorHAnsi"/>
                <w:b w:val="0"/>
              </w:rPr>
              <w:t>≥</w:t>
            </w:r>
            <w:r w:rsidRPr="00892825">
              <w:rPr>
                <w:b w:val="0"/>
              </w:rPr>
              <w:t>70%)</w:t>
            </w:r>
          </w:p>
        </w:tc>
        <w:tc>
          <w:tcPr>
            <w:tcW w:w="0" w:type="auto"/>
            <w:tcBorders>
              <w:top w:val="none" w:sz="0" w:space="0" w:color="auto"/>
              <w:bottom w:val="none" w:sz="0" w:space="0" w:color="auto"/>
            </w:tcBorders>
          </w:tcPr>
          <w:p w:rsidR="00635406" w:rsidRPr="00635406" w:rsidRDefault="00635406" w:rsidP="00892825">
            <w:pPr>
              <w:pStyle w:val="TableTextCentered"/>
              <w:cnfStyle w:val="000000100000"/>
            </w:pPr>
            <w:r w:rsidRPr="00635406">
              <w:t>11</w:t>
            </w:r>
          </w:p>
        </w:tc>
        <w:tc>
          <w:tcPr>
            <w:tcW w:w="0" w:type="auto"/>
            <w:tcBorders>
              <w:top w:val="none" w:sz="0" w:space="0" w:color="auto"/>
              <w:bottom w:val="none" w:sz="0" w:space="0" w:color="auto"/>
            </w:tcBorders>
          </w:tcPr>
          <w:p w:rsidR="00635406" w:rsidRPr="00635406" w:rsidRDefault="00635406" w:rsidP="00892825">
            <w:pPr>
              <w:pStyle w:val="TableTextCentered"/>
              <w:cnfStyle w:val="000000100000"/>
            </w:pPr>
            <w:r w:rsidRPr="00635406">
              <w:t>7.3</w:t>
            </w:r>
          </w:p>
        </w:tc>
        <w:tc>
          <w:tcPr>
            <w:tcW w:w="0" w:type="auto"/>
            <w:tcBorders>
              <w:top w:val="none" w:sz="0" w:space="0" w:color="auto"/>
              <w:bottom w:val="none" w:sz="0" w:space="0" w:color="auto"/>
              <w:right w:val="none" w:sz="0" w:space="0" w:color="auto"/>
            </w:tcBorders>
          </w:tcPr>
          <w:p w:rsidR="00635406" w:rsidRPr="00635406" w:rsidRDefault="00635406" w:rsidP="00892825">
            <w:pPr>
              <w:pStyle w:val="TableTextCentered"/>
              <w:cnfStyle w:val="000000100000"/>
            </w:pPr>
            <w:r w:rsidRPr="00635406">
              <w:t>17</w:t>
            </w:r>
          </w:p>
        </w:tc>
      </w:tr>
    </w:tbl>
    <w:p w:rsidR="00E17B0A" w:rsidRPr="00635406" w:rsidRDefault="0043070F" w:rsidP="00892825">
      <w:pPr>
        <w:pStyle w:val="TableNote"/>
      </w:pPr>
      <w:r>
        <w:rPr>
          <w:vertAlign w:val="superscript"/>
        </w:rPr>
        <w:t>a</w:t>
      </w:r>
      <w:r w:rsidR="00B50174">
        <w:t xml:space="preserve">Average </w:t>
      </w:r>
      <w:r>
        <w:t>rating of “p</w:t>
      </w:r>
      <w:r w:rsidR="00635406">
        <w:t>roficient</w:t>
      </w:r>
      <w:r>
        <w:t>”</w:t>
      </w:r>
      <w:r w:rsidR="00635406">
        <w:t xml:space="preserve"> or </w:t>
      </w:r>
      <w:r>
        <w:t xml:space="preserve">higher </w:t>
      </w:r>
      <w:r w:rsidR="00965FF6">
        <w:t>in</w:t>
      </w:r>
      <w:r w:rsidR="00A875F7">
        <w:t xml:space="preserve"> </w:t>
      </w:r>
      <w:r w:rsidR="003B18E3">
        <w:t xml:space="preserve">English language arts </w:t>
      </w:r>
      <w:r w:rsidR="00A875F7">
        <w:t xml:space="preserve">and </w:t>
      </w:r>
      <w:r w:rsidR="003B18E3">
        <w:t>mathematics.</w:t>
      </w:r>
    </w:p>
    <w:p w:rsidR="00E17B0A" w:rsidRPr="007C4A5A" w:rsidRDefault="00E17B0A" w:rsidP="00892825">
      <w:pPr>
        <w:pStyle w:val="Heading2"/>
      </w:pPr>
      <w:r w:rsidRPr="007C4A5A">
        <w:t>Preparation for State Tests</w:t>
      </w:r>
    </w:p>
    <w:p w:rsidR="005E5142" w:rsidRPr="00CD745A" w:rsidRDefault="00A83872" w:rsidP="00892825">
      <w:pPr>
        <w:pStyle w:val="BodyText"/>
      </w:pPr>
      <w:r>
        <w:t xml:space="preserve">Districts and school respondents were asked how much time is devoted to preparing </w:t>
      </w:r>
      <w:r w:rsidR="00424983">
        <w:t xml:space="preserve">students </w:t>
      </w:r>
      <w:r>
        <w:t>to take state-mandated assessments.</w:t>
      </w:r>
      <w:r w:rsidR="0035366D">
        <w:t xml:space="preserve"> </w:t>
      </w:r>
      <w:r w:rsidR="008D0A2E">
        <w:t xml:space="preserve">The answers </w:t>
      </w:r>
      <w:r w:rsidR="0035366D">
        <w:t xml:space="preserve">were fairly consistent between districts and </w:t>
      </w:r>
      <w:r w:rsidR="0035366D">
        <w:lastRenderedPageBreak/>
        <w:t>schools. When responses differed, preference was given to responses provided by school respondents, based on the assumption that they are more informed about time devoted to practicing for state assessments in their schools. R</w:t>
      </w:r>
      <w:r w:rsidR="0035366D" w:rsidRPr="00CD745A">
        <w:t xml:space="preserve">eports </w:t>
      </w:r>
      <w:r w:rsidR="005E5142" w:rsidRPr="00CD745A">
        <w:t xml:space="preserve">of time spent preparing for </w:t>
      </w:r>
      <w:r w:rsidR="008D0A2E" w:rsidRPr="00CD745A">
        <w:t>state</w:t>
      </w:r>
      <w:r w:rsidR="008D0A2E">
        <w:t>-</w:t>
      </w:r>
      <w:r w:rsidR="005E5142" w:rsidRPr="00CD745A">
        <w:t>mandated assessments have been ranked in groups of low, medium, and high amounts of time</w:t>
      </w:r>
      <w:r w:rsidR="004567AE">
        <w:t xml:space="preserve"> (Table 9)</w:t>
      </w:r>
      <w:r w:rsidR="005E5142" w:rsidRPr="00CD745A">
        <w:t>. Districts describing their curriculum as aligned so no preparation time is used, or an amount of time shorte</w:t>
      </w:r>
      <w:r w:rsidR="00686838">
        <w:t xml:space="preserve">r than two days, were rated as </w:t>
      </w:r>
      <w:r w:rsidR="00686838" w:rsidRPr="00686838">
        <w:rPr>
          <w:i/>
        </w:rPr>
        <w:t>low</w:t>
      </w:r>
      <w:r w:rsidR="00686838">
        <w:t>.</w:t>
      </w:r>
      <w:r w:rsidR="005E5142" w:rsidRPr="00CD745A">
        <w:t xml:space="preserve"> Districts describing preparation times between two and </w:t>
      </w:r>
      <w:r w:rsidR="00686838">
        <w:t xml:space="preserve">five days were ranked as </w:t>
      </w:r>
      <w:r w:rsidR="00686838" w:rsidRPr="00686838">
        <w:rPr>
          <w:i/>
        </w:rPr>
        <w:t>medium</w:t>
      </w:r>
      <w:r w:rsidR="00686838">
        <w:t>.</w:t>
      </w:r>
      <w:r w:rsidR="005E5142" w:rsidRPr="00CD745A">
        <w:t xml:space="preserve"> Districts describing preparation times longer than five days, or ongoing preparation on a daily or weekly</w:t>
      </w:r>
      <w:r w:rsidR="00686838">
        <w:t xml:space="preserve"> basis, were ranked as </w:t>
      </w:r>
      <w:r w:rsidR="005E5142" w:rsidRPr="00686838">
        <w:rPr>
          <w:i/>
        </w:rPr>
        <w:t>hig</w:t>
      </w:r>
      <w:r w:rsidR="00686838" w:rsidRPr="00686838">
        <w:rPr>
          <w:i/>
        </w:rPr>
        <w:t>h</w:t>
      </w:r>
      <w:r w:rsidR="00686838">
        <w:t>.</w:t>
      </w:r>
      <w:r w:rsidR="005E5142">
        <w:t xml:space="preserve"> </w:t>
      </w:r>
      <w:r w:rsidR="005E5142" w:rsidRPr="00CD745A">
        <w:t>These divisions were chosen as a substantial number of districts clustered around the two</w:t>
      </w:r>
      <w:r w:rsidR="008D0A2E">
        <w:t>-</w:t>
      </w:r>
      <w:r w:rsidR="005E5142" w:rsidRPr="00CD745A">
        <w:t xml:space="preserve"> to </w:t>
      </w:r>
      <w:r w:rsidR="008D0A2E" w:rsidRPr="00CD745A">
        <w:t>five</w:t>
      </w:r>
      <w:r w:rsidR="008D0A2E">
        <w:t>-</w:t>
      </w:r>
      <w:r w:rsidR="005E5142" w:rsidRPr="00CD745A">
        <w:t>day range, sugge</w:t>
      </w:r>
      <w:r w:rsidR="005E5142">
        <w:t>sting a possible statewide norm</w:t>
      </w:r>
      <w:r w:rsidR="005E5142" w:rsidRPr="00CD745A">
        <w:t xml:space="preserve">. </w:t>
      </w:r>
    </w:p>
    <w:p w:rsidR="00B675A4" w:rsidRPr="00CD745A" w:rsidRDefault="00B675A4" w:rsidP="00892825">
      <w:pPr>
        <w:pStyle w:val="BodyText"/>
      </w:pPr>
      <w:r>
        <w:t xml:space="preserve">While reviewing the tables below, it is important to keep in mind that relatively few districts in the sample, 17 percent, devote high amounts of time practicing or preparing for state tests </w:t>
      </w:r>
      <w:r w:rsidR="00686838">
        <w:t>(</w:t>
      </w:r>
      <w:r>
        <w:t>Table</w:t>
      </w:r>
      <w:r w:rsidR="00B0378C">
        <w:t> </w:t>
      </w:r>
      <w:r>
        <w:t xml:space="preserve">9). </w:t>
      </w:r>
    </w:p>
    <w:p w:rsidR="00B675A4" w:rsidRPr="00F44377" w:rsidRDefault="00B675A4" w:rsidP="00892825">
      <w:pPr>
        <w:pStyle w:val="TableTitle"/>
      </w:pPr>
      <w:r w:rsidRPr="00F44377">
        <w:t xml:space="preserve">Table 9. </w:t>
      </w:r>
      <w:r>
        <w:t>Preparation Time for State Tests</w:t>
      </w:r>
      <w:r w:rsidRPr="00F44377" w:rsidDel="00804377">
        <w:t xml:space="preserve"> </w:t>
      </w:r>
      <w:r w:rsidRPr="00F44377">
        <w:t>(</w:t>
      </w:r>
      <w:r w:rsidRPr="00F44377">
        <w:rPr>
          <w:i/>
        </w:rPr>
        <w:t>N</w:t>
      </w:r>
      <w:r w:rsidRPr="00F44377">
        <w:t xml:space="preserve"> = 35)</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3"/>
        <w:gridCol w:w="1155"/>
        <w:gridCol w:w="1196"/>
        <w:gridCol w:w="1155"/>
        <w:gridCol w:w="1196"/>
        <w:gridCol w:w="1149"/>
        <w:gridCol w:w="1196"/>
      </w:tblGrid>
      <w:tr w:rsidR="008D0A2E" w:rsidRPr="008D0A2E" w:rsidTr="00B6543D">
        <w:trPr>
          <w:cnfStyle w:val="100000000000"/>
          <w:trHeight w:val="710"/>
        </w:trPr>
        <w:tc>
          <w:tcPr>
            <w:cnfStyle w:val="001000000000"/>
            <w:tcW w:w="2394" w:type="dxa"/>
            <w:shd w:val="clear" w:color="auto" w:fill="B5C7DB" w:themeFill="text2" w:themeFillTint="66"/>
          </w:tcPr>
          <w:p w:rsidR="00B675A4" w:rsidRPr="008D0A2E" w:rsidRDefault="00B675A4" w:rsidP="00892825">
            <w:pPr>
              <w:pStyle w:val="TableColHeadingCenter"/>
              <w:rPr>
                <w:color w:val="auto"/>
              </w:rPr>
            </w:pPr>
          </w:p>
        </w:tc>
        <w:tc>
          <w:tcPr>
            <w:tcW w:w="2394" w:type="dxa"/>
            <w:gridSpan w:val="2"/>
            <w:tcBorders>
              <w:bottom w:val="single" w:sz="8" w:space="0" w:color="48709F" w:themeColor="accent1"/>
            </w:tcBorders>
            <w:shd w:val="clear" w:color="auto" w:fill="B5C7DB" w:themeFill="text2" w:themeFillTint="66"/>
            <w:hideMark/>
          </w:tcPr>
          <w:p w:rsidR="00B675A4" w:rsidRPr="008D0A2E" w:rsidRDefault="00B675A4" w:rsidP="00B6543D">
            <w:pPr>
              <w:pStyle w:val="TableColHeadingCenter"/>
              <w:cnfStyle w:val="100000000000"/>
              <w:rPr>
                <w:color w:val="auto"/>
              </w:rPr>
            </w:pPr>
            <w:r w:rsidRPr="008D0A2E">
              <w:rPr>
                <w:color w:val="auto"/>
              </w:rPr>
              <w:t xml:space="preserve">Low </w:t>
            </w:r>
            <w:r w:rsidR="00892825" w:rsidRPr="008D0A2E">
              <w:rPr>
                <w:color w:val="auto"/>
              </w:rPr>
              <w:br/>
            </w:r>
            <w:r w:rsidRPr="008D0A2E">
              <w:rPr>
                <w:color w:val="auto"/>
              </w:rPr>
              <w:t>(no time</w:t>
            </w:r>
            <w:r w:rsidR="008D0A2E" w:rsidRPr="008D0A2E">
              <w:rPr>
                <w:color w:val="auto"/>
              </w:rPr>
              <w:t xml:space="preserve"> to two </w:t>
            </w:r>
            <w:r w:rsidRPr="008D0A2E">
              <w:rPr>
                <w:color w:val="auto"/>
              </w:rPr>
              <w:t>days)</w:t>
            </w:r>
          </w:p>
        </w:tc>
        <w:tc>
          <w:tcPr>
            <w:tcW w:w="2394" w:type="dxa"/>
            <w:gridSpan w:val="2"/>
            <w:tcBorders>
              <w:bottom w:val="single" w:sz="8" w:space="0" w:color="48709F" w:themeColor="accent1"/>
            </w:tcBorders>
            <w:shd w:val="clear" w:color="auto" w:fill="B5C7DB" w:themeFill="text2" w:themeFillTint="66"/>
            <w:hideMark/>
          </w:tcPr>
          <w:p w:rsidR="00B675A4" w:rsidRPr="008D0A2E" w:rsidRDefault="00B675A4" w:rsidP="00B6543D">
            <w:pPr>
              <w:pStyle w:val="TableColHeadingCenter"/>
              <w:cnfStyle w:val="100000000000"/>
              <w:rPr>
                <w:color w:val="auto"/>
              </w:rPr>
            </w:pPr>
            <w:r w:rsidRPr="008D0A2E">
              <w:rPr>
                <w:color w:val="auto"/>
              </w:rPr>
              <w:t>Medium</w:t>
            </w:r>
            <w:r w:rsidR="00892825" w:rsidRPr="008D0A2E">
              <w:rPr>
                <w:color w:val="auto"/>
              </w:rPr>
              <w:br/>
            </w:r>
            <w:r w:rsidRPr="008D0A2E">
              <w:rPr>
                <w:color w:val="auto"/>
              </w:rPr>
              <w:t>(</w:t>
            </w:r>
            <w:r w:rsidR="008D0A2E" w:rsidRPr="008D0A2E">
              <w:rPr>
                <w:color w:val="auto"/>
              </w:rPr>
              <w:t xml:space="preserve">two </w:t>
            </w:r>
            <w:r w:rsidRPr="008D0A2E">
              <w:rPr>
                <w:color w:val="auto"/>
              </w:rPr>
              <w:t xml:space="preserve">to </w:t>
            </w:r>
            <w:r w:rsidR="008D0A2E" w:rsidRPr="008D0A2E">
              <w:rPr>
                <w:color w:val="auto"/>
              </w:rPr>
              <w:t xml:space="preserve">five </w:t>
            </w:r>
            <w:r w:rsidRPr="008D0A2E">
              <w:rPr>
                <w:color w:val="auto"/>
              </w:rPr>
              <w:t>days)</w:t>
            </w:r>
          </w:p>
        </w:tc>
        <w:tc>
          <w:tcPr>
            <w:tcW w:w="2394" w:type="dxa"/>
            <w:gridSpan w:val="2"/>
            <w:tcBorders>
              <w:bottom w:val="single" w:sz="8" w:space="0" w:color="48709F" w:themeColor="accent1"/>
            </w:tcBorders>
            <w:shd w:val="clear" w:color="auto" w:fill="B5C7DB" w:themeFill="text2" w:themeFillTint="66"/>
            <w:hideMark/>
          </w:tcPr>
          <w:p w:rsidR="00B675A4" w:rsidRPr="008D0A2E" w:rsidRDefault="00B675A4" w:rsidP="00B6543D">
            <w:pPr>
              <w:pStyle w:val="TableColHeadingCenter"/>
              <w:cnfStyle w:val="100000000000"/>
              <w:rPr>
                <w:color w:val="auto"/>
              </w:rPr>
            </w:pPr>
            <w:r w:rsidRPr="008D0A2E">
              <w:rPr>
                <w:color w:val="auto"/>
              </w:rPr>
              <w:t>High</w:t>
            </w:r>
            <w:r w:rsidR="00892825" w:rsidRPr="008D0A2E">
              <w:rPr>
                <w:color w:val="auto"/>
              </w:rPr>
              <w:br/>
            </w:r>
            <w:r w:rsidRPr="008D0A2E">
              <w:rPr>
                <w:color w:val="auto"/>
              </w:rPr>
              <w:t>(</w:t>
            </w:r>
            <w:r w:rsidR="006F1E50">
              <w:rPr>
                <w:color w:val="auto"/>
              </w:rPr>
              <w:t>more than five</w:t>
            </w:r>
            <w:r w:rsidRPr="008D0A2E">
              <w:rPr>
                <w:color w:val="auto"/>
              </w:rPr>
              <w:t xml:space="preserve"> days and ongoing)</w:t>
            </w:r>
          </w:p>
        </w:tc>
      </w:tr>
      <w:tr w:rsidR="008D0A2E" w:rsidRPr="00892825" w:rsidTr="00B6543D">
        <w:trPr>
          <w:cnfStyle w:val="000000100000"/>
          <w:trHeight w:val="214"/>
        </w:trPr>
        <w:tc>
          <w:tcPr>
            <w:cnfStyle w:val="001000000000"/>
            <w:tcW w:w="2394" w:type="dxa"/>
            <w:vMerge w:val="restart"/>
            <w:vAlign w:val="center"/>
          </w:tcPr>
          <w:p w:rsidR="00B675A4" w:rsidRPr="00892825" w:rsidRDefault="00B675A4" w:rsidP="008D0A2E">
            <w:pPr>
              <w:pStyle w:val="TableText"/>
              <w:rPr>
                <w:b w:val="0"/>
              </w:rPr>
            </w:pPr>
            <w:r w:rsidRPr="00892825">
              <w:rPr>
                <w:b w:val="0"/>
              </w:rPr>
              <w:t xml:space="preserve">All </w:t>
            </w:r>
            <w:r w:rsidR="008D0A2E">
              <w:rPr>
                <w:b w:val="0"/>
              </w:rPr>
              <w:t>d</w:t>
            </w:r>
            <w:r w:rsidR="008D0A2E" w:rsidRPr="00892825">
              <w:rPr>
                <w:b w:val="0"/>
              </w:rPr>
              <w:t>istricts</w:t>
            </w:r>
          </w:p>
        </w:tc>
        <w:tc>
          <w:tcPr>
            <w:tcW w:w="1197" w:type="dxa"/>
            <w:shd w:val="clear" w:color="auto" w:fill="DAE3ED" w:themeFill="text2" w:themeFillTint="33"/>
          </w:tcPr>
          <w:p w:rsidR="00B675A4" w:rsidRPr="008D0A2E" w:rsidRDefault="00B675A4" w:rsidP="00B6543D">
            <w:pPr>
              <w:pStyle w:val="TableTextCentered"/>
              <w:cnfStyle w:val="000000100000"/>
              <w:rPr>
                <w:i/>
              </w:rPr>
            </w:pPr>
            <w:r w:rsidRPr="008D0A2E">
              <w:rPr>
                <w:i/>
              </w:rPr>
              <w:t>n</w:t>
            </w:r>
          </w:p>
        </w:tc>
        <w:tc>
          <w:tcPr>
            <w:tcW w:w="1197" w:type="dxa"/>
            <w:shd w:val="clear" w:color="auto" w:fill="DAE3ED" w:themeFill="text2" w:themeFillTint="33"/>
          </w:tcPr>
          <w:p w:rsidR="00B675A4" w:rsidRPr="00892825" w:rsidRDefault="008D0A2E" w:rsidP="00B6543D">
            <w:pPr>
              <w:pStyle w:val="TableTextCentered"/>
              <w:cnfStyle w:val="000000100000"/>
            </w:pPr>
            <w:r>
              <w:t>Percentage</w:t>
            </w:r>
          </w:p>
        </w:tc>
        <w:tc>
          <w:tcPr>
            <w:tcW w:w="1197" w:type="dxa"/>
            <w:shd w:val="clear" w:color="auto" w:fill="DAE3ED" w:themeFill="text2" w:themeFillTint="33"/>
          </w:tcPr>
          <w:p w:rsidR="00B675A4" w:rsidRPr="008D0A2E" w:rsidRDefault="00B675A4" w:rsidP="00B6543D">
            <w:pPr>
              <w:pStyle w:val="TableTextCentered"/>
              <w:cnfStyle w:val="000000100000"/>
              <w:rPr>
                <w:i/>
              </w:rPr>
            </w:pPr>
            <w:r w:rsidRPr="008D0A2E">
              <w:rPr>
                <w:i/>
              </w:rPr>
              <w:t>n</w:t>
            </w:r>
          </w:p>
        </w:tc>
        <w:tc>
          <w:tcPr>
            <w:tcW w:w="1197" w:type="dxa"/>
            <w:shd w:val="clear" w:color="auto" w:fill="DAE3ED" w:themeFill="text2" w:themeFillTint="33"/>
          </w:tcPr>
          <w:p w:rsidR="00B675A4" w:rsidRPr="00892825" w:rsidRDefault="008D0A2E" w:rsidP="00B6543D">
            <w:pPr>
              <w:pStyle w:val="TableTextCentered"/>
              <w:cnfStyle w:val="000000100000"/>
            </w:pPr>
            <w:r>
              <w:t>Percentage</w:t>
            </w:r>
          </w:p>
        </w:tc>
        <w:tc>
          <w:tcPr>
            <w:tcW w:w="1197" w:type="dxa"/>
            <w:shd w:val="clear" w:color="auto" w:fill="DAE3ED" w:themeFill="text2" w:themeFillTint="33"/>
          </w:tcPr>
          <w:p w:rsidR="00B675A4" w:rsidRPr="008D0A2E" w:rsidRDefault="00B675A4" w:rsidP="00B6543D">
            <w:pPr>
              <w:pStyle w:val="TableTextCentered"/>
              <w:cnfStyle w:val="000000100000"/>
              <w:rPr>
                <w:i/>
              </w:rPr>
            </w:pPr>
            <w:r w:rsidRPr="008D0A2E">
              <w:rPr>
                <w:i/>
              </w:rPr>
              <w:t>n</w:t>
            </w:r>
          </w:p>
        </w:tc>
        <w:tc>
          <w:tcPr>
            <w:tcW w:w="1197" w:type="dxa"/>
            <w:shd w:val="clear" w:color="auto" w:fill="DAE3ED" w:themeFill="text2" w:themeFillTint="33"/>
          </w:tcPr>
          <w:p w:rsidR="00B675A4" w:rsidRPr="00892825" w:rsidRDefault="008D0A2E" w:rsidP="00B6543D">
            <w:pPr>
              <w:pStyle w:val="TableTextCentered"/>
              <w:cnfStyle w:val="000000100000"/>
            </w:pPr>
            <w:r>
              <w:t>Percentage</w:t>
            </w:r>
          </w:p>
        </w:tc>
      </w:tr>
      <w:tr w:rsidR="008D0A2E" w:rsidRPr="00CD745A" w:rsidTr="006F1E50">
        <w:tc>
          <w:tcPr>
            <w:cnfStyle w:val="001000000000"/>
            <w:tcW w:w="2394" w:type="dxa"/>
            <w:vMerge/>
          </w:tcPr>
          <w:p w:rsidR="00B675A4" w:rsidRPr="00635406" w:rsidRDefault="00B675A4" w:rsidP="00B675A4">
            <w:pPr>
              <w:rPr>
                <w:rFonts w:cstheme="minorHAnsi"/>
              </w:rPr>
            </w:pPr>
          </w:p>
        </w:tc>
        <w:tc>
          <w:tcPr>
            <w:tcW w:w="1197" w:type="dxa"/>
            <w:vAlign w:val="center"/>
          </w:tcPr>
          <w:p w:rsidR="00B675A4" w:rsidRPr="00635406" w:rsidRDefault="00B675A4" w:rsidP="00892825">
            <w:pPr>
              <w:pStyle w:val="TableTextCentered"/>
              <w:cnfStyle w:val="000000000000"/>
              <w:rPr>
                <w:rFonts w:cstheme="minorHAnsi"/>
              </w:rPr>
            </w:pPr>
            <w:r>
              <w:rPr>
                <w:rFonts w:cstheme="minorHAnsi"/>
              </w:rPr>
              <w:t>15</w:t>
            </w:r>
          </w:p>
        </w:tc>
        <w:tc>
          <w:tcPr>
            <w:tcW w:w="1197" w:type="dxa"/>
            <w:vAlign w:val="center"/>
          </w:tcPr>
          <w:p w:rsidR="00B675A4" w:rsidRPr="00635406" w:rsidRDefault="00B675A4" w:rsidP="00892825">
            <w:pPr>
              <w:pStyle w:val="TableTextCentered"/>
              <w:cnfStyle w:val="000000000000"/>
              <w:rPr>
                <w:rFonts w:cstheme="minorHAnsi"/>
              </w:rPr>
            </w:pPr>
            <w:r>
              <w:rPr>
                <w:rFonts w:cstheme="minorHAnsi"/>
              </w:rPr>
              <w:t>43%</w:t>
            </w:r>
          </w:p>
        </w:tc>
        <w:tc>
          <w:tcPr>
            <w:tcW w:w="1197" w:type="dxa"/>
            <w:vAlign w:val="center"/>
          </w:tcPr>
          <w:p w:rsidR="00B675A4" w:rsidRPr="00635406" w:rsidRDefault="00B675A4" w:rsidP="00892825">
            <w:pPr>
              <w:pStyle w:val="TableTextCentered"/>
              <w:cnfStyle w:val="000000000000"/>
              <w:rPr>
                <w:rFonts w:cstheme="minorHAnsi"/>
              </w:rPr>
            </w:pPr>
            <w:r>
              <w:rPr>
                <w:rFonts w:cstheme="minorHAnsi"/>
              </w:rPr>
              <w:t>14</w:t>
            </w:r>
          </w:p>
        </w:tc>
        <w:tc>
          <w:tcPr>
            <w:tcW w:w="1197" w:type="dxa"/>
            <w:vAlign w:val="center"/>
          </w:tcPr>
          <w:p w:rsidR="00B675A4" w:rsidRPr="00635406" w:rsidRDefault="00B675A4" w:rsidP="00892825">
            <w:pPr>
              <w:pStyle w:val="TableTextCentered"/>
              <w:cnfStyle w:val="000000000000"/>
              <w:rPr>
                <w:rFonts w:cstheme="minorHAnsi"/>
              </w:rPr>
            </w:pPr>
            <w:r>
              <w:rPr>
                <w:rFonts w:cstheme="minorHAnsi"/>
              </w:rPr>
              <w:t>40%</w:t>
            </w:r>
          </w:p>
        </w:tc>
        <w:tc>
          <w:tcPr>
            <w:tcW w:w="1197" w:type="dxa"/>
            <w:vAlign w:val="center"/>
          </w:tcPr>
          <w:p w:rsidR="00B675A4" w:rsidRPr="00635406" w:rsidRDefault="00B675A4" w:rsidP="00892825">
            <w:pPr>
              <w:pStyle w:val="TableTextCentered"/>
              <w:cnfStyle w:val="000000000000"/>
              <w:rPr>
                <w:rFonts w:cstheme="minorHAnsi"/>
              </w:rPr>
            </w:pPr>
            <w:r>
              <w:rPr>
                <w:rFonts w:cstheme="minorHAnsi"/>
              </w:rPr>
              <w:t>6</w:t>
            </w:r>
          </w:p>
        </w:tc>
        <w:tc>
          <w:tcPr>
            <w:tcW w:w="1197" w:type="dxa"/>
            <w:vAlign w:val="center"/>
          </w:tcPr>
          <w:p w:rsidR="00B675A4" w:rsidRPr="00635406" w:rsidRDefault="00B675A4" w:rsidP="00892825">
            <w:pPr>
              <w:pStyle w:val="TableTextCentered"/>
              <w:cnfStyle w:val="000000000000"/>
              <w:rPr>
                <w:rFonts w:cstheme="minorHAnsi"/>
              </w:rPr>
            </w:pPr>
            <w:r>
              <w:rPr>
                <w:rFonts w:cstheme="minorHAnsi"/>
              </w:rPr>
              <w:t>17%</w:t>
            </w:r>
          </w:p>
        </w:tc>
      </w:tr>
    </w:tbl>
    <w:p w:rsidR="00B675A4" w:rsidRDefault="00B675A4" w:rsidP="00892825">
      <w:pPr>
        <w:pStyle w:val="BodyText"/>
      </w:pPr>
      <w:r>
        <w:t xml:space="preserve">Table 9a shows </w:t>
      </w:r>
      <w:r w:rsidR="008D0A2E">
        <w:t xml:space="preserve">the </w:t>
      </w:r>
      <w:r>
        <w:t xml:space="preserve">preparation </w:t>
      </w:r>
      <w:r w:rsidR="00686838">
        <w:t xml:space="preserve">time </w:t>
      </w:r>
      <w:r>
        <w:t xml:space="preserve">for state tests by accountability level. The data suggest that Level 1 districts tend to devote low amounts of time to test preparation. Districts at Levels 2 and 3 tend to be ranked medium, devoting two to five days to test preparation. </w:t>
      </w:r>
      <w:r w:rsidR="008D0A2E">
        <w:t>Alt</w:t>
      </w:r>
      <w:r>
        <w:t xml:space="preserve">hough Level 4 districts in the sample are ranked at medium and high amounts of test preparation time, the small number of districts in this group </w:t>
      </w:r>
      <w:r w:rsidR="008D0A2E">
        <w:t xml:space="preserve">might </w:t>
      </w:r>
      <w:r>
        <w:t xml:space="preserve">not be strongly representative of statewide patterns. </w:t>
      </w:r>
    </w:p>
    <w:p w:rsidR="00B675A4" w:rsidRPr="00A41245" w:rsidRDefault="00B675A4" w:rsidP="00892825">
      <w:pPr>
        <w:pStyle w:val="TableTitle"/>
      </w:pPr>
      <w:r w:rsidRPr="00A41245">
        <w:t>Table 9a. Preparation Time for State Tests by Accountability Level (</w:t>
      </w:r>
      <w:r w:rsidRPr="00A41245">
        <w:rPr>
          <w:i/>
        </w:rPr>
        <w:t>N</w:t>
      </w:r>
      <w:r w:rsidRPr="00A41245">
        <w:t xml:space="preserve"> = 35)</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2325"/>
        <w:gridCol w:w="2337"/>
        <w:gridCol w:w="2338"/>
      </w:tblGrid>
      <w:tr w:rsidR="00B675A4" w:rsidRPr="0060659C" w:rsidTr="00B6543D">
        <w:trPr>
          <w:cnfStyle w:val="100000000000"/>
        </w:trPr>
        <w:tc>
          <w:tcPr>
            <w:cnfStyle w:val="001000000000"/>
            <w:tcW w:w="2394" w:type="dxa"/>
            <w:shd w:val="clear" w:color="auto" w:fill="B5C7DB" w:themeFill="text2" w:themeFillTint="66"/>
          </w:tcPr>
          <w:p w:rsidR="00B675A4" w:rsidRPr="00892825" w:rsidRDefault="00B675A4" w:rsidP="00B6543D">
            <w:pPr>
              <w:pStyle w:val="TableColHeadingLeft"/>
              <w:jc w:val="center"/>
              <w:rPr>
                <w:color w:val="auto"/>
              </w:rPr>
            </w:pPr>
            <w:r w:rsidRPr="00892825">
              <w:rPr>
                <w:color w:val="auto"/>
              </w:rPr>
              <w:t>Accountability Level</w:t>
            </w:r>
          </w:p>
        </w:tc>
        <w:tc>
          <w:tcPr>
            <w:tcW w:w="2394" w:type="dxa"/>
            <w:shd w:val="clear" w:color="auto" w:fill="B5C7DB" w:themeFill="text2" w:themeFillTint="66"/>
            <w:hideMark/>
          </w:tcPr>
          <w:p w:rsidR="00B675A4" w:rsidRPr="00892825" w:rsidRDefault="00B675A4" w:rsidP="00B6543D">
            <w:pPr>
              <w:pStyle w:val="TableColHeadingCenter"/>
              <w:cnfStyle w:val="100000000000"/>
              <w:rPr>
                <w:color w:val="auto"/>
              </w:rPr>
            </w:pPr>
            <w:r w:rsidRPr="00892825">
              <w:rPr>
                <w:color w:val="auto"/>
              </w:rPr>
              <w:t xml:space="preserve">Low </w:t>
            </w:r>
            <w:r w:rsidR="00892825">
              <w:rPr>
                <w:color w:val="auto"/>
              </w:rPr>
              <w:br/>
            </w:r>
            <w:r w:rsidRPr="00892825">
              <w:rPr>
                <w:color w:val="auto"/>
              </w:rPr>
              <w:t>(no time</w:t>
            </w:r>
            <w:r w:rsidR="008D0A2E">
              <w:rPr>
                <w:color w:val="auto"/>
              </w:rPr>
              <w:t xml:space="preserve"> to two</w:t>
            </w:r>
            <w:r w:rsidRPr="00892825">
              <w:rPr>
                <w:color w:val="auto"/>
              </w:rPr>
              <w:t xml:space="preserve"> days)</w:t>
            </w:r>
          </w:p>
        </w:tc>
        <w:tc>
          <w:tcPr>
            <w:tcW w:w="2394" w:type="dxa"/>
            <w:shd w:val="clear" w:color="auto" w:fill="B5C7DB" w:themeFill="text2" w:themeFillTint="66"/>
            <w:hideMark/>
          </w:tcPr>
          <w:p w:rsidR="00B675A4" w:rsidRPr="00892825" w:rsidRDefault="00B675A4" w:rsidP="00B6543D">
            <w:pPr>
              <w:pStyle w:val="TableColHeadingCenter"/>
              <w:cnfStyle w:val="100000000000"/>
              <w:rPr>
                <w:color w:val="auto"/>
              </w:rPr>
            </w:pPr>
            <w:r w:rsidRPr="00892825">
              <w:rPr>
                <w:color w:val="auto"/>
              </w:rPr>
              <w:t>Medium</w:t>
            </w:r>
            <w:r w:rsidR="00892825">
              <w:rPr>
                <w:color w:val="auto"/>
              </w:rPr>
              <w:br/>
            </w:r>
            <w:r w:rsidRPr="00892825">
              <w:rPr>
                <w:color w:val="auto"/>
              </w:rPr>
              <w:t>(</w:t>
            </w:r>
            <w:r w:rsidR="008D0A2E">
              <w:rPr>
                <w:color w:val="auto"/>
              </w:rPr>
              <w:t>two to five</w:t>
            </w:r>
            <w:r w:rsidRPr="00892825">
              <w:rPr>
                <w:color w:val="auto"/>
              </w:rPr>
              <w:t xml:space="preserve"> days)</w:t>
            </w:r>
          </w:p>
        </w:tc>
        <w:tc>
          <w:tcPr>
            <w:tcW w:w="2394" w:type="dxa"/>
            <w:shd w:val="clear" w:color="auto" w:fill="B5C7DB" w:themeFill="text2" w:themeFillTint="66"/>
            <w:hideMark/>
          </w:tcPr>
          <w:p w:rsidR="00B675A4" w:rsidRPr="00892825" w:rsidRDefault="00B675A4" w:rsidP="00B6543D">
            <w:pPr>
              <w:pStyle w:val="TableColHeadingCenter"/>
              <w:cnfStyle w:val="100000000000"/>
              <w:rPr>
                <w:color w:val="auto"/>
              </w:rPr>
            </w:pPr>
            <w:r w:rsidRPr="00892825">
              <w:rPr>
                <w:color w:val="auto"/>
              </w:rPr>
              <w:t>High</w:t>
            </w:r>
            <w:r w:rsidR="00892825">
              <w:rPr>
                <w:color w:val="auto"/>
              </w:rPr>
              <w:br/>
            </w:r>
            <w:r w:rsidRPr="00892825">
              <w:rPr>
                <w:color w:val="auto"/>
              </w:rPr>
              <w:t>(</w:t>
            </w:r>
            <w:r w:rsidR="006F1E50">
              <w:rPr>
                <w:color w:val="auto"/>
              </w:rPr>
              <w:t>more than five</w:t>
            </w:r>
            <w:r w:rsidRPr="00892825">
              <w:rPr>
                <w:color w:val="auto"/>
              </w:rPr>
              <w:t xml:space="preserve"> days and ongoing)</w:t>
            </w:r>
          </w:p>
        </w:tc>
      </w:tr>
      <w:tr w:rsidR="00B675A4" w:rsidRPr="00CD745A" w:rsidTr="006F1E50">
        <w:trPr>
          <w:cnfStyle w:val="000000100000"/>
        </w:trPr>
        <w:tc>
          <w:tcPr>
            <w:cnfStyle w:val="001000000000"/>
            <w:tcW w:w="2394" w:type="dxa"/>
            <w:tcBorders>
              <w:top w:val="none" w:sz="0" w:space="0" w:color="auto"/>
              <w:left w:val="none" w:sz="0" w:space="0" w:color="auto"/>
              <w:bottom w:val="none" w:sz="0" w:space="0" w:color="auto"/>
            </w:tcBorders>
            <w:hideMark/>
          </w:tcPr>
          <w:p w:rsidR="00B675A4" w:rsidRPr="00892825" w:rsidRDefault="00B675A4" w:rsidP="00892825">
            <w:pPr>
              <w:pStyle w:val="TableText"/>
              <w:rPr>
                <w:b w:val="0"/>
              </w:rPr>
            </w:pPr>
            <w:r w:rsidRPr="00892825">
              <w:rPr>
                <w:b w:val="0"/>
              </w:rPr>
              <w:t>Level 1</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7</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1</w:t>
            </w:r>
          </w:p>
        </w:tc>
        <w:tc>
          <w:tcPr>
            <w:tcW w:w="2394" w:type="dxa"/>
            <w:tcBorders>
              <w:top w:val="none" w:sz="0" w:space="0" w:color="auto"/>
              <w:bottom w:val="none" w:sz="0" w:space="0" w:color="auto"/>
              <w:right w:val="none" w:sz="0" w:space="0" w:color="auto"/>
            </w:tcBorders>
            <w:vAlign w:val="center"/>
          </w:tcPr>
          <w:p w:rsidR="00B675A4" w:rsidRPr="00635406" w:rsidRDefault="00B675A4" w:rsidP="00892825">
            <w:pPr>
              <w:pStyle w:val="TableTextCentered"/>
              <w:cnfStyle w:val="000000100000"/>
            </w:pPr>
            <w:r w:rsidRPr="00635406">
              <w:t>0</w:t>
            </w:r>
          </w:p>
        </w:tc>
      </w:tr>
      <w:tr w:rsidR="00B675A4" w:rsidRPr="00CD745A" w:rsidTr="006F1E50">
        <w:tc>
          <w:tcPr>
            <w:cnfStyle w:val="001000000000"/>
            <w:tcW w:w="2394" w:type="dxa"/>
            <w:hideMark/>
          </w:tcPr>
          <w:p w:rsidR="00B675A4" w:rsidRPr="00892825" w:rsidRDefault="00B675A4" w:rsidP="00892825">
            <w:pPr>
              <w:pStyle w:val="TableText"/>
              <w:rPr>
                <w:b w:val="0"/>
              </w:rPr>
            </w:pPr>
            <w:r w:rsidRPr="00892825">
              <w:rPr>
                <w:b w:val="0"/>
              </w:rPr>
              <w:t>Level 2</w:t>
            </w:r>
          </w:p>
        </w:tc>
        <w:tc>
          <w:tcPr>
            <w:tcW w:w="2394" w:type="dxa"/>
            <w:vAlign w:val="center"/>
          </w:tcPr>
          <w:p w:rsidR="00B675A4" w:rsidRPr="00635406" w:rsidRDefault="00B675A4" w:rsidP="00892825">
            <w:pPr>
              <w:pStyle w:val="TableTextCentered"/>
              <w:cnfStyle w:val="000000000000"/>
            </w:pPr>
            <w:r w:rsidRPr="00635406">
              <w:t>3</w:t>
            </w:r>
          </w:p>
        </w:tc>
        <w:tc>
          <w:tcPr>
            <w:tcW w:w="2394" w:type="dxa"/>
            <w:vAlign w:val="center"/>
          </w:tcPr>
          <w:p w:rsidR="00B675A4" w:rsidRPr="00635406" w:rsidRDefault="00B675A4" w:rsidP="00892825">
            <w:pPr>
              <w:pStyle w:val="TableTextCentered"/>
              <w:cnfStyle w:val="000000000000"/>
            </w:pPr>
            <w:r w:rsidRPr="00635406">
              <w:t>6</w:t>
            </w:r>
          </w:p>
        </w:tc>
        <w:tc>
          <w:tcPr>
            <w:tcW w:w="2394" w:type="dxa"/>
            <w:vAlign w:val="center"/>
          </w:tcPr>
          <w:p w:rsidR="00B675A4" w:rsidRPr="00635406" w:rsidRDefault="00B675A4" w:rsidP="00892825">
            <w:pPr>
              <w:pStyle w:val="TableTextCentered"/>
              <w:cnfStyle w:val="000000000000"/>
            </w:pPr>
            <w:r w:rsidRPr="00635406">
              <w:t>2</w:t>
            </w:r>
          </w:p>
        </w:tc>
      </w:tr>
      <w:tr w:rsidR="00B675A4" w:rsidRPr="00CD745A" w:rsidTr="006F1E50">
        <w:trPr>
          <w:cnfStyle w:val="000000100000"/>
        </w:trPr>
        <w:tc>
          <w:tcPr>
            <w:cnfStyle w:val="001000000000"/>
            <w:tcW w:w="2394" w:type="dxa"/>
            <w:tcBorders>
              <w:top w:val="none" w:sz="0" w:space="0" w:color="auto"/>
              <w:left w:val="none" w:sz="0" w:space="0" w:color="auto"/>
              <w:bottom w:val="none" w:sz="0" w:space="0" w:color="auto"/>
            </w:tcBorders>
            <w:hideMark/>
          </w:tcPr>
          <w:p w:rsidR="00B675A4" w:rsidRPr="00892825" w:rsidRDefault="00B675A4" w:rsidP="00892825">
            <w:pPr>
              <w:pStyle w:val="TableText"/>
              <w:rPr>
                <w:b w:val="0"/>
              </w:rPr>
            </w:pPr>
            <w:r w:rsidRPr="00892825">
              <w:rPr>
                <w:b w:val="0"/>
              </w:rPr>
              <w:t>Level 3</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5</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6</w:t>
            </w:r>
          </w:p>
        </w:tc>
        <w:tc>
          <w:tcPr>
            <w:tcW w:w="2394" w:type="dxa"/>
            <w:tcBorders>
              <w:top w:val="none" w:sz="0" w:space="0" w:color="auto"/>
              <w:bottom w:val="none" w:sz="0" w:space="0" w:color="auto"/>
              <w:right w:val="none" w:sz="0" w:space="0" w:color="auto"/>
            </w:tcBorders>
            <w:vAlign w:val="center"/>
          </w:tcPr>
          <w:p w:rsidR="00B675A4" w:rsidRPr="00635406" w:rsidRDefault="00B675A4" w:rsidP="00892825">
            <w:pPr>
              <w:pStyle w:val="TableTextCentered"/>
              <w:cnfStyle w:val="000000100000"/>
            </w:pPr>
            <w:r w:rsidRPr="00635406">
              <w:t>3</w:t>
            </w:r>
          </w:p>
        </w:tc>
      </w:tr>
      <w:tr w:rsidR="00B675A4" w:rsidRPr="00CD745A" w:rsidTr="006F1E50">
        <w:tc>
          <w:tcPr>
            <w:cnfStyle w:val="001000000000"/>
            <w:tcW w:w="2394" w:type="dxa"/>
            <w:hideMark/>
          </w:tcPr>
          <w:p w:rsidR="00B675A4" w:rsidRPr="00892825" w:rsidRDefault="00B675A4" w:rsidP="00892825">
            <w:pPr>
              <w:pStyle w:val="TableText"/>
              <w:rPr>
                <w:b w:val="0"/>
              </w:rPr>
            </w:pPr>
            <w:r w:rsidRPr="00892825">
              <w:rPr>
                <w:b w:val="0"/>
              </w:rPr>
              <w:t>Level 4</w:t>
            </w:r>
          </w:p>
        </w:tc>
        <w:tc>
          <w:tcPr>
            <w:tcW w:w="2394" w:type="dxa"/>
            <w:vAlign w:val="center"/>
          </w:tcPr>
          <w:p w:rsidR="00B675A4" w:rsidRPr="00635406" w:rsidRDefault="00B675A4" w:rsidP="00892825">
            <w:pPr>
              <w:pStyle w:val="TableTextCentered"/>
              <w:cnfStyle w:val="000000000000"/>
            </w:pPr>
            <w:r w:rsidRPr="00635406">
              <w:t>0</w:t>
            </w:r>
          </w:p>
        </w:tc>
        <w:tc>
          <w:tcPr>
            <w:tcW w:w="2394" w:type="dxa"/>
            <w:vAlign w:val="center"/>
          </w:tcPr>
          <w:p w:rsidR="00B675A4" w:rsidRPr="00635406" w:rsidRDefault="00B675A4" w:rsidP="00892825">
            <w:pPr>
              <w:pStyle w:val="TableTextCentered"/>
              <w:cnfStyle w:val="000000000000"/>
            </w:pPr>
            <w:r w:rsidRPr="00635406">
              <w:t>1</w:t>
            </w:r>
          </w:p>
        </w:tc>
        <w:tc>
          <w:tcPr>
            <w:tcW w:w="2394" w:type="dxa"/>
            <w:vAlign w:val="center"/>
          </w:tcPr>
          <w:p w:rsidR="00B675A4" w:rsidRPr="00635406" w:rsidRDefault="00B675A4" w:rsidP="00892825">
            <w:pPr>
              <w:pStyle w:val="TableTextCentered"/>
              <w:cnfStyle w:val="000000000000"/>
            </w:pPr>
            <w:r w:rsidRPr="00635406">
              <w:t>1</w:t>
            </w:r>
          </w:p>
        </w:tc>
      </w:tr>
    </w:tbl>
    <w:p w:rsidR="00B675A4" w:rsidRDefault="00B675A4" w:rsidP="00892825">
      <w:pPr>
        <w:pStyle w:val="BodyText"/>
      </w:pPr>
      <w:r>
        <w:t xml:space="preserve">Table 9b shows preparation </w:t>
      </w:r>
      <w:r w:rsidR="00686838">
        <w:t xml:space="preserve">time </w:t>
      </w:r>
      <w:r>
        <w:t xml:space="preserve">for state tests by region. Smaller numbers in each cell may reduce the reliability of the data, but one notable point is the distribution of Greater Boston districts with most </w:t>
      </w:r>
      <w:r w:rsidR="00686838">
        <w:t>in the low range of state test preparation time</w:t>
      </w:r>
      <w:r>
        <w:t>, and no districts ra</w:t>
      </w:r>
      <w:r w:rsidR="00686838">
        <w:t>nked</w:t>
      </w:r>
      <w:r>
        <w:t xml:space="preserve"> as high.</w:t>
      </w:r>
    </w:p>
    <w:p w:rsidR="00B675A4" w:rsidRPr="00A41245" w:rsidRDefault="00B675A4" w:rsidP="00892825">
      <w:pPr>
        <w:pStyle w:val="TableTitle"/>
      </w:pPr>
      <w:r>
        <w:lastRenderedPageBreak/>
        <w:t>Table 9b</w:t>
      </w:r>
      <w:r w:rsidRPr="00A41245">
        <w:t xml:space="preserve">. Preparation Time for State Tests by </w:t>
      </w:r>
      <w:r>
        <w:t>Region</w:t>
      </w:r>
      <w:r w:rsidRPr="00A41245">
        <w:t xml:space="preserve"> (</w:t>
      </w:r>
      <w:r w:rsidRPr="00A41245">
        <w:rPr>
          <w:i/>
        </w:rPr>
        <w:t>N</w:t>
      </w:r>
      <w:r w:rsidRPr="00A41245">
        <w:t xml:space="preserve"> = 35)</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2329"/>
        <w:gridCol w:w="2341"/>
        <w:gridCol w:w="2342"/>
      </w:tblGrid>
      <w:tr w:rsidR="006F1E50" w:rsidRPr="00892825" w:rsidTr="00B6543D">
        <w:trPr>
          <w:cnfStyle w:val="100000000000"/>
        </w:trPr>
        <w:tc>
          <w:tcPr>
            <w:cnfStyle w:val="001000000000"/>
            <w:tcW w:w="2394" w:type="dxa"/>
            <w:shd w:val="clear" w:color="auto" w:fill="B5C7DB" w:themeFill="text2" w:themeFillTint="66"/>
          </w:tcPr>
          <w:p w:rsidR="006F1E50" w:rsidRPr="00892825" w:rsidRDefault="006F1E50" w:rsidP="00B6543D">
            <w:pPr>
              <w:pStyle w:val="TableColHeadingLeft"/>
              <w:keepNext/>
              <w:jc w:val="center"/>
              <w:rPr>
                <w:color w:val="auto"/>
              </w:rPr>
            </w:pPr>
            <w:r w:rsidRPr="00892825">
              <w:rPr>
                <w:color w:val="auto"/>
              </w:rPr>
              <w:t>Region</w:t>
            </w:r>
          </w:p>
        </w:tc>
        <w:tc>
          <w:tcPr>
            <w:tcW w:w="2394" w:type="dxa"/>
            <w:shd w:val="clear" w:color="auto" w:fill="B5C7DB" w:themeFill="text2" w:themeFillTint="66"/>
            <w:hideMark/>
          </w:tcPr>
          <w:p w:rsidR="006F1E50" w:rsidRPr="00892825" w:rsidRDefault="006F1E50" w:rsidP="00B6543D">
            <w:pPr>
              <w:pStyle w:val="TableColHeadingCenter"/>
              <w:cnfStyle w:val="100000000000"/>
              <w:rPr>
                <w:color w:val="auto"/>
              </w:rPr>
            </w:pPr>
            <w:r w:rsidRPr="00892825">
              <w:rPr>
                <w:color w:val="auto"/>
              </w:rPr>
              <w:t xml:space="preserve">Low </w:t>
            </w:r>
            <w:r>
              <w:rPr>
                <w:color w:val="auto"/>
              </w:rPr>
              <w:br/>
            </w:r>
            <w:r w:rsidRPr="00892825">
              <w:rPr>
                <w:color w:val="auto"/>
              </w:rPr>
              <w:t>(no time</w:t>
            </w:r>
            <w:r>
              <w:rPr>
                <w:color w:val="auto"/>
              </w:rPr>
              <w:t xml:space="preserve"> to two</w:t>
            </w:r>
            <w:r w:rsidRPr="00892825">
              <w:rPr>
                <w:color w:val="auto"/>
              </w:rPr>
              <w:t xml:space="preserve"> days)</w:t>
            </w:r>
          </w:p>
        </w:tc>
        <w:tc>
          <w:tcPr>
            <w:tcW w:w="2394" w:type="dxa"/>
            <w:shd w:val="clear" w:color="auto" w:fill="B5C7DB" w:themeFill="text2" w:themeFillTint="66"/>
            <w:hideMark/>
          </w:tcPr>
          <w:p w:rsidR="006F1E50" w:rsidRPr="00892825" w:rsidRDefault="006F1E50" w:rsidP="00B6543D">
            <w:pPr>
              <w:pStyle w:val="TableColHeadingCenter"/>
              <w:cnfStyle w:val="100000000000"/>
              <w:rPr>
                <w:color w:val="auto"/>
              </w:rPr>
            </w:pPr>
            <w:r w:rsidRPr="00892825">
              <w:rPr>
                <w:color w:val="auto"/>
              </w:rPr>
              <w:t>Medium</w:t>
            </w:r>
            <w:r>
              <w:rPr>
                <w:color w:val="auto"/>
              </w:rPr>
              <w:br/>
            </w:r>
            <w:r w:rsidRPr="00892825">
              <w:rPr>
                <w:color w:val="auto"/>
              </w:rPr>
              <w:t>(</w:t>
            </w:r>
            <w:r>
              <w:rPr>
                <w:color w:val="auto"/>
              </w:rPr>
              <w:t>two to five</w:t>
            </w:r>
            <w:r w:rsidRPr="00892825">
              <w:rPr>
                <w:color w:val="auto"/>
              </w:rPr>
              <w:t xml:space="preserve"> days)</w:t>
            </w:r>
          </w:p>
        </w:tc>
        <w:tc>
          <w:tcPr>
            <w:tcW w:w="2394" w:type="dxa"/>
            <w:shd w:val="clear" w:color="auto" w:fill="B5C7DB" w:themeFill="text2" w:themeFillTint="66"/>
            <w:hideMark/>
          </w:tcPr>
          <w:p w:rsidR="006F1E50" w:rsidRPr="00892825" w:rsidRDefault="006F1E50" w:rsidP="00B6543D">
            <w:pPr>
              <w:pStyle w:val="TableColHeadingCenter"/>
              <w:cnfStyle w:val="100000000000"/>
              <w:rPr>
                <w:color w:val="auto"/>
              </w:rPr>
            </w:pPr>
            <w:r w:rsidRPr="00892825">
              <w:rPr>
                <w:color w:val="auto"/>
              </w:rPr>
              <w:t>High</w:t>
            </w:r>
            <w:r>
              <w:rPr>
                <w:color w:val="auto"/>
              </w:rPr>
              <w:br/>
            </w:r>
            <w:r w:rsidRPr="00892825">
              <w:rPr>
                <w:color w:val="auto"/>
              </w:rPr>
              <w:t>(</w:t>
            </w:r>
            <w:r>
              <w:rPr>
                <w:color w:val="auto"/>
              </w:rPr>
              <w:t>more than five</w:t>
            </w:r>
            <w:r w:rsidRPr="00892825">
              <w:rPr>
                <w:color w:val="auto"/>
              </w:rPr>
              <w:t xml:space="preserve"> days and ongoing)</w:t>
            </w:r>
          </w:p>
        </w:tc>
      </w:tr>
      <w:tr w:rsidR="00B675A4" w:rsidRPr="00CD745A" w:rsidTr="006F1E50">
        <w:trPr>
          <w:cnfStyle w:val="000000100000"/>
        </w:trPr>
        <w:tc>
          <w:tcPr>
            <w:cnfStyle w:val="001000000000"/>
            <w:tcW w:w="2394" w:type="dxa"/>
            <w:tcBorders>
              <w:top w:val="none" w:sz="0" w:space="0" w:color="auto"/>
              <w:left w:val="none" w:sz="0" w:space="0" w:color="auto"/>
              <w:bottom w:val="none" w:sz="0" w:space="0" w:color="auto"/>
            </w:tcBorders>
            <w:hideMark/>
          </w:tcPr>
          <w:p w:rsidR="00B675A4" w:rsidRPr="00892825" w:rsidRDefault="00B675A4" w:rsidP="00892825">
            <w:pPr>
              <w:pStyle w:val="TableText"/>
              <w:keepNext/>
              <w:rPr>
                <w:b w:val="0"/>
              </w:rPr>
            </w:pPr>
            <w:r w:rsidRPr="00892825">
              <w:rPr>
                <w:b w:val="0"/>
              </w:rPr>
              <w:t>Berkshires, Southwest</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2</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0</w:t>
            </w:r>
          </w:p>
        </w:tc>
        <w:tc>
          <w:tcPr>
            <w:tcW w:w="2394" w:type="dxa"/>
            <w:tcBorders>
              <w:top w:val="none" w:sz="0" w:space="0" w:color="auto"/>
              <w:bottom w:val="none" w:sz="0" w:space="0" w:color="auto"/>
              <w:right w:val="none" w:sz="0" w:space="0" w:color="auto"/>
            </w:tcBorders>
            <w:vAlign w:val="center"/>
          </w:tcPr>
          <w:p w:rsidR="00B675A4" w:rsidRPr="00635406" w:rsidRDefault="00B675A4" w:rsidP="00892825">
            <w:pPr>
              <w:pStyle w:val="TableTextCentered"/>
              <w:cnfStyle w:val="000000100000"/>
            </w:pPr>
            <w:r w:rsidRPr="00635406">
              <w:t>1</w:t>
            </w:r>
          </w:p>
        </w:tc>
      </w:tr>
      <w:tr w:rsidR="00B675A4" w:rsidRPr="00CD745A" w:rsidTr="006F1E50">
        <w:tc>
          <w:tcPr>
            <w:cnfStyle w:val="001000000000"/>
            <w:tcW w:w="2394" w:type="dxa"/>
            <w:hideMark/>
          </w:tcPr>
          <w:p w:rsidR="00B675A4" w:rsidRPr="00892825" w:rsidRDefault="00B675A4" w:rsidP="00892825">
            <w:pPr>
              <w:pStyle w:val="TableText"/>
              <w:rPr>
                <w:b w:val="0"/>
              </w:rPr>
            </w:pPr>
            <w:r w:rsidRPr="00892825">
              <w:rPr>
                <w:b w:val="0"/>
              </w:rPr>
              <w:t>Central</w:t>
            </w:r>
          </w:p>
        </w:tc>
        <w:tc>
          <w:tcPr>
            <w:tcW w:w="2394" w:type="dxa"/>
            <w:vAlign w:val="center"/>
          </w:tcPr>
          <w:p w:rsidR="00B675A4" w:rsidRPr="00635406" w:rsidRDefault="00B675A4" w:rsidP="00892825">
            <w:pPr>
              <w:pStyle w:val="TableTextCentered"/>
              <w:cnfStyle w:val="000000000000"/>
            </w:pPr>
            <w:r w:rsidRPr="00635406">
              <w:t>1</w:t>
            </w:r>
          </w:p>
        </w:tc>
        <w:tc>
          <w:tcPr>
            <w:tcW w:w="2394" w:type="dxa"/>
            <w:vAlign w:val="center"/>
          </w:tcPr>
          <w:p w:rsidR="00B675A4" w:rsidRPr="00635406" w:rsidRDefault="00B675A4" w:rsidP="00892825">
            <w:pPr>
              <w:pStyle w:val="TableTextCentered"/>
              <w:cnfStyle w:val="000000000000"/>
            </w:pPr>
            <w:r w:rsidRPr="00635406">
              <w:t>2</w:t>
            </w:r>
          </w:p>
        </w:tc>
        <w:tc>
          <w:tcPr>
            <w:tcW w:w="2394" w:type="dxa"/>
            <w:vAlign w:val="center"/>
          </w:tcPr>
          <w:p w:rsidR="00B675A4" w:rsidRPr="00635406" w:rsidRDefault="00B675A4" w:rsidP="00892825">
            <w:pPr>
              <w:pStyle w:val="TableTextCentered"/>
              <w:cnfStyle w:val="000000000000"/>
            </w:pPr>
            <w:r w:rsidRPr="00635406">
              <w:t>3</w:t>
            </w:r>
          </w:p>
        </w:tc>
      </w:tr>
      <w:tr w:rsidR="00B675A4" w:rsidRPr="00CD745A" w:rsidTr="006F1E50">
        <w:trPr>
          <w:cnfStyle w:val="000000100000"/>
        </w:trPr>
        <w:tc>
          <w:tcPr>
            <w:cnfStyle w:val="001000000000"/>
            <w:tcW w:w="2394" w:type="dxa"/>
            <w:tcBorders>
              <w:top w:val="none" w:sz="0" w:space="0" w:color="auto"/>
              <w:left w:val="none" w:sz="0" w:space="0" w:color="auto"/>
              <w:bottom w:val="none" w:sz="0" w:space="0" w:color="auto"/>
            </w:tcBorders>
            <w:hideMark/>
          </w:tcPr>
          <w:p w:rsidR="00B675A4" w:rsidRPr="00892825" w:rsidRDefault="00B675A4" w:rsidP="00892825">
            <w:pPr>
              <w:pStyle w:val="TableText"/>
              <w:rPr>
                <w:b w:val="0"/>
              </w:rPr>
            </w:pPr>
            <w:r w:rsidRPr="00892825">
              <w:rPr>
                <w:b w:val="0"/>
              </w:rPr>
              <w:t>Greater Boston</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6</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3</w:t>
            </w:r>
          </w:p>
        </w:tc>
        <w:tc>
          <w:tcPr>
            <w:tcW w:w="2394" w:type="dxa"/>
            <w:tcBorders>
              <w:top w:val="none" w:sz="0" w:space="0" w:color="auto"/>
              <w:bottom w:val="none" w:sz="0" w:space="0" w:color="auto"/>
              <w:right w:val="none" w:sz="0" w:space="0" w:color="auto"/>
            </w:tcBorders>
            <w:vAlign w:val="center"/>
          </w:tcPr>
          <w:p w:rsidR="00B675A4" w:rsidRPr="00635406" w:rsidRDefault="00B675A4" w:rsidP="00892825">
            <w:pPr>
              <w:pStyle w:val="TableTextCentered"/>
              <w:cnfStyle w:val="000000100000"/>
            </w:pPr>
            <w:r w:rsidRPr="00635406">
              <w:t>0</w:t>
            </w:r>
          </w:p>
        </w:tc>
      </w:tr>
      <w:tr w:rsidR="00B675A4" w:rsidRPr="00CD745A" w:rsidTr="006F1E50">
        <w:tc>
          <w:tcPr>
            <w:cnfStyle w:val="001000000000"/>
            <w:tcW w:w="2394" w:type="dxa"/>
            <w:hideMark/>
          </w:tcPr>
          <w:p w:rsidR="00B675A4" w:rsidRPr="00892825" w:rsidRDefault="00B675A4" w:rsidP="00892825">
            <w:pPr>
              <w:pStyle w:val="TableText"/>
              <w:rPr>
                <w:b w:val="0"/>
              </w:rPr>
            </w:pPr>
            <w:r w:rsidRPr="00892825">
              <w:rPr>
                <w:b w:val="0"/>
              </w:rPr>
              <w:t>Northeast</w:t>
            </w:r>
          </w:p>
        </w:tc>
        <w:tc>
          <w:tcPr>
            <w:tcW w:w="2394" w:type="dxa"/>
            <w:vAlign w:val="center"/>
          </w:tcPr>
          <w:p w:rsidR="00B675A4" w:rsidRPr="00635406" w:rsidRDefault="00B675A4" w:rsidP="00892825">
            <w:pPr>
              <w:pStyle w:val="TableTextCentered"/>
              <w:cnfStyle w:val="000000000000"/>
            </w:pPr>
            <w:r w:rsidRPr="00635406">
              <w:t>2</w:t>
            </w:r>
          </w:p>
        </w:tc>
        <w:tc>
          <w:tcPr>
            <w:tcW w:w="2394" w:type="dxa"/>
            <w:vAlign w:val="center"/>
          </w:tcPr>
          <w:p w:rsidR="00B675A4" w:rsidRPr="00635406" w:rsidRDefault="00B675A4" w:rsidP="00892825">
            <w:pPr>
              <w:pStyle w:val="TableTextCentered"/>
              <w:cnfStyle w:val="000000000000"/>
            </w:pPr>
            <w:r w:rsidRPr="00635406">
              <w:t>3</w:t>
            </w:r>
          </w:p>
        </w:tc>
        <w:tc>
          <w:tcPr>
            <w:tcW w:w="2394" w:type="dxa"/>
            <w:vAlign w:val="center"/>
          </w:tcPr>
          <w:p w:rsidR="00B675A4" w:rsidRPr="00635406" w:rsidRDefault="00B675A4" w:rsidP="00892825">
            <w:pPr>
              <w:pStyle w:val="TableTextCentered"/>
              <w:cnfStyle w:val="000000000000"/>
            </w:pPr>
            <w:r w:rsidRPr="00635406">
              <w:t>0</w:t>
            </w:r>
          </w:p>
        </w:tc>
      </w:tr>
      <w:tr w:rsidR="00B675A4" w:rsidRPr="00CD745A" w:rsidTr="006F1E50">
        <w:trPr>
          <w:cnfStyle w:val="000000100000"/>
        </w:trPr>
        <w:tc>
          <w:tcPr>
            <w:cnfStyle w:val="001000000000"/>
            <w:tcW w:w="2394" w:type="dxa"/>
            <w:tcBorders>
              <w:top w:val="none" w:sz="0" w:space="0" w:color="auto"/>
              <w:left w:val="none" w:sz="0" w:space="0" w:color="auto"/>
              <w:bottom w:val="none" w:sz="0" w:space="0" w:color="auto"/>
            </w:tcBorders>
            <w:hideMark/>
          </w:tcPr>
          <w:p w:rsidR="00B675A4" w:rsidRPr="00892825" w:rsidRDefault="00B675A4" w:rsidP="00892825">
            <w:pPr>
              <w:pStyle w:val="TableText"/>
              <w:rPr>
                <w:b w:val="0"/>
              </w:rPr>
            </w:pPr>
            <w:r w:rsidRPr="00892825">
              <w:rPr>
                <w:b w:val="0"/>
              </w:rPr>
              <w:t>Pioneer Valley</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2</w:t>
            </w:r>
          </w:p>
        </w:tc>
        <w:tc>
          <w:tcPr>
            <w:tcW w:w="2394" w:type="dxa"/>
            <w:tcBorders>
              <w:top w:val="none" w:sz="0" w:space="0" w:color="auto"/>
              <w:bottom w:val="none" w:sz="0" w:space="0" w:color="auto"/>
            </w:tcBorders>
            <w:vAlign w:val="center"/>
          </w:tcPr>
          <w:p w:rsidR="00B675A4" w:rsidRPr="00635406" w:rsidRDefault="00B675A4" w:rsidP="00892825">
            <w:pPr>
              <w:pStyle w:val="TableTextCentered"/>
              <w:cnfStyle w:val="000000100000"/>
            </w:pPr>
            <w:r w:rsidRPr="00635406">
              <w:t>2</w:t>
            </w:r>
          </w:p>
        </w:tc>
        <w:tc>
          <w:tcPr>
            <w:tcW w:w="2394" w:type="dxa"/>
            <w:tcBorders>
              <w:top w:val="none" w:sz="0" w:space="0" w:color="auto"/>
              <w:bottom w:val="none" w:sz="0" w:space="0" w:color="auto"/>
              <w:right w:val="none" w:sz="0" w:space="0" w:color="auto"/>
            </w:tcBorders>
            <w:vAlign w:val="center"/>
          </w:tcPr>
          <w:p w:rsidR="00B675A4" w:rsidRPr="00635406" w:rsidRDefault="00B675A4" w:rsidP="00892825">
            <w:pPr>
              <w:pStyle w:val="TableTextCentered"/>
              <w:cnfStyle w:val="000000100000"/>
            </w:pPr>
            <w:r w:rsidRPr="00635406">
              <w:t>2</w:t>
            </w:r>
          </w:p>
        </w:tc>
      </w:tr>
      <w:tr w:rsidR="00B675A4" w:rsidRPr="00CD745A" w:rsidTr="006F1E50">
        <w:tc>
          <w:tcPr>
            <w:cnfStyle w:val="001000000000"/>
            <w:tcW w:w="2394" w:type="dxa"/>
            <w:hideMark/>
          </w:tcPr>
          <w:p w:rsidR="00B675A4" w:rsidRPr="00892825" w:rsidRDefault="00B675A4" w:rsidP="00892825">
            <w:pPr>
              <w:pStyle w:val="TableText"/>
              <w:rPr>
                <w:b w:val="0"/>
              </w:rPr>
            </w:pPr>
            <w:r w:rsidRPr="00892825">
              <w:rPr>
                <w:b w:val="0"/>
              </w:rPr>
              <w:t>Southeast</w:t>
            </w:r>
          </w:p>
        </w:tc>
        <w:tc>
          <w:tcPr>
            <w:tcW w:w="2394" w:type="dxa"/>
            <w:vAlign w:val="center"/>
          </w:tcPr>
          <w:p w:rsidR="00B675A4" w:rsidRPr="00635406" w:rsidRDefault="00B675A4" w:rsidP="00892825">
            <w:pPr>
              <w:pStyle w:val="TableTextCentered"/>
              <w:cnfStyle w:val="000000000000"/>
            </w:pPr>
            <w:r w:rsidRPr="00635406">
              <w:t>2</w:t>
            </w:r>
          </w:p>
        </w:tc>
        <w:tc>
          <w:tcPr>
            <w:tcW w:w="2394" w:type="dxa"/>
            <w:vAlign w:val="center"/>
          </w:tcPr>
          <w:p w:rsidR="00B675A4" w:rsidRPr="00635406" w:rsidRDefault="00B675A4" w:rsidP="00892825">
            <w:pPr>
              <w:pStyle w:val="TableTextCentered"/>
              <w:cnfStyle w:val="000000000000"/>
            </w:pPr>
            <w:r w:rsidRPr="00635406">
              <w:t>4</w:t>
            </w:r>
          </w:p>
        </w:tc>
        <w:tc>
          <w:tcPr>
            <w:tcW w:w="2394" w:type="dxa"/>
            <w:vAlign w:val="center"/>
          </w:tcPr>
          <w:p w:rsidR="00B675A4" w:rsidRPr="00635406" w:rsidRDefault="00B675A4" w:rsidP="00892825">
            <w:pPr>
              <w:pStyle w:val="TableTextCentered"/>
              <w:cnfStyle w:val="000000000000"/>
            </w:pPr>
            <w:r w:rsidRPr="00635406">
              <w:t>0</w:t>
            </w:r>
          </w:p>
        </w:tc>
      </w:tr>
    </w:tbl>
    <w:p w:rsidR="00B675A4" w:rsidRDefault="00B675A4" w:rsidP="00892825">
      <w:pPr>
        <w:pStyle w:val="BodyText"/>
      </w:pPr>
      <w:r w:rsidRPr="00474DCE">
        <w:t xml:space="preserve">Table </w:t>
      </w:r>
      <w:r>
        <w:t xml:space="preserve">9c shows preparation </w:t>
      </w:r>
      <w:r w:rsidR="00686838">
        <w:t xml:space="preserve">time </w:t>
      </w:r>
      <w:r>
        <w:t>for state tests by urbanicity. Notable in this table is the distribution of districts ranked low, medium</w:t>
      </w:r>
      <w:r w:rsidR="006F1E50">
        <w:t>,</w:t>
      </w:r>
      <w:r>
        <w:t xml:space="preserve"> and high </w:t>
      </w:r>
      <w:r w:rsidR="006F1E50">
        <w:t xml:space="preserve">is </w:t>
      </w:r>
      <w:r>
        <w:t xml:space="preserve">similar for both categories of districts with an even division between low and medium rankings, and a smaller number </w:t>
      </w:r>
      <w:r w:rsidR="001547B6">
        <w:t xml:space="preserve">of districts </w:t>
      </w:r>
      <w:r>
        <w:t>that are ranked high. This pattern reflects the statewide distribution of preparation time for tests, suggesting that urban and nonurban districts are equally likely to spend low, medium</w:t>
      </w:r>
      <w:r w:rsidR="006F1E50">
        <w:t>,</w:t>
      </w:r>
      <w:r>
        <w:t xml:space="preserve"> or high amounts of time </w:t>
      </w:r>
      <w:r w:rsidR="00686838">
        <w:t>preparing their students for state tests</w:t>
      </w:r>
      <w:r>
        <w:t xml:space="preserve">. </w:t>
      </w:r>
    </w:p>
    <w:p w:rsidR="00B675A4" w:rsidRPr="00A41245" w:rsidRDefault="00B675A4" w:rsidP="00892825">
      <w:pPr>
        <w:pStyle w:val="TableTitle"/>
      </w:pPr>
      <w:r>
        <w:t>Table 9c</w:t>
      </w:r>
      <w:r w:rsidRPr="00A41245">
        <w:t xml:space="preserve">. Preparation Time for State Tests by </w:t>
      </w:r>
      <w:r>
        <w:t>Urbanicity</w:t>
      </w:r>
      <w:r w:rsidRPr="00A41245">
        <w:t xml:space="preserve"> (</w:t>
      </w:r>
      <w:r w:rsidRPr="00A41245">
        <w:rPr>
          <w:i/>
        </w:rPr>
        <w:t>N</w:t>
      </w:r>
      <w:r w:rsidRPr="00A41245">
        <w:t xml:space="preserve"> = 35)</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2360"/>
        <w:gridCol w:w="1970"/>
        <w:gridCol w:w="3701"/>
      </w:tblGrid>
      <w:tr w:rsidR="006F1E50" w:rsidRPr="0060659C" w:rsidTr="00B6543D">
        <w:trPr>
          <w:cnfStyle w:val="100000000000"/>
          <w:trHeight w:val="800"/>
        </w:trPr>
        <w:tc>
          <w:tcPr>
            <w:cnfStyle w:val="001000000000"/>
            <w:tcW w:w="0" w:type="auto"/>
            <w:shd w:val="clear" w:color="auto" w:fill="B5C7DB" w:themeFill="text2" w:themeFillTint="66"/>
          </w:tcPr>
          <w:p w:rsidR="006F1E50" w:rsidRPr="00B54286" w:rsidRDefault="006F1E50" w:rsidP="00B6543D">
            <w:pPr>
              <w:pStyle w:val="TableColHeadingLeft"/>
              <w:jc w:val="center"/>
              <w:rPr>
                <w:color w:val="auto"/>
              </w:rPr>
            </w:pPr>
            <w:r w:rsidRPr="00B54286">
              <w:rPr>
                <w:color w:val="auto"/>
              </w:rPr>
              <w:t>Urbanicity</w:t>
            </w:r>
          </w:p>
        </w:tc>
        <w:tc>
          <w:tcPr>
            <w:tcW w:w="0" w:type="auto"/>
            <w:shd w:val="clear" w:color="auto" w:fill="B5C7DB" w:themeFill="text2" w:themeFillTint="66"/>
            <w:hideMark/>
          </w:tcPr>
          <w:p w:rsidR="006F1E50" w:rsidRPr="00B54286" w:rsidRDefault="006F1E50" w:rsidP="00B6543D">
            <w:pPr>
              <w:pStyle w:val="TableColHeadingCenter"/>
              <w:cnfStyle w:val="100000000000"/>
              <w:rPr>
                <w:rFonts w:cstheme="minorHAnsi"/>
                <w:color w:val="auto"/>
              </w:rPr>
            </w:pPr>
            <w:r w:rsidRPr="00892825">
              <w:rPr>
                <w:color w:val="auto"/>
              </w:rPr>
              <w:t xml:space="preserve">Low </w:t>
            </w:r>
            <w:r>
              <w:rPr>
                <w:color w:val="auto"/>
              </w:rPr>
              <w:br/>
            </w:r>
            <w:r w:rsidRPr="00892825">
              <w:rPr>
                <w:color w:val="auto"/>
              </w:rPr>
              <w:t>(no time</w:t>
            </w:r>
            <w:r>
              <w:rPr>
                <w:color w:val="auto"/>
              </w:rPr>
              <w:t xml:space="preserve"> to two</w:t>
            </w:r>
            <w:r w:rsidRPr="00892825">
              <w:rPr>
                <w:color w:val="auto"/>
              </w:rPr>
              <w:t xml:space="preserve"> days)</w:t>
            </w:r>
          </w:p>
        </w:tc>
        <w:tc>
          <w:tcPr>
            <w:tcW w:w="0" w:type="auto"/>
            <w:shd w:val="clear" w:color="auto" w:fill="B5C7DB" w:themeFill="text2" w:themeFillTint="66"/>
            <w:hideMark/>
          </w:tcPr>
          <w:p w:rsidR="006F1E50" w:rsidRPr="00B54286" w:rsidRDefault="006F1E50" w:rsidP="00B6543D">
            <w:pPr>
              <w:pStyle w:val="TableColHeadingCenter"/>
              <w:cnfStyle w:val="100000000000"/>
              <w:rPr>
                <w:rFonts w:cstheme="minorHAnsi"/>
                <w:color w:val="auto"/>
              </w:rPr>
            </w:pPr>
            <w:r w:rsidRPr="00892825">
              <w:rPr>
                <w:color w:val="auto"/>
              </w:rPr>
              <w:t>Medium</w:t>
            </w:r>
            <w:r>
              <w:rPr>
                <w:color w:val="auto"/>
              </w:rPr>
              <w:br/>
            </w:r>
            <w:r w:rsidRPr="00892825">
              <w:rPr>
                <w:color w:val="auto"/>
              </w:rPr>
              <w:t>(</w:t>
            </w:r>
            <w:r>
              <w:rPr>
                <w:color w:val="auto"/>
              </w:rPr>
              <w:t>two to five</w:t>
            </w:r>
            <w:r w:rsidRPr="00892825">
              <w:rPr>
                <w:color w:val="auto"/>
              </w:rPr>
              <w:t xml:space="preserve"> days)</w:t>
            </w:r>
          </w:p>
        </w:tc>
        <w:tc>
          <w:tcPr>
            <w:tcW w:w="0" w:type="auto"/>
            <w:shd w:val="clear" w:color="auto" w:fill="B5C7DB" w:themeFill="text2" w:themeFillTint="66"/>
            <w:hideMark/>
          </w:tcPr>
          <w:p w:rsidR="006F1E50" w:rsidRPr="00B54286" w:rsidRDefault="006F1E50" w:rsidP="00B6543D">
            <w:pPr>
              <w:pStyle w:val="TableColHeadingCenter"/>
              <w:cnfStyle w:val="100000000000"/>
              <w:rPr>
                <w:rFonts w:cstheme="minorHAnsi"/>
                <w:color w:val="auto"/>
              </w:rPr>
            </w:pPr>
            <w:r w:rsidRPr="00892825">
              <w:rPr>
                <w:color w:val="auto"/>
              </w:rPr>
              <w:t>High</w:t>
            </w:r>
            <w:r>
              <w:rPr>
                <w:color w:val="auto"/>
              </w:rPr>
              <w:br/>
            </w:r>
            <w:r w:rsidRPr="00892825">
              <w:rPr>
                <w:color w:val="auto"/>
              </w:rPr>
              <w:t>(</w:t>
            </w:r>
            <w:r>
              <w:rPr>
                <w:color w:val="auto"/>
              </w:rPr>
              <w:t>more than five</w:t>
            </w:r>
            <w:r w:rsidRPr="00892825">
              <w:rPr>
                <w:color w:val="auto"/>
              </w:rPr>
              <w:t xml:space="preserve"> days and ongoing)</w:t>
            </w:r>
          </w:p>
        </w:tc>
      </w:tr>
      <w:tr w:rsidR="00B675A4" w:rsidRPr="00CD745A" w:rsidTr="006F1E50">
        <w:trPr>
          <w:cnfStyle w:val="000000100000"/>
        </w:trPr>
        <w:tc>
          <w:tcPr>
            <w:cnfStyle w:val="001000000000"/>
            <w:tcW w:w="0" w:type="auto"/>
            <w:tcBorders>
              <w:top w:val="none" w:sz="0" w:space="0" w:color="auto"/>
              <w:left w:val="none" w:sz="0" w:space="0" w:color="auto"/>
              <w:bottom w:val="none" w:sz="0" w:space="0" w:color="auto"/>
            </w:tcBorders>
            <w:hideMark/>
          </w:tcPr>
          <w:p w:rsidR="00B675A4" w:rsidRPr="00B54286" w:rsidRDefault="00B675A4" w:rsidP="00B54286">
            <w:pPr>
              <w:pStyle w:val="TableText"/>
              <w:rPr>
                <w:b w:val="0"/>
              </w:rPr>
            </w:pPr>
            <w:r w:rsidRPr="00B54286">
              <w:rPr>
                <w:b w:val="0"/>
              </w:rPr>
              <w:t>Urban</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3</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4</w:t>
            </w:r>
          </w:p>
        </w:tc>
        <w:tc>
          <w:tcPr>
            <w:tcW w:w="0" w:type="auto"/>
            <w:tcBorders>
              <w:top w:val="none" w:sz="0" w:space="0" w:color="auto"/>
              <w:bottom w:val="none" w:sz="0" w:space="0" w:color="auto"/>
              <w:right w:val="none" w:sz="0" w:space="0" w:color="auto"/>
            </w:tcBorders>
            <w:vAlign w:val="center"/>
          </w:tcPr>
          <w:p w:rsidR="00B675A4" w:rsidRPr="00635406" w:rsidRDefault="00B675A4" w:rsidP="00B54286">
            <w:pPr>
              <w:pStyle w:val="TableTextCentered"/>
              <w:cnfStyle w:val="000000100000"/>
            </w:pPr>
            <w:r w:rsidRPr="00635406">
              <w:t>2</w:t>
            </w:r>
          </w:p>
        </w:tc>
      </w:tr>
      <w:tr w:rsidR="00B675A4" w:rsidRPr="00CD745A" w:rsidTr="006F1E50">
        <w:tc>
          <w:tcPr>
            <w:cnfStyle w:val="001000000000"/>
            <w:tcW w:w="0" w:type="auto"/>
            <w:hideMark/>
          </w:tcPr>
          <w:p w:rsidR="00B675A4" w:rsidRPr="00B54286" w:rsidRDefault="00B675A4" w:rsidP="006F1E50">
            <w:pPr>
              <w:pStyle w:val="TableText"/>
              <w:rPr>
                <w:b w:val="0"/>
              </w:rPr>
            </w:pPr>
            <w:r w:rsidRPr="00B54286">
              <w:rPr>
                <w:b w:val="0"/>
              </w:rPr>
              <w:t>Non</w:t>
            </w:r>
            <w:r w:rsidR="006F1E50">
              <w:rPr>
                <w:b w:val="0"/>
              </w:rPr>
              <w:t>u</w:t>
            </w:r>
            <w:r w:rsidRPr="00B54286">
              <w:rPr>
                <w:b w:val="0"/>
              </w:rPr>
              <w:t>rban</w:t>
            </w:r>
          </w:p>
        </w:tc>
        <w:tc>
          <w:tcPr>
            <w:tcW w:w="0" w:type="auto"/>
            <w:vAlign w:val="center"/>
          </w:tcPr>
          <w:p w:rsidR="00B675A4" w:rsidRPr="00635406" w:rsidRDefault="00B675A4" w:rsidP="00B54286">
            <w:pPr>
              <w:pStyle w:val="TableTextCentered"/>
              <w:cnfStyle w:val="000000000000"/>
            </w:pPr>
            <w:r w:rsidRPr="00635406">
              <w:t>12</w:t>
            </w:r>
          </w:p>
        </w:tc>
        <w:tc>
          <w:tcPr>
            <w:tcW w:w="0" w:type="auto"/>
            <w:vAlign w:val="center"/>
          </w:tcPr>
          <w:p w:rsidR="00B675A4" w:rsidRPr="00635406" w:rsidRDefault="00B675A4" w:rsidP="00B54286">
            <w:pPr>
              <w:pStyle w:val="TableTextCentered"/>
              <w:cnfStyle w:val="000000000000"/>
            </w:pPr>
            <w:r w:rsidRPr="00635406">
              <w:t>10</w:t>
            </w:r>
          </w:p>
        </w:tc>
        <w:tc>
          <w:tcPr>
            <w:tcW w:w="0" w:type="auto"/>
            <w:vAlign w:val="center"/>
          </w:tcPr>
          <w:p w:rsidR="00B675A4" w:rsidRPr="00635406" w:rsidRDefault="00B675A4" w:rsidP="00B54286">
            <w:pPr>
              <w:pStyle w:val="TableTextCentered"/>
              <w:cnfStyle w:val="000000000000"/>
            </w:pPr>
            <w:r w:rsidRPr="00635406">
              <w:t>4</w:t>
            </w:r>
          </w:p>
        </w:tc>
      </w:tr>
    </w:tbl>
    <w:p w:rsidR="00B675A4" w:rsidRDefault="00B675A4" w:rsidP="00B54286">
      <w:pPr>
        <w:pStyle w:val="BodyText"/>
      </w:pPr>
      <w:r>
        <w:t xml:space="preserve">Table 9d shows preparation time for state tests by </w:t>
      </w:r>
      <w:r w:rsidR="00686838">
        <w:t xml:space="preserve">district </w:t>
      </w:r>
      <w:r>
        <w:t xml:space="preserve">type. While acknowledging a substantial difference in the </w:t>
      </w:r>
      <w:r w:rsidR="00686838">
        <w:t xml:space="preserve">number </w:t>
      </w:r>
      <w:r>
        <w:t xml:space="preserve">of districts in each category, nearly all charter districts report devoting low amounts of time to test preparation, </w:t>
      </w:r>
      <w:r w:rsidR="00A35A6F">
        <w:t xml:space="preserve">whereas </w:t>
      </w:r>
      <w:r>
        <w:t xml:space="preserve">traditional districts are distributed across the three </w:t>
      </w:r>
      <w:r w:rsidR="00686838">
        <w:t>groups</w:t>
      </w:r>
      <w:r>
        <w:t xml:space="preserve">. This may suggest that charter districts </w:t>
      </w:r>
      <w:r w:rsidR="00686838">
        <w:t xml:space="preserve">generally </w:t>
      </w:r>
      <w:r>
        <w:t xml:space="preserve">spend less time on test preparation </w:t>
      </w:r>
      <w:r w:rsidR="00A35A6F">
        <w:t>than</w:t>
      </w:r>
      <w:r>
        <w:t xml:space="preserve"> traditional districts. </w:t>
      </w:r>
    </w:p>
    <w:p w:rsidR="00B675A4" w:rsidRPr="00A41245" w:rsidRDefault="00B675A4" w:rsidP="00B54286">
      <w:pPr>
        <w:pStyle w:val="TableTitle"/>
      </w:pPr>
      <w:r w:rsidRPr="00A41245">
        <w:t>Table 9</w:t>
      </w:r>
      <w:r>
        <w:t>d</w:t>
      </w:r>
      <w:r w:rsidRPr="00A41245">
        <w:t>. Prepa</w:t>
      </w:r>
      <w:r>
        <w:t xml:space="preserve">ration Time for State Tests by </w:t>
      </w:r>
      <w:r w:rsidR="00686838">
        <w:t>District</w:t>
      </w:r>
      <w:r>
        <w:t xml:space="preserve"> Type</w:t>
      </w:r>
      <w:r w:rsidRPr="00A41245">
        <w:t xml:space="preserve"> (</w:t>
      </w:r>
      <w:r w:rsidRPr="00A41245">
        <w:rPr>
          <w:i/>
        </w:rPr>
        <w:t>N</w:t>
      </w:r>
      <w:r w:rsidRPr="00A41245">
        <w:t xml:space="preserve"> = 35)</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9"/>
        <w:gridCol w:w="2322"/>
        <w:gridCol w:w="1938"/>
        <w:gridCol w:w="3641"/>
      </w:tblGrid>
      <w:tr w:rsidR="00A35A6F" w:rsidRPr="0060659C" w:rsidTr="00B6543D">
        <w:trPr>
          <w:cnfStyle w:val="100000000000"/>
        </w:trPr>
        <w:tc>
          <w:tcPr>
            <w:cnfStyle w:val="001000000000"/>
            <w:tcW w:w="0" w:type="auto"/>
            <w:shd w:val="clear" w:color="auto" w:fill="B5C7DB" w:themeFill="text2" w:themeFillTint="66"/>
          </w:tcPr>
          <w:p w:rsidR="00A35A6F" w:rsidRPr="00B54286" w:rsidRDefault="00A35A6F" w:rsidP="00B6543D">
            <w:pPr>
              <w:pStyle w:val="TableColHeadingLeft"/>
              <w:jc w:val="center"/>
              <w:rPr>
                <w:color w:val="auto"/>
              </w:rPr>
            </w:pPr>
            <w:r w:rsidRPr="00B54286">
              <w:rPr>
                <w:color w:val="auto"/>
              </w:rPr>
              <w:t>School Type</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 xml:space="preserve">Low </w:t>
            </w:r>
            <w:r>
              <w:rPr>
                <w:color w:val="auto"/>
              </w:rPr>
              <w:br/>
            </w:r>
            <w:r w:rsidRPr="00892825">
              <w:rPr>
                <w:color w:val="auto"/>
              </w:rPr>
              <w:t>(no time</w:t>
            </w:r>
            <w:r>
              <w:rPr>
                <w:color w:val="auto"/>
              </w:rPr>
              <w:t xml:space="preserve"> to two</w:t>
            </w:r>
            <w:r w:rsidRPr="00892825">
              <w:rPr>
                <w:color w:val="auto"/>
              </w:rPr>
              <w:t xml:space="preserve"> days)</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Medium</w:t>
            </w:r>
            <w:r>
              <w:rPr>
                <w:color w:val="auto"/>
              </w:rPr>
              <w:br/>
            </w:r>
            <w:r w:rsidRPr="00892825">
              <w:rPr>
                <w:color w:val="auto"/>
              </w:rPr>
              <w:t>(</w:t>
            </w:r>
            <w:r>
              <w:rPr>
                <w:color w:val="auto"/>
              </w:rPr>
              <w:t>two to five</w:t>
            </w:r>
            <w:r w:rsidRPr="00892825">
              <w:rPr>
                <w:color w:val="auto"/>
              </w:rPr>
              <w:t xml:space="preserve"> days)</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High</w:t>
            </w:r>
            <w:r>
              <w:rPr>
                <w:color w:val="auto"/>
              </w:rPr>
              <w:br/>
            </w:r>
            <w:r w:rsidRPr="00892825">
              <w:rPr>
                <w:color w:val="auto"/>
              </w:rPr>
              <w:t>(</w:t>
            </w:r>
            <w:r>
              <w:rPr>
                <w:color w:val="auto"/>
              </w:rPr>
              <w:t>more than five</w:t>
            </w:r>
            <w:r w:rsidRPr="00892825">
              <w:rPr>
                <w:color w:val="auto"/>
              </w:rPr>
              <w:t xml:space="preserve"> days and ongoing)</w:t>
            </w:r>
          </w:p>
        </w:tc>
      </w:tr>
      <w:tr w:rsidR="00B675A4" w:rsidRPr="00CD745A" w:rsidTr="002423BF">
        <w:trPr>
          <w:cnfStyle w:val="000000100000"/>
        </w:trPr>
        <w:tc>
          <w:tcPr>
            <w:cnfStyle w:val="001000000000"/>
            <w:tcW w:w="0" w:type="auto"/>
            <w:tcBorders>
              <w:top w:val="none" w:sz="0" w:space="0" w:color="auto"/>
              <w:left w:val="none" w:sz="0" w:space="0" w:color="auto"/>
              <w:bottom w:val="none" w:sz="0" w:space="0" w:color="auto"/>
            </w:tcBorders>
          </w:tcPr>
          <w:p w:rsidR="00B675A4" w:rsidRPr="00B54286" w:rsidRDefault="00B675A4" w:rsidP="00B54286">
            <w:pPr>
              <w:pStyle w:val="TableText"/>
              <w:rPr>
                <w:b w:val="0"/>
              </w:rPr>
            </w:pPr>
            <w:r w:rsidRPr="00B54286">
              <w:rPr>
                <w:b w:val="0"/>
              </w:rPr>
              <w:t>Charter</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6</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1</w:t>
            </w:r>
          </w:p>
        </w:tc>
        <w:tc>
          <w:tcPr>
            <w:tcW w:w="0" w:type="auto"/>
            <w:tcBorders>
              <w:top w:val="none" w:sz="0" w:space="0" w:color="auto"/>
              <w:bottom w:val="none" w:sz="0" w:space="0" w:color="auto"/>
              <w:right w:val="none" w:sz="0" w:space="0" w:color="auto"/>
            </w:tcBorders>
            <w:vAlign w:val="center"/>
          </w:tcPr>
          <w:p w:rsidR="00B675A4" w:rsidRPr="00635406" w:rsidRDefault="00B675A4" w:rsidP="00B54286">
            <w:pPr>
              <w:pStyle w:val="TableTextCentered"/>
              <w:cnfStyle w:val="000000100000"/>
            </w:pPr>
            <w:r w:rsidRPr="00635406">
              <w:t>0</w:t>
            </w:r>
          </w:p>
        </w:tc>
      </w:tr>
      <w:tr w:rsidR="00B675A4" w:rsidRPr="00CD745A" w:rsidTr="002423BF">
        <w:tc>
          <w:tcPr>
            <w:cnfStyle w:val="001000000000"/>
            <w:tcW w:w="0" w:type="auto"/>
          </w:tcPr>
          <w:p w:rsidR="00B675A4" w:rsidRPr="00B54286" w:rsidRDefault="00B675A4" w:rsidP="00B54286">
            <w:pPr>
              <w:pStyle w:val="TableText"/>
              <w:rPr>
                <w:b w:val="0"/>
              </w:rPr>
            </w:pPr>
            <w:r w:rsidRPr="00B54286">
              <w:rPr>
                <w:b w:val="0"/>
              </w:rPr>
              <w:t>Traditional</w:t>
            </w:r>
          </w:p>
        </w:tc>
        <w:tc>
          <w:tcPr>
            <w:tcW w:w="0" w:type="auto"/>
            <w:vAlign w:val="center"/>
          </w:tcPr>
          <w:p w:rsidR="00B675A4" w:rsidRPr="00635406" w:rsidRDefault="00B675A4" w:rsidP="00B54286">
            <w:pPr>
              <w:pStyle w:val="TableTextCentered"/>
              <w:cnfStyle w:val="000000000000"/>
            </w:pPr>
            <w:r w:rsidRPr="00635406">
              <w:t>9</w:t>
            </w:r>
          </w:p>
        </w:tc>
        <w:tc>
          <w:tcPr>
            <w:tcW w:w="0" w:type="auto"/>
            <w:vAlign w:val="center"/>
          </w:tcPr>
          <w:p w:rsidR="00B675A4" w:rsidRPr="00635406" w:rsidRDefault="00B675A4" w:rsidP="00B54286">
            <w:pPr>
              <w:pStyle w:val="TableTextCentered"/>
              <w:cnfStyle w:val="000000000000"/>
            </w:pPr>
            <w:r w:rsidRPr="00635406">
              <w:t>13</w:t>
            </w:r>
          </w:p>
        </w:tc>
        <w:tc>
          <w:tcPr>
            <w:tcW w:w="0" w:type="auto"/>
            <w:vAlign w:val="center"/>
          </w:tcPr>
          <w:p w:rsidR="00B675A4" w:rsidRPr="00635406" w:rsidRDefault="00B675A4" w:rsidP="00B54286">
            <w:pPr>
              <w:pStyle w:val="TableTextCentered"/>
              <w:cnfStyle w:val="000000000000"/>
            </w:pPr>
            <w:r w:rsidRPr="00635406">
              <w:t>6</w:t>
            </w:r>
          </w:p>
        </w:tc>
      </w:tr>
    </w:tbl>
    <w:p w:rsidR="00B675A4" w:rsidRDefault="00B675A4" w:rsidP="00B54286">
      <w:pPr>
        <w:pStyle w:val="BodyText"/>
      </w:pPr>
      <w:r>
        <w:t xml:space="preserve">Table 9e shows preparation time for state tests by MCAS </w:t>
      </w:r>
      <w:r w:rsidR="00E0410A">
        <w:t>achievement level</w:t>
      </w:r>
      <w:r>
        <w:t xml:space="preserve">. Using AIR’s categorization of MCAS </w:t>
      </w:r>
      <w:r w:rsidR="00E0410A">
        <w:t>achievement</w:t>
      </w:r>
      <w:r>
        <w:t xml:space="preserve"> into groups of low, medium, and high, the table suggests that </w:t>
      </w:r>
      <w:r w:rsidR="00972417">
        <w:t xml:space="preserve">the </w:t>
      </w:r>
      <w:r>
        <w:t xml:space="preserve">districts ranked high in MCAS </w:t>
      </w:r>
      <w:r w:rsidR="00E0410A">
        <w:t>achievement</w:t>
      </w:r>
      <w:r>
        <w:t xml:space="preserve"> tend to spend low </w:t>
      </w:r>
      <w:r w:rsidR="00E0410A">
        <w:t xml:space="preserve">to medium </w:t>
      </w:r>
      <w:r>
        <w:t xml:space="preserve">amounts of time preparing for state tests. Districts ranked low and medium in MCAS </w:t>
      </w:r>
      <w:r w:rsidR="00E0410A">
        <w:t>achievement</w:t>
      </w:r>
      <w:r>
        <w:t xml:space="preserve"> show rankings for test preparation time that are distributed across the three preparation </w:t>
      </w:r>
      <w:r w:rsidR="00686838">
        <w:t>groups</w:t>
      </w:r>
      <w:r>
        <w:t xml:space="preserve">, with medium-proficient districts distributed more heavily on the low end of preparation time, and </w:t>
      </w:r>
      <w:r>
        <w:lastRenderedPageBreak/>
        <w:t xml:space="preserve">districts ranked low in MCAS </w:t>
      </w:r>
      <w:r w:rsidR="00E0410A">
        <w:t>achievement</w:t>
      </w:r>
      <w:r>
        <w:t xml:space="preserve"> distributed more heavily across medium and high </w:t>
      </w:r>
      <w:r w:rsidR="00E0410A">
        <w:t xml:space="preserve">categories </w:t>
      </w:r>
      <w:r>
        <w:t>for test preparation time. Although these patterns are visible, they are not particularly robust given the small differences in categories and the small numbers of districts in each category.</w:t>
      </w:r>
    </w:p>
    <w:p w:rsidR="00B675A4" w:rsidRPr="00A41245" w:rsidRDefault="00B675A4" w:rsidP="00B54286">
      <w:pPr>
        <w:pStyle w:val="TableTitle"/>
      </w:pPr>
      <w:r>
        <w:t>Table 9e</w:t>
      </w:r>
      <w:r w:rsidRPr="00A41245">
        <w:t xml:space="preserve">. Preparation Time for State Tests by </w:t>
      </w:r>
      <w:r>
        <w:t xml:space="preserve">MCAS </w:t>
      </w:r>
      <w:r w:rsidR="00A96687">
        <w:t>Achievement</w:t>
      </w:r>
      <w:r w:rsidRPr="00A41245">
        <w:t xml:space="preserve"> (</w:t>
      </w:r>
      <w:r w:rsidRPr="00A41245">
        <w:rPr>
          <w:i/>
        </w:rPr>
        <w:t>N</w:t>
      </w:r>
      <w:r w:rsidRPr="00A41245">
        <w:t xml:space="preserve"> = 35)</w:t>
      </w:r>
    </w:p>
    <w:tbl>
      <w:tblPr>
        <w:tblStyle w:val="LightList-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gridCol w:w="2126"/>
        <w:gridCol w:w="1791"/>
        <w:gridCol w:w="3330"/>
      </w:tblGrid>
      <w:tr w:rsidR="00A35A6F" w:rsidRPr="0060659C" w:rsidTr="00B6543D">
        <w:trPr>
          <w:cnfStyle w:val="100000000000"/>
        </w:trPr>
        <w:tc>
          <w:tcPr>
            <w:cnfStyle w:val="001000000000"/>
            <w:tcW w:w="0" w:type="auto"/>
            <w:shd w:val="clear" w:color="auto" w:fill="B5C7DB" w:themeFill="text2" w:themeFillTint="66"/>
          </w:tcPr>
          <w:p w:rsidR="00A35A6F" w:rsidRPr="00B54286" w:rsidRDefault="00A35A6F" w:rsidP="00B6543D">
            <w:pPr>
              <w:pStyle w:val="TableColHeadingLeft"/>
              <w:jc w:val="center"/>
              <w:rPr>
                <w:color w:val="auto"/>
              </w:rPr>
            </w:pPr>
            <w:r w:rsidRPr="00B54286">
              <w:rPr>
                <w:color w:val="auto"/>
              </w:rPr>
              <w:t>MCAS Achievement</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 xml:space="preserve">Low </w:t>
            </w:r>
            <w:r>
              <w:rPr>
                <w:color w:val="auto"/>
              </w:rPr>
              <w:br/>
            </w:r>
            <w:r w:rsidRPr="00892825">
              <w:rPr>
                <w:color w:val="auto"/>
              </w:rPr>
              <w:t>(no time</w:t>
            </w:r>
            <w:r>
              <w:rPr>
                <w:color w:val="auto"/>
              </w:rPr>
              <w:t xml:space="preserve"> to two</w:t>
            </w:r>
            <w:r w:rsidRPr="00892825">
              <w:rPr>
                <w:color w:val="auto"/>
              </w:rPr>
              <w:t xml:space="preserve"> days)</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Medium</w:t>
            </w:r>
            <w:r>
              <w:rPr>
                <w:color w:val="auto"/>
              </w:rPr>
              <w:br/>
            </w:r>
            <w:r w:rsidRPr="00892825">
              <w:rPr>
                <w:color w:val="auto"/>
              </w:rPr>
              <w:t>(</w:t>
            </w:r>
            <w:r>
              <w:rPr>
                <w:color w:val="auto"/>
              </w:rPr>
              <w:t>two to five</w:t>
            </w:r>
            <w:r w:rsidRPr="00892825">
              <w:rPr>
                <w:color w:val="auto"/>
              </w:rPr>
              <w:t xml:space="preserve"> days)</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High</w:t>
            </w:r>
            <w:r>
              <w:rPr>
                <w:color w:val="auto"/>
              </w:rPr>
              <w:br/>
            </w:r>
            <w:r w:rsidRPr="00892825">
              <w:rPr>
                <w:color w:val="auto"/>
              </w:rPr>
              <w:t>(</w:t>
            </w:r>
            <w:r>
              <w:rPr>
                <w:color w:val="auto"/>
              </w:rPr>
              <w:t>more than five</w:t>
            </w:r>
            <w:r w:rsidRPr="00892825">
              <w:rPr>
                <w:color w:val="auto"/>
              </w:rPr>
              <w:t xml:space="preserve"> days and ongoing)</w:t>
            </w:r>
          </w:p>
        </w:tc>
      </w:tr>
      <w:tr w:rsidR="00B675A4" w:rsidRPr="00CD745A" w:rsidTr="00972417">
        <w:trPr>
          <w:cnfStyle w:val="000000100000"/>
        </w:trPr>
        <w:tc>
          <w:tcPr>
            <w:cnfStyle w:val="001000000000"/>
            <w:tcW w:w="0" w:type="auto"/>
            <w:tcBorders>
              <w:top w:val="none" w:sz="0" w:space="0" w:color="auto"/>
              <w:left w:val="none" w:sz="0" w:space="0" w:color="auto"/>
              <w:bottom w:val="none" w:sz="0" w:space="0" w:color="auto"/>
            </w:tcBorders>
            <w:hideMark/>
          </w:tcPr>
          <w:p w:rsidR="00B675A4" w:rsidRPr="00B54286" w:rsidRDefault="00B675A4" w:rsidP="00972417">
            <w:pPr>
              <w:pStyle w:val="TableText"/>
              <w:rPr>
                <w:b w:val="0"/>
              </w:rPr>
            </w:pPr>
            <w:r w:rsidRPr="00B54286">
              <w:rPr>
                <w:b w:val="0"/>
              </w:rPr>
              <w:t>Low (40</w:t>
            </w:r>
            <w:r w:rsidR="00972417">
              <w:rPr>
                <w:b w:val="0"/>
              </w:rPr>
              <w:t>–</w:t>
            </w:r>
            <w:r w:rsidRPr="00B54286">
              <w:rPr>
                <w:b w:val="0"/>
              </w:rPr>
              <w:t>55%)</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2</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5</w:t>
            </w:r>
          </w:p>
        </w:tc>
        <w:tc>
          <w:tcPr>
            <w:tcW w:w="0" w:type="auto"/>
            <w:tcBorders>
              <w:top w:val="none" w:sz="0" w:space="0" w:color="auto"/>
              <w:bottom w:val="none" w:sz="0" w:space="0" w:color="auto"/>
              <w:right w:val="none" w:sz="0" w:space="0" w:color="auto"/>
            </w:tcBorders>
            <w:vAlign w:val="center"/>
          </w:tcPr>
          <w:p w:rsidR="00B675A4" w:rsidRPr="00635406" w:rsidRDefault="00B675A4" w:rsidP="00B54286">
            <w:pPr>
              <w:pStyle w:val="TableTextCentered"/>
              <w:cnfStyle w:val="000000100000"/>
            </w:pPr>
            <w:r w:rsidRPr="00635406">
              <w:t>3</w:t>
            </w:r>
          </w:p>
        </w:tc>
      </w:tr>
      <w:tr w:rsidR="00B675A4" w:rsidRPr="00CD745A" w:rsidTr="00972417">
        <w:tc>
          <w:tcPr>
            <w:cnfStyle w:val="001000000000"/>
            <w:tcW w:w="0" w:type="auto"/>
            <w:hideMark/>
          </w:tcPr>
          <w:p w:rsidR="00B675A4" w:rsidRPr="00B54286" w:rsidRDefault="00B675A4" w:rsidP="00972417">
            <w:pPr>
              <w:pStyle w:val="TableText"/>
              <w:rPr>
                <w:b w:val="0"/>
              </w:rPr>
            </w:pPr>
            <w:r w:rsidRPr="00B54286">
              <w:rPr>
                <w:b w:val="0"/>
              </w:rPr>
              <w:t>Medium (56</w:t>
            </w:r>
            <w:r w:rsidR="00972417">
              <w:rPr>
                <w:b w:val="0"/>
              </w:rPr>
              <w:t>–</w:t>
            </w:r>
            <w:r w:rsidRPr="00B54286">
              <w:rPr>
                <w:b w:val="0"/>
              </w:rPr>
              <w:t>69%)</w:t>
            </w:r>
          </w:p>
        </w:tc>
        <w:tc>
          <w:tcPr>
            <w:tcW w:w="0" w:type="auto"/>
            <w:vAlign w:val="center"/>
          </w:tcPr>
          <w:p w:rsidR="00B675A4" w:rsidRPr="00635406" w:rsidRDefault="00B675A4" w:rsidP="00B54286">
            <w:pPr>
              <w:pStyle w:val="TableTextCentered"/>
              <w:cnfStyle w:val="000000000000"/>
            </w:pPr>
            <w:r w:rsidRPr="00635406">
              <w:t>7</w:t>
            </w:r>
          </w:p>
        </w:tc>
        <w:tc>
          <w:tcPr>
            <w:tcW w:w="0" w:type="auto"/>
            <w:vAlign w:val="center"/>
          </w:tcPr>
          <w:p w:rsidR="00B675A4" w:rsidRPr="00635406" w:rsidRDefault="00B675A4" w:rsidP="00B54286">
            <w:pPr>
              <w:pStyle w:val="TableTextCentered"/>
              <w:cnfStyle w:val="000000000000"/>
            </w:pPr>
            <w:r w:rsidRPr="00635406">
              <w:t>4</w:t>
            </w:r>
          </w:p>
        </w:tc>
        <w:tc>
          <w:tcPr>
            <w:tcW w:w="0" w:type="auto"/>
            <w:vAlign w:val="center"/>
          </w:tcPr>
          <w:p w:rsidR="00B675A4" w:rsidRPr="00635406" w:rsidRDefault="00B675A4" w:rsidP="00B54286">
            <w:pPr>
              <w:pStyle w:val="TableTextCentered"/>
              <w:cnfStyle w:val="000000000000"/>
            </w:pPr>
            <w:r w:rsidRPr="00635406">
              <w:t>3</w:t>
            </w:r>
          </w:p>
        </w:tc>
      </w:tr>
      <w:tr w:rsidR="00B675A4" w:rsidRPr="00CD745A" w:rsidTr="00972417">
        <w:trPr>
          <w:cnfStyle w:val="000000100000"/>
        </w:trPr>
        <w:tc>
          <w:tcPr>
            <w:cnfStyle w:val="001000000000"/>
            <w:tcW w:w="0" w:type="auto"/>
            <w:tcBorders>
              <w:top w:val="none" w:sz="0" w:space="0" w:color="auto"/>
              <w:left w:val="none" w:sz="0" w:space="0" w:color="auto"/>
              <w:bottom w:val="none" w:sz="0" w:space="0" w:color="auto"/>
            </w:tcBorders>
            <w:hideMark/>
          </w:tcPr>
          <w:p w:rsidR="00B675A4" w:rsidRPr="00B54286" w:rsidRDefault="00B675A4" w:rsidP="00B54286">
            <w:pPr>
              <w:pStyle w:val="TableText"/>
              <w:rPr>
                <w:b w:val="0"/>
              </w:rPr>
            </w:pPr>
            <w:r w:rsidRPr="00B54286">
              <w:rPr>
                <w:b w:val="0"/>
              </w:rPr>
              <w:t>High (≥70%)</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6</w:t>
            </w:r>
          </w:p>
        </w:tc>
        <w:tc>
          <w:tcPr>
            <w:tcW w:w="0" w:type="auto"/>
            <w:tcBorders>
              <w:top w:val="none" w:sz="0" w:space="0" w:color="auto"/>
              <w:bottom w:val="none" w:sz="0" w:space="0" w:color="auto"/>
            </w:tcBorders>
            <w:vAlign w:val="center"/>
          </w:tcPr>
          <w:p w:rsidR="00B675A4" w:rsidRPr="00635406" w:rsidRDefault="00B675A4" w:rsidP="00B54286">
            <w:pPr>
              <w:pStyle w:val="TableTextCentered"/>
              <w:cnfStyle w:val="000000100000"/>
            </w:pPr>
            <w:r w:rsidRPr="00635406">
              <w:t>5</w:t>
            </w:r>
          </w:p>
        </w:tc>
        <w:tc>
          <w:tcPr>
            <w:tcW w:w="0" w:type="auto"/>
            <w:tcBorders>
              <w:top w:val="none" w:sz="0" w:space="0" w:color="auto"/>
              <w:bottom w:val="none" w:sz="0" w:space="0" w:color="auto"/>
              <w:right w:val="none" w:sz="0" w:space="0" w:color="auto"/>
            </w:tcBorders>
            <w:vAlign w:val="center"/>
          </w:tcPr>
          <w:p w:rsidR="00B675A4" w:rsidRPr="00635406" w:rsidRDefault="00B675A4" w:rsidP="00B54286">
            <w:pPr>
              <w:pStyle w:val="TableTextCentered"/>
              <w:cnfStyle w:val="000000100000"/>
            </w:pPr>
            <w:r w:rsidRPr="00635406">
              <w:t>0</w:t>
            </w:r>
          </w:p>
        </w:tc>
      </w:tr>
    </w:tbl>
    <w:p w:rsidR="00B675A4" w:rsidRDefault="00B675A4" w:rsidP="00B54286">
      <w:pPr>
        <w:pStyle w:val="BodyText"/>
      </w:pPr>
      <w:r>
        <w:t xml:space="preserve">Table 9f shows </w:t>
      </w:r>
      <w:r w:rsidR="00972417">
        <w:t xml:space="preserve">the </w:t>
      </w:r>
      <w:r>
        <w:t>preparation time for state tests by percentage of ELL</w:t>
      </w:r>
      <w:r w:rsidR="00972417">
        <w:t>s</w:t>
      </w:r>
      <w:r>
        <w:t xml:space="preserve"> in participating districts. Using AIR’s categorization of </w:t>
      </w:r>
      <w:r w:rsidR="00972417">
        <w:t xml:space="preserve">the </w:t>
      </w:r>
      <w:r>
        <w:t xml:space="preserve">percentage of ELL students into groups of low, medium, and high, the data are distributed across the preparation time rankings in a manner that is consistent with statewide patterns established in Table 9, suggesting that districts are as likely to devote low, medium, or high amounts of time to test preparation, regardless of the percentage of ELL students in the district. </w:t>
      </w:r>
    </w:p>
    <w:p w:rsidR="00B675A4" w:rsidRDefault="00B675A4" w:rsidP="00B54286">
      <w:pPr>
        <w:pStyle w:val="TableTitle"/>
      </w:pPr>
      <w:r>
        <w:t>Table 9f</w:t>
      </w:r>
      <w:r w:rsidRPr="00A41245">
        <w:t xml:space="preserve">. Preparation Time for State Tests by </w:t>
      </w:r>
      <w:r>
        <w:t xml:space="preserve">Percentage of </w:t>
      </w:r>
      <w:r w:rsidR="00A96687">
        <w:t>ELL</w:t>
      </w:r>
      <w:r w:rsidR="00972417">
        <w:t>s</w:t>
      </w:r>
      <w:r w:rsidRPr="00A41245">
        <w:t xml:space="preserve"> (</w:t>
      </w:r>
      <w:r w:rsidRPr="00A41245">
        <w:rPr>
          <w:i/>
        </w:rPr>
        <w:t>N</w:t>
      </w:r>
      <w:r w:rsidRPr="00A41245">
        <w:t xml:space="preserve"> = 35)</w:t>
      </w:r>
    </w:p>
    <w:tbl>
      <w:tblPr>
        <w:tblStyle w:val="LightList-Accent1"/>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053"/>
        <w:gridCol w:w="2145"/>
        <w:gridCol w:w="1801"/>
        <w:gridCol w:w="3361"/>
      </w:tblGrid>
      <w:tr w:rsidR="00A35A6F" w:rsidRPr="0060659C" w:rsidTr="00B6543D">
        <w:trPr>
          <w:cnfStyle w:val="100000000000"/>
        </w:trPr>
        <w:tc>
          <w:tcPr>
            <w:cnfStyle w:val="001000000000"/>
            <w:tcW w:w="0" w:type="auto"/>
            <w:shd w:val="clear" w:color="auto" w:fill="B5C7DB" w:themeFill="text2" w:themeFillTint="66"/>
          </w:tcPr>
          <w:p w:rsidR="00A35A6F" w:rsidRPr="00B54286" w:rsidRDefault="00A35A6F" w:rsidP="00B6543D">
            <w:pPr>
              <w:pStyle w:val="TableColHeadingLeft"/>
              <w:jc w:val="center"/>
              <w:rPr>
                <w:color w:val="auto"/>
              </w:rPr>
            </w:pPr>
            <w:r w:rsidRPr="00B54286">
              <w:rPr>
                <w:color w:val="auto"/>
              </w:rPr>
              <w:t>Percent</w:t>
            </w:r>
            <w:r w:rsidR="00972417">
              <w:rPr>
                <w:color w:val="auto"/>
              </w:rPr>
              <w:t>age of</w:t>
            </w:r>
            <w:r w:rsidRPr="00B54286">
              <w:rPr>
                <w:color w:val="auto"/>
              </w:rPr>
              <w:t xml:space="preserve"> ELL</w:t>
            </w:r>
            <w:r w:rsidR="00972417">
              <w:rPr>
                <w:color w:val="auto"/>
              </w:rPr>
              <w:t>s</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 xml:space="preserve">Low </w:t>
            </w:r>
            <w:r>
              <w:rPr>
                <w:color w:val="auto"/>
              </w:rPr>
              <w:br/>
            </w:r>
            <w:r w:rsidRPr="00892825">
              <w:rPr>
                <w:color w:val="auto"/>
              </w:rPr>
              <w:t>(no time</w:t>
            </w:r>
            <w:r>
              <w:rPr>
                <w:color w:val="auto"/>
              </w:rPr>
              <w:t xml:space="preserve"> to two</w:t>
            </w:r>
            <w:r w:rsidRPr="00892825">
              <w:rPr>
                <w:color w:val="auto"/>
              </w:rPr>
              <w:t xml:space="preserve"> days)</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Medium</w:t>
            </w:r>
            <w:r>
              <w:rPr>
                <w:color w:val="auto"/>
              </w:rPr>
              <w:br/>
            </w:r>
            <w:r w:rsidRPr="00892825">
              <w:rPr>
                <w:color w:val="auto"/>
              </w:rPr>
              <w:t>(</w:t>
            </w:r>
            <w:r>
              <w:rPr>
                <w:color w:val="auto"/>
              </w:rPr>
              <w:t>two to five</w:t>
            </w:r>
            <w:r w:rsidRPr="00892825">
              <w:rPr>
                <w:color w:val="auto"/>
              </w:rPr>
              <w:t xml:space="preserve"> days)</w:t>
            </w:r>
          </w:p>
        </w:tc>
        <w:tc>
          <w:tcPr>
            <w:tcW w:w="0" w:type="auto"/>
            <w:shd w:val="clear" w:color="auto" w:fill="B5C7DB" w:themeFill="text2" w:themeFillTint="66"/>
            <w:hideMark/>
          </w:tcPr>
          <w:p w:rsidR="00A35A6F" w:rsidRPr="00B54286" w:rsidRDefault="00A35A6F" w:rsidP="00B6543D">
            <w:pPr>
              <w:pStyle w:val="TableColHeadingCenter"/>
              <w:cnfStyle w:val="100000000000"/>
              <w:rPr>
                <w:rFonts w:cstheme="minorHAnsi"/>
                <w:color w:val="auto"/>
              </w:rPr>
            </w:pPr>
            <w:r w:rsidRPr="00892825">
              <w:rPr>
                <w:color w:val="auto"/>
              </w:rPr>
              <w:t>High</w:t>
            </w:r>
            <w:r>
              <w:rPr>
                <w:color w:val="auto"/>
              </w:rPr>
              <w:br/>
            </w:r>
            <w:r w:rsidRPr="00892825">
              <w:rPr>
                <w:color w:val="auto"/>
              </w:rPr>
              <w:t>(</w:t>
            </w:r>
            <w:r>
              <w:rPr>
                <w:color w:val="auto"/>
              </w:rPr>
              <w:t>more than five</w:t>
            </w:r>
            <w:r w:rsidRPr="00892825">
              <w:rPr>
                <w:color w:val="auto"/>
              </w:rPr>
              <w:t xml:space="preserve"> days and ongoing)</w:t>
            </w:r>
          </w:p>
        </w:tc>
      </w:tr>
      <w:tr w:rsidR="00B675A4" w:rsidRPr="00CD745A" w:rsidTr="001F5E03">
        <w:trPr>
          <w:cnfStyle w:val="000000100000"/>
        </w:trPr>
        <w:tc>
          <w:tcPr>
            <w:cnfStyle w:val="001000000000"/>
            <w:tcW w:w="0" w:type="auto"/>
            <w:tcBorders>
              <w:top w:val="none" w:sz="0" w:space="0" w:color="auto"/>
              <w:left w:val="none" w:sz="0" w:space="0" w:color="auto"/>
              <w:bottom w:val="none" w:sz="0" w:space="0" w:color="auto"/>
            </w:tcBorders>
            <w:hideMark/>
          </w:tcPr>
          <w:p w:rsidR="00B675A4" w:rsidRPr="00635406" w:rsidRDefault="00B675A4" w:rsidP="00972417">
            <w:pPr>
              <w:rPr>
                <w:rFonts w:cstheme="minorHAnsi"/>
                <w:b w:val="0"/>
              </w:rPr>
            </w:pPr>
            <w:r w:rsidRPr="00635406">
              <w:rPr>
                <w:rFonts w:cstheme="minorHAnsi"/>
                <w:b w:val="0"/>
              </w:rPr>
              <w:t>Low</w:t>
            </w:r>
            <w:r>
              <w:rPr>
                <w:rFonts w:cstheme="minorHAnsi"/>
                <w:b w:val="0"/>
              </w:rPr>
              <w:t xml:space="preserve"> (0</w:t>
            </w:r>
            <w:r w:rsidR="00972417">
              <w:rPr>
                <w:rFonts w:cstheme="minorHAnsi"/>
                <w:b w:val="0"/>
              </w:rPr>
              <w:t>–</w:t>
            </w:r>
            <w:r>
              <w:rPr>
                <w:rFonts w:cstheme="minorHAnsi"/>
                <w:b w:val="0"/>
              </w:rPr>
              <w:t>10%)</w:t>
            </w:r>
          </w:p>
        </w:tc>
        <w:tc>
          <w:tcPr>
            <w:tcW w:w="0" w:type="auto"/>
            <w:tcBorders>
              <w:top w:val="none" w:sz="0" w:space="0" w:color="auto"/>
              <w:bottom w:val="none" w:sz="0" w:space="0" w:color="auto"/>
            </w:tcBorders>
            <w:vAlign w:val="center"/>
          </w:tcPr>
          <w:p w:rsidR="00B675A4" w:rsidRPr="00635406" w:rsidRDefault="00B675A4" w:rsidP="00F00019">
            <w:pPr>
              <w:pStyle w:val="TableTextCentered"/>
              <w:cnfStyle w:val="000000100000"/>
            </w:pPr>
            <w:r w:rsidRPr="00635406">
              <w:t>5</w:t>
            </w:r>
          </w:p>
        </w:tc>
        <w:tc>
          <w:tcPr>
            <w:tcW w:w="0" w:type="auto"/>
            <w:tcBorders>
              <w:top w:val="none" w:sz="0" w:space="0" w:color="auto"/>
              <w:bottom w:val="none" w:sz="0" w:space="0" w:color="auto"/>
            </w:tcBorders>
            <w:vAlign w:val="center"/>
          </w:tcPr>
          <w:p w:rsidR="00B675A4" w:rsidRPr="00635406" w:rsidRDefault="00B675A4" w:rsidP="00F00019">
            <w:pPr>
              <w:pStyle w:val="TableTextCentered"/>
              <w:cnfStyle w:val="000000100000"/>
            </w:pPr>
            <w:r w:rsidRPr="00635406">
              <w:t>7</w:t>
            </w:r>
          </w:p>
        </w:tc>
        <w:tc>
          <w:tcPr>
            <w:tcW w:w="0" w:type="auto"/>
            <w:tcBorders>
              <w:top w:val="none" w:sz="0" w:space="0" w:color="auto"/>
              <w:bottom w:val="none" w:sz="0" w:space="0" w:color="auto"/>
              <w:right w:val="none" w:sz="0" w:space="0" w:color="auto"/>
            </w:tcBorders>
            <w:vAlign w:val="center"/>
          </w:tcPr>
          <w:p w:rsidR="00B675A4" w:rsidRPr="00635406" w:rsidRDefault="00B675A4" w:rsidP="00F00019">
            <w:pPr>
              <w:pStyle w:val="TableTextCentered"/>
              <w:cnfStyle w:val="000000100000"/>
            </w:pPr>
            <w:r w:rsidRPr="00635406">
              <w:t>4</w:t>
            </w:r>
          </w:p>
        </w:tc>
      </w:tr>
      <w:tr w:rsidR="00B675A4" w:rsidRPr="00CD745A" w:rsidTr="001F5E03">
        <w:tc>
          <w:tcPr>
            <w:cnfStyle w:val="001000000000"/>
            <w:tcW w:w="0" w:type="auto"/>
            <w:hideMark/>
          </w:tcPr>
          <w:p w:rsidR="00B675A4" w:rsidRPr="00635406" w:rsidRDefault="00B675A4" w:rsidP="00972417">
            <w:pPr>
              <w:rPr>
                <w:rFonts w:cstheme="minorHAnsi"/>
                <w:b w:val="0"/>
              </w:rPr>
            </w:pPr>
            <w:r w:rsidRPr="00635406">
              <w:rPr>
                <w:rFonts w:cstheme="minorHAnsi"/>
                <w:b w:val="0"/>
              </w:rPr>
              <w:t>Medium</w:t>
            </w:r>
            <w:r>
              <w:rPr>
                <w:rFonts w:cstheme="minorHAnsi"/>
                <w:b w:val="0"/>
              </w:rPr>
              <w:t xml:space="preserve"> (11</w:t>
            </w:r>
            <w:r w:rsidR="00972417">
              <w:rPr>
                <w:rFonts w:cstheme="minorHAnsi"/>
                <w:b w:val="0"/>
              </w:rPr>
              <w:t>–</w:t>
            </w:r>
            <w:r>
              <w:rPr>
                <w:rFonts w:cstheme="minorHAnsi"/>
                <w:b w:val="0"/>
              </w:rPr>
              <w:t>20%)</w:t>
            </w:r>
          </w:p>
        </w:tc>
        <w:tc>
          <w:tcPr>
            <w:tcW w:w="0" w:type="auto"/>
            <w:vAlign w:val="center"/>
          </w:tcPr>
          <w:p w:rsidR="00B675A4" w:rsidRPr="00635406" w:rsidRDefault="00B675A4" w:rsidP="00F00019">
            <w:pPr>
              <w:pStyle w:val="TableTextCentered"/>
              <w:cnfStyle w:val="000000000000"/>
            </w:pPr>
            <w:r w:rsidRPr="00635406">
              <w:t>3</w:t>
            </w:r>
          </w:p>
        </w:tc>
        <w:tc>
          <w:tcPr>
            <w:tcW w:w="0" w:type="auto"/>
            <w:vAlign w:val="center"/>
          </w:tcPr>
          <w:p w:rsidR="00B675A4" w:rsidRPr="00635406" w:rsidRDefault="00B675A4" w:rsidP="00F00019">
            <w:pPr>
              <w:pStyle w:val="TableTextCentered"/>
              <w:cnfStyle w:val="000000000000"/>
            </w:pPr>
            <w:r w:rsidRPr="00635406">
              <w:t>5</w:t>
            </w:r>
          </w:p>
        </w:tc>
        <w:tc>
          <w:tcPr>
            <w:tcW w:w="0" w:type="auto"/>
            <w:vAlign w:val="center"/>
          </w:tcPr>
          <w:p w:rsidR="00B675A4" w:rsidRPr="00635406" w:rsidRDefault="00B675A4" w:rsidP="00F00019">
            <w:pPr>
              <w:pStyle w:val="TableTextCentered"/>
              <w:cnfStyle w:val="000000000000"/>
            </w:pPr>
            <w:r w:rsidRPr="00635406">
              <w:t>1</w:t>
            </w:r>
          </w:p>
        </w:tc>
      </w:tr>
      <w:tr w:rsidR="00B675A4" w:rsidRPr="00CD745A" w:rsidTr="001F5E03">
        <w:trPr>
          <w:cnfStyle w:val="000000100000"/>
        </w:trPr>
        <w:tc>
          <w:tcPr>
            <w:cnfStyle w:val="001000000000"/>
            <w:tcW w:w="0" w:type="auto"/>
            <w:tcBorders>
              <w:top w:val="none" w:sz="0" w:space="0" w:color="auto"/>
              <w:left w:val="none" w:sz="0" w:space="0" w:color="auto"/>
              <w:bottom w:val="none" w:sz="0" w:space="0" w:color="auto"/>
            </w:tcBorders>
            <w:hideMark/>
          </w:tcPr>
          <w:p w:rsidR="00B675A4" w:rsidRPr="00635406" w:rsidRDefault="00B675A4" w:rsidP="00B675A4">
            <w:pPr>
              <w:rPr>
                <w:rFonts w:cstheme="minorHAnsi"/>
                <w:b w:val="0"/>
              </w:rPr>
            </w:pPr>
            <w:r w:rsidRPr="00635406">
              <w:rPr>
                <w:rFonts w:cstheme="minorHAnsi"/>
                <w:b w:val="0"/>
              </w:rPr>
              <w:t>High</w:t>
            </w:r>
            <w:r>
              <w:rPr>
                <w:rFonts w:cstheme="minorHAnsi"/>
                <w:b w:val="0"/>
              </w:rPr>
              <w:t xml:space="preserve"> (&gt;20%)</w:t>
            </w:r>
          </w:p>
        </w:tc>
        <w:tc>
          <w:tcPr>
            <w:tcW w:w="0" w:type="auto"/>
            <w:tcBorders>
              <w:top w:val="none" w:sz="0" w:space="0" w:color="auto"/>
              <w:bottom w:val="none" w:sz="0" w:space="0" w:color="auto"/>
            </w:tcBorders>
            <w:vAlign w:val="center"/>
          </w:tcPr>
          <w:p w:rsidR="00B675A4" w:rsidRPr="00635406" w:rsidRDefault="00B675A4" w:rsidP="00F00019">
            <w:pPr>
              <w:pStyle w:val="TableTextCentered"/>
              <w:cnfStyle w:val="000000100000"/>
            </w:pPr>
            <w:r w:rsidRPr="00635406">
              <w:t>3</w:t>
            </w:r>
          </w:p>
        </w:tc>
        <w:tc>
          <w:tcPr>
            <w:tcW w:w="0" w:type="auto"/>
            <w:tcBorders>
              <w:top w:val="none" w:sz="0" w:space="0" w:color="auto"/>
              <w:bottom w:val="none" w:sz="0" w:space="0" w:color="auto"/>
            </w:tcBorders>
            <w:vAlign w:val="center"/>
          </w:tcPr>
          <w:p w:rsidR="00B675A4" w:rsidRPr="00635406" w:rsidRDefault="00B675A4" w:rsidP="00F00019">
            <w:pPr>
              <w:pStyle w:val="TableTextCentered"/>
              <w:cnfStyle w:val="000000100000"/>
            </w:pPr>
            <w:r w:rsidRPr="00635406">
              <w:t>5</w:t>
            </w:r>
          </w:p>
        </w:tc>
        <w:tc>
          <w:tcPr>
            <w:tcW w:w="0" w:type="auto"/>
            <w:tcBorders>
              <w:top w:val="none" w:sz="0" w:space="0" w:color="auto"/>
              <w:bottom w:val="none" w:sz="0" w:space="0" w:color="auto"/>
              <w:right w:val="none" w:sz="0" w:space="0" w:color="auto"/>
            </w:tcBorders>
            <w:vAlign w:val="center"/>
          </w:tcPr>
          <w:p w:rsidR="00B675A4" w:rsidRPr="00635406" w:rsidRDefault="00B675A4" w:rsidP="00F00019">
            <w:pPr>
              <w:pStyle w:val="TableTextCentered"/>
              <w:cnfStyle w:val="000000100000"/>
            </w:pPr>
            <w:r w:rsidRPr="00635406">
              <w:t>1</w:t>
            </w:r>
          </w:p>
        </w:tc>
      </w:tr>
    </w:tbl>
    <w:p w:rsidR="00B675A4" w:rsidRDefault="00B675A4" w:rsidP="00A7237E">
      <w:pPr>
        <w:pStyle w:val="BodyText"/>
      </w:pPr>
      <w:r>
        <w:t xml:space="preserve">Table 9g shows </w:t>
      </w:r>
      <w:r w:rsidR="00972417">
        <w:t xml:space="preserve">the </w:t>
      </w:r>
      <w:r>
        <w:t>preparation time for state tests by</w:t>
      </w:r>
      <w:r w:rsidR="00972417">
        <w:t xml:space="preserve"> the</w:t>
      </w:r>
      <w:r>
        <w:t xml:space="preserve"> percentage of students with disabilities (SWD</w:t>
      </w:r>
      <w:r w:rsidR="00972417">
        <w:t>s</w:t>
      </w:r>
      <w:r>
        <w:t xml:space="preserve">) in participating districts. Using AIR’s categorization of </w:t>
      </w:r>
      <w:r w:rsidR="00972417">
        <w:t xml:space="preserve">the </w:t>
      </w:r>
      <w:r>
        <w:t>percentage of SWD</w:t>
      </w:r>
      <w:r w:rsidR="00972417">
        <w:t>s</w:t>
      </w:r>
      <w:r>
        <w:t xml:space="preserve"> into groups of low, medium</w:t>
      </w:r>
      <w:r w:rsidR="00972417">
        <w:t>,</w:t>
      </w:r>
      <w:r>
        <w:t xml:space="preserve"> and high, the </w:t>
      </w:r>
      <w:r w:rsidR="00686838">
        <w:t>middle group reflects</w:t>
      </w:r>
      <w:r>
        <w:t xml:space="preserve"> the statewide pattern of an even distribution between low and medium rankings of time devoted to test preparation, and a smaller number of districts ranked as high in test preparation time. The districts ranked low and high in terms of percent</w:t>
      </w:r>
      <w:r w:rsidR="00972417">
        <w:t>age</w:t>
      </w:r>
      <w:r>
        <w:t xml:space="preserve"> of SWD</w:t>
      </w:r>
      <w:r w:rsidR="00972417">
        <w:t>s</w:t>
      </w:r>
      <w:r>
        <w:t xml:space="preserve"> are each distributed toward the low end of the preparation time rankings, but</w:t>
      </w:r>
      <w:r w:rsidR="00686838">
        <w:t xml:space="preserve"> they </w:t>
      </w:r>
      <w:r>
        <w:t>are small in number and not necessarily representative of statewide trends.</w:t>
      </w:r>
    </w:p>
    <w:p w:rsidR="00972417" w:rsidRDefault="00972417">
      <w:pPr>
        <w:rPr>
          <w:rFonts w:eastAsia="Times New Roman" w:cs="Times"/>
          <w:b/>
          <w:szCs w:val="24"/>
        </w:rPr>
      </w:pPr>
      <w:r>
        <w:br w:type="page"/>
      </w:r>
    </w:p>
    <w:p w:rsidR="00B675A4" w:rsidRDefault="00B675A4" w:rsidP="00A7237E">
      <w:pPr>
        <w:pStyle w:val="TableTitle"/>
      </w:pPr>
      <w:r>
        <w:lastRenderedPageBreak/>
        <w:t>Table 9g</w:t>
      </w:r>
      <w:r w:rsidRPr="00A41245">
        <w:t xml:space="preserve">. Preparation Time for State Tests by </w:t>
      </w:r>
      <w:r>
        <w:t>Percent</w:t>
      </w:r>
      <w:r w:rsidR="00E975F0">
        <w:t>age</w:t>
      </w:r>
      <w:r>
        <w:t xml:space="preserve"> of </w:t>
      </w:r>
      <w:r w:rsidR="00A96687">
        <w:t>SWD</w:t>
      </w:r>
      <w:r w:rsidR="00E975F0">
        <w:t>s</w:t>
      </w:r>
      <w:r w:rsidRPr="00A41245">
        <w:t xml:space="preserve"> (</w:t>
      </w:r>
      <w:r w:rsidRPr="00A41245">
        <w:rPr>
          <w:i/>
        </w:rPr>
        <w:t>N</w:t>
      </w:r>
      <w:r>
        <w:t xml:space="preserve"> = 35)</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A35A6F" w:rsidRPr="0060659C" w:rsidTr="00B6543D">
        <w:trPr>
          <w:cnfStyle w:val="100000000000"/>
          <w:trHeight w:val="422"/>
        </w:trPr>
        <w:tc>
          <w:tcPr>
            <w:cnfStyle w:val="001000000000"/>
            <w:tcW w:w="2394" w:type="dxa"/>
            <w:shd w:val="clear" w:color="auto" w:fill="B5C7DB" w:themeFill="text2" w:themeFillTint="66"/>
          </w:tcPr>
          <w:p w:rsidR="00A35A6F" w:rsidRPr="00CA759E" w:rsidRDefault="00A35A6F" w:rsidP="00B6543D">
            <w:pPr>
              <w:pStyle w:val="TableColHeadingLeft"/>
              <w:jc w:val="center"/>
              <w:rPr>
                <w:color w:val="auto"/>
              </w:rPr>
            </w:pPr>
            <w:r w:rsidRPr="00CA759E">
              <w:rPr>
                <w:color w:val="auto"/>
              </w:rPr>
              <w:t>Percent</w:t>
            </w:r>
            <w:r w:rsidR="00972417">
              <w:rPr>
                <w:color w:val="auto"/>
              </w:rPr>
              <w:t>age of</w:t>
            </w:r>
            <w:r w:rsidRPr="00CA759E">
              <w:rPr>
                <w:color w:val="auto"/>
              </w:rPr>
              <w:t xml:space="preserve"> SWD</w:t>
            </w:r>
            <w:r w:rsidR="00972417">
              <w:rPr>
                <w:color w:val="auto"/>
              </w:rPr>
              <w:t>s</w:t>
            </w:r>
          </w:p>
        </w:tc>
        <w:tc>
          <w:tcPr>
            <w:tcW w:w="2394" w:type="dxa"/>
            <w:shd w:val="clear" w:color="auto" w:fill="B5C7DB" w:themeFill="text2" w:themeFillTint="66"/>
            <w:hideMark/>
          </w:tcPr>
          <w:p w:rsidR="00A35A6F" w:rsidRPr="00CA759E" w:rsidRDefault="00A35A6F" w:rsidP="00B6543D">
            <w:pPr>
              <w:pStyle w:val="TableColHeadingCenter"/>
              <w:cnfStyle w:val="100000000000"/>
              <w:rPr>
                <w:color w:val="auto"/>
              </w:rPr>
            </w:pPr>
            <w:r w:rsidRPr="00892825">
              <w:rPr>
                <w:color w:val="auto"/>
              </w:rPr>
              <w:t xml:space="preserve">Low </w:t>
            </w:r>
            <w:r>
              <w:rPr>
                <w:color w:val="auto"/>
              </w:rPr>
              <w:br/>
            </w:r>
            <w:r w:rsidRPr="00892825">
              <w:rPr>
                <w:color w:val="auto"/>
              </w:rPr>
              <w:t>(no time</w:t>
            </w:r>
            <w:r>
              <w:rPr>
                <w:color w:val="auto"/>
              </w:rPr>
              <w:t xml:space="preserve"> to two</w:t>
            </w:r>
            <w:r w:rsidRPr="00892825">
              <w:rPr>
                <w:color w:val="auto"/>
              </w:rPr>
              <w:t xml:space="preserve"> days)</w:t>
            </w:r>
          </w:p>
        </w:tc>
        <w:tc>
          <w:tcPr>
            <w:tcW w:w="2394" w:type="dxa"/>
            <w:shd w:val="clear" w:color="auto" w:fill="B5C7DB" w:themeFill="text2" w:themeFillTint="66"/>
            <w:hideMark/>
          </w:tcPr>
          <w:p w:rsidR="00A35A6F" w:rsidRPr="00CA759E" w:rsidRDefault="00A35A6F" w:rsidP="00B6543D">
            <w:pPr>
              <w:pStyle w:val="TableColHeadingCenter"/>
              <w:cnfStyle w:val="100000000000"/>
              <w:rPr>
                <w:color w:val="auto"/>
              </w:rPr>
            </w:pPr>
            <w:r w:rsidRPr="00892825">
              <w:rPr>
                <w:color w:val="auto"/>
              </w:rPr>
              <w:t>Medium</w:t>
            </w:r>
            <w:r>
              <w:rPr>
                <w:color w:val="auto"/>
              </w:rPr>
              <w:br/>
            </w:r>
            <w:r w:rsidRPr="00892825">
              <w:rPr>
                <w:color w:val="auto"/>
              </w:rPr>
              <w:t>(</w:t>
            </w:r>
            <w:r>
              <w:rPr>
                <w:color w:val="auto"/>
              </w:rPr>
              <w:t>two to five</w:t>
            </w:r>
            <w:r w:rsidRPr="00892825">
              <w:rPr>
                <w:color w:val="auto"/>
              </w:rPr>
              <w:t xml:space="preserve"> days)</w:t>
            </w:r>
          </w:p>
        </w:tc>
        <w:tc>
          <w:tcPr>
            <w:tcW w:w="2394" w:type="dxa"/>
            <w:shd w:val="clear" w:color="auto" w:fill="B5C7DB" w:themeFill="text2" w:themeFillTint="66"/>
            <w:hideMark/>
          </w:tcPr>
          <w:p w:rsidR="00A35A6F" w:rsidRPr="00CA759E" w:rsidRDefault="00A35A6F" w:rsidP="00B6543D">
            <w:pPr>
              <w:pStyle w:val="TableColHeadingCenter"/>
              <w:cnfStyle w:val="100000000000"/>
              <w:rPr>
                <w:color w:val="auto"/>
              </w:rPr>
            </w:pPr>
            <w:r w:rsidRPr="00892825">
              <w:rPr>
                <w:color w:val="auto"/>
              </w:rPr>
              <w:t>High</w:t>
            </w:r>
            <w:r>
              <w:rPr>
                <w:color w:val="auto"/>
              </w:rPr>
              <w:br/>
            </w:r>
            <w:r w:rsidRPr="00892825">
              <w:rPr>
                <w:color w:val="auto"/>
              </w:rPr>
              <w:t>(</w:t>
            </w:r>
            <w:r>
              <w:rPr>
                <w:color w:val="auto"/>
              </w:rPr>
              <w:t>more than five</w:t>
            </w:r>
            <w:r w:rsidRPr="00892825">
              <w:rPr>
                <w:color w:val="auto"/>
              </w:rPr>
              <w:t xml:space="preserve"> days and ongoing)</w:t>
            </w:r>
          </w:p>
        </w:tc>
      </w:tr>
      <w:tr w:rsidR="00B675A4" w:rsidRPr="00A7237E" w:rsidTr="00972417">
        <w:trPr>
          <w:cnfStyle w:val="000000100000"/>
          <w:trHeight w:val="206"/>
        </w:trPr>
        <w:tc>
          <w:tcPr>
            <w:cnfStyle w:val="001000000000"/>
            <w:tcW w:w="2394" w:type="dxa"/>
            <w:tcBorders>
              <w:top w:val="none" w:sz="0" w:space="0" w:color="auto"/>
              <w:left w:val="none" w:sz="0" w:space="0" w:color="auto"/>
              <w:bottom w:val="none" w:sz="0" w:space="0" w:color="auto"/>
            </w:tcBorders>
            <w:hideMark/>
          </w:tcPr>
          <w:p w:rsidR="00B675A4" w:rsidRPr="00A7237E" w:rsidRDefault="00B675A4" w:rsidP="00A7237E">
            <w:pPr>
              <w:pStyle w:val="TableText"/>
              <w:rPr>
                <w:b w:val="0"/>
              </w:rPr>
            </w:pPr>
            <w:r w:rsidRPr="00A7237E">
              <w:rPr>
                <w:b w:val="0"/>
              </w:rPr>
              <w:t>Low</w:t>
            </w:r>
            <w:r w:rsidR="00A7237E">
              <w:rPr>
                <w:b w:val="0"/>
              </w:rPr>
              <w:t xml:space="preserve"> (0–</w:t>
            </w:r>
            <w:r w:rsidRPr="00A7237E">
              <w:rPr>
                <w:b w:val="0"/>
              </w:rPr>
              <w:t>10%)</w:t>
            </w:r>
          </w:p>
        </w:tc>
        <w:tc>
          <w:tcPr>
            <w:tcW w:w="2394" w:type="dxa"/>
            <w:tcBorders>
              <w:top w:val="none" w:sz="0" w:space="0" w:color="auto"/>
              <w:bottom w:val="none" w:sz="0" w:space="0" w:color="auto"/>
            </w:tcBorders>
            <w:vAlign w:val="center"/>
          </w:tcPr>
          <w:p w:rsidR="00B675A4" w:rsidRPr="00A7237E" w:rsidRDefault="00B675A4" w:rsidP="00A7237E">
            <w:pPr>
              <w:pStyle w:val="TableText"/>
              <w:jc w:val="center"/>
              <w:cnfStyle w:val="000000100000"/>
            </w:pPr>
            <w:r w:rsidRPr="00A7237E">
              <w:t>2</w:t>
            </w:r>
          </w:p>
        </w:tc>
        <w:tc>
          <w:tcPr>
            <w:tcW w:w="2394" w:type="dxa"/>
            <w:tcBorders>
              <w:top w:val="none" w:sz="0" w:space="0" w:color="auto"/>
              <w:bottom w:val="none" w:sz="0" w:space="0" w:color="auto"/>
            </w:tcBorders>
            <w:vAlign w:val="center"/>
          </w:tcPr>
          <w:p w:rsidR="00B675A4" w:rsidRPr="00A7237E" w:rsidRDefault="00B675A4" w:rsidP="00A7237E">
            <w:pPr>
              <w:pStyle w:val="TableText"/>
              <w:jc w:val="center"/>
              <w:cnfStyle w:val="000000100000"/>
            </w:pPr>
            <w:r w:rsidRPr="00A7237E">
              <w:t>0</w:t>
            </w:r>
          </w:p>
        </w:tc>
        <w:tc>
          <w:tcPr>
            <w:tcW w:w="2394" w:type="dxa"/>
            <w:tcBorders>
              <w:top w:val="none" w:sz="0" w:space="0" w:color="auto"/>
              <w:bottom w:val="none" w:sz="0" w:space="0" w:color="auto"/>
              <w:right w:val="none" w:sz="0" w:space="0" w:color="auto"/>
            </w:tcBorders>
            <w:vAlign w:val="center"/>
          </w:tcPr>
          <w:p w:rsidR="00B675A4" w:rsidRPr="00A7237E" w:rsidRDefault="00B675A4" w:rsidP="00A7237E">
            <w:pPr>
              <w:pStyle w:val="TableText"/>
              <w:jc w:val="center"/>
              <w:cnfStyle w:val="000000100000"/>
            </w:pPr>
            <w:r w:rsidRPr="00A7237E">
              <w:t>0</w:t>
            </w:r>
          </w:p>
        </w:tc>
      </w:tr>
      <w:tr w:rsidR="00B675A4" w:rsidRPr="00A7237E" w:rsidTr="00972417">
        <w:trPr>
          <w:trHeight w:val="134"/>
        </w:trPr>
        <w:tc>
          <w:tcPr>
            <w:cnfStyle w:val="001000000000"/>
            <w:tcW w:w="2394" w:type="dxa"/>
            <w:hideMark/>
          </w:tcPr>
          <w:p w:rsidR="00B675A4" w:rsidRPr="00A7237E" w:rsidRDefault="00B675A4" w:rsidP="00A7237E">
            <w:pPr>
              <w:pStyle w:val="TableText"/>
              <w:rPr>
                <w:b w:val="0"/>
              </w:rPr>
            </w:pPr>
            <w:r w:rsidRPr="00A7237E">
              <w:rPr>
                <w:b w:val="0"/>
              </w:rPr>
              <w:t>Medium (11</w:t>
            </w:r>
            <w:r w:rsidR="00A7237E">
              <w:rPr>
                <w:b w:val="0"/>
              </w:rPr>
              <w:t>–</w:t>
            </w:r>
            <w:r w:rsidRPr="00A7237E">
              <w:rPr>
                <w:b w:val="0"/>
              </w:rPr>
              <w:t>20%)</w:t>
            </w:r>
          </w:p>
        </w:tc>
        <w:tc>
          <w:tcPr>
            <w:tcW w:w="2394" w:type="dxa"/>
            <w:vAlign w:val="center"/>
          </w:tcPr>
          <w:p w:rsidR="00B675A4" w:rsidRPr="00A7237E" w:rsidRDefault="00B675A4" w:rsidP="00A7237E">
            <w:pPr>
              <w:pStyle w:val="TableText"/>
              <w:jc w:val="center"/>
              <w:cnfStyle w:val="000000000000"/>
            </w:pPr>
            <w:r w:rsidRPr="00A7237E">
              <w:t>11</w:t>
            </w:r>
          </w:p>
        </w:tc>
        <w:tc>
          <w:tcPr>
            <w:tcW w:w="2394" w:type="dxa"/>
            <w:vAlign w:val="center"/>
          </w:tcPr>
          <w:p w:rsidR="00B675A4" w:rsidRPr="00A7237E" w:rsidRDefault="00B675A4" w:rsidP="00A7237E">
            <w:pPr>
              <w:pStyle w:val="TableText"/>
              <w:jc w:val="center"/>
              <w:cnfStyle w:val="000000000000"/>
            </w:pPr>
            <w:r w:rsidRPr="00A7237E">
              <w:t>11</w:t>
            </w:r>
          </w:p>
        </w:tc>
        <w:tc>
          <w:tcPr>
            <w:tcW w:w="2394" w:type="dxa"/>
            <w:vAlign w:val="center"/>
          </w:tcPr>
          <w:p w:rsidR="00B675A4" w:rsidRPr="00A7237E" w:rsidRDefault="00B675A4" w:rsidP="00A7237E">
            <w:pPr>
              <w:pStyle w:val="TableText"/>
              <w:jc w:val="center"/>
              <w:cnfStyle w:val="000000000000"/>
            </w:pPr>
            <w:r w:rsidRPr="00A7237E">
              <w:t>6</w:t>
            </w:r>
          </w:p>
        </w:tc>
      </w:tr>
      <w:tr w:rsidR="00B675A4" w:rsidRPr="00A7237E" w:rsidTr="00972417">
        <w:trPr>
          <w:cnfStyle w:val="000000100000"/>
        </w:trPr>
        <w:tc>
          <w:tcPr>
            <w:cnfStyle w:val="001000000000"/>
            <w:tcW w:w="2394" w:type="dxa"/>
            <w:tcBorders>
              <w:top w:val="none" w:sz="0" w:space="0" w:color="auto"/>
              <w:left w:val="none" w:sz="0" w:space="0" w:color="auto"/>
              <w:bottom w:val="none" w:sz="0" w:space="0" w:color="auto"/>
            </w:tcBorders>
            <w:hideMark/>
          </w:tcPr>
          <w:p w:rsidR="00B675A4" w:rsidRPr="00A7237E" w:rsidRDefault="00B675A4" w:rsidP="00A7237E">
            <w:pPr>
              <w:pStyle w:val="TableText"/>
              <w:rPr>
                <w:b w:val="0"/>
              </w:rPr>
            </w:pPr>
            <w:r w:rsidRPr="00A7237E">
              <w:rPr>
                <w:b w:val="0"/>
              </w:rPr>
              <w:t>High (&gt;20%)</w:t>
            </w:r>
          </w:p>
        </w:tc>
        <w:tc>
          <w:tcPr>
            <w:tcW w:w="2394" w:type="dxa"/>
            <w:tcBorders>
              <w:top w:val="none" w:sz="0" w:space="0" w:color="auto"/>
              <w:bottom w:val="none" w:sz="0" w:space="0" w:color="auto"/>
            </w:tcBorders>
            <w:vAlign w:val="center"/>
          </w:tcPr>
          <w:p w:rsidR="00B675A4" w:rsidRPr="00A7237E" w:rsidRDefault="00B675A4" w:rsidP="00A7237E">
            <w:pPr>
              <w:pStyle w:val="TableText"/>
              <w:jc w:val="center"/>
              <w:cnfStyle w:val="000000100000"/>
            </w:pPr>
            <w:r w:rsidRPr="00A7237E">
              <w:t>2</w:t>
            </w:r>
          </w:p>
        </w:tc>
        <w:tc>
          <w:tcPr>
            <w:tcW w:w="2394" w:type="dxa"/>
            <w:tcBorders>
              <w:top w:val="none" w:sz="0" w:space="0" w:color="auto"/>
              <w:bottom w:val="none" w:sz="0" w:space="0" w:color="auto"/>
            </w:tcBorders>
            <w:vAlign w:val="center"/>
          </w:tcPr>
          <w:p w:rsidR="00B675A4" w:rsidRPr="00A7237E" w:rsidRDefault="00B675A4" w:rsidP="00A7237E">
            <w:pPr>
              <w:pStyle w:val="TableText"/>
              <w:jc w:val="center"/>
              <w:cnfStyle w:val="000000100000"/>
            </w:pPr>
            <w:r w:rsidRPr="00A7237E">
              <w:t>3</w:t>
            </w:r>
          </w:p>
        </w:tc>
        <w:tc>
          <w:tcPr>
            <w:tcW w:w="2394" w:type="dxa"/>
            <w:tcBorders>
              <w:top w:val="none" w:sz="0" w:space="0" w:color="auto"/>
              <w:bottom w:val="none" w:sz="0" w:space="0" w:color="auto"/>
              <w:right w:val="none" w:sz="0" w:space="0" w:color="auto"/>
            </w:tcBorders>
            <w:vAlign w:val="center"/>
          </w:tcPr>
          <w:p w:rsidR="00B675A4" w:rsidRPr="00A7237E" w:rsidRDefault="00B675A4" w:rsidP="00A7237E">
            <w:pPr>
              <w:pStyle w:val="TableText"/>
              <w:jc w:val="center"/>
              <w:cnfStyle w:val="000000100000"/>
            </w:pPr>
            <w:r w:rsidRPr="00A7237E">
              <w:t>0</w:t>
            </w:r>
          </w:p>
        </w:tc>
      </w:tr>
    </w:tbl>
    <w:p w:rsidR="00E17B0A" w:rsidRDefault="00E17B0A" w:rsidP="00CA759E">
      <w:pPr>
        <w:pStyle w:val="Heading2"/>
      </w:pPr>
      <w:r>
        <w:t>Test Scheduling</w:t>
      </w:r>
    </w:p>
    <w:p w:rsidR="00E17B0A" w:rsidRDefault="00E17B0A" w:rsidP="00CA759E">
      <w:pPr>
        <w:pStyle w:val="BodyText"/>
      </w:pPr>
      <w:r>
        <w:t>Participating districts uniformly talked about the general lack of flexibility in scheduling state-required tests, which must be administered within a period of time mandated by the state. Often</w:t>
      </w:r>
      <w:r w:rsidR="00376FA9">
        <w:t>,</w:t>
      </w:r>
      <w:r>
        <w:t xml:space="preserve"> the decision about the exact dates of testing within the specified window is made by district administrators in consultation with building administrators at each grade span, instructional coaches, and school leadership teams. Other considerations for scheduling state-mandated tests include the following:</w:t>
      </w:r>
    </w:p>
    <w:p w:rsidR="00E17B0A" w:rsidRDefault="00E17B0A" w:rsidP="00CA759E">
      <w:pPr>
        <w:pStyle w:val="Bullet1"/>
      </w:pPr>
      <w:r>
        <w:t>Availability of district and school staff</w:t>
      </w:r>
    </w:p>
    <w:p w:rsidR="00E17B0A" w:rsidRDefault="00E17B0A" w:rsidP="00CA759E">
      <w:pPr>
        <w:pStyle w:val="Bullet1"/>
      </w:pPr>
      <w:r>
        <w:t>Availability of computers</w:t>
      </w:r>
    </w:p>
    <w:p w:rsidR="00E17B0A" w:rsidRDefault="00E17B0A" w:rsidP="00CA759E">
      <w:pPr>
        <w:pStyle w:val="Bullet1"/>
      </w:pPr>
      <w:r>
        <w:t xml:space="preserve">Accommodations for </w:t>
      </w:r>
      <w:r w:rsidR="00376FA9">
        <w:t>ELLs</w:t>
      </w:r>
      <w:r>
        <w:t xml:space="preserve"> and </w:t>
      </w:r>
      <w:r w:rsidR="00376FA9">
        <w:t>SWDs</w:t>
      </w:r>
    </w:p>
    <w:p w:rsidR="00E17B0A" w:rsidRPr="005E7707" w:rsidRDefault="00E17B0A" w:rsidP="00CA759E">
      <w:pPr>
        <w:pStyle w:val="Bullet1"/>
      </w:pPr>
      <w:r>
        <w:t>Academic readiness of students to take the tests</w:t>
      </w:r>
    </w:p>
    <w:p w:rsidR="00E17B0A" w:rsidRDefault="00E17B0A" w:rsidP="00CA759E">
      <w:pPr>
        <w:pStyle w:val="BodyText"/>
      </w:pPr>
      <w:r>
        <w:t>Although district-required tests</w:t>
      </w:r>
      <w:r w:rsidR="00C81105">
        <w:t xml:space="preserve"> are also associated with a window for test</w:t>
      </w:r>
      <w:r w:rsidR="00376FA9">
        <w:t xml:space="preserve"> </w:t>
      </w:r>
      <w:r w:rsidR="00C81105">
        <w:t>taking</w:t>
      </w:r>
      <w:r>
        <w:t xml:space="preserve">, </w:t>
      </w:r>
      <w:r w:rsidR="00853763">
        <w:t xml:space="preserve">administration of these tests </w:t>
      </w:r>
      <w:r w:rsidR="00376FA9">
        <w:t xml:space="preserve">is </w:t>
      </w:r>
      <w:r>
        <w:t xml:space="preserve">perceived as being more flexible by district and school respondents, particularly </w:t>
      </w:r>
      <w:r w:rsidR="00376FA9">
        <w:t xml:space="preserve">so for </w:t>
      </w:r>
      <w:r>
        <w:t>tests that monitor student progress on learning goals or for formative purpose such as informing instruction (less so with benchmarking assessments). This is largely because teachers are often involved in deciding when these district-level assessments are administered in their classrooms, and their decisions are driven by where they are in teaching standardized curricula or units of study. Other considerations for scheduling district-required tests include the following:</w:t>
      </w:r>
    </w:p>
    <w:p w:rsidR="00E17B0A" w:rsidRDefault="00E17B0A" w:rsidP="00CA759E">
      <w:pPr>
        <w:pStyle w:val="Bullet1"/>
      </w:pPr>
      <w:r>
        <w:t>Proximity to other test</w:t>
      </w:r>
      <w:r w:rsidR="00C81105">
        <w:t>s</w:t>
      </w:r>
      <w:r>
        <w:t>, particularly state-mandated tests, and the need to balance instruction and assessment</w:t>
      </w:r>
    </w:p>
    <w:p w:rsidR="00E17B0A" w:rsidRDefault="00E17B0A" w:rsidP="00CA759E">
      <w:pPr>
        <w:pStyle w:val="Bullet1"/>
      </w:pPr>
      <w:r>
        <w:t xml:space="preserve">Academic calendar and where </w:t>
      </w:r>
      <w:r w:rsidR="00376FA9">
        <w:t xml:space="preserve">the </w:t>
      </w:r>
      <w:r>
        <w:t>quarter or semester breaks are</w:t>
      </w:r>
    </w:p>
    <w:p w:rsidR="00E17B0A" w:rsidRDefault="00E17B0A" w:rsidP="00CA759E">
      <w:pPr>
        <w:pStyle w:val="Bullet1"/>
      </w:pPr>
      <w:r>
        <w:t>Curriculum maps developed by the school or district</w:t>
      </w:r>
    </w:p>
    <w:p w:rsidR="00E17B0A" w:rsidRDefault="00E17B0A" w:rsidP="00CA759E">
      <w:pPr>
        <w:pStyle w:val="Bullet1"/>
      </w:pPr>
      <w:r>
        <w:t>Scheduled district or school events</w:t>
      </w:r>
    </w:p>
    <w:p w:rsidR="00E17B0A" w:rsidRDefault="00E17B0A" w:rsidP="00CA759E">
      <w:pPr>
        <w:pStyle w:val="Bullet1"/>
      </w:pPr>
      <w:r>
        <w:t>Timing of tests to effectively monitor student progress/growth</w:t>
      </w:r>
    </w:p>
    <w:p w:rsidR="00E17B0A" w:rsidRDefault="00E17B0A" w:rsidP="00CA759E">
      <w:pPr>
        <w:pStyle w:val="Bullet1"/>
      </w:pPr>
      <w:r>
        <w:t>Availability of school staff</w:t>
      </w:r>
    </w:p>
    <w:p w:rsidR="00831248" w:rsidRPr="00A4757A" w:rsidRDefault="00E17B0A" w:rsidP="00CA759E">
      <w:pPr>
        <w:pStyle w:val="BodyText"/>
        <w:rPr>
          <w:b/>
        </w:rPr>
      </w:pPr>
      <w:r w:rsidRPr="00A4757A">
        <w:t>Among participating Phase 1 districts, those that described a more thoughtful approach to test scheduling (i.e.</w:t>
      </w:r>
      <w:r w:rsidR="00676CB1">
        <w:t>,</w:t>
      </w:r>
      <w:r w:rsidRPr="00A4757A">
        <w:t xml:space="preserve"> took into consideration more of the factors mentioned </w:t>
      </w:r>
      <w:r w:rsidR="006A1460">
        <w:t>in the preceding list</w:t>
      </w:r>
      <w:r w:rsidRPr="00A4757A">
        <w:t>), the majority were either in the medium or high category of MCAS achievement.</w:t>
      </w:r>
    </w:p>
    <w:p w:rsidR="00A4757A" w:rsidRDefault="00A4757A" w:rsidP="00CA759E">
      <w:pPr>
        <w:pStyle w:val="Heading2"/>
      </w:pPr>
      <w:r>
        <w:lastRenderedPageBreak/>
        <w:t>District Support</w:t>
      </w:r>
    </w:p>
    <w:p w:rsidR="00831248" w:rsidRDefault="00831248" w:rsidP="00CA759E">
      <w:pPr>
        <w:pStyle w:val="BodyText"/>
      </w:pPr>
      <w:r>
        <w:t>Based on Phase 1 interview data, d</w:t>
      </w:r>
      <w:r w:rsidRPr="00A30087">
        <w:t>istrict support</w:t>
      </w:r>
      <w:r>
        <w:t xml:space="preserve"> for test preparation and administration as well as </w:t>
      </w:r>
      <w:r w:rsidR="00676CB1">
        <w:t xml:space="preserve">analyses </w:t>
      </w:r>
      <w:r>
        <w:t>of assessment data are generally provided in several common forms that include the following:</w:t>
      </w:r>
    </w:p>
    <w:p w:rsidR="00831248" w:rsidRDefault="00831248" w:rsidP="00CA759E">
      <w:pPr>
        <w:pStyle w:val="Bullet1"/>
      </w:pPr>
      <w:r w:rsidRPr="00D564B1">
        <w:t xml:space="preserve">Training </w:t>
      </w:r>
      <w:r w:rsidR="00C66566">
        <w:t>events</w:t>
      </w:r>
      <w:r>
        <w:t xml:space="preserve"> at the district, regional</w:t>
      </w:r>
      <w:r w:rsidR="00676CB1">
        <w:t>,</w:t>
      </w:r>
      <w:r>
        <w:t xml:space="preserve"> or state level</w:t>
      </w:r>
    </w:p>
    <w:p w:rsidR="00831248" w:rsidRDefault="00831248" w:rsidP="00CA759E">
      <w:pPr>
        <w:pStyle w:val="Bullet1"/>
      </w:pPr>
      <w:r>
        <w:t>Professional learning opportunities within schools or at the district level</w:t>
      </w:r>
    </w:p>
    <w:p w:rsidR="00831248" w:rsidRDefault="00831248" w:rsidP="00CA759E">
      <w:pPr>
        <w:pStyle w:val="Bullet1"/>
      </w:pPr>
      <w:r>
        <w:t>T</w:t>
      </w:r>
      <w:r w:rsidRPr="00D564B1">
        <w:t xml:space="preserve">esting </w:t>
      </w:r>
      <w:r>
        <w:t xml:space="preserve">guidance, manuals, materials, </w:t>
      </w:r>
      <w:r w:rsidRPr="00D564B1">
        <w:t xml:space="preserve">and technology (computers as </w:t>
      </w:r>
      <w:r>
        <w:t>well as specialized data services such as TestWiz)</w:t>
      </w:r>
    </w:p>
    <w:p w:rsidR="00831248" w:rsidRDefault="00831248" w:rsidP="00CA759E">
      <w:pPr>
        <w:pStyle w:val="Bullet1"/>
      </w:pPr>
      <w:r>
        <w:t>A</w:t>
      </w:r>
      <w:r w:rsidRPr="00D564B1">
        <w:t xml:space="preserve">ssessment or data </w:t>
      </w:r>
      <w:r>
        <w:t>expertise (specialist or team)</w:t>
      </w:r>
      <w:r w:rsidRPr="00D564B1">
        <w:t xml:space="preserve"> at the district </w:t>
      </w:r>
      <w:r>
        <w:t>or school level</w:t>
      </w:r>
    </w:p>
    <w:p w:rsidR="00831248" w:rsidRPr="007A0EBF" w:rsidRDefault="00831248" w:rsidP="00CA759E">
      <w:pPr>
        <w:pStyle w:val="BodyText"/>
      </w:pPr>
      <w:r>
        <w:t xml:space="preserve">With the data collected, it is not possible to differentiate districts based on the level of testing support they provide to schools. All </w:t>
      </w:r>
      <w:r w:rsidR="00676CB1">
        <w:t xml:space="preserve">schools </w:t>
      </w:r>
      <w:r>
        <w:t xml:space="preserve">described some combination of the supports listed above, and it was not feasible to discern the effectiveness of the supports provided. </w:t>
      </w:r>
    </w:p>
    <w:p w:rsidR="0013204E" w:rsidRDefault="0013204E" w:rsidP="00CA759E">
      <w:pPr>
        <w:pStyle w:val="Heading2"/>
      </w:pPr>
      <w:r>
        <w:t xml:space="preserve">Maximizing Instructional Time </w:t>
      </w:r>
    </w:p>
    <w:p w:rsidR="0013204E" w:rsidRDefault="0013204E" w:rsidP="00CA759E">
      <w:pPr>
        <w:pStyle w:val="BodyText"/>
      </w:pPr>
      <w:r>
        <w:t xml:space="preserve">In addition to looking at the process of scheduling district and state assessments, the study is also interested in examining the extent to which and how districts maintain or protect instructional time around state-mandated tests. Several factors </w:t>
      </w:r>
      <w:r w:rsidR="001610FA">
        <w:t xml:space="preserve">that could </w:t>
      </w:r>
      <w:r>
        <w:t xml:space="preserve">impact instructional time were </w:t>
      </w:r>
      <w:r w:rsidR="00DD6415">
        <w:t xml:space="preserve">considered </w:t>
      </w:r>
      <w:r>
        <w:t>in Phase 1:</w:t>
      </w:r>
    </w:p>
    <w:p w:rsidR="0013204E" w:rsidRDefault="0013204E" w:rsidP="00CA759E">
      <w:pPr>
        <w:pStyle w:val="NumberedList"/>
      </w:pPr>
      <w:r>
        <w:t>The amount of time districts and schools allot to state testing (within the window set by the state)</w:t>
      </w:r>
    </w:p>
    <w:p w:rsidR="0013204E" w:rsidRDefault="0088761D" w:rsidP="00CA759E">
      <w:pPr>
        <w:pStyle w:val="NumberedList"/>
      </w:pPr>
      <w:r>
        <w:t>The p</w:t>
      </w:r>
      <w:r w:rsidR="0013204E">
        <w:t>reparation time for state tests</w:t>
      </w:r>
    </w:p>
    <w:p w:rsidR="0013204E" w:rsidRDefault="0088761D" w:rsidP="00CA759E">
      <w:pPr>
        <w:pStyle w:val="NumberedList"/>
      </w:pPr>
      <w:r>
        <w:t xml:space="preserve">The use </w:t>
      </w:r>
      <w:r w:rsidR="0013204E">
        <w:t>of student time on testing days before and after testing sessions</w:t>
      </w:r>
    </w:p>
    <w:p w:rsidR="0013204E" w:rsidRDefault="001610FA" w:rsidP="00CA759E">
      <w:pPr>
        <w:pStyle w:val="BodyText"/>
      </w:pPr>
      <w:r>
        <w:t xml:space="preserve">Analyses </w:t>
      </w:r>
      <w:r w:rsidR="0013204E">
        <w:t xml:space="preserve">of Phase 1 interview data on these three </w:t>
      </w:r>
      <w:r w:rsidR="00DD6415">
        <w:t xml:space="preserve">conditions </w:t>
      </w:r>
      <w:r w:rsidR="0013204E">
        <w:t xml:space="preserve">were inconclusive but provided preliminary evidence that some districts may be more attentive to these factors and to protecting instructional time overall. These districts will be studied in greater depth in Phase 2. </w:t>
      </w:r>
    </w:p>
    <w:p w:rsidR="00E17B0A" w:rsidRDefault="00853763" w:rsidP="00CA759E">
      <w:pPr>
        <w:pStyle w:val="Heading1"/>
      </w:pPr>
      <w:r>
        <w:t>Summary</w:t>
      </w:r>
    </w:p>
    <w:p w:rsidR="00853763" w:rsidRPr="00003318" w:rsidRDefault="00853763" w:rsidP="00CA759E">
      <w:pPr>
        <w:pStyle w:val="BodyText"/>
      </w:pPr>
      <w:r w:rsidRPr="00003318">
        <w:t xml:space="preserve">Based on </w:t>
      </w:r>
      <w:r w:rsidR="00C268EE">
        <w:t xml:space="preserve">brief </w:t>
      </w:r>
      <w:r w:rsidRPr="00003318">
        <w:t xml:space="preserve">district- and school-level interviews conducted in a sample of 35 representative districts from across the state, </w:t>
      </w:r>
      <w:r w:rsidR="001610FA">
        <w:t xml:space="preserve">the </w:t>
      </w:r>
      <w:r w:rsidR="00C268EE">
        <w:t xml:space="preserve">findings </w:t>
      </w:r>
      <w:r w:rsidRPr="00003318">
        <w:t>regarding required district assessments and preparation time for state tests</w:t>
      </w:r>
      <w:r w:rsidR="00C268EE">
        <w:t xml:space="preserve"> are presented </w:t>
      </w:r>
      <w:r w:rsidR="001610FA">
        <w:t>next</w:t>
      </w:r>
      <w:r w:rsidRPr="00003318">
        <w:t xml:space="preserve">. </w:t>
      </w:r>
    </w:p>
    <w:p w:rsidR="00853763" w:rsidRPr="00003318" w:rsidRDefault="00C81105" w:rsidP="00CA759E">
      <w:pPr>
        <w:pStyle w:val="Heading2"/>
      </w:pPr>
      <w:r>
        <w:t xml:space="preserve">Required </w:t>
      </w:r>
      <w:r w:rsidR="00853763" w:rsidRPr="00003318">
        <w:t>District Assessments</w:t>
      </w:r>
    </w:p>
    <w:p w:rsidR="00853763" w:rsidRPr="00003318" w:rsidRDefault="00853763" w:rsidP="00CA759E">
      <w:pPr>
        <w:pStyle w:val="BodyText"/>
      </w:pPr>
      <w:r w:rsidRPr="00003318">
        <w:t>Across all participating districts, the average number of assessment required by districts is 6.7, and the average number of district-required testing sessions in the sample is 19.1.</w:t>
      </w:r>
      <w:r w:rsidR="00C81105">
        <w:t xml:space="preserve"> </w:t>
      </w:r>
      <w:r w:rsidRPr="00003318">
        <w:t xml:space="preserve">Districts typically require two to four assessments per grade span per year, and each assessment </w:t>
      </w:r>
      <w:r w:rsidR="0071364D" w:rsidRPr="00003318">
        <w:t xml:space="preserve">will </w:t>
      </w:r>
      <w:r w:rsidR="0071364D">
        <w:t xml:space="preserve">be </w:t>
      </w:r>
      <w:r w:rsidR="0071364D" w:rsidRPr="00003318">
        <w:t>administer</w:t>
      </w:r>
      <w:r w:rsidR="0071364D">
        <w:t>ed</w:t>
      </w:r>
      <w:r w:rsidR="0071364D" w:rsidRPr="00003318">
        <w:t xml:space="preserve"> </w:t>
      </w:r>
      <w:r w:rsidRPr="00003318">
        <w:t>two or three times per year.</w:t>
      </w:r>
      <w:r>
        <w:t xml:space="preserve"> Based on interviews, e</w:t>
      </w:r>
      <w:r w:rsidRPr="00003318">
        <w:t xml:space="preserve">lementary school students are required by their districts to take slightly more assessments than middle school students, and </w:t>
      </w:r>
      <w:r w:rsidRPr="00003318">
        <w:lastRenderedPageBreak/>
        <w:t>middle school students, on average, take more district-required assessments than high school students.</w:t>
      </w:r>
    </w:p>
    <w:p w:rsidR="00853763" w:rsidRPr="00003318" w:rsidRDefault="00853763" w:rsidP="00CA759E">
      <w:pPr>
        <w:pStyle w:val="BodyText"/>
      </w:pPr>
      <w:r w:rsidRPr="00003318">
        <w:t xml:space="preserve">When districts were disaggregated by accountability level, Level 4 districts </w:t>
      </w:r>
      <w:r w:rsidR="0071364D">
        <w:t>seem</w:t>
      </w:r>
      <w:r w:rsidR="0071364D" w:rsidRPr="00003318">
        <w:t xml:space="preserve"> </w:t>
      </w:r>
      <w:r w:rsidRPr="00003318">
        <w:t xml:space="preserve">to require the lowest average number of assessments, </w:t>
      </w:r>
      <w:r w:rsidR="0071364D" w:rsidRPr="00003318">
        <w:t>wh</w:t>
      </w:r>
      <w:r w:rsidR="0071364D">
        <w:t>ereas</w:t>
      </w:r>
      <w:r w:rsidR="0071364D" w:rsidRPr="00003318">
        <w:t xml:space="preserve"> </w:t>
      </w:r>
      <w:r w:rsidRPr="00003318">
        <w:t>Level 2 required the highest. This coincides with findings by MCAS achievement level</w:t>
      </w:r>
      <w:r>
        <w:t>s</w:t>
      </w:r>
      <w:r w:rsidRPr="00003318">
        <w:t>. That is, lower-achieving districts, on aver</w:t>
      </w:r>
      <w:r>
        <w:t>age, require fewer assessments, although s</w:t>
      </w:r>
      <w:r w:rsidRPr="00003318">
        <w:t xml:space="preserve">tudents in districts at the middle level of MCAS achievement </w:t>
      </w:r>
      <w:r>
        <w:t xml:space="preserve">seem to </w:t>
      </w:r>
      <w:r w:rsidRPr="00003318">
        <w:t>experience more testing sessions.</w:t>
      </w:r>
    </w:p>
    <w:p w:rsidR="00853763" w:rsidRDefault="00853763" w:rsidP="00CA759E">
      <w:pPr>
        <w:pStyle w:val="BodyText"/>
      </w:pPr>
      <w:r>
        <w:t xml:space="preserve">When </w:t>
      </w:r>
      <w:r w:rsidR="0071364D">
        <w:t xml:space="preserve">the </w:t>
      </w:r>
      <w:r>
        <w:t>geographic region is taken into consideration, t</w:t>
      </w:r>
      <w:r w:rsidRPr="00003318">
        <w:t>he lowest average number of district-required assessments is found in the Greater Boston region, and the highest average number is in the Northeast region</w:t>
      </w:r>
      <w:r>
        <w:t>. Districts in this region require nearly three times as many assessments as the counterparts in the Greater Boston region</w:t>
      </w:r>
      <w:r w:rsidRPr="00003318">
        <w:t>.</w:t>
      </w:r>
    </w:p>
    <w:p w:rsidR="00853763" w:rsidRDefault="00853763" w:rsidP="00CA759E">
      <w:pPr>
        <w:pStyle w:val="BodyText"/>
      </w:pPr>
      <w:r>
        <w:t xml:space="preserve">Participating districts also reported that students spend virtually no time preparing for or practicing district-required assessments as such testing is generally integrated into instruction and curricula. </w:t>
      </w:r>
    </w:p>
    <w:p w:rsidR="00853763" w:rsidRDefault="00C81105" w:rsidP="00CA759E">
      <w:pPr>
        <w:pStyle w:val="Heading2"/>
      </w:pPr>
      <w:r>
        <w:t xml:space="preserve">Preparation for </w:t>
      </w:r>
      <w:r w:rsidR="00853763">
        <w:t>State Assessments</w:t>
      </w:r>
    </w:p>
    <w:p w:rsidR="00161F4D" w:rsidRDefault="00853763" w:rsidP="00CA759E">
      <w:pPr>
        <w:pStyle w:val="BodyText"/>
      </w:pPr>
      <w:r>
        <w:t xml:space="preserve">Districts and school respondents were asked how much time is devoted to preparing students to take state-mandated assessments. </w:t>
      </w:r>
      <w:r w:rsidR="00D668AC">
        <w:t>Most</w:t>
      </w:r>
      <w:r>
        <w:t xml:space="preserve"> districts fell in the low or medium range (up to five days of preparation time). Highlights from th</w:t>
      </w:r>
      <w:r w:rsidR="00C81105">
        <w:t>e</w:t>
      </w:r>
      <w:r>
        <w:t>s</w:t>
      </w:r>
      <w:r w:rsidR="00C81105">
        <w:t>e</w:t>
      </w:r>
      <w:r>
        <w:t xml:space="preserve"> data include:</w:t>
      </w:r>
    </w:p>
    <w:p w:rsidR="00161F4D" w:rsidRPr="00CA759E" w:rsidRDefault="00D668AC" w:rsidP="00CA759E">
      <w:pPr>
        <w:pStyle w:val="Bullet1"/>
      </w:pPr>
      <w:r>
        <w:t>Most</w:t>
      </w:r>
      <w:r w:rsidR="00EF659D" w:rsidRPr="00CA759E">
        <w:t xml:space="preserve"> Level 1 districts spend no more than two days preparing for state tests, while districts in Level 2 and Level 3 were more spread out, with many allocating 2</w:t>
      </w:r>
      <w:r w:rsidR="00B0378C">
        <w:t>–</w:t>
      </w:r>
      <w:r w:rsidR="00EF659D" w:rsidRPr="00CA759E">
        <w:t>5</w:t>
      </w:r>
      <w:r w:rsidR="00B0378C">
        <w:t> </w:t>
      </w:r>
      <w:r w:rsidR="00EF659D" w:rsidRPr="00CA759E">
        <w:t>days on average preparing their students for state tests.</w:t>
      </w:r>
    </w:p>
    <w:p w:rsidR="00853763" w:rsidRPr="00CA759E" w:rsidRDefault="00D668AC" w:rsidP="00CA759E">
      <w:pPr>
        <w:pStyle w:val="Bullet1"/>
      </w:pPr>
      <w:r>
        <w:t>Most</w:t>
      </w:r>
      <w:r w:rsidR="00853763" w:rsidRPr="00CA759E">
        <w:t xml:space="preserve"> districts in the Greater Boston region do not spend more than two days preparing their students for state tests, </w:t>
      </w:r>
      <w:r>
        <w:t>whereas</w:t>
      </w:r>
      <w:r w:rsidRPr="00CA759E">
        <w:t xml:space="preserve"> </w:t>
      </w:r>
      <w:r w:rsidR="00853763" w:rsidRPr="00CA759E">
        <w:t>districts in other regions were more varied. Districts in the Central region were more likely to be in the medium-high range</w:t>
      </w:r>
      <w:r w:rsidR="00EF659D" w:rsidRPr="00CA759E">
        <w:t xml:space="preserve"> of test preparation</w:t>
      </w:r>
      <w:r w:rsidR="00853763" w:rsidRPr="00CA759E">
        <w:t xml:space="preserve">, and districts in the Northwest and Southeast regions were in the low-medium range. </w:t>
      </w:r>
    </w:p>
    <w:p w:rsidR="00EF659D" w:rsidRPr="00CA759E" w:rsidRDefault="00EF659D" w:rsidP="00CA759E">
      <w:pPr>
        <w:pStyle w:val="Bullet1"/>
      </w:pPr>
      <w:r w:rsidRPr="00CA759E">
        <w:t>Urban and nonurban districts are equally likely to spend low, medium</w:t>
      </w:r>
      <w:r w:rsidR="00D668AC">
        <w:t>,</w:t>
      </w:r>
      <w:r w:rsidRPr="00CA759E">
        <w:t xml:space="preserve"> or high amounts of time on test preparation</w:t>
      </w:r>
    </w:p>
    <w:p w:rsidR="00853763" w:rsidRPr="00CA759E" w:rsidRDefault="00853763" w:rsidP="00CA759E">
      <w:pPr>
        <w:pStyle w:val="Bullet1"/>
      </w:pPr>
      <w:r w:rsidRPr="00CA759E">
        <w:t>Traditional districts, on average, spend more time preparing their students for statewide testing than charter districts.</w:t>
      </w:r>
    </w:p>
    <w:p w:rsidR="00EF659D" w:rsidRPr="00CA759E" w:rsidRDefault="00B37DE4" w:rsidP="00CA759E">
      <w:pPr>
        <w:pStyle w:val="Bullet1"/>
      </w:pPr>
      <w:r w:rsidRPr="00CA759E">
        <w:t>D</w:t>
      </w:r>
      <w:r w:rsidR="00EF659D" w:rsidRPr="00CA759E">
        <w:t xml:space="preserve">istricts ranked high in MCAS </w:t>
      </w:r>
      <w:r w:rsidRPr="00CA759E">
        <w:t>achievement</w:t>
      </w:r>
      <w:r w:rsidR="00EF659D" w:rsidRPr="00CA759E">
        <w:t xml:space="preserve"> tend to spend low</w:t>
      </w:r>
      <w:r w:rsidRPr="00CA759E">
        <w:t>er</w:t>
      </w:r>
      <w:r w:rsidR="00EF659D" w:rsidRPr="00CA759E">
        <w:t xml:space="preserve"> amounts of time preparing for state tests</w:t>
      </w:r>
      <w:r w:rsidRPr="00CA759E">
        <w:t xml:space="preserve">. </w:t>
      </w:r>
      <w:r w:rsidR="00686838" w:rsidRPr="00CA759E">
        <w:t>D</w:t>
      </w:r>
      <w:r w:rsidRPr="00CA759E">
        <w:t xml:space="preserve">istricts </w:t>
      </w:r>
      <w:r w:rsidR="00686838" w:rsidRPr="00CA759E">
        <w:t xml:space="preserve">in the low and medium categories of MCAS achievement </w:t>
      </w:r>
      <w:r w:rsidRPr="00CA759E">
        <w:t>were more spread out, with m</w:t>
      </w:r>
      <w:r w:rsidR="00EF659D" w:rsidRPr="00CA759E">
        <w:t>edium-</w:t>
      </w:r>
      <w:r w:rsidRPr="00CA759E">
        <w:t>achievement</w:t>
      </w:r>
      <w:r w:rsidR="00EF659D" w:rsidRPr="00CA759E">
        <w:t xml:space="preserve"> districts distributed more heavily on the low end of preparation time, and districts ranked low in MCAS </w:t>
      </w:r>
      <w:r w:rsidRPr="00CA759E">
        <w:t>achievement</w:t>
      </w:r>
      <w:r w:rsidR="00EF659D" w:rsidRPr="00CA759E">
        <w:t xml:space="preserve"> </w:t>
      </w:r>
      <w:r w:rsidRPr="00CA759E">
        <w:t>more like</w:t>
      </w:r>
      <w:r w:rsidR="00520E2F">
        <w:t>ly</w:t>
      </w:r>
      <w:r w:rsidRPr="00CA759E">
        <w:t xml:space="preserve"> to be in the medium to high range</w:t>
      </w:r>
      <w:r w:rsidR="00EF659D" w:rsidRPr="00CA759E">
        <w:t xml:space="preserve">. </w:t>
      </w:r>
    </w:p>
    <w:p w:rsidR="00520E2F" w:rsidRDefault="00520E2F">
      <w:pPr>
        <w:rPr>
          <w:rFonts w:asciiTheme="majorHAnsi" w:eastAsiaTheme="majorEastAsia" w:hAnsiTheme="majorHAnsi" w:cstheme="majorBidi"/>
          <w:b/>
          <w:bCs/>
          <w:sz w:val="28"/>
          <w:szCs w:val="26"/>
        </w:rPr>
      </w:pPr>
      <w:r>
        <w:br w:type="page"/>
      </w:r>
    </w:p>
    <w:p w:rsidR="00853763" w:rsidRPr="00A4757A" w:rsidRDefault="00C268EE" w:rsidP="00CA759E">
      <w:pPr>
        <w:pStyle w:val="Heading2"/>
      </w:pPr>
      <w:r>
        <w:lastRenderedPageBreak/>
        <w:t>Test Scheduling</w:t>
      </w:r>
    </w:p>
    <w:p w:rsidR="00853763" w:rsidRDefault="00853763" w:rsidP="00CA759E">
      <w:pPr>
        <w:pStyle w:val="BodyText"/>
      </w:pPr>
      <w:r>
        <w:t>Participating districts uniformly talked about the general lack of flexibility in scheduling state-required tests, which must be administered within a period of time mandated by the state. Often</w:t>
      </w:r>
      <w:r w:rsidR="00D668AC">
        <w:t>,</w:t>
      </w:r>
      <w:r>
        <w:t xml:space="preserve"> the decision about the exact dates of testing within the specified window is made by district administrators in consultation with school leaders at each grade span.</w:t>
      </w:r>
    </w:p>
    <w:p w:rsidR="00853763" w:rsidRPr="00E406E7" w:rsidRDefault="00853763" w:rsidP="00CA759E">
      <w:pPr>
        <w:pStyle w:val="BodyText"/>
      </w:pPr>
      <w:r>
        <w:t>Although a window for test</w:t>
      </w:r>
      <w:r w:rsidR="00D668AC">
        <w:t xml:space="preserve"> </w:t>
      </w:r>
      <w:r>
        <w:t xml:space="preserve">taking is also associated with many district-required tests, </w:t>
      </w:r>
      <w:r w:rsidR="00D668AC">
        <w:t xml:space="preserve">the </w:t>
      </w:r>
      <w:r w:rsidR="00857639">
        <w:t xml:space="preserve">administration of </w:t>
      </w:r>
      <w:r w:rsidR="00857639" w:rsidRPr="00A4757A">
        <w:t>t</w:t>
      </w:r>
      <w:r w:rsidR="00857639">
        <w:t>hese tests is</w:t>
      </w:r>
      <w:r>
        <w:t xml:space="preserve"> perceived as being more flexible by district and school respondents. This is largely because teachers are often involved in deciding when these district-level assessments are administered in their classrooms, and their decisions are driven by where they are in core concepts or units of study.</w:t>
      </w:r>
    </w:p>
    <w:p w:rsidR="00C268EE" w:rsidRDefault="00C268EE" w:rsidP="00CA759E">
      <w:pPr>
        <w:pStyle w:val="Heading2"/>
      </w:pPr>
      <w:r>
        <w:t xml:space="preserve">District Support </w:t>
      </w:r>
    </w:p>
    <w:p w:rsidR="00B16829" w:rsidRDefault="00C268EE" w:rsidP="00CA759E">
      <w:pPr>
        <w:pStyle w:val="BodyText"/>
      </w:pPr>
      <w:r>
        <w:t>D</w:t>
      </w:r>
      <w:r w:rsidRPr="00A30087">
        <w:t>istrict support</w:t>
      </w:r>
      <w:r>
        <w:t xml:space="preserve"> for test preparation</w:t>
      </w:r>
      <w:r w:rsidR="00193D15">
        <w:t>,</w:t>
      </w:r>
      <w:r>
        <w:t xml:space="preserve"> </w:t>
      </w:r>
      <w:r w:rsidR="00193D15">
        <w:t>test</w:t>
      </w:r>
      <w:r>
        <w:t xml:space="preserve"> administration</w:t>
      </w:r>
      <w:r w:rsidR="00193D15">
        <w:t>,</w:t>
      </w:r>
      <w:r>
        <w:t xml:space="preserve"> </w:t>
      </w:r>
      <w:r w:rsidR="00193D15">
        <w:t>and</w:t>
      </w:r>
      <w:r>
        <w:t xml:space="preserve"> analysis of assessment data </w:t>
      </w:r>
      <w:r w:rsidR="00193D15">
        <w:t xml:space="preserve">is </w:t>
      </w:r>
      <w:r>
        <w:t xml:space="preserve">generally provided through </w:t>
      </w:r>
      <w:r w:rsidR="00C66566">
        <w:t xml:space="preserve">opportunities to attend structured </w:t>
      </w:r>
      <w:r>
        <w:t>t</w:t>
      </w:r>
      <w:r w:rsidRPr="00D564B1">
        <w:t xml:space="preserve">raining </w:t>
      </w:r>
      <w:r w:rsidR="00C66566">
        <w:t>events</w:t>
      </w:r>
      <w:r>
        <w:t xml:space="preserve"> at the district, regional or state level; </w:t>
      </w:r>
      <w:r w:rsidR="00C66566">
        <w:t xml:space="preserve">funding for </w:t>
      </w:r>
      <w:r>
        <w:t>p</w:t>
      </w:r>
      <w:r w:rsidR="00C66566">
        <w:t>r</w:t>
      </w:r>
      <w:r>
        <w:t>ofessional learning within schools or at the district level</w:t>
      </w:r>
      <w:r w:rsidR="00C66566">
        <w:t>; t</w:t>
      </w:r>
      <w:r w:rsidRPr="00D564B1">
        <w:t xml:space="preserve">esting </w:t>
      </w:r>
      <w:r>
        <w:t xml:space="preserve">guidance, manuals, materials, </w:t>
      </w:r>
      <w:r w:rsidR="00C66566">
        <w:t>and technology; and a</w:t>
      </w:r>
      <w:r w:rsidRPr="00D564B1">
        <w:t xml:space="preserve">ssessment or data </w:t>
      </w:r>
      <w:r>
        <w:t xml:space="preserve">expertise </w:t>
      </w:r>
      <w:r w:rsidRPr="00D564B1">
        <w:t xml:space="preserve">at the district </w:t>
      </w:r>
      <w:r>
        <w:t>or school level</w:t>
      </w:r>
      <w:r w:rsidR="00C66566">
        <w:t xml:space="preserve">. </w:t>
      </w:r>
    </w:p>
    <w:p w:rsidR="00DD6415" w:rsidRDefault="00DD6415" w:rsidP="00CA759E">
      <w:pPr>
        <w:pStyle w:val="Heading2"/>
      </w:pPr>
      <w:r>
        <w:t>Phase 2</w:t>
      </w:r>
    </w:p>
    <w:p w:rsidR="00DD6415" w:rsidRPr="00734F68" w:rsidRDefault="00DD6415" w:rsidP="00CA759E">
      <w:pPr>
        <w:pStyle w:val="BodyText"/>
      </w:pPr>
      <w:r w:rsidRPr="00734F68">
        <w:t>The information collected in Phase 1 will inform the selection of a smaller sample of districts for Phase 2</w:t>
      </w:r>
      <w:r w:rsidR="00734F68">
        <w:t>, which entails a closer examination of</w:t>
      </w:r>
      <w:r w:rsidR="00734F68" w:rsidRPr="00734F68">
        <w:t xml:space="preserve"> </w:t>
      </w:r>
      <w:r w:rsidR="00734F68">
        <w:t>each district’s assessment program and practices</w:t>
      </w:r>
      <w:r w:rsidR="00734F68" w:rsidRPr="00734F68">
        <w:t xml:space="preserve">. </w:t>
      </w:r>
      <w:r w:rsidR="00734F68">
        <w:t>Phase 2</w:t>
      </w:r>
      <w:r w:rsidR="00734F68" w:rsidRPr="00734F68">
        <w:t xml:space="preserve"> also provides a chance for participating districts to reflect on </w:t>
      </w:r>
      <w:r w:rsidR="00734F68">
        <w:t xml:space="preserve">the strengths and weaknesses of </w:t>
      </w:r>
      <w:r w:rsidR="00734F68" w:rsidRPr="00734F68">
        <w:t xml:space="preserve">their </w:t>
      </w:r>
      <w:r w:rsidR="00734F68">
        <w:t xml:space="preserve">required </w:t>
      </w:r>
      <w:r w:rsidR="00734F68" w:rsidRPr="00734F68">
        <w:t xml:space="preserve">assessments </w:t>
      </w:r>
      <w:r w:rsidR="00734F68" w:rsidRPr="00E40169">
        <w:t>and to share promising practices or strategies related to the preparation for and timing of state and local assessments so that instructional time is not compromised.</w:t>
      </w:r>
    </w:p>
    <w:sectPr w:rsidR="00DD6415" w:rsidRPr="00734F68" w:rsidSect="00711005">
      <w:footerReference w:type="default" r:id="rId17"/>
      <w:headerReference w:type="first" r:id="rId18"/>
      <w:footerReference w:type="first" r:id="rId19"/>
      <w:pgSz w:w="12240" w:h="15840"/>
      <w:pgMar w:top="1440" w:right="1440" w:bottom="1440" w:left="144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19" w:rsidRDefault="00D42619" w:rsidP="009813D0">
      <w:r>
        <w:separator/>
      </w:r>
    </w:p>
  </w:endnote>
  <w:endnote w:type="continuationSeparator" w:id="0">
    <w:p w:rsidR="00D42619" w:rsidRDefault="00D42619" w:rsidP="00981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3B" w:rsidRPr="00C62189" w:rsidRDefault="0010703B" w:rsidP="00B26677">
    <w:pPr>
      <w:pStyle w:val="Footer"/>
    </w:pPr>
    <w:r w:rsidRPr="00FF4603">
      <w:t>American Institutes for Research</w:t>
    </w:r>
    <w:r>
      <w:t xml:space="preserve"> </w:t>
    </w:r>
    <w:r>
      <w:ptab w:relativeTo="margin" w:alignment="right" w:leader="none"/>
    </w:r>
    <w:r w:rsidRPr="00B0378C">
      <w:t>M</w:t>
    </w:r>
    <w:r>
      <w:t>assachusetts</w:t>
    </w:r>
    <w:r w:rsidRPr="00B0378C">
      <w:t xml:space="preserve"> Study on Assessment Practices in Districts</w:t>
    </w:r>
    <w:r w:rsidRPr="00C62189">
      <w:t>—</w:t>
    </w:r>
    <w:r w:rsidR="00E000F7" w:rsidRPr="00C62189">
      <w:fldChar w:fldCharType="begin"/>
    </w:r>
    <w:r w:rsidRPr="00C62189">
      <w:instrText xml:space="preserve"> PAGE   \* MERGEFORMAT </w:instrText>
    </w:r>
    <w:r w:rsidR="00E000F7" w:rsidRPr="00C62189">
      <w:fldChar w:fldCharType="separate"/>
    </w:r>
    <w:r w:rsidR="00C6271E">
      <w:rPr>
        <w:noProof/>
      </w:rPr>
      <w:t>14</w:t>
    </w:r>
    <w:r w:rsidR="00E000F7" w:rsidRPr="00C62189">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3B" w:rsidRPr="009A2F1E" w:rsidRDefault="0010703B" w:rsidP="009A2F1E">
    <w:pPr>
      <w:pStyle w:val="Footer"/>
      <w:tabs>
        <w:tab w:val="clear" w:pos="4680"/>
        <w:tab w:val="clear" w:pos="9360"/>
      </w:tabs>
    </w:pPr>
    <w:r w:rsidRPr="00A04610">
      <w:t xml:space="preserve">Copyright © </w:t>
    </w:r>
    <w:r>
      <w:t>2015</w:t>
    </w:r>
    <w:r w:rsidRPr="00A04610">
      <w:t xml:space="preserve"> American Institutes for Research.</w:t>
    </w:r>
    <w:r w:rsidRPr="009A2F1E">
      <w:t xml:space="preserve"> </w:t>
    </w:r>
    <w:r>
      <w:ptab w:relativeTo="margin" w:alignment="right" w:leader="none"/>
    </w:r>
    <w:r w:rsidRPr="00B0378C">
      <w:t>M</w:t>
    </w:r>
    <w:r>
      <w:t>assachusetts</w:t>
    </w:r>
    <w:r w:rsidRPr="00B0378C">
      <w:t xml:space="preserve"> Study on Assessment Practices in Districts</w:t>
    </w:r>
    <w:r w:rsidRPr="009A2F1E">
      <w:t>—</w:t>
    </w:r>
    <w:r w:rsidR="00E000F7" w:rsidRPr="009A2F1E">
      <w:fldChar w:fldCharType="begin"/>
    </w:r>
    <w:r w:rsidRPr="009A2F1E">
      <w:instrText xml:space="preserve"> PAGE   \* MERGEFORMAT </w:instrText>
    </w:r>
    <w:r w:rsidR="00E000F7" w:rsidRPr="009A2F1E">
      <w:fldChar w:fldCharType="separate"/>
    </w:r>
    <w:r w:rsidR="00C6271E">
      <w:rPr>
        <w:noProof/>
      </w:rPr>
      <w:t>1</w:t>
    </w:r>
    <w:r w:rsidR="00E000F7" w:rsidRPr="009A2F1E">
      <w:fldChar w:fldCharType="end"/>
    </w:r>
  </w:p>
  <w:p w:rsidR="0010703B" w:rsidRPr="009A2F1E" w:rsidRDefault="0010703B" w:rsidP="00A04610">
    <w:pPr>
      <w:pStyle w:val="CoverPubID"/>
      <w:jc w:val="left"/>
    </w:pPr>
    <w:r w:rsidRPr="00A04610">
      <w:rPr>
        <w:rStyle w:val="FooterChar"/>
      </w:rPr>
      <w:t>All rights reserved.</w:t>
    </w:r>
    <w:r>
      <w:ptab w:relativeTo="margin" w:alignment="right" w:leader="none"/>
    </w:r>
    <w:r>
      <w:t>1734</w:t>
    </w:r>
    <w:r w:rsidRPr="00190DF8">
      <w:t>_</w:t>
    </w:r>
    <w:r>
      <w:t>03</w:t>
    </w:r>
    <w:r w:rsidRPr="00190DF8">
      <w:t>/</w:t>
    </w:r>
    <w: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19" w:rsidRDefault="00D42619" w:rsidP="009813D0">
      <w:r>
        <w:separator/>
      </w:r>
    </w:p>
  </w:footnote>
  <w:footnote w:type="continuationSeparator" w:id="0">
    <w:p w:rsidR="00D42619" w:rsidRDefault="00D42619" w:rsidP="00981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3B" w:rsidRPr="00D745CF" w:rsidRDefault="0010703B" w:rsidP="00F157A5">
    <w:pPr>
      <w:pStyle w:val="Header"/>
      <w:spacing w:before="1500"/>
    </w:pPr>
    <w:r>
      <w:rPr>
        <w:noProof/>
        <w:lang w:eastAsia="zh-CN" w:bidi="km-KH"/>
      </w:rPr>
      <w:drawing>
        <wp:anchor distT="0" distB="0" distL="114300" distR="114300" simplePos="0" relativeHeight="251659264" behindDoc="1" locked="0" layoutInCell="1" allowOverlap="1">
          <wp:simplePos x="0" y="0"/>
          <wp:positionH relativeFrom="column">
            <wp:posOffset>-914400</wp:posOffset>
          </wp:positionH>
          <wp:positionV relativeFrom="paragraph">
            <wp:posOffset>-228600</wp:posOffset>
          </wp:positionV>
          <wp:extent cx="7772400" cy="1148080"/>
          <wp:effectExtent l="19050" t="0" r="0" b="0"/>
          <wp:wrapNone/>
          <wp:docPr id="1" name="Picture 1" descr="American Institutes for Research (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iting\__2013\_Editing Procedures\2013 Word and PPT Templates\AIR Corporate Templates\Graphics\AIR Word Header_Portrait.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1480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B587398"/>
    <w:lvl w:ilvl="0">
      <w:start w:val="1"/>
      <w:numFmt w:val="bullet"/>
      <w:lvlText w:val="o"/>
      <w:lvlJc w:val="left"/>
      <w:pPr>
        <w:ind w:left="1080" w:hanging="360"/>
      </w:pPr>
      <w:rPr>
        <w:rFonts w:ascii="Courier New" w:hAnsi="Courier New" w:hint="default"/>
        <w:color w:val="000000" w:themeColor="text1"/>
      </w:rPr>
    </w:lvl>
  </w:abstractNum>
  <w:abstractNum w:abstractNumId="7">
    <w:nsid w:val="FFFFFF83"/>
    <w:multiLevelType w:val="singleLevel"/>
    <w:tmpl w:val="B53EB310"/>
    <w:lvl w:ilvl="0">
      <w:start w:val="1"/>
      <w:numFmt w:val="bullet"/>
      <w:lvlText w:val=""/>
      <w:lvlJc w:val="left"/>
      <w:pPr>
        <w:ind w:left="720" w:hanging="360"/>
      </w:pPr>
      <w:rPr>
        <w:rFonts w:ascii="Wingdings" w:hAnsi="Wingdings" w:hint="default"/>
        <w:b w:val="0"/>
        <w:i w:val="0"/>
        <w:color w:val="000000" w:themeColor="text1"/>
        <w:sz w:val="16"/>
      </w:rPr>
    </w:lvl>
  </w:abstractNum>
  <w:abstractNum w:abstractNumId="8">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02A930"/>
    <w:lvl w:ilvl="0">
      <w:start w:val="1"/>
      <w:numFmt w:val="bullet"/>
      <w:lvlText w:val=""/>
      <w:lvlJc w:val="left"/>
      <w:pPr>
        <w:tabs>
          <w:tab w:val="num" w:pos="360"/>
        </w:tabs>
        <w:ind w:left="360" w:hanging="360"/>
      </w:pPr>
      <w:rPr>
        <w:rFonts w:ascii="Symbol" w:hAnsi="Symbol" w:hint="default"/>
      </w:rPr>
    </w:lvl>
  </w:abstractNum>
  <w:abstractNum w:abstractNumId="10">
    <w:nsid w:val="023E22AD"/>
    <w:multiLevelType w:val="hybridMultilevel"/>
    <w:tmpl w:val="9B406310"/>
    <w:lvl w:ilvl="0" w:tplc="7090A0BA">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857FB7"/>
    <w:multiLevelType w:val="hybridMultilevel"/>
    <w:tmpl w:val="AFE436C8"/>
    <w:lvl w:ilvl="0" w:tplc="D0D03F4E">
      <w:start w:val="1"/>
      <w:numFmt w:val="bullet"/>
      <w:lvlText w:val=""/>
      <w:lvlJc w:val="left"/>
      <w:pPr>
        <w:tabs>
          <w:tab w:val="num" w:pos="720"/>
        </w:tabs>
        <w:ind w:left="720" w:hanging="360"/>
      </w:pPr>
      <w:rPr>
        <w:rFonts w:ascii="Symbol" w:hAnsi="Symbol" w:hint="default"/>
      </w:rPr>
    </w:lvl>
    <w:lvl w:ilvl="1" w:tplc="F906EF52">
      <w:start w:val="1"/>
      <w:numFmt w:val="bullet"/>
      <w:lvlText w:val="o"/>
      <w:lvlJc w:val="left"/>
      <w:pPr>
        <w:tabs>
          <w:tab w:val="num" w:pos="1440"/>
        </w:tabs>
        <w:ind w:left="1440" w:hanging="360"/>
      </w:pPr>
      <w:rPr>
        <w:rFonts w:ascii="Courier New" w:hAnsi="Courier New" w:cs="Wingdings" w:hint="default"/>
      </w:rPr>
    </w:lvl>
    <w:lvl w:ilvl="2" w:tplc="AFB41672" w:tentative="1">
      <w:start w:val="1"/>
      <w:numFmt w:val="bullet"/>
      <w:lvlText w:val=""/>
      <w:lvlJc w:val="left"/>
      <w:pPr>
        <w:tabs>
          <w:tab w:val="num" w:pos="2160"/>
        </w:tabs>
        <w:ind w:left="2160" w:hanging="360"/>
      </w:pPr>
      <w:rPr>
        <w:rFonts w:ascii="Wingdings" w:hAnsi="Wingdings" w:hint="default"/>
      </w:rPr>
    </w:lvl>
    <w:lvl w:ilvl="3" w:tplc="68367F52" w:tentative="1">
      <w:start w:val="1"/>
      <w:numFmt w:val="bullet"/>
      <w:lvlText w:val=""/>
      <w:lvlJc w:val="left"/>
      <w:pPr>
        <w:tabs>
          <w:tab w:val="num" w:pos="2880"/>
        </w:tabs>
        <w:ind w:left="2880" w:hanging="360"/>
      </w:pPr>
      <w:rPr>
        <w:rFonts w:ascii="Symbol" w:hAnsi="Symbol" w:hint="default"/>
      </w:rPr>
    </w:lvl>
    <w:lvl w:ilvl="4" w:tplc="10561912" w:tentative="1">
      <w:start w:val="1"/>
      <w:numFmt w:val="bullet"/>
      <w:lvlText w:val="o"/>
      <w:lvlJc w:val="left"/>
      <w:pPr>
        <w:tabs>
          <w:tab w:val="num" w:pos="3600"/>
        </w:tabs>
        <w:ind w:left="3600" w:hanging="360"/>
      </w:pPr>
      <w:rPr>
        <w:rFonts w:ascii="Courier New" w:hAnsi="Courier New" w:cs="Wingdings" w:hint="default"/>
      </w:rPr>
    </w:lvl>
    <w:lvl w:ilvl="5" w:tplc="1FD8E9D4" w:tentative="1">
      <w:start w:val="1"/>
      <w:numFmt w:val="bullet"/>
      <w:lvlText w:val=""/>
      <w:lvlJc w:val="left"/>
      <w:pPr>
        <w:tabs>
          <w:tab w:val="num" w:pos="4320"/>
        </w:tabs>
        <w:ind w:left="4320" w:hanging="360"/>
      </w:pPr>
      <w:rPr>
        <w:rFonts w:ascii="Wingdings" w:hAnsi="Wingdings" w:hint="default"/>
      </w:rPr>
    </w:lvl>
    <w:lvl w:ilvl="6" w:tplc="E6A86DCA" w:tentative="1">
      <w:start w:val="1"/>
      <w:numFmt w:val="bullet"/>
      <w:lvlText w:val=""/>
      <w:lvlJc w:val="left"/>
      <w:pPr>
        <w:tabs>
          <w:tab w:val="num" w:pos="5040"/>
        </w:tabs>
        <w:ind w:left="5040" w:hanging="360"/>
      </w:pPr>
      <w:rPr>
        <w:rFonts w:ascii="Symbol" w:hAnsi="Symbol" w:hint="default"/>
      </w:rPr>
    </w:lvl>
    <w:lvl w:ilvl="7" w:tplc="4808B53C" w:tentative="1">
      <w:start w:val="1"/>
      <w:numFmt w:val="bullet"/>
      <w:lvlText w:val="o"/>
      <w:lvlJc w:val="left"/>
      <w:pPr>
        <w:tabs>
          <w:tab w:val="num" w:pos="5760"/>
        </w:tabs>
        <w:ind w:left="5760" w:hanging="360"/>
      </w:pPr>
      <w:rPr>
        <w:rFonts w:ascii="Courier New" w:hAnsi="Courier New" w:cs="Wingdings" w:hint="default"/>
      </w:rPr>
    </w:lvl>
    <w:lvl w:ilvl="8" w:tplc="4F7A9212" w:tentative="1">
      <w:start w:val="1"/>
      <w:numFmt w:val="bullet"/>
      <w:lvlText w:val=""/>
      <w:lvlJc w:val="left"/>
      <w:pPr>
        <w:tabs>
          <w:tab w:val="num" w:pos="6480"/>
        </w:tabs>
        <w:ind w:left="6480" w:hanging="360"/>
      </w:pPr>
      <w:rPr>
        <w:rFonts w:ascii="Wingdings" w:hAnsi="Wingdings" w:hint="default"/>
      </w:rPr>
    </w:lvl>
  </w:abstractNum>
  <w:abstractNum w:abstractNumId="12">
    <w:nsid w:val="073A5E37"/>
    <w:multiLevelType w:val="hybridMultilevel"/>
    <w:tmpl w:val="4508A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B4C07EE"/>
    <w:multiLevelType w:val="hybridMultilevel"/>
    <w:tmpl w:val="C88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8E1EEF"/>
    <w:multiLevelType w:val="hybridMultilevel"/>
    <w:tmpl w:val="CDF4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075AF6"/>
    <w:multiLevelType w:val="hybridMultilevel"/>
    <w:tmpl w:val="9694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C043FF"/>
    <w:multiLevelType w:val="hybridMultilevel"/>
    <w:tmpl w:val="9452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C42C7F"/>
    <w:multiLevelType w:val="hybridMultilevel"/>
    <w:tmpl w:val="F19A2B3E"/>
    <w:lvl w:ilvl="0" w:tplc="6A36304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1E4B65"/>
    <w:multiLevelType w:val="hybridMultilevel"/>
    <w:tmpl w:val="041E67BA"/>
    <w:lvl w:ilvl="0" w:tplc="CA7C9C74">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A4914"/>
    <w:multiLevelType w:val="hybridMultilevel"/>
    <w:tmpl w:val="B1BAD9A6"/>
    <w:lvl w:ilvl="0" w:tplc="BFB0419A">
      <w:start w:val="1"/>
      <w:numFmt w:val="bullet"/>
      <w:lvlText w:val=""/>
      <w:lvlJc w:val="left"/>
      <w:pPr>
        <w:tabs>
          <w:tab w:val="num" w:pos="1080"/>
        </w:tabs>
        <w:ind w:left="1080" w:hanging="360"/>
      </w:pPr>
      <w:rPr>
        <w:rFonts w:ascii="Symbol" w:hAnsi="Symbol" w:hint="default"/>
      </w:rPr>
    </w:lvl>
    <w:lvl w:ilvl="1" w:tplc="0194EE9E" w:tentative="1">
      <w:start w:val="1"/>
      <w:numFmt w:val="bullet"/>
      <w:lvlText w:val="o"/>
      <w:lvlJc w:val="left"/>
      <w:pPr>
        <w:tabs>
          <w:tab w:val="num" w:pos="1440"/>
        </w:tabs>
        <w:ind w:left="1440" w:hanging="360"/>
      </w:pPr>
      <w:rPr>
        <w:rFonts w:ascii="Courier New" w:hAnsi="Courier New" w:cs="Wingdings" w:hint="default"/>
      </w:rPr>
    </w:lvl>
    <w:lvl w:ilvl="2" w:tplc="E7B0E96A" w:tentative="1">
      <w:start w:val="1"/>
      <w:numFmt w:val="bullet"/>
      <w:lvlText w:val=""/>
      <w:lvlJc w:val="left"/>
      <w:pPr>
        <w:tabs>
          <w:tab w:val="num" w:pos="2160"/>
        </w:tabs>
        <w:ind w:left="2160" w:hanging="360"/>
      </w:pPr>
      <w:rPr>
        <w:rFonts w:ascii="Wingdings" w:hAnsi="Wingdings" w:hint="default"/>
      </w:rPr>
    </w:lvl>
    <w:lvl w:ilvl="3" w:tplc="3FAC3708" w:tentative="1">
      <w:start w:val="1"/>
      <w:numFmt w:val="bullet"/>
      <w:lvlText w:val=""/>
      <w:lvlJc w:val="left"/>
      <w:pPr>
        <w:tabs>
          <w:tab w:val="num" w:pos="2880"/>
        </w:tabs>
        <w:ind w:left="2880" w:hanging="360"/>
      </w:pPr>
      <w:rPr>
        <w:rFonts w:ascii="Symbol" w:hAnsi="Symbol" w:hint="default"/>
      </w:rPr>
    </w:lvl>
    <w:lvl w:ilvl="4" w:tplc="8C5AF966" w:tentative="1">
      <w:start w:val="1"/>
      <w:numFmt w:val="bullet"/>
      <w:lvlText w:val="o"/>
      <w:lvlJc w:val="left"/>
      <w:pPr>
        <w:tabs>
          <w:tab w:val="num" w:pos="3600"/>
        </w:tabs>
        <w:ind w:left="3600" w:hanging="360"/>
      </w:pPr>
      <w:rPr>
        <w:rFonts w:ascii="Courier New" w:hAnsi="Courier New" w:cs="Wingdings" w:hint="default"/>
      </w:rPr>
    </w:lvl>
    <w:lvl w:ilvl="5" w:tplc="6B0E8CB4" w:tentative="1">
      <w:start w:val="1"/>
      <w:numFmt w:val="bullet"/>
      <w:lvlText w:val=""/>
      <w:lvlJc w:val="left"/>
      <w:pPr>
        <w:tabs>
          <w:tab w:val="num" w:pos="4320"/>
        </w:tabs>
        <w:ind w:left="4320" w:hanging="360"/>
      </w:pPr>
      <w:rPr>
        <w:rFonts w:ascii="Wingdings" w:hAnsi="Wingdings" w:hint="default"/>
      </w:rPr>
    </w:lvl>
    <w:lvl w:ilvl="6" w:tplc="40648BDC" w:tentative="1">
      <w:start w:val="1"/>
      <w:numFmt w:val="bullet"/>
      <w:lvlText w:val=""/>
      <w:lvlJc w:val="left"/>
      <w:pPr>
        <w:tabs>
          <w:tab w:val="num" w:pos="5040"/>
        </w:tabs>
        <w:ind w:left="5040" w:hanging="360"/>
      </w:pPr>
      <w:rPr>
        <w:rFonts w:ascii="Symbol" w:hAnsi="Symbol" w:hint="default"/>
      </w:rPr>
    </w:lvl>
    <w:lvl w:ilvl="7" w:tplc="F6025C0C" w:tentative="1">
      <w:start w:val="1"/>
      <w:numFmt w:val="bullet"/>
      <w:lvlText w:val="o"/>
      <w:lvlJc w:val="left"/>
      <w:pPr>
        <w:tabs>
          <w:tab w:val="num" w:pos="5760"/>
        </w:tabs>
        <w:ind w:left="5760" w:hanging="360"/>
      </w:pPr>
      <w:rPr>
        <w:rFonts w:ascii="Courier New" w:hAnsi="Courier New" w:cs="Wingdings" w:hint="default"/>
      </w:rPr>
    </w:lvl>
    <w:lvl w:ilvl="8" w:tplc="B8B20AF0" w:tentative="1">
      <w:start w:val="1"/>
      <w:numFmt w:val="bullet"/>
      <w:lvlText w:val=""/>
      <w:lvlJc w:val="left"/>
      <w:pPr>
        <w:tabs>
          <w:tab w:val="num" w:pos="6480"/>
        </w:tabs>
        <w:ind w:left="6480" w:hanging="360"/>
      </w:pPr>
      <w:rPr>
        <w:rFonts w:ascii="Wingdings" w:hAnsi="Wingdings" w:hint="default"/>
      </w:rPr>
    </w:lvl>
  </w:abstractNum>
  <w:abstractNum w:abstractNumId="2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969C8"/>
    <w:multiLevelType w:val="hybridMultilevel"/>
    <w:tmpl w:val="BAA83D62"/>
    <w:lvl w:ilvl="0" w:tplc="F44478AC">
      <w:start w:val="1"/>
      <w:numFmt w:val="bullet"/>
      <w:lvlText w:val=""/>
      <w:lvlJc w:val="left"/>
      <w:pPr>
        <w:tabs>
          <w:tab w:val="num" w:pos="360"/>
        </w:tabs>
        <w:ind w:left="360" w:hanging="360"/>
      </w:pPr>
      <w:rPr>
        <w:rFonts w:ascii="Wingdings" w:hAnsi="Wingdings"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80052"/>
    <w:multiLevelType w:val="hybridMultilevel"/>
    <w:tmpl w:val="DD7A1C1E"/>
    <w:lvl w:ilvl="0" w:tplc="EC96C000">
      <w:start w:val="1"/>
      <w:numFmt w:val="bullet"/>
      <w:lvlText w:val=""/>
      <w:lvlJc w:val="left"/>
      <w:pPr>
        <w:tabs>
          <w:tab w:val="num" w:pos="360"/>
        </w:tabs>
        <w:ind w:left="360" w:hanging="360"/>
      </w:pPr>
      <w:rPr>
        <w:rFonts w:ascii="Wingdings" w:hAnsi="Wingding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46E6C"/>
    <w:multiLevelType w:val="hybridMultilevel"/>
    <w:tmpl w:val="DF6C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76A2A"/>
    <w:multiLevelType w:val="hybridMultilevel"/>
    <w:tmpl w:val="5228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0C40FC"/>
    <w:multiLevelType w:val="hybridMultilevel"/>
    <w:tmpl w:val="DB9A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46E72"/>
    <w:multiLevelType w:val="hybridMultilevel"/>
    <w:tmpl w:val="FB8CAF92"/>
    <w:lvl w:ilvl="0" w:tplc="AA421FCA">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EFA61F2"/>
    <w:multiLevelType w:val="multilevel"/>
    <w:tmpl w:val="AFE43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3A631C"/>
    <w:multiLevelType w:val="hybridMultilevel"/>
    <w:tmpl w:val="179E7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945D7F"/>
    <w:multiLevelType w:val="hybridMultilevel"/>
    <w:tmpl w:val="27DEF3BC"/>
    <w:lvl w:ilvl="0" w:tplc="38DE291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B3C17"/>
    <w:multiLevelType w:val="hybridMultilevel"/>
    <w:tmpl w:val="179E7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C87D7A"/>
    <w:multiLevelType w:val="hybridMultilevel"/>
    <w:tmpl w:val="6FA6BB40"/>
    <w:lvl w:ilvl="0" w:tplc="F93AF306">
      <w:start w:val="1"/>
      <w:numFmt w:val="bullet"/>
      <w:lvlText w:val=""/>
      <w:lvlJc w:val="left"/>
      <w:pPr>
        <w:tabs>
          <w:tab w:val="num" w:pos="360"/>
        </w:tabs>
        <w:ind w:left="36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133E8"/>
    <w:multiLevelType w:val="hybridMultilevel"/>
    <w:tmpl w:val="06D2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29"/>
  </w:num>
  <w:num w:numId="14">
    <w:abstractNumId w:val="18"/>
  </w:num>
  <w:num w:numId="15">
    <w:abstractNumId w:val="32"/>
  </w:num>
  <w:num w:numId="16">
    <w:abstractNumId w:val="21"/>
  </w:num>
  <w:num w:numId="17">
    <w:abstractNumId w:val="22"/>
  </w:num>
  <w:num w:numId="18">
    <w:abstractNumId w:val="34"/>
  </w:num>
  <w:num w:numId="19">
    <w:abstractNumId w:val="17"/>
  </w:num>
  <w:num w:numId="20">
    <w:abstractNumId w:val="34"/>
    <w:lvlOverride w:ilvl="0">
      <w:startOverride w:val="1"/>
    </w:lvlOverride>
  </w:num>
  <w:num w:numId="21">
    <w:abstractNumId w:val="35"/>
  </w:num>
  <w:num w:numId="22">
    <w:abstractNumId w:val="36"/>
  </w:num>
  <w:num w:numId="23">
    <w:abstractNumId w:val="27"/>
  </w:num>
  <w:num w:numId="24">
    <w:abstractNumId w:val="28"/>
  </w:num>
  <w:num w:numId="25">
    <w:abstractNumId w:val="31"/>
  </w:num>
  <w:num w:numId="26">
    <w:abstractNumId w:val="20"/>
  </w:num>
  <w:num w:numId="27">
    <w:abstractNumId w:val="37"/>
  </w:num>
  <w:num w:numId="28">
    <w:abstractNumId w:val="15"/>
  </w:num>
  <w:num w:numId="29">
    <w:abstractNumId w:val="23"/>
  </w:num>
  <w:num w:numId="30">
    <w:abstractNumId w:val="10"/>
  </w:num>
  <w:num w:numId="31">
    <w:abstractNumId w:val="26"/>
  </w:num>
  <w:num w:numId="32">
    <w:abstractNumId w:val="33"/>
  </w:num>
  <w:num w:numId="33">
    <w:abstractNumId w:val="30"/>
  </w:num>
  <w:num w:numId="34">
    <w:abstractNumId w:val="24"/>
  </w:num>
  <w:num w:numId="35">
    <w:abstractNumId w:val="25"/>
  </w:num>
  <w:num w:numId="36">
    <w:abstractNumId w:val="14"/>
  </w:num>
  <w:num w:numId="37">
    <w:abstractNumId w:val="16"/>
  </w:num>
  <w:num w:numId="38">
    <w:abstractNumId w:val="13"/>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1021"/>
  <w:stylePaneSortMethod w:val="0000"/>
  <w:doNotTrackFormatting/>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7C4E10"/>
    <w:rsid w:val="00034CF6"/>
    <w:rsid w:val="00043156"/>
    <w:rsid w:val="00084DD8"/>
    <w:rsid w:val="000A4B06"/>
    <w:rsid w:val="000C6BA2"/>
    <w:rsid w:val="000D3209"/>
    <w:rsid w:val="000E77D1"/>
    <w:rsid w:val="00104FCB"/>
    <w:rsid w:val="0010703B"/>
    <w:rsid w:val="0013204E"/>
    <w:rsid w:val="00144093"/>
    <w:rsid w:val="001547B6"/>
    <w:rsid w:val="001610FA"/>
    <w:rsid w:val="00161F4D"/>
    <w:rsid w:val="0018296E"/>
    <w:rsid w:val="00193D15"/>
    <w:rsid w:val="001A43F2"/>
    <w:rsid w:val="001A5EDC"/>
    <w:rsid w:val="001B5387"/>
    <w:rsid w:val="001B677A"/>
    <w:rsid w:val="001D51AD"/>
    <w:rsid w:val="001D59B6"/>
    <w:rsid w:val="001F5E03"/>
    <w:rsid w:val="001F6FCC"/>
    <w:rsid w:val="002014DD"/>
    <w:rsid w:val="00204C2C"/>
    <w:rsid w:val="00207CCB"/>
    <w:rsid w:val="002127F9"/>
    <w:rsid w:val="00212EF8"/>
    <w:rsid w:val="00220FE1"/>
    <w:rsid w:val="00223983"/>
    <w:rsid w:val="00237DAC"/>
    <w:rsid w:val="002423BF"/>
    <w:rsid w:val="00247972"/>
    <w:rsid w:val="00267F07"/>
    <w:rsid w:val="0029620B"/>
    <w:rsid w:val="002A3FFD"/>
    <w:rsid w:val="002B08BD"/>
    <w:rsid w:val="002B4F4C"/>
    <w:rsid w:val="002C7239"/>
    <w:rsid w:val="002D030F"/>
    <w:rsid w:val="002D1783"/>
    <w:rsid w:val="002D5333"/>
    <w:rsid w:val="002F60DE"/>
    <w:rsid w:val="00312AB0"/>
    <w:rsid w:val="003220DF"/>
    <w:rsid w:val="00330098"/>
    <w:rsid w:val="0035366D"/>
    <w:rsid w:val="00365207"/>
    <w:rsid w:val="003664B9"/>
    <w:rsid w:val="00376FA9"/>
    <w:rsid w:val="0039373D"/>
    <w:rsid w:val="003B18E3"/>
    <w:rsid w:val="003B2A47"/>
    <w:rsid w:val="003B5BEF"/>
    <w:rsid w:val="003C2896"/>
    <w:rsid w:val="003D6DB4"/>
    <w:rsid w:val="003E5C4F"/>
    <w:rsid w:val="00421B32"/>
    <w:rsid w:val="00424983"/>
    <w:rsid w:val="0043070F"/>
    <w:rsid w:val="004321FE"/>
    <w:rsid w:val="0043461C"/>
    <w:rsid w:val="00440DF5"/>
    <w:rsid w:val="00454315"/>
    <w:rsid w:val="0045532E"/>
    <w:rsid w:val="004567AE"/>
    <w:rsid w:val="004709CE"/>
    <w:rsid w:val="00477013"/>
    <w:rsid w:val="0049023B"/>
    <w:rsid w:val="004B5F1C"/>
    <w:rsid w:val="004C085B"/>
    <w:rsid w:val="004D6482"/>
    <w:rsid w:val="00520E2F"/>
    <w:rsid w:val="00551547"/>
    <w:rsid w:val="00557759"/>
    <w:rsid w:val="00577605"/>
    <w:rsid w:val="005803CA"/>
    <w:rsid w:val="005863A7"/>
    <w:rsid w:val="0059079F"/>
    <w:rsid w:val="00594A0C"/>
    <w:rsid w:val="005C32AE"/>
    <w:rsid w:val="005E5142"/>
    <w:rsid w:val="005F70CC"/>
    <w:rsid w:val="006062F4"/>
    <w:rsid w:val="006256DB"/>
    <w:rsid w:val="00625FA0"/>
    <w:rsid w:val="00635406"/>
    <w:rsid w:val="006526CA"/>
    <w:rsid w:val="00676554"/>
    <w:rsid w:val="0067689C"/>
    <w:rsid w:val="00676CB1"/>
    <w:rsid w:val="00686838"/>
    <w:rsid w:val="0069647D"/>
    <w:rsid w:val="006974C4"/>
    <w:rsid w:val="006A1460"/>
    <w:rsid w:val="006A7DFD"/>
    <w:rsid w:val="006F1E50"/>
    <w:rsid w:val="006F7DA1"/>
    <w:rsid w:val="007025B6"/>
    <w:rsid w:val="00711005"/>
    <w:rsid w:val="0071364D"/>
    <w:rsid w:val="00726664"/>
    <w:rsid w:val="00734F68"/>
    <w:rsid w:val="00755A6B"/>
    <w:rsid w:val="007714A2"/>
    <w:rsid w:val="007801FD"/>
    <w:rsid w:val="0079368D"/>
    <w:rsid w:val="00796E79"/>
    <w:rsid w:val="007B3F5B"/>
    <w:rsid w:val="007C4A5A"/>
    <w:rsid w:val="007C4E10"/>
    <w:rsid w:val="007C6E39"/>
    <w:rsid w:val="007D719D"/>
    <w:rsid w:val="007E5472"/>
    <w:rsid w:val="007E5D32"/>
    <w:rsid w:val="007F2B81"/>
    <w:rsid w:val="007F4AE3"/>
    <w:rsid w:val="0081506C"/>
    <w:rsid w:val="008178E3"/>
    <w:rsid w:val="00831248"/>
    <w:rsid w:val="00842660"/>
    <w:rsid w:val="00845EE4"/>
    <w:rsid w:val="008472DF"/>
    <w:rsid w:val="00853763"/>
    <w:rsid w:val="00857639"/>
    <w:rsid w:val="0086770A"/>
    <w:rsid w:val="008771D5"/>
    <w:rsid w:val="0088761D"/>
    <w:rsid w:val="00891A35"/>
    <w:rsid w:val="00892825"/>
    <w:rsid w:val="00895B65"/>
    <w:rsid w:val="008974D4"/>
    <w:rsid w:val="008C4491"/>
    <w:rsid w:val="008D0A2E"/>
    <w:rsid w:val="008D2A73"/>
    <w:rsid w:val="008F0AD8"/>
    <w:rsid w:val="00922C1B"/>
    <w:rsid w:val="00950E22"/>
    <w:rsid w:val="00954F32"/>
    <w:rsid w:val="00965FF6"/>
    <w:rsid w:val="00972417"/>
    <w:rsid w:val="009813D0"/>
    <w:rsid w:val="009A2F1E"/>
    <w:rsid w:val="009A3982"/>
    <w:rsid w:val="009A6A6B"/>
    <w:rsid w:val="009B3DFD"/>
    <w:rsid w:val="009B7686"/>
    <w:rsid w:val="009C6243"/>
    <w:rsid w:val="009D7031"/>
    <w:rsid w:val="009F6642"/>
    <w:rsid w:val="00A04610"/>
    <w:rsid w:val="00A14702"/>
    <w:rsid w:val="00A35A6F"/>
    <w:rsid w:val="00A4757A"/>
    <w:rsid w:val="00A60BB1"/>
    <w:rsid w:val="00A67B6B"/>
    <w:rsid w:val="00A7237E"/>
    <w:rsid w:val="00A760A2"/>
    <w:rsid w:val="00A83872"/>
    <w:rsid w:val="00A875F7"/>
    <w:rsid w:val="00A91C0A"/>
    <w:rsid w:val="00A92750"/>
    <w:rsid w:val="00A96687"/>
    <w:rsid w:val="00AA0964"/>
    <w:rsid w:val="00AD279A"/>
    <w:rsid w:val="00AF46BE"/>
    <w:rsid w:val="00AF5C03"/>
    <w:rsid w:val="00B0378C"/>
    <w:rsid w:val="00B121F3"/>
    <w:rsid w:val="00B16829"/>
    <w:rsid w:val="00B26677"/>
    <w:rsid w:val="00B26E00"/>
    <w:rsid w:val="00B37DE4"/>
    <w:rsid w:val="00B50174"/>
    <w:rsid w:val="00B54286"/>
    <w:rsid w:val="00B6543D"/>
    <w:rsid w:val="00B675A4"/>
    <w:rsid w:val="00B67C6C"/>
    <w:rsid w:val="00B7439A"/>
    <w:rsid w:val="00B7620A"/>
    <w:rsid w:val="00B8756B"/>
    <w:rsid w:val="00BA18AB"/>
    <w:rsid w:val="00BA23EA"/>
    <w:rsid w:val="00BB2578"/>
    <w:rsid w:val="00BC4F5D"/>
    <w:rsid w:val="00BC50D8"/>
    <w:rsid w:val="00BD5BE9"/>
    <w:rsid w:val="00BD65A9"/>
    <w:rsid w:val="00BE0AEA"/>
    <w:rsid w:val="00BE0FA9"/>
    <w:rsid w:val="00BE3E83"/>
    <w:rsid w:val="00BE592E"/>
    <w:rsid w:val="00C14B70"/>
    <w:rsid w:val="00C222EC"/>
    <w:rsid w:val="00C268EE"/>
    <w:rsid w:val="00C33B81"/>
    <w:rsid w:val="00C5034D"/>
    <w:rsid w:val="00C62189"/>
    <w:rsid w:val="00C6271E"/>
    <w:rsid w:val="00C66566"/>
    <w:rsid w:val="00C75B68"/>
    <w:rsid w:val="00C81105"/>
    <w:rsid w:val="00C83B4E"/>
    <w:rsid w:val="00C87513"/>
    <w:rsid w:val="00C905E4"/>
    <w:rsid w:val="00CA759E"/>
    <w:rsid w:val="00CC32DD"/>
    <w:rsid w:val="00CC447D"/>
    <w:rsid w:val="00CD1E7E"/>
    <w:rsid w:val="00CD2118"/>
    <w:rsid w:val="00CF09CD"/>
    <w:rsid w:val="00D11BCE"/>
    <w:rsid w:val="00D14FD3"/>
    <w:rsid w:val="00D42619"/>
    <w:rsid w:val="00D4594C"/>
    <w:rsid w:val="00D668AC"/>
    <w:rsid w:val="00D745CF"/>
    <w:rsid w:val="00D82577"/>
    <w:rsid w:val="00DA6EC6"/>
    <w:rsid w:val="00DD6415"/>
    <w:rsid w:val="00DE00BB"/>
    <w:rsid w:val="00E000F7"/>
    <w:rsid w:val="00E0410A"/>
    <w:rsid w:val="00E17B0A"/>
    <w:rsid w:val="00E20FF2"/>
    <w:rsid w:val="00E3514E"/>
    <w:rsid w:val="00E40169"/>
    <w:rsid w:val="00E5297E"/>
    <w:rsid w:val="00E52B02"/>
    <w:rsid w:val="00E6425C"/>
    <w:rsid w:val="00E65992"/>
    <w:rsid w:val="00E80868"/>
    <w:rsid w:val="00E90B33"/>
    <w:rsid w:val="00E975F0"/>
    <w:rsid w:val="00EB08F8"/>
    <w:rsid w:val="00EC7B63"/>
    <w:rsid w:val="00EF659D"/>
    <w:rsid w:val="00F00019"/>
    <w:rsid w:val="00F066DE"/>
    <w:rsid w:val="00F157A5"/>
    <w:rsid w:val="00F42CDA"/>
    <w:rsid w:val="00F50868"/>
    <w:rsid w:val="00F62FA3"/>
    <w:rsid w:val="00F665E4"/>
    <w:rsid w:val="00F76E16"/>
    <w:rsid w:val="00FB29CC"/>
    <w:rsid w:val="00FE533A"/>
    <w:rsid w:val="00FE685F"/>
    <w:rsid w:val="00FF460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1E"/>
    <w:rPr>
      <w:sz w:val="24"/>
    </w:rPr>
  </w:style>
  <w:style w:type="paragraph" w:styleId="Heading1">
    <w:name w:val="heading 1"/>
    <w:basedOn w:val="Normal"/>
    <w:next w:val="Normal"/>
    <w:link w:val="Heading1Char"/>
    <w:uiPriority w:val="9"/>
    <w:qFormat/>
    <w:rsid w:val="00F157A5"/>
    <w:pPr>
      <w:keepNext/>
      <w:keepLines/>
      <w:spacing w:before="240"/>
      <w:outlineLvl w:val="0"/>
    </w:pPr>
    <w:rPr>
      <w:rFonts w:asciiTheme="majorHAnsi" w:eastAsiaTheme="majorEastAsia" w:hAnsiTheme="majorHAnsi" w:cstheme="majorBidi"/>
      <w:b/>
      <w:bCs/>
      <w:sz w:val="32"/>
      <w:szCs w:val="36"/>
    </w:rPr>
  </w:style>
  <w:style w:type="paragraph" w:styleId="Heading2">
    <w:name w:val="heading 2"/>
    <w:basedOn w:val="Normal"/>
    <w:next w:val="Normal"/>
    <w:link w:val="Heading2Char"/>
    <w:uiPriority w:val="9"/>
    <w:unhideWhenUsed/>
    <w:qFormat/>
    <w:rsid w:val="009813D0"/>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9813D0"/>
    <w:pPr>
      <w:keepNext/>
      <w:keepLines/>
      <w:spacing w:before="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87513"/>
    <w:pPr>
      <w:keepNext/>
      <w:keepLines/>
      <w:spacing w:before="2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C87513"/>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81506C"/>
    <w:pPr>
      <w:tabs>
        <w:tab w:val="center" w:pos="4680"/>
        <w:tab w:val="right" w:pos="9360"/>
      </w:tabs>
    </w:pPr>
    <w:rPr>
      <w:sz w:val="20"/>
    </w:rPr>
  </w:style>
  <w:style w:type="character" w:customStyle="1" w:styleId="FooterChar">
    <w:name w:val="Footer Char"/>
    <w:basedOn w:val="DefaultParagraphFont"/>
    <w:link w:val="Footer"/>
    <w:uiPriority w:val="99"/>
    <w:rsid w:val="0081506C"/>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F157A5"/>
    <w:rPr>
      <w:rFonts w:asciiTheme="majorHAnsi" w:eastAsiaTheme="majorEastAsia" w:hAnsiTheme="majorHAnsi" w:cstheme="majorBidi"/>
      <w:b/>
      <w:bCs/>
      <w:sz w:val="32"/>
      <w:szCs w:val="36"/>
    </w:rPr>
  </w:style>
  <w:style w:type="character" w:customStyle="1" w:styleId="Heading2Char">
    <w:name w:val="Heading 2 Char"/>
    <w:basedOn w:val="DefaultParagraphFont"/>
    <w:link w:val="Heading2"/>
    <w:uiPriority w:val="9"/>
    <w:rsid w:val="009813D0"/>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9813D0"/>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C87513"/>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C87513"/>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4"/>
      </w:numPr>
      <w:tabs>
        <w:tab w:val="clear" w:pos="1440"/>
        <w:tab w:val="num" w:pos="1800"/>
      </w:tabs>
      <w:spacing w:before="120"/>
      <w:ind w:left="1800"/>
    </w:pPr>
  </w:style>
  <w:style w:type="paragraph" w:styleId="ListBullet5">
    <w:name w:val="List Bullet 5"/>
    <w:basedOn w:val="Normal"/>
    <w:uiPriority w:val="99"/>
    <w:unhideWhenUsed/>
    <w:rsid w:val="00E20FF2"/>
    <w:pPr>
      <w:numPr>
        <w:numId w:val="5"/>
      </w:numPr>
      <w:tabs>
        <w:tab w:val="clear" w:pos="1800"/>
        <w:tab w:val="num" w:pos="2160"/>
      </w:tabs>
      <w:spacing w:before="120"/>
      <w:ind w:left="2160"/>
    </w:pPr>
  </w:style>
  <w:style w:type="paragraph" w:styleId="ListNumber">
    <w:name w:val="List Number"/>
    <w:basedOn w:val="Normal"/>
    <w:uiPriority w:val="99"/>
    <w:unhideWhenUsed/>
    <w:rsid w:val="009A3982"/>
    <w:pPr>
      <w:numPr>
        <w:numId w:val="6"/>
      </w:numPr>
      <w:tabs>
        <w:tab w:val="clear" w:pos="360"/>
      </w:tabs>
      <w:spacing w:before="120"/>
      <w:ind w:left="720"/>
    </w:pPr>
  </w:style>
  <w:style w:type="paragraph" w:styleId="ListNumber2">
    <w:name w:val="List Number 2"/>
    <w:basedOn w:val="Normal"/>
    <w:uiPriority w:val="99"/>
    <w:semiHidden/>
    <w:unhideWhenUsed/>
    <w:rsid w:val="000D3209"/>
    <w:pPr>
      <w:numPr>
        <w:numId w:val="7"/>
      </w:numPr>
      <w:spacing w:before="120"/>
    </w:pPr>
  </w:style>
  <w:style w:type="paragraph" w:styleId="ListNumber3">
    <w:name w:val="List Number 3"/>
    <w:basedOn w:val="Normal"/>
    <w:uiPriority w:val="99"/>
    <w:semiHidden/>
    <w:unhideWhenUsed/>
    <w:rsid w:val="000D3209"/>
    <w:pPr>
      <w:numPr>
        <w:numId w:val="8"/>
      </w:numPr>
      <w:spacing w:before="120"/>
    </w:pPr>
  </w:style>
  <w:style w:type="paragraph" w:styleId="ListNumber4">
    <w:name w:val="List Number 4"/>
    <w:basedOn w:val="Normal"/>
    <w:uiPriority w:val="99"/>
    <w:semiHidden/>
    <w:unhideWhenUsed/>
    <w:rsid w:val="000D3209"/>
    <w:pPr>
      <w:numPr>
        <w:numId w:val="9"/>
      </w:numPr>
      <w:spacing w:before="120"/>
    </w:pPr>
  </w:style>
  <w:style w:type="paragraph" w:styleId="ListNumber5">
    <w:name w:val="List Number 5"/>
    <w:basedOn w:val="Normal"/>
    <w:uiPriority w:val="99"/>
    <w:semiHidden/>
    <w:unhideWhenUsed/>
    <w:rsid w:val="000D3209"/>
    <w:pPr>
      <w:numPr>
        <w:numId w:val="10"/>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unhideWhenUsed/>
    <w:qFormat/>
    <w:rsid w:val="002127F9"/>
    <w:pPr>
      <w:spacing w:before="240"/>
    </w:pPr>
  </w:style>
  <w:style w:type="character" w:customStyle="1" w:styleId="BodyTextChar">
    <w:name w:val="Body Text Char"/>
    <w:basedOn w:val="DefaultParagraphFont"/>
    <w:link w:val="BodyText"/>
    <w:rsid w:val="002127F9"/>
    <w:rPr>
      <w:sz w:val="24"/>
    </w:rPr>
  </w:style>
  <w:style w:type="paragraph" w:customStyle="1" w:styleId="TableHead">
    <w:name w:val="Table Head"/>
    <w:basedOn w:val="Caption"/>
    <w:next w:val="BodyText"/>
    <w:rsid w:val="00CD2118"/>
    <w:rPr>
      <w:bCs/>
    </w:rPr>
  </w:style>
  <w:style w:type="paragraph" w:customStyle="1" w:styleId="TableText">
    <w:name w:val="Table Text"/>
    <w:basedOn w:val="BodyText"/>
    <w:qFormat/>
    <w:rsid w:val="00CD2118"/>
    <w:pPr>
      <w:spacing w:before="40" w:after="40"/>
    </w:pPr>
    <w:rPr>
      <w:rFonts w:eastAsia="Times New Roman" w:cs="Times New Roman"/>
      <w:sz w:val="22"/>
      <w:szCs w:val="20"/>
    </w:rPr>
  </w:style>
  <w:style w:type="paragraph" w:customStyle="1" w:styleId="TableTextCentered">
    <w:name w:val="Table Text Centered"/>
    <w:basedOn w:val="TableText"/>
    <w:rsid w:val="00CD2118"/>
    <w:pPr>
      <w:jc w:val="center"/>
    </w:pPr>
  </w:style>
  <w:style w:type="paragraph" w:customStyle="1" w:styleId="TableColumnHead">
    <w:name w:val="Table Column Head"/>
    <w:basedOn w:val="TableText"/>
    <w:rsid w:val="007025B6"/>
    <w:rPr>
      <w:b/>
      <w:bCs/>
    </w:rPr>
  </w:style>
  <w:style w:type="paragraph" w:customStyle="1" w:styleId="TableColumnHeadCentered">
    <w:name w:val="Table Column Head Centered"/>
    <w:basedOn w:val="TableColumnHead"/>
    <w:rsid w:val="007025B6"/>
    <w:pPr>
      <w:jc w:val="center"/>
    </w:pPr>
    <w:rPr>
      <w:bCs w:val="0"/>
    </w:rPr>
  </w:style>
  <w:style w:type="table" w:styleId="TableGrid">
    <w:name w:val="Table Grid"/>
    <w:basedOn w:val="TableNormal"/>
    <w:rsid w:val="007F4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157A5"/>
    <w:pPr>
      <w:spacing w:after="300"/>
      <w:contextualSpacing/>
    </w:pPr>
    <w:rPr>
      <w:rFonts w:ascii="Arial" w:eastAsiaTheme="majorEastAsia" w:hAnsi="Arial" w:cstheme="majorBidi"/>
      <w:b/>
      <w:color w:val="3A5877" w:themeColor="text2" w:themeShade="BF"/>
      <w:spacing w:val="5"/>
      <w:kern w:val="28"/>
      <w:sz w:val="40"/>
      <w:szCs w:val="40"/>
    </w:rPr>
  </w:style>
  <w:style w:type="character" w:customStyle="1" w:styleId="TitleChar">
    <w:name w:val="Title Char"/>
    <w:basedOn w:val="DefaultParagraphFont"/>
    <w:link w:val="Title"/>
    <w:uiPriority w:val="10"/>
    <w:rsid w:val="00F157A5"/>
    <w:rPr>
      <w:rFonts w:ascii="Arial" w:eastAsiaTheme="majorEastAsia" w:hAnsi="Arial" w:cstheme="majorBidi"/>
      <w:b/>
      <w:color w:val="3A5877" w:themeColor="text2" w:themeShade="BF"/>
      <w:spacing w:val="5"/>
      <w:kern w:val="28"/>
      <w:sz w:val="40"/>
      <w:szCs w:val="40"/>
    </w:rPr>
  </w:style>
  <w:style w:type="table" w:customStyle="1" w:styleId="AIRTable">
    <w:name w:val="AIR Table"/>
    <w:basedOn w:val="TableNormal"/>
    <w:uiPriority w:val="99"/>
    <w:rsid w:val="00312AB0"/>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tblPr/>
      <w:tcPr>
        <w:shd w:val="clear" w:color="auto" w:fill="B5C7DB" w:themeFill="text2" w:themeFillTint="66"/>
      </w:tcPr>
    </w:tblStylePr>
    <w:tblStylePr w:type="firstCol">
      <w:tblPr/>
      <w:tcPr>
        <w:shd w:val="clear" w:color="auto" w:fill="B5C7DB" w:themeFill="text2" w:themeFillTint="66"/>
      </w:tcPr>
    </w:tblStylePr>
    <w:tblStylePr w:type="band1Horz">
      <w:tblPr/>
      <w:tcPr>
        <w:shd w:val="clear" w:color="auto" w:fill="DAE3ED" w:themeFill="text2" w:themeFillTint="33"/>
      </w:tcPr>
    </w:tblStyle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semiHidden/>
    <w:unhideWhenUsed/>
    <w:rsid w:val="00954F32"/>
    <w:rPr>
      <w:sz w:val="20"/>
      <w:szCs w:val="20"/>
    </w:rPr>
  </w:style>
  <w:style w:type="character" w:customStyle="1" w:styleId="CommentTextChar">
    <w:name w:val="Comment Text Char"/>
    <w:basedOn w:val="DefaultParagraphFont"/>
    <w:link w:val="CommentText"/>
    <w:uiPriority w:val="99"/>
    <w:semiHidden/>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qFormat/>
    <w:rsid w:val="00FE533A"/>
    <w:pPr>
      <w:spacing w:before="120"/>
    </w:pPr>
    <w:rPr>
      <w:sz w:val="20"/>
    </w:rPr>
  </w:style>
  <w:style w:type="character" w:customStyle="1" w:styleId="TableSourceNoteChar">
    <w:name w:val="Table Source Note Char"/>
    <w:basedOn w:val="BodyTextChar"/>
    <w:link w:val="TableSourceNote"/>
    <w:rsid w:val="00FE533A"/>
    <w:rPr>
      <w:sz w:val="20"/>
    </w:rPr>
  </w:style>
  <w:style w:type="paragraph" w:customStyle="1" w:styleId="CoverPubID">
    <w:name w:val="Cover PubID"/>
    <w:basedOn w:val="Normal"/>
    <w:qFormat/>
    <w:rsid w:val="009A2F1E"/>
    <w:pPr>
      <w:tabs>
        <w:tab w:val="right" w:pos="9360"/>
      </w:tabs>
      <w:jc w:val="right"/>
    </w:pPr>
    <w:rPr>
      <w:sz w:val="16"/>
    </w:rPr>
  </w:style>
  <w:style w:type="paragraph" w:customStyle="1" w:styleId="TableBullet1">
    <w:name w:val="Table Bullet 1"/>
    <w:basedOn w:val="TableText"/>
    <w:qFormat/>
    <w:rsid w:val="009B3DFD"/>
    <w:pPr>
      <w:numPr>
        <w:numId w:val="22"/>
      </w:numPr>
      <w:ind w:left="270" w:hanging="270"/>
    </w:pPr>
    <w:rPr>
      <w:rFonts w:eastAsiaTheme="minorEastAsia"/>
      <w:szCs w:val="24"/>
    </w:rPr>
  </w:style>
  <w:style w:type="paragraph" w:customStyle="1" w:styleId="Bullet1">
    <w:name w:val="Bullet 1"/>
    <w:basedOn w:val="Normal"/>
    <w:qFormat/>
    <w:rsid w:val="009B3DFD"/>
    <w:pPr>
      <w:numPr>
        <w:numId w:val="24"/>
      </w:numPr>
      <w:spacing w:before="120"/>
    </w:pPr>
    <w:rPr>
      <w:rFonts w:eastAsia="Times New Roman" w:cs="Times New Roman"/>
      <w:szCs w:val="24"/>
    </w:rPr>
  </w:style>
  <w:style w:type="paragraph" w:customStyle="1" w:styleId="Bullet2">
    <w:name w:val="Bullet 2"/>
    <w:basedOn w:val="Normal"/>
    <w:qFormat/>
    <w:rsid w:val="00A04610"/>
    <w:pPr>
      <w:numPr>
        <w:numId w:val="23"/>
      </w:numPr>
      <w:spacing w:before="120"/>
    </w:pPr>
    <w:rPr>
      <w:rFonts w:eastAsia="Times New Roman" w:cs="Times New Roman"/>
      <w:szCs w:val="24"/>
    </w:rPr>
  </w:style>
  <w:style w:type="paragraph" w:customStyle="1" w:styleId="Bullet3">
    <w:name w:val="Bullet 3"/>
    <w:basedOn w:val="Normal"/>
    <w:qFormat/>
    <w:rsid w:val="00711005"/>
    <w:pPr>
      <w:numPr>
        <w:ilvl w:val="1"/>
        <w:numId w:val="23"/>
      </w:numPr>
      <w:spacing w:before="120"/>
      <w:contextualSpacing/>
    </w:pPr>
  </w:style>
  <w:style w:type="paragraph" w:customStyle="1" w:styleId="NumberedList">
    <w:name w:val="Numbered List"/>
    <w:basedOn w:val="Normal"/>
    <w:qFormat/>
    <w:rsid w:val="009B3DFD"/>
    <w:pPr>
      <w:numPr>
        <w:numId w:val="25"/>
      </w:numPr>
      <w:spacing w:before="120"/>
    </w:pPr>
    <w:rPr>
      <w:rFonts w:eastAsia="Times New Roman" w:cs="Times New Roman"/>
      <w:szCs w:val="24"/>
    </w:rPr>
  </w:style>
  <w:style w:type="paragraph" w:customStyle="1" w:styleId="TableBullet2">
    <w:name w:val="Table Bullet 2"/>
    <w:basedOn w:val="TableText"/>
    <w:qFormat/>
    <w:rsid w:val="009B3DFD"/>
    <w:pPr>
      <w:numPr>
        <w:numId w:val="27"/>
      </w:numPr>
      <w:ind w:left="540" w:hanging="270"/>
    </w:pPr>
    <w:rPr>
      <w:rFonts w:eastAsiaTheme="minorEastAsia"/>
      <w:szCs w:val="24"/>
    </w:rPr>
  </w:style>
  <w:style w:type="paragraph" w:customStyle="1" w:styleId="TableNumbering">
    <w:name w:val="Table Numbering"/>
    <w:basedOn w:val="TableText"/>
    <w:qFormat/>
    <w:rsid w:val="009B3DFD"/>
    <w:pPr>
      <w:numPr>
        <w:numId w:val="26"/>
      </w:numPr>
      <w:ind w:left="270" w:hanging="270"/>
    </w:pPr>
    <w:rPr>
      <w:rFonts w:eastAsiaTheme="minorEastAsia"/>
      <w:szCs w:val="24"/>
    </w:rPr>
  </w:style>
  <w:style w:type="paragraph" w:customStyle="1" w:styleId="TableNote">
    <w:name w:val="Table Note"/>
    <w:basedOn w:val="Normal"/>
    <w:qFormat/>
    <w:rsid w:val="00892825"/>
    <w:pPr>
      <w:spacing w:before="120"/>
    </w:pPr>
    <w:rPr>
      <w:rFonts w:eastAsia="Times New Roman" w:cs="Times New Roman"/>
      <w:sz w:val="20"/>
      <w:szCs w:val="24"/>
    </w:rPr>
  </w:style>
  <w:style w:type="paragraph" w:customStyle="1" w:styleId="TableTitle">
    <w:name w:val="Table Title"/>
    <w:basedOn w:val="Normal"/>
    <w:qFormat/>
    <w:rsid w:val="009B3DFD"/>
    <w:pPr>
      <w:keepNext/>
      <w:spacing w:before="240" w:after="120"/>
    </w:pPr>
    <w:rPr>
      <w:rFonts w:eastAsia="Times New Roman" w:cs="Times"/>
      <w:b/>
      <w:szCs w:val="24"/>
    </w:rPr>
  </w:style>
  <w:style w:type="paragraph" w:customStyle="1" w:styleId="TableColHeadingLeft">
    <w:name w:val="Table Col Heading Left"/>
    <w:basedOn w:val="TableText"/>
    <w:qFormat/>
    <w:rsid w:val="009B3DFD"/>
    <w:rPr>
      <w:rFonts w:asciiTheme="majorHAnsi" w:eastAsiaTheme="minorEastAsia" w:hAnsiTheme="majorHAnsi"/>
      <w:b/>
      <w:bCs/>
    </w:rPr>
  </w:style>
  <w:style w:type="paragraph" w:customStyle="1" w:styleId="TableColHeadingCenter">
    <w:name w:val="Table Col Heading Center"/>
    <w:basedOn w:val="TableColHeadingLeft"/>
    <w:qFormat/>
    <w:rsid w:val="009B3DFD"/>
    <w:pPr>
      <w:jc w:val="center"/>
    </w:pPr>
  </w:style>
  <w:style w:type="paragraph" w:customStyle="1" w:styleId="BlockQuote">
    <w:name w:val="Block Quote"/>
    <w:basedOn w:val="BodyText"/>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paragraph" w:styleId="NoSpacing">
    <w:name w:val="No Spacing"/>
    <w:link w:val="NoSpacingChar"/>
    <w:uiPriority w:val="1"/>
    <w:rsid w:val="007C4E10"/>
    <w:rPr>
      <w:sz w:val="24"/>
    </w:rPr>
  </w:style>
  <w:style w:type="character" w:customStyle="1" w:styleId="NoSpacingChar">
    <w:name w:val="No Spacing Char"/>
    <w:basedOn w:val="DefaultParagraphFont"/>
    <w:link w:val="NoSpacing"/>
    <w:uiPriority w:val="1"/>
    <w:rsid w:val="007C4E10"/>
    <w:rPr>
      <w:sz w:val="24"/>
    </w:rPr>
  </w:style>
  <w:style w:type="character" w:styleId="Strong">
    <w:name w:val="Strong"/>
    <w:basedOn w:val="DefaultParagraphFont"/>
    <w:uiPriority w:val="22"/>
    <w:qFormat/>
    <w:rsid w:val="007C4E10"/>
    <w:rPr>
      <w:b/>
      <w:bCs/>
    </w:rPr>
  </w:style>
  <w:style w:type="paragraph" w:customStyle="1" w:styleId="Author">
    <w:name w:val="Author"/>
    <w:basedOn w:val="NoSpacing"/>
    <w:next w:val="NoSpacing"/>
    <w:link w:val="AuthorChar"/>
    <w:rsid w:val="007C4E10"/>
  </w:style>
  <w:style w:type="character" w:customStyle="1" w:styleId="AuthorChar">
    <w:name w:val="Author Char"/>
    <w:basedOn w:val="NoSpacingChar"/>
    <w:link w:val="Author"/>
    <w:rsid w:val="007C4E10"/>
    <w:rPr>
      <w:sz w:val="24"/>
    </w:rPr>
  </w:style>
  <w:style w:type="paragraph" w:customStyle="1" w:styleId="Recipient">
    <w:name w:val="Recipient"/>
    <w:basedOn w:val="NoSpacing"/>
    <w:next w:val="NoSpacing"/>
    <w:link w:val="RecipientChar"/>
    <w:rsid w:val="007C4E10"/>
  </w:style>
  <w:style w:type="character" w:customStyle="1" w:styleId="RecipientChar">
    <w:name w:val="Recipient Char"/>
    <w:basedOn w:val="NoSpacingChar"/>
    <w:link w:val="Recipient"/>
    <w:rsid w:val="007C4E10"/>
    <w:rPr>
      <w:sz w:val="24"/>
    </w:rPr>
  </w:style>
  <w:style w:type="paragraph" w:customStyle="1" w:styleId="MDY">
    <w:name w:val="MDY"/>
    <w:basedOn w:val="Normal"/>
    <w:link w:val="MDYChar"/>
    <w:rsid w:val="007C4E10"/>
    <w:rPr>
      <w:rFonts w:ascii="Times New Roman" w:hAnsi="Times New Roman"/>
    </w:rPr>
  </w:style>
  <w:style w:type="character" w:customStyle="1" w:styleId="MDYChar">
    <w:name w:val="MDY Char"/>
    <w:basedOn w:val="DefaultParagraphFont"/>
    <w:link w:val="MDY"/>
    <w:rsid w:val="007C4E10"/>
    <w:rPr>
      <w:rFonts w:ascii="Times New Roman" w:hAnsi="Times New Roman"/>
      <w:sz w:val="24"/>
    </w:rPr>
  </w:style>
  <w:style w:type="paragraph" w:customStyle="1" w:styleId="Cc">
    <w:name w:val="Cc"/>
    <w:basedOn w:val="Author"/>
    <w:rsid w:val="007C4E10"/>
  </w:style>
  <w:style w:type="paragraph" w:styleId="ListParagraph">
    <w:name w:val="List Paragraph"/>
    <w:basedOn w:val="Normal"/>
    <w:uiPriority w:val="34"/>
    <w:qFormat/>
    <w:rsid w:val="00E17B0A"/>
    <w:pPr>
      <w:spacing w:after="200" w:line="276" w:lineRule="auto"/>
      <w:ind w:left="720"/>
      <w:contextualSpacing/>
    </w:pPr>
    <w:rPr>
      <w:rFonts w:eastAsiaTheme="minorHAnsi"/>
      <w:sz w:val="22"/>
    </w:rPr>
  </w:style>
  <w:style w:type="table" w:styleId="LightList-Accent1">
    <w:name w:val="Light List Accent 1"/>
    <w:basedOn w:val="TableNormal"/>
    <w:uiPriority w:val="61"/>
    <w:rsid w:val="00E17B0A"/>
    <w:rPr>
      <w:rFonts w:eastAsiaTheme="minorHAnsi"/>
    </w:rPr>
    <w:tblPr>
      <w:tblStyleRowBandSize w:val="1"/>
      <w:tblStyleColBandSize w:val="1"/>
      <w:tblInd w:w="0" w:type="dxa"/>
      <w:tblBorders>
        <w:top w:val="single" w:sz="8" w:space="0" w:color="48709F" w:themeColor="accent1"/>
        <w:left w:val="single" w:sz="8" w:space="0" w:color="48709F" w:themeColor="accent1"/>
        <w:bottom w:val="single" w:sz="8" w:space="0" w:color="48709F" w:themeColor="accent1"/>
        <w:right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paragraph" w:styleId="Revision">
    <w:name w:val="Revision"/>
    <w:hidden/>
    <w:uiPriority w:val="99"/>
    <w:semiHidden/>
    <w:rsid w:val="00204C2C"/>
    <w:rPr>
      <w:sz w:val="24"/>
    </w:rPr>
  </w:style>
  <w:style w:type="paragraph" w:styleId="FootnoteText">
    <w:name w:val="footnote text"/>
    <w:basedOn w:val="Normal"/>
    <w:link w:val="FootnoteTextChar"/>
    <w:uiPriority w:val="99"/>
    <w:semiHidden/>
    <w:unhideWhenUsed/>
    <w:rsid w:val="00DD6415"/>
    <w:rPr>
      <w:sz w:val="20"/>
      <w:szCs w:val="20"/>
    </w:rPr>
  </w:style>
  <w:style w:type="character" w:customStyle="1" w:styleId="FootnoteTextChar">
    <w:name w:val="Footnote Text Char"/>
    <w:basedOn w:val="DefaultParagraphFont"/>
    <w:link w:val="FootnoteText"/>
    <w:uiPriority w:val="99"/>
    <w:semiHidden/>
    <w:rsid w:val="00DD6415"/>
    <w:rPr>
      <w:sz w:val="20"/>
      <w:szCs w:val="20"/>
    </w:rPr>
  </w:style>
  <w:style w:type="character" w:styleId="FootnoteReference">
    <w:name w:val="footnote reference"/>
    <w:basedOn w:val="DefaultParagraphFont"/>
    <w:uiPriority w:val="99"/>
    <w:semiHidden/>
    <w:unhideWhenUsed/>
    <w:rsid w:val="00DD6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1E"/>
    <w:rPr>
      <w:sz w:val="24"/>
    </w:rPr>
  </w:style>
  <w:style w:type="paragraph" w:styleId="Heading1">
    <w:name w:val="heading 1"/>
    <w:basedOn w:val="Normal"/>
    <w:next w:val="Normal"/>
    <w:link w:val="Heading1Char"/>
    <w:uiPriority w:val="9"/>
    <w:qFormat/>
    <w:rsid w:val="00F157A5"/>
    <w:pPr>
      <w:keepNext/>
      <w:keepLines/>
      <w:spacing w:before="240"/>
      <w:outlineLvl w:val="0"/>
    </w:pPr>
    <w:rPr>
      <w:rFonts w:asciiTheme="majorHAnsi" w:eastAsiaTheme="majorEastAsia" w:hAnsiTheme="majorHAnsi" w:cstheme="majorBidi"/>
      <w:b/>
      <w:bCs/>
      <w:sz w:val="32"/>
      <w:szCs w:val="36"/>
    </w:rPr>
  </w:style>
  <w:style w:type="paragraph" w:styleId="Heading2">
    <w:name w:val="heading 2"/>
    <w:basedOn w:val="Normal"/>
    <w:next w:val="Normal"/>
    <w:link w:val="Heading2Char"/>
    <w:uiPriority w:val="9"/>
    <w:unhideWhenUsed/>
    <w:qFormat/>
    <w:rsid w:val="009813D0"/>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9813D0"/>
    <w:pPr>
      <w:keepNext/>
      <w:keepLines/>
      <w:spacing w:before="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87513"/>
    <w:pPr>
      <w:keepNext/>
      <w:keepLines/>
      <w:spacing w:before="2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C87513"/>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81506C"/>
    <w:pPr>
      <w:tabs>
        <w:tab w:val="center" w:pos="4680"/>
        <w:tab w:val="right" w:pos="9360"/>
      </w:tabs>
    </w:pPr>
    <w:rPr>
      <w:sz w:val="20"/>
    </w:rPr>
  </w:style>
  <w:style w:type="character" w:customStyle="1" w:styleId="FooterChar">
    <w:name w:val="Footer Char"/>
    <w:basedOn w:val="DefaultParagraphFont"/>
    <w:link w:val="Footer"/>
    <w:uiPriority w:val="99"/>
    <w:rsid w:val="0081506C"/>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F157A5"/>
    <w:rPr>
      <w:rFonts w:asciiTheme="majorHAnsi" w:eastAsiaTheme="majorEastAsia" w:hAnsiTheme="majorHAnsi" w:cstheme="majorBidi"/>
      <w:b/>
      <w:bCs/>
      <w:sz w:val="32"/>
      <w:szCs w:val="36"/>
    </w:rPr>
  </w:style>
  <w:style w:type="character" w:customStyle="1" w:styleId="Heading2Char">
    <w:name w:val="Heading 2 Char"/>
    <w:basedOn w:val="DefaultParagraphFont"/>
    <w:link w:val="Heading2"/>
    <w:uiPriority w:val="9"/>
    <w:rsid w:val="009813D0"/>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9813D0"/>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C87513"/>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C87513"/>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4"/>
      </w:numPr>
      <w:tabs>
        <w:tab w:val="clear" w:pos="1440"/>
        <w:tab w:val="num" w:pos="1800"/>
      </w:tabs>
      <w:spacing w:before="120"/>
      <w:ind w:left="1800"/>
    </w:pPr>
  </w:style>
  <w:style w:type="paragraph" w:styleId="ListBullet5">
    <w:name w:val="List Bullet 5"/>
    <w:basedOn w:val="Normal"/>
    <w:uiPriority w:val="99"/>
    <w:unhideWhenUsed/>
    <w:rsid w:val="00E20FF2"/>
    <w:pPr>
      <w:numPr>
        <w:numId w:val="5"/>
      </w:numPr>
      <w:tabs>
        <w:tab w:val="clear" w:pos="1800"/>
        <w:tab w:val="num" w:pos="2160"/>
      </w:tabs>
      <w:spacing w:before="120"/>
      <w:ind w:left="2160"/>
    </w:pPr>
  </w:style>
  <w:style w:type="paragraph" w:styleId="ListNumber">
    <w:name w:val="List Number"/>
    <w:basedOn w:val="Normal"/>
    <w:uiPriority w:val="99"/>
    <w:unhideWhenUsed/>
    <w:rsid w:val="009A3982"/>
    <w:pPr>
      <w:numPr>
        <w:numId w:val="6"/>
      </w:numPr>
      <w:tabs>
        <w:tab w:val="clear" w:pos="360"/>
      </w:tabs>
      <w:spacing w:before="120"/>
      <w:ind w:left="720"/>
    </w:pPr>
  </w:style>
  <w:style w:type="paragraph" w:styleId="ListNumber2">
    <w:name w:val="List Number 2"/>
    <w:basedOn w:val="Normal"/>
    <w:uiPriority w:val="99"/>
    <w:semiHidden/>
    <w:unhideWhenUsed/>
    <w:rsid w:val="000D3209"/>
    <w:pPr>
      <w:numPr>
        <w:numId w:val="7"/>
      </w:numPr>
      <w:spacing w:before="120"/>
    </w:pPr>
  </w:style>
  <w:style w:type="paragraph" w:styleId="ListNumber3">
    <w:name w:val="List Number 3"/>
    <w:basedOn w:val="Normal"/>
    <w:uiPriority w:val="99"/>
    <w:semiHidden/>
    <w:unhideWhenUsed/>
    <w:rsid w:val="000D3209"/>
    <w:pPr>
      <w:numPr>
        <w:numId w:val="8"/>
      </w:numPr>
      <w:spacing w:before="120"/>
    </w:pPr>
  </w:style>
  <w:style w:type="paragraph" w:styleId="ListNumber4">
    <w:name w:val="List Number 4"/>
    <w:basedOn w:val="Normal"/>
    <w:uiPriority w:val="99"/>
    <w:semiHidden/>
    <w:unhideWhenUsed/>
    <w:rsid w:val="000D3209"/>
    <w:pPr>
      <w:numPr>
        <w:numId w:val="9"/>
      </w:numPr>
      <w:spacing w:before="120"/>
    </w:pPr>
  </w:style>
  <w:style w:type="paragraph" w:styleId="ListNumber5">
    <w:name w:val="List Number 5"/>
    <w:basedOn w:val="Normal"/>
    <w:uiPriority w:val="99"/>
    <w:semiHidden/>
    <w:unhideWhenUsed/>
    <w:rsid w:val="000D3209"/>
    <w:pPr>
      <w:numPr>
        <w:numId w:val="10"/>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unhideWhenUsed/>
    <w:qFormat/>
    <w:rsid w:val="002127F9"/>
    <w:pPr>
      <w:spacing w:before="240"/>
    </w:pPr>
  </w:style>
  <w:style w:type="character" w:customStyle="1" w:styleId="BodyTextChar">
    <w:name w:val="Body Text Char"/>
    <w:basedOn w:val="DefaultParagraphFont"/>
    <w:link w:val="BodyText"/>
    <w:rsid w:val="002127F9"/>
    <w:rPr>
      <w:sz w:val="24"/>
    </w:rPr>
  </w:style>
  <w:style w:type="paragraph" w:customStyle="1" w:styleId="TableHead">
    <w:name w:val="Table Head"/>
    <w:basedOn w:val="Caption"/>
    <w:next w:val="BodyText"/>
    <w:rsid w:val="00CD2118"/>
    <w:rPr>
      <w:bCs/>
    </w:rPr>
  </w:style>
  <w:style w:type="paragraph" w:customStyle="1" w:styleId="TableText">
    <w:name w:val="Table Text"/>
    <w:basedOn w:val="BodyText"/>
    <w:qFormat/>
    <w:rsid w:val="00CD2118"/>
    <w:pPr>
      <w:spacing w:before="40" w:after="40"/>
    </w:pPr>
    <w:rPr>
      <w:rFonts w:eastAsia="Times New Roman" w:cs="Times New Roman"/>
      <w:sz w:val="22"/>
      <w:szCs w:val="20"/>
    </w:rPr>
  </w:style>
  <w:style w:type="paragraph" w:customStyle="1" w:styleId="TableTextCentered">
    <w:name w:val="Table Text Centered"/>
    <w:basedOn w:val="TableText"/>
    <w:rsid w:val="00CD2118"/>
    <w:pPr>
      <w:jc w:val="center"/>
    </w:pPr>
  </w:style>
  <w:style w:type="paragraph" w:customStyle="1" w:styleId="TableColumnHead">
    <w:name w:val="Table Column Head"/>
    <w:basedOn w:val="TableText"/>
    <w:rsid w:val="007025B6"/>
    <w:rPr>
      <w:b/>
      <w:bCs/>
    </w:rPr>
  </w:style>
  <w:style w:type="paragraph" w:customStyle="1" w:styleId="TableColumnHeadCentered">
    <w:name w:val="Table Column Head Centered"/>
    <w:basedOn w:val="TableColumnHead"/>
    <w:rsid w:val="007025B6"/>
    <w:pPr>
      <w:jc w:val="center"/>
    </w:pPr>
    <w:rPr>
      <w:bCs w:val="0"/>
    </w:rPr>
  </w:style>
  <w:style w:type="table" w:styleId="TableGrid">
    <w:name w:val="Table Grid"/>
    <w:basedOn w:val="TableNormal"/>
    <w:rsid w:val="007F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57A5"/>
    <w:pPr>
      <w:spacing w:after="300"/>
      <w:contextualSpacing/>
    </w:pPr>
    <w:rPr>
      <w:rFonts w:ascii="Arial" w:eastAsiaTheme="majorEastAsia" w:hAnsi="Arial" w:cstheme="majorBidi"/>
      <w:b/>
      <w:color w:val="3A5877" w:themeColor="text2" w:themeShade="BF"/>
      <w:spacing w:val="5"/>
      <w:kern w:val="28"/>
      <w:sz w:val="40"/>
      <w:szCs w:val="40"/>
    </w:rPr>
  </w:style>
  <w:style w:type="character" w:customStyle="1" w:styleId="TitleChar">
    <w:name w:val="Title Char"/>
    <w:basedOn w:val="DefaultParagraphFont"/>
    <w:link w:val="Title"/>
    <w:uiPriority w:val="10"/>
    <w:rsid w:val="00F157A5"/>
    <w:rPr>
      <w:rFonts w:ascii="Arial" w:eastAsiaTheme="majorEastAsia" w:hAnsi="Arial" w:cstheme="majorBidi"/>
      <w:b/>
      <w:color w:val="3A5877" w:themeColor="text2" w:themeShade="BF"/>
      <w:spacing w:val="5"/>
      <w:kern w:val="28"/>
      <w:sz w:val="40"/>
      <w:szCs w:val="40"/>
    </w:rPr>
  </w:style>
  <w:style w:type="table" w:customStyle="1" w:styleId="AIRTable">
    <w:name w:val="AIR Table"/>
    <w:basedOn w:val="TableNormal"/>
    <w:uiPriority w:val="99"/>
    <w:rsid w:val="00312AB0"/>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cPr>
        <w:shd w:val="clear" w:color="auto" w:fill="B5C7DB" w:themeFill="text2" w:themeFillTint="66"/>
      </w:tcPr>
    </w:tblStylePr>
    <w:tblStylePr w:type="firstCol">
      <w:tblPr/>
      <w:tcPr>
        <w:shd w:val="clear" w:color="auto" w:fill="B5C7DB" w:themeFill="text2" w:themeFillTint="66"/>
      </w:tcPr>
    </w:tblStylePr>
    <w:tblStylePr w:type="band1Horz">
      <w:tblPr/>
      <w:tcPr>
        <w:shd w:val="clear" w:color="auto" w:fill="DAE3ED" w:themeFill="text2" w:themeFillTint="33"/>
      </w:tcPr>
    </w:tblStyle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semiHidden/>
    <w:unhideWhenUsed/>
    <w:rsid w:val="00954F32"/>
    <w:rPr>
      <w:sz w:val="20"/>
      <w:szCs w:val="20"/>
    </w:rPr>
  </w:style>
  <w:style w:type="character" w:customStyle="1" w:styleId="CommentTextChar">
    <w:name w:val="Comment Text Char"/>
    <w:basedOn w:val="DefaultParagraphFont"/>
    <w:link w:val="CommentText"/>
    <w:uiPriority w:val="99"/>
    <w:semiHidden/>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qFormat/>
    <w:rsid w:val="00FE533A"/>
    <w:pPr>
      <w:spacing w:before="120"/>
    </w:pPr>
    <w:rPr>
      <w:sz w:val="20"/>
    </w:rPr>
  </w:style>
  <w:style w:type="character" w:customStyle="1" w:styleId="TableSourceNoteChar">
    <w:name w:val="Table Source Note Char"/>
    <w:basedOn w:val="BodyTextChar"/>
    <w:link w:val="TableSourceNote"/>
    <w:rsid w:val="00FE533A"/>
    <w:rPr>
      <w:sz w:val="20"/>
    </w:rPr>
  </w:style>
  <w:style w:type="paragraph" w:customStyle="1" w:styleId="CoverPubID">
    <w:name w:val="Cover PubID"/>
    <w:basedOn w:val="Normal"/>
    <w:qFormat/>
    <w:rsid w:val="009A2F1E"/>
    <w:pPr>
      <w:tabs>
        <w:tab w:val="right" w:pos="9360"/>
      </w:tabs>
      <w:jc w:val="right"/>
    </w:pPr>
    <w:rPr>
      <w:sz w:val="16"/>
    </w:rPr>
  </w:style>
  <w:style w:type="paragraph" w:customStyle="1" w:styleId="TableBullet1">
    <w:name w:val="Table Bullet 1"/>
    <w:basedOn w:val="TableText"/>
    <w:qFormat/>
    <w:rsid w:val="009B3DFD"/>
    <w:pPr>
      <w:numPr>
        <w:numId w:val="22"/>
      </w:numPr>
      <w:ind w:left="270" w:hanging="270"/>
    </w:pPr>
    <w:rPr>
      <w:rFonts w:eastAsiaTheme="minorEastAsia"/>
      <w:szCs w:val="24"/>
    </w:rPr>
  </w:style>
  <w:style w:type="paragraph" w:customStyle="1" w:styleId="Bullet1">
    <w:name w:val="Bullet 1"/>
    <w:basedOn w:val="Normal"/>
    <w:qFormat/>
    <w:rsid w:val="009B3DFD"/>
    <w:pPr>
      <w:numPr>
        <w:numId w:val="24"/>
      </w:numPr>
      <w:spacing w:before="120"/>
    </w:pPr>
    <w:rPr>
      <w:rFonts w:eastAsia="Times New Roman" w:cs="Times New Roman"/>
      <w:szCs w:val="24"/>
    </w:rPr>
  </w:style>
  <w:style w:type="paragraph" w:customStyle="1" w:styleId="Bullet2">
    <w:name w:val="Bullet 2"/>
    <w:basedOn w:val="Normal"/>
    <w:qFormat/>
    <w:rsid w:val="00A04610"/>
    <w:pPr>
      <w:numPr>
        <w:numId w:val="23"/>
      </w:numPr>
      <w:spacing w:before="120"/>
    </w:pPr>
    <w:rPr>
      <w:rFonts w:eastAsia="Times New Roman" w:cs="Times New Roman"/>
      <w:szCs w:val="24"/>
    </w:rPr>
  </w:style>
  <w:style w:type="paragraph" w:customStyle="1" w:styleId="Bullet3">
    <w:name w:val="Bullet 3"/>
    <w:basedOn w:val="Normal"/>
    <w:qFormat/>
    <w:rsid w:val="00711005"/>
    <w:pPr>
      <w:numPr>
        <w:ilvl w:val="1"/>
        <w:numId w:val="23"/>
      </w:numPr>
      <w:spacing w:before="120"/>
      <w:contextualSpacing/>
    </w:pPr>
  </w:style>
  <w:style w:type="paragraph" w:customStyle="1" w:styleId="NumberedList">
    <w:name w:val="Numbered List"/>
    <w:basedOn w:val="Normal"/>
    <w:qFormat/>
    <w:rsid w:val="009B3DFD"/>
    <w:pPr>
      <w:numPr>
        <w:numId w:val="25"/>
      </w:numPr>
      <w:spacing w:before="120"/>
    </w:pPr>
    <w:rPr>
      <w:rFonts w:eastAsia="Times New Roman" w:cs="Times New Roman"/>
      <w:szCs w:val="24"/>
    </w:rPr>
  </w:style>
  <w:style w:type="paragraph" w:customStyle="1" w:styleId="TableBullet2">
    <w:name w:val="Table Bullet 2"/>
    <w:basedOn w:val="TableText"/>
    <w:qFormat/>
    <w:rsid w:val="009B3DFD"/>
    <w:pPr>
      <w:numPr>
        <w:numId w:val="27"/>
      </w:numPr>
      <w:ind w:left="540" w:hanging="270"/>
    </w:pPr>
    <w:rPr>
      <w:rFonts w:eastAsiaTheme="minorEastAsia"/>
      <w:szCs w:val="24"/>
    </w:rPr>
  </w:style>
  <w:style w:type="paragraph" w:customStyle="1" w:styleId="TableNumbering">
    <w:name w:val="Table Numbering"/>
    <w:basedOn w:val="TableText"/>
    <w:qFormat/>
    <w:rsid w:val="009B3DFD"/>
    <w:pPr>
      <w:numPr>
        <w:numId w:val="26"/>
      </w:numPr>
      <w:ind w:left="270" w:hanging="270"/>
    </w:pPr>
    <w:rPr>
      <w:rFonts w:eastAsiaTheme="minorEastAsia"/>
      <w:szCs w:val="24"/>
    </w:rPr>
  </w:style>
  <w:style w:type="paragraph" w:customStyle="1" w:styleId="TableNote">
    <w:name w:val="Table Note"/>
    <w:basedOn w:val="Normal"/>
    <w:qFormat/>
    <w:rsid w:val="00892825"/>
    <w:pPr>
      <w:spacing w:before="120"/>
    </w:pPr>
    <w:rPr>
      <w:rFonts w:eastAsia="Times New Roman" w:cs="Times New Roman"/>
      <w:sz w:val="20"/>
      <w:szCs w:val="24"/>
    </w:rPr>
  </w:style>
  <w:style w:type="paragraph" w:customStyle="1" w:styleId="TableTitle">
    <w:name w:val="Table Title"/>
    <w:basedOn w:val="Normal"/>
    <w:qFormat/>
    <w:rsid w:val="009B3DFD"/>
    <w:pPr>
      <w:keepNext/>
      <w:spacing w:before="240" w:after="120"/>
    </w:pPr>
    <w:rPr>
      <w:rFonts w:eastAsia="Times New Roman" w:cs="Times"/>
      <w:b/>
      <w:szCs w:val="24"/>
    </w:rPr>
  </w:style>
  <w:style w:type="paragraph" w:customStyle="1" w:styleId="TableColHeadingLeft">
    <w:name w:val="Table Col Heading Left"/>
    <w:basedOn w:val="TableText"/>
    <w:qFormat/>
    <w:rsid w:val="009B3DFD"/>
    <w:rPr>
      <w:rFonts w:asciiTheme="majorHAnsi" w:eastAsiaTheme="minorEastAsia" w:hAnsiTheme="majorHAnsi"/>
      <w:b/>
      <w:bCs/>
    </w:rPr>
  </w:style>
  <w:style w:type="paragraph" w:customStyle="1" w:styleId="TableColHeadingCenter">
    <w:name w:val="Table Col Heading Center"/>
    <w:basedOn w:val="TableColHeadingLeft"/>
    <w:qFormat/>
    <w:rsid w:val="009B3DFD"/>
    <w:pPr>
      <w:jc w:val="center"/>
    </w:pPr>
  </w:style>
  <w:style w:type="paragraph" w:customStyle="1" w:styleId="BlockQuote">
    <w:name w:val="Block Quote"/>
    <w:basedOn w:val="BodyText"/>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paragraph" w:styleId="NoSpacing">
    <w:name w:val="No Spacing"/>
    <w:link w:val="NoSpacingChar"/>
    <w:uiPriority w:val="1"/>
    <w:rsid w:val="007C4E10"/>
    <w:rPr>
      <w:sz w:val="24"/>
    </w:rPr>
  </w:style>
  <w:style w:type="character" w:customStyle="1" w:styleId="NoSpacingChar">
    <w:name w:val="No Spacing Char"/>
    <w:basedOn w:val="DefaultParagraphFont"/>
    <w:link w:val="NoSpacing"/>
    <w:uiPriority w:val="1"/>
    <w:rsid w:val="007C4E10"/>
    <w:rPr>
      <w:sz w:val="24"/>
    </w:rPr>
  </w:style>
  <w:style w:type="character" w:styleId="Strong">
    <w:name w:val="Strong"/>
    <w:basedOn w:val="DefaultParagraphFont"/>
    <w:uiPriority w:val="22"/>
    <w:qFormat/>
    <w:rsid w:val="007C4E10"/>
    <w:rPr>
      <w:b/>
      <w:bCs/>
    </w:rPr>
  </w:style>
  <w:style w:type="paragraph" w:customStyle="1" w:styleId="Author">
    <w:name w:val="Author"/>
    <w:basedOn w:val="NoSpacing"/>
    <w:next w:val="NoSpacing"/>
    <w:link w:val="AuthorChar"/>
    <w:rsid w:val="007C4E10"/>
  </w:style>
  <w:style w:type="character" w:customStyle="1" w:styleId="AuthorChar">
    <w:name w:val="Author Char"/>
    <w:basedOn w:val="NoSpacingChar"/>
    <w:link w:val="Author"/>
    <w:rsid w:val="007C4E10"/>
    <w:rPr>
      <w:sz w:val="24"/>
    </w:rPr>
  </w:style>
  <w:style w:type="paragraph" w:customStyle="1" w:styleId="Recipient">
    <w:name w:val="Recipient"/>
    <w:basedOn w:val="NoSpacing"/>
    <w:next w:val="NoSpacing"/>
    <w:link w:val="RecipientChar"/>
    <w:rsid w:val="007C4E10"/>
  </w:style>
  <w:style w:type="character" w:customStyle="1" w:styleId="RecipientChar">
    <w:name w:val="Recipient Char"/>
    <w:basedOn w:val="NoSpacingChar"/>
    <w:link w:val="Recipient"/>
    <w:rsid w:val="007C4E10"/>
    <w:rPr>
      <w:sz w:val="24"/>
    </w:rPr>
  </w:style>
  <w:style w:type="paragraph" w:customStyle="1" w:styleId="MDY">
    <w:name w:val="MDY"/>
    <w:basedOn w:val="Normal"/>
    <w:link w:val="MDYChar"/>
    <w:rsid w:val="007C4E10"/>
    <w:rPr>
      <w:rFonts w:ascii="Times New Roman" w:hAnsi="Times New Roman"/>
    </w:rPr>
  </w:style>
  <w:style w:type="character" w:customStyle="1" w:styleId="MDYChar">
    <w:name w:val="MDY Char"/>
    <w:basedOn w:val="DefaultParagraphFont"/>
    <w:link w:val="MDY"/>
    <w:rsid w:val="007C4E10"/>
    <w:rPr>
      <w:rFonts w:ascii="Times New Roman" w:hAnsi="Times New Roman"/>
      <w:sz w:val="24"/>
    </w:rPr>
  </w:style>
  <w:style w:type="paragraph" w:customStyle="1" w:styleId="Cc">
    <w:name w:val="Cc"/>
    <w:basedOn w:val="Author"/>
    <w:rsid w:val="007C4E10"/>
  </w:style>
  <w:style w:type="paragraph" w:styleId="ListParagraph">
    <w:name w:val="List Paragraph"/>
    <w:basedOn w:val="Normal"/>
    <w:uiPriority w:val="34"/>
    <w:qFormat/>
    <w:rsid w:val="00E17B0A"/>
    <w:pPr>
      <w:spacing w:after="200" w:line="276" w:lineRule="auto"/>
      <w:ind w:left="720"/>
      <w:contextualSpacing/>
    </w:pPr>
    <w:rPr>
      <w:rFonts w:eastAsiaTheme="minorHAnsi"/>
      <w:sz w:val="22"/>
    </w:rPr>
  </w:style>
  <w:style w:type="table" w:styleId="LightList-Accent1">
    <w:name w:val="Light List Accent 1"/>
    <w:basedOn w:val="TableNormal"/>
    <w:uiPriority w:val="61"/>
    <w:rsid w:val="00E17B0A"/>
    <w:rPr>
      <w:rFonts w:eastAsiaTheme="minorHAnsi"/>
    </w:rPr>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paragraph" w:styleId="Revision">
    <w:name w:val="Revision"/>
    <w:hidden/>
    <w:uiPriority w:val="99"/>
    <w:semiHidden/>
    <w:rsid w:val="00204C2C"/>
    <w:rPr>
      <w:sz w:val="24"/>
    </w:rPr>
  </w:style>
  <w:style w:type="paragraph" w:styleId="FootnoteText">
    <w:name w:val="footnote text"/>
    <w:basedOn w:val="Normal"/>
    <w:link w:val="FootnoteTextChar"/>
    <w:uiPriority w:val="99"/>
    <w:semiHidden/>
    <w:unhideWhenUsed/>
    <w:rsid w:val="00DD6415"/>
    <w:rPr>
      <w:sz w:val="20"/>
      <w:szCs w:val="20"/>
    </w:rPr>
  </w:style>
  <w:style w:type="character" w:customStyle="1" w:styleId="FootnoteTextChar">
    <w:name w:val="Footnote Text Char"/>
    <w:basedOn w:val="DefaultParagraphFont"/>
    <w:link w:val="FootnoteText"/>
    <w:uiPriority w:val="99"/>
    <w:semiHidden/>
    <w:rsid w:val="00DD6415"/>
    <w:rPr>
      <w:sz w:val="20"/>
      <w:szCs w:val="20"/>
    </w:rPr>
  </w:style>
  <w:style w:type="character" w:styleId="FootnoteReference">
    <w:name w:val="footnote reference"/>
    <w:basedOn w:val="DefaultParagraphFont"/>
    <w:uiPriority w:val="99"/>
    <w:semiHidden/>
    <w:unhideWhenUsed/>
    <w:rsid w:val="00DD6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scristobal\Desktop\MA%20Assessment%20Audit\Copy%20of%20MA%20Phase%201%20Districts%20and%20Schoo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ristobal\Desktop\MA%20Assessment%20Audit\Copy%20of%20MA%20Phase%201%20Districts%20and%20Schoo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marchand\AppData\Local\Microsoft\Windows\Temporary%20Internet%20Files\Content.Outlook\BAVYX3M9\MA%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marchand\Documents\Projects\MA%20District%20Assessment\Phase%202\Sample\MA%20District%20Assessment%20Phase%202%20sampl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ivotFmts>
      <c:pivotFmt>
        <c:idx val="0"/>
      </c:pivotFmt>
      <c:pivotFmt>
        <c:idx val="1"/>
      </c:pivotFmt>
      <c:pivotFmt>
        <c:idx val="2"/>
      </c:pivotFmt>
      <c:pivotFmt>
        <c:idx val="3"/>
      </c:pivotFmt>
      <c:pivotFmt>
        <c:idx val="4"/>
      </c:pivotFmt>
      <c:pivotFmt>
        <c:idx val="5"/>
        <c:dLbl>
          <c:idx val="0"/>
          <c:spPr/>
          <c:txPr>
            <a:bodyPr/>
            <a:lstStyle/>
            <a:p>
              <a:pPr>
                <a:defRPr/>
              </a:pPr>
              <a:endParaRPr lang="en-US"/>
            </a:p>
          </c:txPr>
          <c:showVal val="1"/>
        </c:dLbl>
      </c:pivotFmt>
      <c:pivotFmt>
        <c:idx val="6"/>
        <c:dLbl>
          <c:idx val="0"/>
          <c:spPr/>
          <c:txPr>
            <a:bodyPr/>
            <a:lstStyle/>
            <a:p>
              <a:pPr>
                <a:defRPr/>
              </a:pPr>
              <a:endParaRPr lang="en-US"/>
            </a:p>
          </c:txPr>
          <c:showVal val="1"/>
        </c:dLbl>
      </c:pivotFmt>
      <c:pivotFmt>
        <c:idx val="7"/>
        <c:dLbl>
          <c:idx val="0"/>
          <c:spPr/>
          <c:txPr>
            <a:bodyPr/>
            <a:lstStyle/>
            <a:p>
              <a:pPr>
                <a:defRPr/>
              </a:pPr>
              <a:endParaRPr lang="en-US"/>
            </a:p>
          </c:txPr>
          <c:showVal val="1"/>
        </c:dLbl>
      </c:pivotFmt>
      <c:pivotFmt>
        <c:idx val="8"/>
        <c:dLbl>
          <c:idx val="0"/>
          <c:spPr/>
          <c:txPr>
            <a:bodyPr/>
            <a:lstStyle/>
            <a:p>
              <a:pPr>
                <a:defRPr/>
              </a:pPr>
              <a:endParaRPr lang="en-US"/>
            </a:p>
          </c:txPr>
          <c:showVal val="1"/>
        </c:dLbl>
      </c:pivotFmt>
      <c:pivotFmt>
        <c:idx val="9"/>
        <c:dLbl>
          <c:idx val="0"/>
          <c:tx>
            <c:rich>
              <a:bodyPr/>
              <a:lstStyle/>
              <a:p>
                <a:r>
                  <a:rPr lang="en-US"/>
                  <a:t>22%</a:t>
                </a:r>
              </a:p>
            </c:rich>
          </c:tx>
          <c:showVal val="1"/>
        </c:dLbl>
      </c:pivotFmt>
      <c:pivotFmt>
        <c:idx val="10"/>
        <c:dLbl>
          <c:idx val="0"/>
          <c:tx>
            <c:rich>
              <a:bodyPr/>
              <a:lstStyle/>
              <a:p>
                <a:r>
                  <a:rPr lang="en-US"/>
                  <a:t>30%</a:t>
                </a:r>
              </a:p>
            </c:rich>
          </c:tx>
          <c:showVal val="1"/>
        </c:dLbl>
      </c:pivotFmt>
      <c:pivotFmt>
        <c:idx val="11"/>
        <c:dLbl>
          <c:idx val="0"/>
          <c:tx>
            <c:rich>
              <a:bodyPr/>
              <a:lstStyle/>
              <a:p>
                <a:r>
                  <a:rPr lang="en-US"/>
                  <a:t>43%</a:t>
                </a:r>
              </a:p>
            </c:rich>
          </c:tx>
          <c:showVal val="1"/>
        </c:dLbl>
      </c:pivotFmt>
      <c:pivotFmt>
        <c:idx val="12"/>
        <c:dLbl>
          <c:idx val="0"/>
          <c:tx>
            <c:rich>
              <a:bodyPr/>
              <a:lstStyle/>
              <a:p>
                <a:r>
                  <a:rPr lang="en-US"/>
                  <a:t>5%</a:t>
                </a:r>
              </a:p>
            </c:rich>
          </c:tx>
          <c:showVal val="1"/>
        </c:dLbl>
      </c:pivotFmt>
      <c:pivotFmt>
        <c:idx val="13"/>
        <c:marker>
          <c:symbol val="none"/>
        </c:marker>
        <c:dLbl>
          <c:idx val="0"/>
          <c:spPr/>
          <c:txPr>
            <a:bodyPr/>
            <a:lstStyle/>
            <a:p>
              <a:pPr>
                <a:defRPr/>
              </a:pPr>
              <a:endParaRPr lang="en-US"/>
            </a:p>
          </c:txPr>
          <c:showVal val="1"/>
        </c:dLbl>
      </c:pivotFmt>
      <c:pivotFmt>
        <c:idx val="14"/>
        <c:dLbl>
          <c:idx val="0"/>
          <c:tx>
            <c:rich>
              <a:bodyPr/>
              <a:lstStyle/>
              <a:p>
                <a:r>
                  <a:rPr lang="en-US"/>
                  <a:t>22%</a:t>
                </a:r>
              </a:p>
            </c:rich>
          </c:tx>
          <c:showVal val="1"/>
        </c:dLbl>
      </c:pivotFmt>
      <c:pivotFmt>
        <c:idx val="15"/>
        <c:marker>
          <c:symbol val="none"/>
        </c:marker>
        <c:dLbl>
          <c:idx val="0"/>
          <c:spPr/>
          <c:txPr>
            <a:bodyPr/>
            <a:lstStyle/>
            <a:p>
              <a:pPr>
                <a:defRPr/>
              </a:pPr>
              <a:endParaRPr lang="en-US"/>
            </a:p>
          </c:txPr>
          <c:showVal val="1"/>
        </c:dLbl>
      </c:pivotFmt>
      <c:pivotFmt>
        <c:idx val="16"/>
        <c:dLbl>
          <c:idx val="0"/>
          <c:tx>
            <c:rich>
              <a:bodyPr/>
              <a:lstStyle/>
              <a:p>
                <a:r>
                  <a:rPr lang="en-US"/>
                  <a:t>30%</a:t>
                </a:r>
              </a:p>
            </c:rich>
          </c:tx>
          <c:showVal val="1"/>
        </c:dLbl>
      </c:pivotFmt>
      <c:pivotFmt>
        <c:idx val="17"/>
        <c:marker>
          <c:symbol val="none"/>
        </c:marker>
        <c:dLbl>
          <c:idx val="0"/>
          <c:spPr/>
          <c:txPr>
            <a:bodyPr/>
            <a:lstStyle/>
            <a:p>
              <a:pPr>
                <a:defRPr/>
              </a:pPr>
              <a:endParaRPr lang="en-US"/>
            </a:p>
          </c:txPr>
          <c:showVal val="1"/>
        </c:dLbl>
      </c:pivotFmt>
      <c:pivotFmt>
        <c:idx val="18"/>
        <c:dLbl>
          <c:idx val="0"/>
          <c:tx>
            <c:rich>
              <a:bodyPr/>
              <a:lstStyle/>
              <a:p>
                <a:r>
                  <a:rPr lang="en-US"/>
                  <a:t>43%</a:t>
                </a:r>
              </a:p>
            </c:rich>
          </c:tx>
          <c:showVal val="1"/>
        </c:dLbl>
      </c:pivotFmt>
      <c:pivotFmt>
        <c:idx val="19"/>
        <c:marker>
          <c:symbol val="none"/>
        </c:marker>
        <c:dLbl>
          <c:idx val="0"/>
          <c:spPr/>
          <c:txPr>
            <a:bodyPr/>
            <a:lstStyle/>
            <a:p>
              <a:pPr>
                <a:defRPr/>
              </a:pPr>
              <a:endParaRPr lang="en-US"/>
            </a:p>
          </c:txPr>
          <c:showVal val="1"/>
        </c:dLbl>
      </c:pivotFmt>
      <c:pivotFmt>
        <c:idx val="20"/>
        <c:dLbl>
          <c:idx val="0"/>
          <c:tx>
            <c:rich>
              <a:bodyPr/>
              <a:lstStyle/>
              <a:p>
                <a:r>
                  <a:rPr lang="en-US"/>
                  <a:t>5%</a:t>
                </a:r>
              </a:p>
            </c:rich>
          </c:tx>
          <c:showVal val="1"/>
        </c:dLbl>
      </c:pivotFmt>
      <c:pivotFmt>
        <c:idx val="21"/>
        <c:marker>
          <c:symbol val="none"/>
        </c:marker>
        <c:dLbl>
          <c:idx val="0"/>
          <c:spPr/>
          <c:txPr>
            <a:bodyPr/>
            <a:lstStyle/>
            <a:p>
              <a:pPr>
                <a:defRPr/>
              </a:pPr>
              <a:endParaRPr lang="en-US"/>
            </a:p>
          </c:txPr>
          <c:showVal val="1"/>
        </c:dLbl>
      </c:pivotFmt>
      <c:pivotFmt>
        <c:idx val="22"/>
        <c:dLbl>
          <c:idx val="0"/>
          <c:tx>
            <c:rich>
              <a:bodyPr/>
              <a:lstStyle/>
              <a:p>
                <a:r>
                  <a:rPr lang="en-US"/>
                  <a:t>22%</a:t>
                </a:r>
              </a:p>
            </c:rich>
          </c:tx>
          <c:showVal val="1"/>
        </c:dLbl>
      </c:pivotFmt>
      <c:pivotFmt>
        <c:idx val="23"/>
        <c:marker>
          <c:symbol val="none"/>
        </c:marker>
        <c:dLbl>
          <c:idx val="0"/>
          <c:spPr/>
          <c:txPr>
            <a:bodyPr/>
            <a:lstStyle/>
            <a:p>
              <a:pPr>
                <a:defRPr/>
              </a:pPr>
              <a:endParaRPr lang="en-US"/>
            </a:p>
          </c:txPr>
          <c:showVal val="1"/>
        </c:dLbl>
      </c:pivotFmt>
      <c:pivotFmt>
        <c:idx val="24"/>
        <c:dLbl>
          <c:idx val="0"/>
          <c:tx>
            <c:rich>
              <a:bodyPr/>
              <a:lstStyle/>
              <a:p>
                <a:r>
                  <a:rPr lang="en-US"/>
                  <a:t>30%</a:t>
                </a:r>
              </a:p>
            </c:rich>
          </c:tx>
          <c:showVal val="1"/>
        </c:dLbl>
      </c:pivotFmt>
      <c:pivotFmt>
        <c:idx val="25"/>
        <c:marker>
          <c:symbol val="none"/>
        </c:marker>
        <c:dLbl>
          <c:idx val="0"/>
          <c:spPr/>
          <c:txPr>
            <a:bodyPr/>
            <a:lstStyle/>
            <a:p>
              <a:pPr>
                <a:defRPr/>
              </a:pPr>
              <a:endParaRPr lang="en-US"/>
            </a:p>
          </c:txPr>
          <c:showVal val="1"/>
        </c:dLbl>
      </c:pivotFmt>
      <c:pivotFmt>
        <c:idx val="26"/>
        <c:dLbl>
          <c:idx val="0"/>
          <c:tx>
            <c:rich>
              <a:bodyPr/>
              <a:lstStyle/>
              <a:p>
                <a:r>
                  <a:rPr lang="en-US"/>
                  <a:t>43%</a:t>
                </a:r>
              </a:p>
            </c:rich>
          </c:tx>
          <c:showVal val="1"/>
        </c:dLbl>
      </c:pivotFmt>
      <c:pivotFmt>
        <c:idx val="27"/>
        <c:marker>
          <c:symbol val="none"/>
        </c:marker>
        <c:dLbl>
          <c:idx val="0"/>
          <c:spPr/>
          <c:txPr>
            <a:bodyPr/>
            <a:lstStyle/>
            <a:p>
              <a:pPr>
                <a:defRPr/>
              </a:pPr>
              <a:endParaRPr lang="en-US"/>
            </a:p>
          </c:txPr>
          <c:showVal val="1"/>
        </c:dLbl>
      </c:pivotFmt>
      <c:pivotFmt>
        <c:idx val="28"/>
        <c:dLbl>
          <c:idx val="0"/>
          <c:tx>
            <c:rich>
              <a:bodyPr/>
              <a:lstStyle/>
              <a:p>
                <a:r>
                  <a:rPr lang="en-US"/>
                  <a:t>5%</a:t>
                </a:r>
              </a:p>
            </c:rich>
          </c:tx>
          <c:showVal val="1"/>
        </c:dLbl>
      </c:pivotFmt>
    </c:pivotFmts>
    <c:plotArea>
      <c:layout/>
      <c:barChart>
        <c:barDir val="bar"/>
        <c:grouping val="clustered"/>
        <c:ser>
          <c:idx val="0"/>
          <c:order val="0"/>
          <c:tx>
            <c:strRef>
              <c:f>Sheet1!$B$3:$B$4</c:f>
              <c:strCache>
                <c:ptCount val="1"/>
                <c:pt idx="0">
                  <c:v>Level 1</c:v>
                </c:pt>
              </c:strCache>
            </c:strRef>
          </c:tx>
          <c:dLbls>
            <c:dLbl>
              <c:idx val="0"/>
              <c:tx>
                <c:rich>
                  <a:bodyPr/>
                  <a:lstStyle/>
                  <a:p>
                    <a:r>
                      <a:rPr lang="en-US">
                        <a:latin typeface="Arial" pitchFamily="34" charset="0"/>
                        <a:cs typeface="Arial" pitchFamily="34" charset="0"/>
                      </a:rPr>
                      <a:t>22%</a:t>
                    </a:r>
                    <a:endParaRPr lang="en-US"/>
                  </a:p>
                </c:rich>
              </c:tx>
              <c:showVal val="1"/>
            </c:dLbl>
            <c:showVal val="1"/>
          </c:dLbls>
          <c:cat>
            <c:strRef>
              <c:f>Sheet1!$A$5</c:f>
              <c:strCache>
                <c:ptCount val="1"/>
                <c:pt idx="0">
                  <c:v>Total</c:v>
                </c:pt>
              </c:strCache>
            </c:strRef>
          </c:cat>
          <c:val>
            <c:numRef>
              <c:f>Sheet1!$B$5</c:f>
              <c:numCache>
                <c:formatCode>General</c:formatCode>
                <c:ptCount val="1"/>
                <c:pt idx="0">
                  <c:v>9</c:v>
                </c:pt>
              </c:numCache>
            </c:numRef>
          </c:val>
        </c:ser>
        <c:ser>
          <c:idx val="1"/>
          <c:order val="1"/>
          <c:tx>
            <c:strRef>
              <c:f>Sheet1!$C$3:$C$4</c:f>
              <c:strCache>
                <c:ptCount val="1"/>
                <c:pt idx="0">
                  <c:v>Level 2</c:v>
                </c:pt>
              </c:strCache>
            </c:strRef>
          </c:tx>
          <c:dLbls>
            <c:dLbl>
              <c:idx val="0"/>
              <c:tx>
                <c:rich>
                  <a:bodyPr/>
                  <a:lstStyle/>
                  <a:p>
                    <a:r>
                      <a:rPr lang="en-US">
                        <a:latin typeface="Arial" pitchFamily="34" charset="0"/>
                        <a:cs typeface="Arial" pitchFamily="34" charset="0"/>
                      </a:rPr>
                      <a:t>30%</a:t>
                    </a:r>
                    <a:endParaRPr lang="en-US"/>
                  </a:p>
                </c:rich>
              </c:tx>
              <c:showVal val="1"/>
            </c:dLbl>
            <c:showVal val="1"/>
          </c:dLbls>
          <c:cat>
            <c:strRef>
              <c:f>Sheet1!$A$5</c:f>
              <c:strCache>
                <c:ptCount val="1"/>
                <c:pt idx="0">
                  <c:v>Total</c:v>
                </c:pt>
              </c:strCache>
            </c:strRef>
          </c:cat>
          <c:val>
            <c:numRef>
              <c:f>Sheet1!$C$5</c:f>
              <c:numCache>
                <c:formatCode>General</c:formatCode>
                <c:ptCount val="1"/>
                <c:pt idx="0">
                  <c:v>12</c:v>
                </c:pt>
              </c:numCache>
            </c:numRef>
          </c:val>
        </c:ser>
        <c:ser>
          <c:idx val="2"/>
          <c:order val="2"/>
          <c:tx>
            <c:strRef>
              <c:f>Sheet1!$D$3:$D$4</c:f>
              <c:strCache>
                <c:ptCount val="1"/>
                <c:pt idx="0">
                  <c:v>Level 3</c:v>
                </c:pt>
              </c:strCache>
            </c:strRef>
          </c:tx>
          <c:dLbls>
            <c:dLbl>
              <c:idx val="0"/>
              <c:tx>
                <c:rich>
                  <a:bodyPr/>
                  <a:lstStyle/>
                  <a:p>
                    <a:r>
                      <a:rPr lang="en-US">
                        <a:latin typeface="Arial" pitchFamily="34" charset="0"/>
                        <a:cs typeface="Arial" pitchFamily="34" charset="0"/>
                      </a:rPr>
                      <a:t>43%</a:t>
                    </a:r>
                    <a:endParaRPr lang="en-US"/>
                  </a:p>
                </c:rich>
              </c:tx>
              <c:showVal val="1"/>
            </c:dLbl>
            <c:showVal val="1"/>
          </c:dLbls>
          <c:cat>
            <c:strRef>
              <c:f>Sheet1!$A$5</c:f>
              <c:strCache>
                <c:ptCount val="1"/>
                <c:pt idx="0">
                  <c:v>Total</c:v>
                </c:pt>
              </c:strCache>
            </c:strRef>
          </c:cat>
          <c:val>
            <c:numRef>
              <c:f>Sheet1!$D$5</c:f>
              <c:numCache>
                <c:formatCode>General</c:formatCode>
                <c:ptCount val="1"/>
                <c:pt idx="0">
                  <c:v>17</c:v>
                </c:pt>
              </c:numCache>
            </c:numRef>
          </c:val>
        </c:ser>
        <c:ser>
          <c:idx val="3"/>
          <c:order val="3"/>
          <c:tx>
            <c:strRef>
              <c:f>Sheet1!$E$3:$E$4</c:f>
              <c:strCache>
                <c:ptCount val="1"/>
                <c:pt idx="0">
                  <c:v>Level 4</c:v>
                </c:pt>
              </c:strCache>
            </c:strRef>
          </c:tx>
          <c:dLbls>
            <c:dLbl>
              <c:idx val="0"/>
              <c:tx>
                <c:rich>
                  <a:bodyPr/>
                  <a:lstStyle/>
                  <a:p>
                    <a:r>
                      <a:rPr lang="en-US">
                        <a:latin typeface="Arial" pitchFamily="34" charset="0"/>
                        <a:cs typeface="Arial" pitchFamily="34" charset="0"/>
                      </a:rPr>
                      <a:t>5%</a:t>
                    </a:r>
                    <a:endParaRPr lang="en-US"/>
                  </a:p>
                </c:rich>
              </c:tx>
              <c:showVal val="1"/>
            </c:dLbl>
            <c:showVal val="1"/>
          </c:dLbls>
          <c:cat>
            <c:strRef>
              <c:f>Sheet1!$A$5</c:f>
              <c:strCache>
                <c:ptCount val="1"/>
                <c:pt idx="0">
                  <c:v>Total</c:v>
                </c:pt>
              </c:strCache>
            </c:strRef>
          </c:cat>
          <c:val>
            <c:numRef>
              <c:f>Sheet1!$E$5</c:f>
              <c:numCache>
                <c:formatCode>General</c:formatCode>
                <c:ptCount val="1"/>
                <c:pt idx="0">
                  <c:v>2</c:v>
                </c:pt>
              </c:numCache>
            </c:numRef>
          </c:val>
        </c:ser>
        <c:dLbls>
          <c:showVal val="1"/>
        </c:dLbls>
        <c:gapWidth val="75"/>
        <c:axId val="112664576"/>
        <c:axId val="112666112"/>
      </c:barChart>
      <c:catAx>
        <c:axId val="112664576"/>
        <c:scaling>
          <c:orientation val="minMax"/>
        </c:scaling>
        <c:delete val="1"/>
        <c:axPos val="l"/>
        <c:majorTickMark val="none"/>
        <c:tickLblPos val="none"/>
        <c:crossAx val="112666112"/>
        <c:crosses val="autoZero"/>
        <c:auto val="1"/>
        <c:lblAlgn val="ctr"/>
        <c:lblOffset val="100"/>
      </c:catAx>
      <c:valAx>
        <c:axId val="112666112"/>
        <c:scaling>
          <c:orientation val="minMax"/>
        </c:scaling>
        <c:delete val="1"/>
        <c:axPos val="b"/>
        <c:numFmt formatCode="General" sourceLinked="1"/>
        <c:majorTickMark val="none"/>
        <c:tickLblPos val="none"/>
        <c:crossAx val="112664576"/>
        <c:crosses val="autoZero"/>
        <c:crossBetween val="between"/>
      </c:valAx>
    </c:plotArea>
    <c:legend>
      <c:legendPos val="l"/>
      <c:layout>
        <c:manualLayout>
          <c:xMode val="edge"/>
          <c:yMode val="edge"/>
          <c:x val="1.0200931140991486E-6"/>
          <c:y val="0.14582945343752601"/>
          <c:w val="9.7775178232282808E-2"/>
          <c:h val="0.71496658944121882"/>
        </c:manualLayout>
      </c:layout>
    </c:legend>
    <c:plotVisOnly val="1"/>
    <c:dispBlanksAs val="gap"/>
  </c:chart>
  <c:externalData r:id="rId1"/>
  <c:extLs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pivotSource>
    <c:name>[Copy of MA Phase 1 Districts and Schools.xlsx]Sheet4!PivotTable4</c:name>
    <c:fmtId val="-1"/>
  </c:pivotSource>
  <c:chart>
    <c:autoTitleDeleted val="1"/>
    <c:pivotFmts>
      <c:pivotFmt>
        <c:idx val="0"/>
        <c:marker>
          <c:symbol val="none"/>
        </c:marker>
      </c:pivotFmt>
      <c:pivotFmt>
        <c:idx val="1"/>
      </c:pivotFmt>
      <c:pivotFmt>
        <c:idx val="2"/>
        <c:marker>
          <c:symbol val="none"/>
        </c:marker>
        <c:dLbl>
          <c:idx val="0"/>
          <c:spPr/>
          <c:txPr>
            <a:bodyPr/>
            <a:lstStyle/>
            <a:p>
              <a:pPr>
                <a:defRPr/>
              </a:pPr>
              <a:endParaRPr lang="en-US"/>
            </a:p>
          </c:txPr>
          <c:dLblPos val="outEnd"/>
          <c:showPercent val="1"/>
        </c:dLbl>
      </c:pivotFmt>
      <c:pivotFmt>
        <c:idx val="3"/>
        <c:marker>
          <c:symbol val="none"/>
        </c:marker>
        <c:dLbl>
          <c:idx val="0"/>
          <c:spPr/>
          <c:txPr>
            <a:bodyPr/>
            <a:lstStyle/>
            <a:p>
              <a:pPr>
                <a:defRPr/>
              </a:pPr>
              <a:endParaRPr lang="en-US"/>
            </a:p>
          </c:txPr>
          <c:dLblPos val="outEnd"/>
          <c:showPercent val="1"/>
        </c:dLbl>
      </c:pivotFmt>
      <c:pivotFmt>
        <c:idx val="4"/>
        <c:marker>
          <c:symbol val="none"/>
        </c:marker>
        <c:dLbl>
          <c:idx val="0"/>
          <c:spPr/>
          <c:txPr>
            <a:bodyPr/>
            <a:lstStyle/>
            <a:p>
              <a:pPr>
                <a:defRPr/>
              </a:pPr>
              <a:endParaRPr lang="en-US"/>
            </a:p>
          </c:txPr>
          <c:dLblPos val="outEnd"/>
          <c:showPercent val="1"/>
        </c:dLbl>
      </c:pivotFmt>
    </c:pivotFmts>
    <c:plotArea>
      <c:layout>
        <c:manualLayout>
          <c:layoutTarget val="inner"/>
          <c:xMode val="edge"/>
          <c:yMode val="edge"/>
          <c:x val="0.30143835385961443"/>
          <c:y val="0.14753746155691796"/>
          <c:w val="0.48824359931935124"/>
          <c:h val="0.74735533404584864"/>
        </c:manualLayout>
      </c:layout>
      <c:pieChart>
        <c:varyColors val="1"/>
        <c:ser>
          <c:idx val="0"/>
          <c:order val="0"/>
          <c:tx>
            <c:strRef>
              <c:f>Sheet4!$B$1</c:f>
              <c:strCache>
                <c:ptCount val="1"/>
                <c:pt idx="0">
                  <c:v>Total</c:v>
                </c:pt>
              </c:strCache>
            </c:strRef>
          </c:tx>
          <c:dLbls>
            <c:dLbl>
              <c:idx val="3"/>
              <c:layout>
                <c:manualLayout>
                  <c:x val="-8.1597880625107325E-2"/>
                  <c:y val="-1.8932321322060307E-2"/>
                </c:manualLayout>
              </c:layout>
              <c:dLblPos val="bestFit"/>
              <c:showCatName val="1"/>
              <c:showPercent val="1"/>
            </c:dLbl>
            <c:dLblPos val="bestFit"/>
            <c:showCatName val="1"/>
            <c:showPercent val="1"/>
            <c:showLeaderLines val="1"/>
          </c:dLbls>
          <c:cat>
            <c:strRef>
              <c:f>Sheet4!$A$2:$A$9</c:f>
              <c:strCache>
                <c:ptCount val="7"/>
                <c:pt idx="0">
                  <c:v>Berkshires</c:v>
                </c:pt>
                <c:pt idx="1">
                  <c:v>Central</c:v>
                </c:pt>
                <c:pt idx="2">
                  <c:v>Greater Boston</c:v>
                </c:pt>
                <c:pt idx="3">
                  <c:v>Northeast</c:v>
                </c:pt>
                <c:pt idx="4">
                  <c:v>Pioneer Valley</c:v>
                </c:pt>
                <c:pt idx="5">
                  <c:v>Southeast</c:v>
                </c:pt>
                <c:pt idx="6">
                  <c:v>Southwest</c:v>
                </c:pt>
              </c:strCache>
            </c:strRef>
          </c:cat>
          <c:val>
            <c:numRef>
              <c:f>Sheet4!$B$2:$B$9</c:f>
              <c:numCache>
                <c:formatCode>General</c:formatCode>
                <c:ptCount val="7"/>
                <c:pt idx="0">
                  <c:v>3</c:v>
                </c:pt>
                <c:pt idx="1">
                  <c:v>6</c:v>
                </c:pt>
                <c:pt idx="2">
                  <c:v>9</c:v>
                </c:pt>
                <c:pt idx="3">
                  <c:v>6</c:v>
                </c:pt>
                <c:pt idx="4">
                  <c:v>6</c:v>
                </c:pt>
                <c:pt idx="5">
                  <c:v>9</c:v>
                </c:pt>
                <c:pt idx="6">
                  <c:v>1</c:v>
                </c:pt>
              </c:numCache>
            </c:numRef>
          </c:val>
        </c:ser>
        <c:dLbls>
          <c:showPercent val="1"/>
        </c:dLbls>
        <c:firstSliceAng val="0"/>
      </c:pieChart>
    </c:plotArea>
    <c:plotVisOnly val="1"/>
    <c:dispBlanksAs val="zero"/>
  </c:chart>
  <c:externalData r:id="rId1"/>
  <c:extLst>
    <c:ext xmlns:c14="http://schemas.microsoft.com/office/drawing/2007/8/2/chart" uri="{781A3756-C4B2-4CAC-9D66-4F8BD8637D16}">
      <c14:pivotOptions>
        <c14:dropZoneFilter val="1"/>
        <c14:dropZoneData val="1"/>
        <c14:dropZoneSeries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barChart>
        <c:barDir val="col"/>
        <c:grouping val="clustered"/>
        <c:ser>
          <c:idx val="0"/>
          <c:order val="0"/>
          <c:tx>
            <c:strRef>
              <c:f>Sheet2!$B$1</c:f>
              <c:strCache>
                <c:ptCount val="1"/>
                <c:pt idx="0">
                  <c:v>Yes</c:v>
                </c:pt>
              </c:strCache>
            </c:strRef>
          </c:tx>
          <c:cat>
            <c:strRef>
              <c:f>Sheet2!$A$2:$A$3</c:f>
              <c:strCache>
                <c:ptCount val="2"/>
                <c:pt idx="0">
                  <c:v>Urban District</c:v>
                </c:pt>
                <c:pt idx="1">
                  <c:v>Charter District</c:v>
                </c:pt>
              </c:strCache>
            </c:strRef>
          </c:cat>
          <c:val>
            <c:numRef>
              <c:f>Sheet2!$B$2:$B$3</c:f>
              <c:numCache>
                <c:formatCode>0%</c:formatCode>
                <c:ptCount val="2"/>
                <c:pt idx="0">
                  <c:v>0.22</c:v>
                </c:pt>
                <c:pt idx="1">
                  <c:v>0.2</c:v>
                </c:pt>
              </c:numCache>
            </c:numRef>
          </c:val>
        </c:ser>
        <c:ser>
          <c:idx val="1"/>
          <c:order val="1"/>
          <c:tx>
            <c:strRef>
              <c:f>Sheet2!$C$1</c:f>
              <c:strCache>
                <c:ptCount val="1"/>
                <c:pt idx="0">
                  <c:v>No</c:v>
                </c:pt>
              </c:strCache>
            </c:strRef>
          </c:tx>
          <c:cat>
            <c:strRef>
              <c:f>Sheet2!$A$2:$A$3</c:f>
              <c:strCache>
                <c:ptCount val="2"/>
                <c:pt idx="0">
                  <c:v>Urban District</c:v>
                </c:pt>
                <c:pt idx="1">
                  <c:v>Charter District</c:v>
                </c:pt>
              </c:strCache>
            </c:strRef>
          </c:cat>
          <c:val>
            <c:numRef>
              <c:f>Sheet2!$C$2:$C$3</c:f>
              <c:numCache>
                <c:formatCode>0%</c:formatCode>
                <c:ptCount val="2"/>
                <c:pt idx="0">
                  <c:v>0.78</c:v>
                </c:pt>
                <c:pt idx="1">
                  <c:v>0.8</c:v>
                </c:pt>
              </c:numCache>
            </c:numRef>
          </c:val>
        </c:ser>
        <c:dLbls>
          <c:showVal val="1"/>
        </c:dLbls>
        <c:overlap val="-25"/>
        <c:axId val="109203456"/>
        <c:axId val="109204992"/>
      </c:barChart>
      <c:catAx>
        <c:axId val="109203456"/>
        <c:scaling>
          <c:orientation val="minMax"/>
        </c:scaling>
        <c:axPos val="b"/>
        <c:majorTickMark val="none"/>
        <c:tickLblPos val="nextTo"/>
        <c:crossAx val="109204992"/>
        <c:crosses val="autoZero"/>
        <c:auto val="1"/>
        <c:lblAlgn val="ctr"/>
        <c:lblOffset val="100"/>
      </c:catAx>
      <c:valAx>
        <c:axId val="109204992"/>
        <c:scaling>
          <c:orientation val="minMax"/>
        </c:scaling>
        <c:delete val="1"/>
        <c:axPos val="l"/>
        <c:numFmt formatCode="0%" sourceLinked="1"/>
        <c:tickLblPos val="none"/>
        <c:crossAx val="109203456"/>
        <c:crosses val="autoZero"/>
        <c:crossBetween val="between"/>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bar"/>
        <c:grouping val="percentStacked"/>
        <c:ser>
          <c:idx val="0"/>
          <c:order val="0"/>
          <c:tx>
            <c:strRef>
              <c:f>Sheet2!$A$3</c:f>
              <c:strCache>
                <c:ptCount val="1"/>
                <c:pt idx="0">
                  <c:v>Low </c:v>
                </c:pt>
              </c:strCache>
            </c:strRef>
          </c:tx>
          <c:dLbls>
            <c:dLbl>
              <c:idx val="0"/>
              <c:layout>
                <c:manualLayout>
                  <c:x val="0"/>
                  <c:y val="-0.125"/>
                </c:manualLayout>
              </c:layout>
              <c:showVal val="1"/>
            </c:dLbl>
            <c:dLbl>
              <c:idx val="1"/>
              <c:layout>
                <c:manualLayout>
                  <c:x val="0"/>
                  <c:y val="-0.1111111111111111"/>
                </c:manualLayout>
              </c:layout>
              <c:showVal val="1"/>
            </c:dLbl>
            <c:showVal val="1"/>
          </c:dLbls>
          <c:cat>
            <c:strRef>
              <c:f>Sheet2!$B$2:$C$2</c:f>
              <c:strCache>
                <c:ptCount val="2"/>
                <c:pt idx="0">
                  <c:v>ELL</c:v>
                </c:pt>
                <c:pt idx="1">
                  <c:v>Special Eduation</c:v>
                </c:pt>
              </c:strCache>
            </c:strRef>
          </c:cat>
          <c:val>
            <c:numRef>
              <c:f>Sheet2!$B$3:$C$3</c:f>
              <c:numCache>
                <c:formatCode>0%</c:formatCode>
                <c:ptCount val="2"/>
                <c:pt idx="0">
                  <c:v>0.53</c:v>
                </c:pt>
                <c:pt idx="1">
                  <c:v>8.0000000000000043E-2</c:v>
                </c:pt>
              </c:numCache>
            </c:numRef>
          </c:val>
        </c:ser>
        <c:ser>
          <c:idx val="1"/>
          <c:order val="1"/>
          <c:tx>
            <c:strRef>
              <c:f>Sheet2!$A$4</c:f>
              <c:strCache>
                <c:ptCount val="1"/>
                <c:pt idx="0">
                  <c:v>Medium</c:v>
                </c:pt>
              </c:strCache>
            </c:strRef>
          </c:tx>
          <c:dLbls>
            <c:dLbl>
              <c:idx val="0"/>
              <c:layout>
                <c:manualLayout>
                  <c:x val="2.1689499276560482E-3"/>
                  <c:y val="-0.125"/>
                </c:manualLayout>
              </c:layout>
              <c:showVal val="1"/>
            </c:dLbl>
            <c:dLbl>
              <c:idx val="1"/>
              <c:layout>
                <c:manualLayout>
                  <c:x val="2.1689499276561306E-3"/>
                  <c:y val="-0.125"/>
                </c:manualLayout>
              </c:layout>
              <c:showVal val="1"/>
            </c:dLbl>
            <c:showVal val="1"/>
          </c:dLbls>
          <c:cat>
            <c:strRef>
              <c:f>Sheet2!$B$2:$C$2</c:f>
              <c:strCache>
                <c:ptCount val="2"/>
                <c:pt idx="0">
                  <c:v>ELL</c:v>
                </c:pt>
                <c:pt idx="1">
                  <c:v>Special Eduation</c:v>
                </c:pt>
              </c:strCache>
            </c:strRef>
          </c:cat>
          <c:val>
            <c:numRef>
              <c:f>Sheet2!$B$4:$C$4</c:f>
              <c:numCache>
                <c:formatCode>0%</c:formatCode>
                <c:ptCount val="2"/>
                <c:pt idx="0">
                  <c:v>0.28000000000000008</c:v>
                </c:pt>
                <c:pt idx="1">
                  <c:v>0.8</c:v>
                </c:pt>
              </c:numCache>
            </c:numRef>
          </c:val>
        </c:ser>
        <c:ser>
          <c:idx val="2"/>
          <c:order val="2"/>
          <c:tx>
            <c:strRef>
              <c:f>Sheet2!$A$5</c:f>
              <c:strCache>
                <c:ptCount val="1"/>
                <c:pt idx="0">
                  <c:v>High </c:v>
                </c:pt>
              </c:strCache>
            </c:strRef>
          </c:tx>
          <c:dLbls>
            <c:dLbl>
              <c:idx val="0"/>
              <c:layout>
                <c:manualLayout>
                  <c:x val="0"/>
                  <c:y val="-0.125"/>
                </c:manualLayout>
              </c:layout>
              <c:showVal val="1"/>
            </c:dLbl>
            <c:dLbl>
              <c:idx val="1"/>
              <c:layout>
                <c:manualLayout>
                  <c:x val="0"/>
                  <c:y val="-0.125"/>
                </c:manualLayout>
              </c:layout>
              <c:showVal val="1"/>
            </c:dLbl>
            <c:showVal val="1"/>
          </c:dLbls>
          <c:cat>
            <c:strRef>
              <c:f>Sheet2!$B$2:$C$2</c:f>
              <c:strCache>
                <c:ptCount val="2"/>
                <c:pt idx="0">
                  <c:v>ELL</c:v>
                </c:pt>
                <c:pt idx="1">
                  <c:v>Special Eduation</c:v>
                </c:pt>
              </c:strCache>
            </c:strRef>
          </c:cat>
          <c:val>
            <c:numRef>
              <c:f>Sheet2!$B$5:$C$5</c:f>
              <c:numCache>
                <c:formatCode>0%</c:formatCode>
                <c:ptCount val="2"/>
                <c:pt idx="0">
                  <c:v>0.2</c:v>
                </c:pt>
                <c:pt idx="1">
                  <c:v>0.12000000000000002</c:v>
                </c:pt>
              </c:numCache>
            </c:numRef>
          </c:val>
        </c:ser>
        <c:overlap val="100"/>
        <c:axId val="112758144"/>
        <c:axId val="120112256"/>
      </c:barChart>
      <c:catAx>
        <c:axId val="112758144"/>
        <c:scaling>
          <c:orientation val="minMax"/>
        </c:scaling>
        <c:axPos val="l"/>
        <c:tickLblPos val="nextTo"/>
        <c:crossAx val="120112256"/>
        <c:crosses val="autoZero"/>
        <c:auto val="1"/>
        <c:lblAlgn val="ctr"/>
        <c:lblOffset val="100"/>
      </c:catAx>
      <c:valAx>
        <c:axId val="120112256"/>
        <c:scaling>
          <c:orientation val="minMax"/>
        </c:scaling>
        <c:delete val="1"/>
        <c:axPos val="b"/>
        <c:numFmt formatCode="0%" sourceLinked="1"/>
        <c:tickLblPos val="none"/>
        <c:crossAx val="112758144"/>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Sheet4!$A$2</c:f>
              <c:strCache>
                <c:ptCount val="1"/>
                <c:pt idx="0">
                  <c:v>MCAS Score Category</c:v>
                </c:pt>
              </c:strCache>
            </c:strRef>
          </c:tx>
          <c:dLbls>
            <c:dLbl>
              <c:idx val="0"/>
              <c:tx>
                <c:rich>
                  <a:bodyPr/>
                  <a:lstStyle/>
                  <a:p>
                    <a:r>
                      <a:rPr lang="en-US"/>
                      <a:t>28%</a:t>
                    </a:r>
                  </a:p>
                </c:rich>
              </c:tx>
              <c:showVal val="1"/>
            </c:dLbl>
            <c:dLbl>
              <c:idx val="1"/>
              <c:tx>
                <c:rich>
                  <a:bodyPr/>
                  <a:lstStyle/>
                  <a:p>
                    <a:r>
                      <a:rPr lang="en-US"/>
                      <a:t>40%</a:t>
                    </a:r>
                  </a:p>
                </c:rich>
              </c:tx>
              <c:showVal val="1"/>
            </c:dLbl>
            <c:dLbl>
              <c:idx val="2"/>
              <c:tx>
                <c:rich>
                  <a:bodyPr/>
                  <a:lstStyle/>
                  <a:p>
                    <a:r>
                      <a:rPr lang="en-US"/>
                      <a:t>32%</a:t>
                    </a:r>
                  </a:p>
                </c:rich>
              </c:tx>
              <c:showVal val="1"/>
            </c:dLbl>
            <c:showVal val="1"/>
          </c:dLbls>
          <c:cat>
            <c:strRef>
              <c:f>Sheet4!$B$1:$D$1</c:f>
              <c:strCache>
                <c:ptCount val="3"/>
                <c:pt idx="0">
                  <c:v>Low</c:v>
                </c:pt>
                <c:pt idx="1">
                  <c:v>Medium</c:v>
                </c:pt>
                <c:pt idx="2">
                  <c:v>High</c:v>
                </c:pt>
              </c:strCache>
            </c:strRef>
          </c:cat>
          <c:val>
            <c:numRef>
              <c:f>Sheet4!$B$2:$D$2</c:f>
              <c:numCache>
                <c:formatCode>General</c:formatCode>
                <c:ptCount val="3"/>
                <c:pt idx="0">
                  <c:v>11</c:v>
                </c:pt>
                <c:pt idx="1">
                  <c:v>16</c:v>
                </c:pt>
                <c:pt idx="2">
                  <c:v>13</c:v>
                </c:pt>
              </c:numCache>
            </c:numRef>
          </c:val>
        </c:ser>
        <c:dLbls>
          <c:showVal val="1"/>
        </c:dLbls>
        <c:overlap val="-25"/>
        <c:axId val="91042176"/>
        <c:axId val="91043712"/>
      </c:barChart>
      <c:catAx>
        <c:axId val="91042176"/>
        <c:scaling>
          <c:orientation val="minMax"/>
        </c:scaling>
        <c:axPos val="b"/>
        <c:majorTickMark val="none"/>
        <c:tickLblPos val="nextTo"/>
        <c:crossAx val="91043712"/>
        <c:crosses val="autoZero"/>
        <c:auto val="1"/>
        <c:lblAlgn val="ctr"/>
        <c:lblOffset val="100"/>
      </c:catAx>
      <c:valAx>
        <c:axId val="91043712"/>
        <c:scaling>
          <c:orientation val="minMax"/>
        </c:scaling>
        <c:delete val="1"/>
        <c:axPos val="l"/>
        <c:numFmt formatCode="General" sourceLinked="1"/>
        <c:tickLblPos val="none"/>
        <c:crossAx val="910421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AIR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DESE-231-14641</_dlc_DocId>
    <_dlc_DocIdUrl xmlns="733efe1c-5bbe-4968-87dc-d400e65c879f">
      <Url>https://sharepoint.doemass.org/ese/webteam/cps/_layouts/DocIdRedir.aspx?ID=DESE-231-14641</Url>
      <Description>DESE-231-14641</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7837AFF-3C1A-4FD3-B24E-926A643CB19C}">
  <ds:schemaRefs>
    <ds:schemaRef ds:uri="http://schemas.microsoft.com/sharepoint/events"/>
  </ds:schemaRefs>
</ds:datastoreItem>
</file>

<file path=customXml/itemProps2.xml><?xml version="1.0" encoding="utf-8"?>
<ds:datastoreItem xmlns:ds="http://schemas.openxmlformats.org/officeDocument/2006/customXml" ds:itemID="{527C6380-6E54-4A7F-9C24-4C09228DEEDB}">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3221C74C-C5CB-4C12-9BB4-72F5D1FE6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87E96-0FCF-4501-8BFD-E30BB74423AF}">
  <ds:schemaRefs>
    <ds:schemaRef ds:uri="http://schemas.microsoft.com/sharepoint/v3/contenttype/forms"/>
  </ds:schemaRefs>
</ds:datastoreItem>
</file>

<file path=customXml/itemProps5.xml><?xml version="1.0" encoding="utf-8"?>
<ds:datastoreItem xmlns:ds="http://schemas.openxmlformats.org/officeDocument/2006/customXml" ds:itemID="{76F0F047-1A3C-4DD1-84DE-AF356266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4332</Words>
  <Characters>23641</Characters>
  <Application>Microsoft Office Word</Application>
  <DocSecurity>0</DocSecurity>
  <Lines>677</Lines>
  <Paragraphs>389</Paragraphs>
  <ScaleCrop>false</ScaleCrop>
  <HeadingPairs>
    <vt:vector size="2" baseType="variant">
      <vt:variant>
        <vt:lpstr>Title</vt:lpstr>
      </vt:variant>
      <vt:variant>
        <vt:i4>1</vt:i4>
      </vt:variant>
    </vt:vector>
  </HeadingPairs>
  <TitlesOfParts>
    <vt:vector size="1" baseType="lpstr">
      <vt:lpstr>Massachusetts Study on Assessment Practices in Districts: Phase 1 Summary (March 2015)</vt:lpstr>
    </vt:vector>
  </TitlesOfParts>
  <Company/>
  <LinksUpToDate>false</LinksUpToDate>
  <CharactersWithSpaces>27600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Study on Assessment Practices in Districts: Phase 1 Summary (March 2015)</dc:title>
  <dc:creator>ESE</dc:creator>
  <cp:lastModifiedBy>dzou</cp:lastModifiedBy>
  <cp:revision>8</cp:revision>
  <cp:lastPrinted>2013-01-03T20:30:00Z</cp:lastPrinted>
  <dcterms:created xsi:type="dcterms:W3CDTF">2015-03-18T19:42:00Z</dcterms:created>
  <dcterms:modified xsi:type="dcterms:W3CDTF">2015-03-18T20:44:00Z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2015</vt:lpwstr>
  </property>
</Properties>
</file>