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991" w:tblpY="939"/>
        <w:tblW w:w="8845" w:type="dxa"/>
        <w:tblLayout w:type="fixed"/>
        <w:tblCellMar>
          <w:left w:w="115" w:type="dxa"/>
          <w:right w:w="115" w:type="dxa"/>
        </w:tblCellMar>
        <w:tblLook w:val="00A0"/>
      </w:tblPr>
      <w:tblGrid>
        <w:gridCol w:w="963"/>
        <w:gridCol w:w="7882"/>
      </w:tblGrid>
      <w:tr w:rsidR="008F759E" w:rsidTr="001D0046">
        <w:trPr>
          <w:trHeight w:val="3448"/>
        </w:trPr>
        <w:tc>
          <w:tcPr>
            <w:tcW w:w="8845" w:type="dxa"/>
            <w:gridSpan w:val="2"/>
          </w:tcPr>
          <w:p w:rsidR="008F759E" w:rsidRDefault="008F759E" w:rsidP="00236809">
            <w:pPr>
              <w:keepNext/>
              <w:tabs>
                <w:tab w:val="left" w:pos="8550"/>
              </w:tabs>
            </w:pPr>
          </w:p>
          <w:p w:rsidR="008F759E" w:rsidRDefault="008F759E" w:rsidP="00236809"/>
          <w:p w:rsidR="008F759E" w:rsidRDefault="0062665D" w:rsidP="00236809">
            <w:r>
              <w:t xml:space="preserve">      </w:t>
            </w:r>
            <w:r w:rsidRPr="0062665D">
              <w:rPr>
                <w:noProof/>
                <w:lang w:eastAsia="zh-CN" w:bidi="km-KH"/>
              </w:rPr>
              <w:drawing>
                <wp:inline distT="0" distB="0" distL="0" distR="0">
                  <wp:extent cx="2464419" cy="960162"/>
                  <wp:effectExtent l="0" t="0" r="0"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467624" cy="961411"/>
                          </a:xfrm>
                          <a:prstGeom prst="rect">
                            <a:avLst/>
                          </a:prstGeom>
                          <a:noFill/>
                          <a:ln w="9525">
                            <a:noFill/>
                            <a:miter lim="800000"/>
                            <a:headEnd/>
                            <a:tailEnd/>
                          </a:ln>
                        </pic:spPr>
                      </pic:pic>
                    </a:graphicData>
                  </a:graphic>
                </wp:inline>
              </w:drawing>
            </w:r>
          </w:p>
          <w:p w:rsidR="008F759E" w:rsidRDefault="008F759E" w:rsidP="00236809"/>
          <w:p w:rsidR="008F759E" w:rsidRDefault="008F759E" w:rsidP="00236809"/>
          <w:p w:rsidR="008F759E" w:rsidRDefault="008F759E" w:rsidP="00236809"/>
          <w:p w:rsidR="008F759E" w:rsidRDefault="008F759E" w:rsidP="00236809"/>
          <w:p w:rsidR="0062665D" w:rsidRDefault="0062665D" w:rsidP="00236809"/>
          <w:p w:rsidR="0062665D" w:rsidRDefault="0062665D" w:rsidP="00236809"/>
        </w:tc>
      </w:tr>
      <w:tr w:rsidR="008F759E" w:rsidRPr="00060747" w:rsidTr="001D0046">
        <w:trPr>
          <w:cantSplit/>
          <w:trHeight w:val="146"/>
        </w:trPr>
        <w:tc>
          <w:tcPr>
            <w:tcW w:w="963" w:type="dxa"/>
            <w:vMerge w:val="restart"/>
            <w:vAlign w:val="bottom"/>
          </w:tcPr>
          <w:p w:rsidR="008F759E" w:rsidRPr="00274356" w:rsidRDefault="008F759E" w:rsidP="00236809"/>
        </w:tc>
        <w:tc>
          <w:tcPr>
            <w:tcW w:w="7882" w:type="dxa"/>
            <w:vAlign w:val="bottom"/>
          </w:tcPr>
          <w:p w:rsidR="008F759E" w:rsidRPr="00060747" w:rsidRDefault="001D0046" w:rsidP="00F36D98">
            <w:pPr>
              <w:pStyle w:val="ESEReportName"/>
              <w:rPr>
                <w:b w:val="0"/>
                <w:i/>
              </w:rPr>
            </w:pPr>
            <w:r w:rsidRPr="00BD766E">
              <w:t xml:space="preserve">Digital Connections Partnership </w:t>
            </w:r>
            <w:r w:rsidR="00F36D98" w:rsidRPr="00BD766E">
              <w:t xml:space="preserve">Schools </w:t>
            </w:r>
            <w:r w:rsidRPr="00BD766E">
              <w:t>Grant</w:t>
            </w:r>
            <w:r>
              <w:t>: Strategic Plan</w:t>
            </w:r>
          </w:p>
        </w:tc>
      </w:tr>
      <w:tr w:rsidR="008F759E" w:rsidRPr="00EB1F6F" w:rsidTr="001D0046">
        <w:trPr>
          <w:cantSplit/>
          <w:trHeight w:val="175"/>
        </w:trPr>
        <w:tc>
          <w:tcPr>
            <w:tcW w:w="963" w:type="dxa"/>
            <w:vMerge/>
            <w:vAlign w:val="bottom"/>
          </w:tcPr>
          <w:p w:rsidR="008F759E" w:rsidRDefault="008F759E" w:rsidP="00236809">
            <w:pPr>
              <w:spacing w:line="400" w:lineRule="exact"/>
              <w:rPr>
                <w:rFonts w:ascii="Arial" w:hAnsi="Arial"/>
                <w:color w:val="000000"/>
              </w:rPr>
            </w:pPr>
          </w:p>
        </w:tc>
        <w:tc>
          <w:tcPr>
            <w:tcW w:w="7882" w:type="dxa"/>
          </w:tcPr>
          <w:p w:rsidR="008F759E" w:rsidRPr="0062665D" w:rsidRDefault="00401795" w:rsidP="0023680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6.35pt" o:hrpct="0" o:hralign="center" o:hr="t">
                  <v:imagedata r:id="rId13" o:title="BD15155_"/>
                </v:shape>
              </w:pict>
            </w:r>
          </w:p>
        </w:tc>
      </w:tr>
      <w:tr w:rsidR="008F759E" w:rsidTr="001D0046">
        <w:trPr>
          <w:cantSplit/>
          <w:trHeight w:val="554"/>
        </w:trPr>
        <w:tc>
          <w:tcPr>
            <w:tcW w:w="963" w:type="dxa"/>
            <w:vMerge/>
            <w:vAlign w:val="bottom"/>
          </w:tcPr>
          <w:p w:rsidR="008F759E" w:rsidRDefault="008F759E" w:rsidP="00236809">
            <w:pPr>
              <w:spacing w:line="400" w:lineRule="exact"/>
              <w:rPr>
                <w:rFonts w:ascii="Arial" w:hAnsi="Arial"/>
                <w:color w:val="000000"/>
              </w:rPr>
            </w:pPr>
          </w:p>
        </w:tc>
        <w:tc>
          <w:tcPr>
            <w:tcW w:w="7882" w:type="dxa"/>
          </w:tcPr>
          <w:p w:rsidR="008F759E" w:rsidRDefault="00817C54" w:rsidP="00236809">
            <w:pPr>
              <w:pStyle w:val="arial9"/>
            </w:pPr>
            <w:r>
              <w:t>A</w:t>
            </w:r>
            <w:r w:rsidR="001D0046" w:rsidRPr="00BD766E">
              <w:t xml:space="preserve"> competitive, matching state grant program to fund capital projects that provide high-speed broadband and/or wireless Internet connectivity to Massachusetts public schools.</w:t>
            </w:r>
          </w:p>
          <w:p w:rsidR="001D0046" w:rsidRDefault="001D0046" w:rsidP="00236809">
            <w:pPr>
              <w:pStyle w:val="arial9"/>
            </w:pPr>
          </w:p>
          <w:p w:rsidR="008F759E" w:rsidRDefault="001D0046" w:rsidP="00236809">
            <w:pPr>
              <w:pStyle w:val="arial9"/>
            </w:pPr>
            <w:r w:rsidRPr="00BD766E">
              <w:t>Chapter 257 of the Acts of 2014 (Section 2B, line item 1599-7062)</w:t>
            </w:r>
          </w:p>
          <w:p w:rsidR="001D0046" w:rsidRDefault="001D0046" w:rsidP="00236809">
            <w:pPr>
              <w:pStyle w:val="arial9"/>
            </w:pPr>
          </w:p>
          <w:p w:rsidR="001D0046" w:rsidRPr="001D0046" w:rsidRDefault="00425417" w:rsidP="00236809">
            <w:pPr>
              <w:pStyle w:val="arial9"/>
              <w:rPr>
                <w:b/>
              </w:rPr>
            </w:pPr>
            <w:r>
              <w:rPr>
                <w:b/>
              </w:rPr>
              <w:t>June</w:t>
            </w:r>
            <w:r w:rsidR="001D0046" w:rsidRPr="001D0046">
              <w:rPr>
                <w:b/>
              </w:rPr>
              <w:t xml:space="preserve"> 2015</w:t>
            </w:r>
          </w:p>
        </w:tc>
      </w:tr>
      <w:tr w:rsidR="008F759E" w:rsidTr="0015346F">
        <w:trPr>
          <w:cantSplit/>
          <w:trHeight w:val="6588"/>
        </w:trPr>
        <w:tc>
          <w:tcPr>
            <w:tcW w:w="963" w:type="dxa"/>
            <w:vMerge/>
            <w:vAlign w:val="bottom"/>
          </w:tcPr>
          <w:p w:rsidR="008F759E" w:rsidRDefault="008F759E" w:rsidP="00236809">
            <w:pPr>
              <w:spacing w:line="400" w:lineRule="exact"/>
              <w:rPr>
                <w:rFonts w:ascii="Arial" w:hAnsi="Arial"/>
                <w:color w:val="000000"/>
              </w:rPr>
            </w:pPr>
          </w:p>
        </w:tc>
        <w:tc>
          <w:tcPr>
            <w:tcW w:w="7882" w:type="dxa"/>
            <w:vAlign w:val="bottom"/>
          </w:tcPr>
          <w:p w:rsidR="008F759E" w:rsidRDefault="008F759E" w:rsidP="001D0046">
            <w:pPr>
              <w:pStyle w:val="ESEReportName"/>
            </w:pPr>
          </w:p>
          <w:p w:rsidR="008F759E" w:rsidRDefault="008F759E" w:rsidP="00236809">
            <w:pPr>
              <w:pStyle w:val="AgencyTitle"/>
            </w:pPr>
          </w:p>
          <w:p w:rsidR="008F759E" w:rsidRDefault="008F759E" w:rsidP="00236809">
            <w:pPr>
              <w:pStyle w:val="AgencyTitle"/>
            </w:pPr>
          </w:p>
          <w:p w:rsidR="008F759E" w:rsidRDefault="008F759E" w:rsidP="00236809">
            <w:pPr>
              <w:pStyle w:val="AgencyTitle"/>
            </w:pPr>
          </w:p>
          <w:p w:rsidR="008F759E" w:rsidRDefault="008F759E" w:rsidP="00236809">
            <w:pPr>
              <w:pStyle w:val="AgencyTitle"/>
            </w:pPr>
            <w:r>
              <w:t>Massachusetts Department of Elementary and Secondary Education</w:t>
            </w:r>
          </w:p>
          <w:p w:rsidR="008F759E" w:rsidRDefault="008F759E" w:rsidP="00236809">
            <w:pPr>
              <w:pStyle w:val="arial9"/>
              <w:rPr>
                <w:snapToGrid w:val="0"/>
              </w:rPr>
            </w:pPr>
            <w:r>
              <w:rPr>
                <w:snapToGrid w:val="0"/>
              </w:rPr>
              <w:t xml:space="preserve">75 Pleasant Street, </w:t>
            </w:r>
            <w:smartTag w:uri="urn:schemas-microsoft-com:office:smarttags" w:element="place">
              <w:smartTag w:uri="urn:schemas-microsoft-com:office:smarttags" w:element="City">
                <w:r>
                  <w:rPr>
                    <w:snapToGrid w:val="0"/>
                  </w:rPr>
                  <w:t>Malden</w:t>
                </w:r>
              </w:smartTag>
              <w:r>
                <w:rPr>
                  <w:snapToGrid w:val="0"/>
                </w:rPr>
                <w:t xml:space="preserve">, </w:t>
              </w:r>
              <w:smartTag w:uri="urn:schemas-microsoft-com:office:smarttags" w:element="State">
                <w:r>
                  <w:rPr>
                    <w:snapToGrid w:val="0"/>
                  </w:rPr>
                  <w:t>MA</w:t>
                </w:r>
              </w:smartTag>
              <w:r>
                <w:rPr>
                  <w:snapToGrid w:val="0"/>
                </w:rPr>
                <w:t xml:space="preserve"> </w:t>
              </w:r>
              <w:smartTag w:uri="urn:schemas-microsoft-com:office:smarttags" w:element="PostalCode">
                <w:r>
                  <w:rPr>
                    <w:snapToGrid w:val="0"/>
                  </w:rPr>
                  <w:t>02148</w:t>
                </w:r>
              </w:smartTag>
            </w:smartTag>
            <w:r>
              <w:rPr>
                <w:snapToGrid w:val="0"/>
              </w:rPr>
              <w:t>-4906</w:t>
            </w:r>
          </w:p>
          <w:p w:rsidR="008F759E" w:rsidRPr="0020780F" w:rsidRDefault="008F759E" w:rsidP="00236809">
            <w:pPr>
              <w:pStyle w:val="arial9"/>
              <w:rPr>
                <w:snapToGrid w:val="0"/>
              </w:rPr>
            </w:pPr>
            <w:r>
              <w:rPr>
                <w:snapToGrid w:val="0"/>
              </w:rPr>
              <w:t xml:space="preserve">Phone 781-338-3000  </w:t>
            </w:r>
            <w:r w:rsidRPr="0020780F">
              <w:rPr>
                <w:snapToGrid w:val="0"/>
              </w:rPr>
              <w:t>TTY: N.E.T. Relay 800-439-2370</w:t>
            </w:r>
          </w:p>
          <w:p w:rsidR="008F759E" w:rsidRDefault="008F759E" w:rsidP="00236809">
            <w:pPr>
              <w:pStyle w:val="arial9"/>
            </w:pPr>
            <w:r>
              <w:rPr>
                <w:snapToGrid w:val="0"/>
              </w:rPr>
              <w:t>www.doe.mass.edu</w:t>
            </w:r>
          </w:p>
        </w:tc>
      </w:tr>
    </w:tbl>
    <w:p w:rsidR="001D0046" w:rsidRDefault="001D0046">
      <w:r>
        <w:br w:type="page"/>
      </w:r>
    </w:p>
    <w:tbl>
      <w:tblPr>
        <w:tblpPr w:leftFromText="180" w:rightFromText="180" w:vertAnchor="page" w:horzAnchor="page" w:tblpX="991" w:tblpY="939"/>
        <w:tblW w:w="10859" w:type="dxa"/>
        <w:tblLayout w:type="fixed"/>
        <w:tblLook w:val="00A0"/>
      </w:tblPr>
      <w:tblGrid>
        <w:gridCol w:w="10859"/>
      </w:tblGrid>
      <w:tr w:rsidR="008F759E" w:rsidTr="00C325E2">
        <w:trPr>
          <w:trHeight w:val="362"/>
        </w:trPr>
        <w:tc>
          <w:tcPr>
            <w:tcW w:w="10859" w:type="dxa"/>
          </w:tcPr>
          <w:p w:rsidR="008F759E" w:rsidRPr="00345DE2" w:rsidRDefault="008F759E" w:rsidP="00236809">
            <w:pPr>
              <w:jc w:val="center"/>
            </w:pPr>
            <w:r>
              <w:rPr>
                <w:noProof/>
                <w:lang w:eastAsia="zh-CN" w:bidi="km-KH"/>
              </w:rPr>
              <w:lastRenderedPageBreak/>
              <w:drawing>
                <wp:inline distT="0" distB="0" distL="0" distR="0">
                  <wp:extent cx="1838325" cy="885825"/>
                  <wp:effectExtent l="19050" t="0" r="9525" b="0"/>
                  <wp:docPr id="18"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rsidR="008F759E" w:rsidRPr="00345DE2" w:rsidRDefault="008F759E" w:rsidP="00236809"/>
          <w:p w:rsidR="008F759E" w:rsidRPr="00345DE2" w:rsidRDefault="008F759E" w:rsidP="00236809"/>
          <w:p w:rsidR="008F759E" w:rsidRDefault="008F759E" w:rsidP="00236809">
            <w:pPr>
              <w:pStyle w:val="BoardMembers"/>
            </w:pPr>
            <w:r>
              <w:t xml:space="preserve">This document was prepared by the </w:t>
            </w:r>
            <w:r>
              <w:br/>
              <w:t xml:space="preserve">Massachusetts Department of </w:t>
            </w:r>
            <w:r w:rsidRPr="00440BAB">
              <w:t xml:space="preserve">Elementary and Secondary </w:t>
            </w:r>
            <w:r>
              <w:t>Education</w:t>
            </w:r>
          </w:p>
          <w:p w:rsidR="008F759E" w:rsidRDefault="008F759E" w:rsidP="00236809">
            <w:pPr>
              <w:pStyle w:val="BoardMembers"/>
            </w:pPr>
            <w:r w:rsidRPr="00CC22F1">
              <w:t>Mitchell D. Chester, Ed.D</w:t>
            </w:r>
            <w:r>
              <w:t>.</w:t>
            </w:r>
          </w:p>
          <w:p w:rsidR="008F759E" w:rsidRDefault="008F759E" w:rsidP="00236809">
            <w:pPr>
              <w:pStyle w:val="BoardMembers"/>
            </w:pPr>
            <w:r>
              <w:t xml:space="preserve">Commissioner </w:t>
            </w:r>
          </w:p>
          <w:p w:rsidR="008F759E" w:rsidRDefault="008F759E" w:rsidP="00236809"/>
          <w:p w:rsidR="008F759E" w:rsidRPr="00345DE2" w:rsidRDefault="008F759E" w:rsidP="00236809"/>
          <w:p w:rsidR="008F759E" w:rsidRPr="00A622C3" w:rsidRDefault="008F759E" w:rsidP="00236809">
            <w:pPr>
              <w:pStyle w:val="BoardMembers"/>
              <w:rPr>
                <w:b/>
              </w:rPr>
            </w:pPr>
            <w:r w:rsidRPr="00A622C3">
              <w:rPr>
                <w:b/>
              </w:rPr>
              <w:t>Board of Elementary and Secondary Education Members</w:t>
            </w:r>
          </w:p>
          <w:p w:rsidR="004112B2" w:rsidRPr="004112B2" w:rsidRDefault="004112B2" w:rsidP="004112B2">
            <w:pPr>
              <w:pStyle w:val="Default"/>
              <w:jc w:val="center"/>
              <w:rPr>
                <w:rFonts w:ascii="Arial" w:hAnsi="Arial" w:cs="Arial"/>
                <w:bCs/>
                <w:color w:val="auto"/>
                <w:sz w:val="18"/>
                <w:szCs w:val="18"/>
              </w:rPr>
            </w:pPr>
            <w:r w:rsidRPr="004112B2">
              <w:rPr>
                <w:rFonts w:ascii="Arial" w:hAnsi="Arial" w:cs="Arial"/>
                <w:bCs/>
                <w:color w:val="auto"/>
                <w:sz w:val="18"/>
                <w:szCs w:val="18"/>
              </w:rPr>
              <w:t>Mr. Paul Sagan, Chair, Cambridge</w:t>
            </w:r>
          </w:p>
          <w:p w:rsidR="004112B2" w:rsidRPr="004112B2" w:rsidRDefault="004112B2" w:rsidP="004112B2">
            <w:pPr>
              <w:pStyle w:val="Default"/>
              <w:jc w:val="center"/>
              <w:rPr>
                <w:rFonts w:ascii="Arial" w:hAnsi="Arial" w:cs="Arial"/>
                <w:bCs/>
                <w:color w:val="auto"/>
                <w:sz w:val="18"/>
                <w:szCs w:val="18"/>
              </w:rPr>
            </w:pPr>
            <w:r w:rsidRPr="004112B2">
              <w:rPr>
                <w:rFonts w:ascii="Arial" w:hAnsi="Arial" w:cs="Arial"/>
                <w:bCs/>
                <w:color w:val="auto"/>
                <w:sz w:val="18"/>
                <w:szCs w:val="18"/>
              </w:rPr>
              <w:t>Mr. David Roach, Vice-Chair, Millbury</w:t>
            </w:r>
          </w:p>
          <w:p w:rsidR="004112B2" w:rsidRPr="004112B2" w:rsidRDefault="004112B2" w:rsidP="004112B2">
            <w:pPr>
              <w:pStyle w:val="Default"/>
              <w:jc w:val="center"/>
              <w:rPr>
                <w:rFonts w:ascii="Arial" w:hAnsi="Arial" w:cs="Arial"/>
                <w:bCs/>
                <w:color w:val="auto"/>
                <w:sz w:val="18"/>
                <w:szCs w:val="18"/>
              </w:rPr>
            </w:pPr>
            <w:r w:rsidRPr="004112B2">
              <w:rPr>
                <w:rFonts w:ascii="Arial" w:hAnsi="Arial" w:cs="Arial"/>
                <w:bCs/>
                <w:color w:val="auto"/>
                <w:sz w:val="18"/>
                <w:szCs w:val="18"/>
              </w:rPr>
              <w:t>Dr. Vanessa Calderón-Rosado, Milton</w:t>
            </w:r>
          </w:p>
          <w:p w:rsidR="004112B2" w:rsidRPr="004112B2" w:rsidRDefault="004112B2" w:rsidP="004112B2">
            <w:pPr>
              <w:pStyle w:val="Default"/>
              <w:jc w:val="center"/>
              <w:rPr>
                <w:rFonts w:ascii="Arial" w:hAnsi="Arial" w:cs="Arial"/>
                <w:bCs/>
                <w:color w:val="auto"/>
                <w:sz w:val="18"/>
                <w:szCs w:val="18"/>
              </w:rPr>
            </w:pPr>
            <w:r w:rsidRPr="004112B2">
              <w:rPr>
                <w:rFonts w:ascii="Arial" w:hAnsi="Arial" w:cs="Arial"/>
                <w:bCs/>
                <w:color w:val="auto"/>
                <w:sz w:val="18"/>
                <w:szCs w:val="18"/>
              </w:rPr>
              <w:t>Ms. Katherine Craven, Brookline</w:t>
            </w:r>
          </w:p>
          <w:p w:rsidR="004112B2" w:rsidRPr="004112B2" w:rsidRDefault="004112B2" w:rsidP="004112B2">
            <w:pPr>
              <w:pStyle w:val="Default"/>
              <w:jc w:val="center"/>
              <w:rPr>
                <w:rFonts w:ascii="Arial" w:hAnsi="Arial" w:cs="Arial"/>
                <w:bCs/>
                <w:color w:val="auto"/>
                <w:sz w:val="18"/>
                <w:szCs w:val="18"/>
              </w:rPr>
            </w:pPr>
            <w:r w:rsidRPr="004112B2">
              <w:rPr>
                <w:rFonts w:ascii="Arial" w:hAnsi="Arial" w:cs="Arial"/>
                <w:bCs/>
                <w:color w:val="auto"/>
                <w:sz w:val="18"/>
                <w:szCs w:val="18"/>
              </w:rPr>
              <w:t>Mr. Edward Doherty, Hyde Park</w:t>
            </w:r>
          </w:p>
          <w:p w:rsidR="004112B2" w:rsidRPr="004112B2" w:rsidRDefault="004112B2" w:rsidP="004112B2">
            <w:pPr>
              <w:pStyle w:val="Default"/>
              <w:jc w:val="center"/>
              <w:rPr>
                <w:rFonts w:ascii="Arial" w:hAnsi="Arial" w:cs="Arial"/>
                <w:bCs/>
                <w:color w:val="auto"/>
                <w:sz w:val="18"/>
                <w:szCs w:val="18"/>
              </w:rPr>
            </w:pPr>
            <w:r w:rsidRPr="004112B2">
              <w:rPr>
                <w:rFonts w:ascii="Arial" w:hAnsi="Arial" w:cs="Arial"/>
                <w:bCs/>
                <w:color w:val="auto"/>
                <w:sz w:val="18"/>
                <w:szCs w:val="18"/>
              </w:rPr>
              <w:t>Ms. Margaret McKenna, Boston</w:t>
            </w:r>
          </w:p>
          <w:p w:rsidR="004112B2" w:rsidRPr="004112B2" w:rsidRDefault="004112B2" w:rsidP="004112B2">
            <w:pPr>
              <w:pStyle w:val="Default"/>
              <w:jc w:val="center"/>
              <w:rPr>
                <w:rFonts w:ascii="Arial" w:hAnsi="Arial" w:cs="Arial"/>
                <w:bCs/>
                <w:color w:val="auto"/>
                <w:sz w:val="18"/>
                <w:szCs w:val="18"/>
              </w:rPr>
            </w:pPr>
            <w:r w:rsidRPr="004112B2">
              <w:rPr>
                <w:rFonts w:ascii="Arial" w:hAnsi="Arial" w:cs="Arial"/>
                <w:bCs/>
                <w:color w:val="auto"/>
                <w:sz w:val="18"/>
                <w:szCs w:val="18"/>
              </w:rPr>
              <w:t>Mr. James Morton, Springfield</w:t>
            </w:r>
          </w:p>
          <w:p w:rsidR="004112B2" w:rsidRPr="004112B2" w:rsidRDefault="004112B2" w:rsidP="004112B2">
            <w:pPr>
              <w:pStyle w:val="Default"/>
              <w:jc w:val="center"/>
              <w:rPr>
                <w:rFonts w:ascii="Arial" w:hAnsi="Arial" w:cs="Arial"/>
                <w:bCs/>
                <w:color w:val="auto"/>
                <w:sz w:val="18"/>
                <w:szCs w:val="18"/>
              </w:rPr>
            </w:pPr>
            <w:r w:rsidRPr="004112B2">
              <w:rPr>
                <w:rFonts w:ascii="Arial" w:hAnsi="Arial" w:cs="Arial"/>
                <w:bCs/>
                <w:color w:val="auto"/>
                <w:sz w:val="18"/>
                <w:szCs w:val="18"/>
              </w:rPr>
              <w:t>Dr. Pendred Noyce, Boston</w:t>
            </w:r>
          </w:p>
          <w:p w:rsidR="004112B2" w:rsidRPr="004112B2" w:rsidRDefault="004112B2" w:rsidP="004112B2">
            <w:pPr>
              <w:pStyle w:val="Default"/>
              <w:jc w:val="center"/>
              <w:rPr>
                <w:rFonts w:ascii="Arial" w:hAnsi="Arial" w:cs="Arial"/>
                <w:bCs/>
                <w:color w:val="auto"/>
                <w:sz w:val="18"/>
                <w:szCs w:val="18"/>
              </w:rPr>
            </w:pPr>
            <w:r w:rsidRPr="004112B2">
              <w:rPr>
                <w:rFonts w:ascii="Arial" w:hAnsi="Arial" w:cs="Arial"/>
                <w:bCs/>
                <w:color w:val="auto"/>
                <w:sz w:val="18"/>
                <w:szCs w:val="18"/>
              </w:rPr>
              <w:t>Mr. James Peyser, Secretary of Education, Milton</w:t>
            </w:r>
          </w:p>
          <w:p w:rsidR="004112B2" w:rsidRPr="004112B2" w:rsidRDefault="004112B2" w:rsidP="004112B2">
            <w:pPr>
              <w:pStyle w:val="Default"/>
              <w:jc w:val="center"/>
              <w:rPr>
                <w:rFonts w:ascii="Arial" w:hAnsi="Arial" w:cs="Arial"/>
                <w:bCs/>
                <w:color w:val="auto"/>
                <w:sz w:val="18"/>
                <w:szCs w:val="18"/>
              </w:rPr>
            </w:pPr>
            <w:r w:rsidRPr="004112B2">
              <w:rPr>
                <w:rFonts w:ascii="Arial" w:hAnsi="Arial" w:cs="Arial"/>
                <w:bCs/>
                <w:color w:val="auto"/>
                <w:sz w:val="18"/>
                <w:szCs w:val="18"/>
              </w:rPr>
              <w:t>Ms. Mary Ann Stewart, Lexington</w:t>
            </w:r>
          </w:p>
          <w:p w:rsidR="004112B2" w:rsidRPr="004112B2" w:rsidRDefault="004112B2" w:rsidP="004112B2">
            <w:pPr>
              <w:pStyle w:val="Default"/>
              <w:jc w:val="center"/>
              <w:rPr>
                <w:rFonts w:ascii="Arial" w:hAnsi="Arial" w:cs="Arial"/>
                <w:bCs/>
                <w:color w:val="auto"/>
                <w:sz w:val="18"/>
                <w:szCs w:val="18"/>
              </w:rPr>
            </w:pPr>
            <w:r w:rsidRPr="004112B2">
              <w:rPr>
                <w:rFonts w:ascii="Arial" w:hAnsi="Arial" w:cs="Arial"/>
                <w:bCs/>
                <w:color w:val="auto"/>
                <w:sz w:val="18"/>
                <w:szCs w:val="18"/>
              </w:rPr>
              <w:t>Mr. Donald Willyard, Chair, Student Advisory Council, Revere</w:t>
            </w:r>
          </w:p>
          <w:p w:rsidR="004112B2" w:rsidRPr="004112B2" w:rsidRDefault="004112B2" w:rsidP="004112B2">
            <w:pPr>
              <w:pStyle w:val="Default"/>
              <w:jc w:val="center"/>
              <w:rPr>
                <w:rFonts w:ascii="Arial" w:hAnsi="Arial" w:cs="Arial"/>
                <w:bCs/>
                <w:color w:val="auto"/>
                <w:sz w:val="18"/>
                <w:szCs w:val="18"/>
              </w:rPr>
            </w:pPr>
          </w:p>
          <w:p w:rsidR="004112B2" w:rsidRPr="004112B2" w:rsidRDefault="004112B2" w:rsidP="004112B2">
            <w:pPr>
              <w:pStyle w:val="Default"/>
              <w:jc w:val="center"/>
              <w:rPr>
                <w:rFonts w:ascii="Arial" w:hAnsi="Arial" w:cs="Arial"/>
                <w:bCs/>
                <w:color w:val="auto"/>
                <w:sz w:val="18"/>
                <w:szCs w:val="18"/>
              </w:rPr>
            </w:pPr>
          </w:p>
          <w:p w:rsidR="004112B2" w:rsidRPr="004112B2" w:rsidRDefault="004112B2" w:rsidP="004112B2">
            <w:pPr>
              <w:pStyle w:val="Default"/>
              <w:jc w:val="center"/>
              <w:rPr>
                <w:rFonts w:ascii="Arial" w:hAnsi="Arial" w:cs="Arial"/>
                <w:bCs/>
                <w:color w:val="auto"/>
                <w:sz w:val="18"/>
                <w:szCs w:val="18"/>
              </w:rPr>
            </w:pPr>
            <w:r w:rsidRPr="004112B2">
              <w:rPr>
                <w:rFonts w:ascii="Arial" w:hAnsi="Arial" w:cs="Arial"/>
                <w:bCs/>
                <w:color w:val="auto"/>
                <w:sz w:val="18"/>
                <w:szCs w:val="18"/>
              </w:rPr>
              <w:t>Mitchell D. Chester, Commissioner</w:t>
            </w:r>
          </w:p>
          <w:p w:rsidR="008F759E" w:rsidRDefault="004112B2" w:rsidP="004112B2">
            <w:pPr>
              <w:pStyle w:val="BoardMembers"/>
            </w:pPr>
            <w:r w:rsidRPr="004112B2">
              <w:rPr>
                <w:rFonts w:cs="Arial"/>
                <w:bCs/>
                <w:szCs w:val="18"/>
              </w:rPr>
              <w:t>Secretary to the Board</w:t>
            </w:r>
          </w:p>
          <w:p w:rsidR="008F759E" w:rsidRPr="00345DE2" w:rsidRDefault="008F759E" w:rsidP="00236809">
            <w:pPr>
              <w:autoSpaceDE w:val="0"/>
              <w:autoSpaceDN w:val="0"/>
              <w:adjustRightInd w:val="0"/>
              <w:jc w:val="center"/>
            </w:pPr>
          </w:p>
          <w:p w:rsidR="008F759E" w:rsidRDefault="008F759E" w:rsidP="00236809">
            <w:pPr>
              <w:pStyle w:val="BoardMembers"/>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rsidR="008F759E" w:rsidRDefault="008F759E" w:rsidP="00236809">
            <w:pPr>
              <w:pStyle w:val="BoardMembers"/>
            </w:pPr>
            <w:r>
              <w:t xml:space="preserve">We do not discriminate on the basis of age, color, disability, national origin, race, religion, sex, gender identity, or sexual orientation. </w:t>
            </w:r>
          </w:p>
          <w:p w:rsidR="008F759E" w:rsidRDefault="008F759E" w:rsidP="00236809">
            <w:pPr>
              <w:pStyle w:val="BoardMembers"/>
            </w:pPr>
            <w:r>
              <w:t xml:space="preserve"> Inquiries regarding the Department’s compliance with Title IX and other civil rights laws may be directed to the </w:t>
            </w:r>
          </w:p>
          <w:p w:rsidR="008F759E" w:rsidRDefault="008F759E" w:rsidP="00236809">
            <w:pPr>
              <w:pStyle w:val="BoardMembers"/>
            </w:pPr>
            <w:r>
              <w:t xml:space="preserve">Human Resources Director, </w:t>
            </w:r>
            <w:r>
              <w:rPr>
                <w:snapToGrid w:val="0"/>
              </w:rPr>
              <w:t xml:space="preserve">75 Pleasant </w:t>
            </w:r>
            <w:r>
              <w:t>St., Malden, MA 02148-4906. Phone: 781-338-6105.</w:t>
            </w:r>
          </w:p>
          <w:p w:rsidR="008F759E" w:rsidRDefault="008F759E" w:rsidP="00236809"/>
          <w:p w:rsidR="008F759E" w:rsidRPr="00345DE2" w:rsidRDefault="008F759E" w:rsidP="00236809"/>
          <w:p w:rsidR="008F759E" w:rsidRPr="00A622C3" w:rsidRDefault="008320AD" w:rsidP="00236809">
            <w:pPr>
              <w:pStyle w:val="BoardMembers"/>
            </w:pPr>
            <w:r>
              <w:t>© 2015</w:t>
            </w:r>
            <w:r w:rsidR="008F759E" w:rsidRPr="00A622C3">
              <w:t xml:space="preserve"> Massachusetts Department of Elementary and Secondary Education</w:t>
            </w:r>
          </w:p>
          <w:p w:rsidR="008F759E" w:rsidRDefault="008F759E" w:rsidP="00236809">
            <w:pPr>
              <w:pStyle w:val="Permission"/>
            </w:pPr>
            <w:r w:rsidRPr="00A622C3">
              <w:t>Permission is hereby granted to copy</w:t>
            </w:r>
            <w:r>
              <w:t xml:space="preserve"> any or all parts of this document for non-commercial educational purposes. Please credit the “Massachusetts Department of </w:t>
            </w:r>
            <w:r w:rsidRPr="00440BAB">
              <w:t>Elementary and Secondary</w:t>
            </w:r>
            <w:r>
              <w:t xml:space="preserve"> Education.”</w:t>
            </w:r>
          </w:p>
          <w:p w:rsidR="008F759E" w:rsidRPr="00345DE2" w:rsidRDefault="008F759E" w:rsidP="00236809"/>
          <w:p w:rsidR="008F759E" w:rsidRDefault="008F759E" w:rsidP="00236809">
            <w:pPr>
              <w:pStyle w:val="Permission"/>
            </w:pPr>
            <w:r>
              <w:t>This document printed on recycled paper</w:t>
            </w:r>
          </w:p>
          <w:p w:rsidR="008F759E" w:rsidRPr="00345DE2" w:rsidRDefault="008F759E" w:rsidP="00236809"/>
          <w:p w:rsidR="008F759E" w:rsidRDefault="008F759E" w:rsidP="00236809">
            <w:pPr>
              <w:pStyle w:val="BoardMembers"/>
            </w:pPr>
            <w:r w:rsidRPr="00841539">
              <w:t xml:space="preserve">Massachusetts Department of </w:t>
            </w:r>
            <w:r w:rsidRPr="00440BAB">
              <w:t xml:space="preserve">Elementary and Secondary </w:t>
            </w:r>
            <w:r w:rsidRPr="00841539">
              <w:t>Education</w:t>
            </w:r>
          </w:p>
          <w:p w:rsidR="008F759E" w:rsidRDefault="008F759E" w:rsidP="00236809">
            <w:pPr>
              <w:pStyle w:val="BoardMembers"/>
            </w:pPr>
            <w:r>
              <w:rPr>
                <w:snapToGrid w:val="0"/>
              </w:rPr>
              <w:t xml:space="preserve">75 Pleasant </w:t>
            </w:r>
            <w:r>
              <w:t xml:space="preserve">Street,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t>-4906</w:t>
            </w:r>
          </w:p>
          <w:p w:rsidR="008F759E" w:rsidRDefault="008F759E" w:rsidP="00236809">
            <w:pPr>
              <w:pStyle w:val="BoardMembers"/>
            </w:pPr>
            <w:r w:rsidRPr="0020780F">
              <w:t>Phone 781-338-3000  TTY: N.E.T. Relay 800-439-2370</w:t>
            </w:r>
          </w:p>
          <w:p w:rsidR="001D0046" w:rsidRDefault="00401795" w:rsidP="00C325E2">
            <w:pPr>
              <w:pStyle w:val="BoardMembers"/>
            </w:pPr>
            <w:hyperlink r:id="rId14" w:history="1">
              <w:r w:rsidR="008F759E" w:rsidRPr="00507EF2">
                <w:rPr>
                  <w:rStyle w:val="Hyperlink"/>
                </w:rPr>
                <w:t>www.doe.mass.edu</w:t>
              </w:r>
            </w:hyperlink>
          </w:p>
          <w:p w:rsidR="001D0046" w:rsidRDefault="001D0046" w:rsidP="00236809">
            <w:pPr>
              <w:jc w:val="center"/>
              <w:rPr>
                <w:sz w:val="18"/>
              </w:rPr>
            </w:pPr>
          </w:p>
          <w:p w:rsidR="001D0046" w:rsidRDefault="001D0046" w:rsidP="00236809">
            <w:pPr>
              <w:jc w:val="center"/>
              <w:rPr>
                <w:sz w:val="18"/>
              </w:rPr>
            </w:pPr>
          </w:p>
          <w:p w:rsidR="008F759E" w:rsidRDefault="00C325E2" w:rsidP="00236809">
            <w:pPr>
              <w:jc w:val="center"/>
              <w:rPr>
                <w:sz w:val="18"/>
              </w:rPr>
            </w:pPr>
            <w:r>
              <w:rPr>
                <w:noProof/>
                <w:lang w:eastAsia="zh-CN" w:bidi="km-KH"/>
              </w:rPr>
              <w:drawing>
                <wp:inline distT="0" distB="0" distL="0" distR="0">
                  <wp:extent cx="1028700" cy="1009650"/>
                  <wp:effectExtent l="19050" t="0" r="0" b="0"/>
                  <wp:docPr id="19"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5"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rsidR="00C325E2" w:rsidRDefault="00C325E2">
      <w:pPr>
        <w:rPr>
          <w:rFonts w:ascii="Arial" w:hAnsi="Arial" w:cs="Arial"/>
          <w:b/>
          <w:i/>
          <w:sz w:val="40"/>
        </w:rPr>
      </w:pPr>
      <w:r>
        <w:rPr>
          <w:rFonts w:ascii="Arial" w:hAnsi="Arial" w:cs="Arial"/>
          <w:b/>
          <w:i/>
          <w:sz w:val="40"/>
        </w:rPr>
        <w:br w:type="page"/>
      </w:r>
    </w:p>
    <w:p w:rsidR="008F759E" w:rsidRPr="003B1D70" w:rsidRDefault="008F759E" w:rsidP="008F759E">
      <w:pPr>
        <w:ind w:left="540" w:firstLine="720"/>
        <w:rPr>
          <w:rFonts w:ascii="Arial" w:hAnsi="Arial" w:cs="Arial"/>
        </w:rPr>
      </w:pPr>
      <w:r>
        <w:rPr>
          <w:rFonts w:ascii="Arial" w:hAnsi="Arial" w:cs="Arial"/>
          <w:i/>
          <w:noProof/>
          <w:sz w:val="40"/>
          <w:lang w:eastAsia="zh-CN" w:bidi="km-KH"/>
        </w:rPr>
        <w:lastRenderedPageBreak/>
        <w:drawing>
          <wp:anchor distT="0" distB="0" distL="114300" distR="274320" simplePos="0" relativeHeight="251660288" behindDoc="1" locked="0" layoutInCell="0" allowOverlap="1">
            <wp:simplePos x="0" y="0"/>
            <wp:positionH relativeFrom="column">
              <wp:posOffset>-502920</wp:posOffset>
            </wp:positionH>
            <wp:positionV relativeFrom="paragraph">
              <wp:posOffset>-274320</wp:posOffset>
            </wp:positionV>
            <wp:extent cx="1090930" cy="1371600"/>
            <wp:effectExtent l="19050" t="0" r="0" b="0"/>
            <wp:wrapNone/>
            <wp:docPr id="23"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6" cstate="print">
                      <a:lum bright="18000"/>
                    </a:blip>
                    <a:srcRect/>
                    <a:stretch>
                      <a:fillRect/>
                    </a:stretch>
                  </pic:blipFill>
                  <pic:spPr bwMode="auto">
                    <a:xfrm>
                      <a:off x="0" y="0"/>
                      <a:ext cx="1090930" cy="1371600"/>
                    </a:xfrm>
                    <a:prstGeom prst="rect">
                      <a:avLst/>
                    </a:prstGeom>
                    <a:noFill/>
                  </pic:spPr>
                </pic:pic>
              </a:graphicData>
            </a:graphic>
          </wp:anchor>
        </w:drawing>
      </w:r>
      <w:r w:rsidRPr="003B1D70">
        <w:rPr>
          <w:rFonts w:ascii="Arial" w:hAnsi="Arial" w:cs="Arial"/>
          <w:b/>
          <w:i/>
          <w:sz w:val="40"/>
        </w:rPr>
        <w:t>Massachusetts Department of</w:t>
      </w:r>
    </w:p>
    <w:p w:rsidR="008F759E" w:rsidRPr="004C1FFA" w:rsidRDefault="008F759E" w:rsidP="008F759E">
      <w:pPr>
        <w:ind w:left="1260"/>
        <w:rPr>
          <w:rFonts w:ascii="Century Schoolbook" w:hAnsi="Century Schoolbook"/>
        </w:rPr>
      </w:pPr>
      <w:r w:rsidRPr="003B1D70">
        <w:rPr>
          <w:rFonts w:ascii="Arial" w:hAnsi="Arial" w:cs="Arial"/>
          <w:b/>
          <w:i/>
          <w:sz w:val="40"/>
        </w:rPr>
        <w:t>Elementary &amp; Secondary Education</w:t>
      </w:r>
    </w:p>
    <w:p w:rsidR="008F759E" w:rsidRPr="00FA0025" w:rsidRDefault="00401795" w:rsidP="008F759E">
      <w:pPr>
        <w:ind w:left="1260"/>
      </w:pPr>
      <w:r>
        <w:rPr>
          <w:noProof/>
        </w:rPr>
        <w:pict>
          <v:line id="Line 2" o:spid="_x0000_s1026" alt="Horizontal line" style="position:absolute;left:0;text-align:left;z-index:251658240;visibility:visible;mso-wrap-distance-top:-3e-5mm;mso-wrap-distance-bottom:-3e-5mm" from="62.4pt,5.1pt" to="473.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" o:allowincell="f" strokeweight="1pt"/>
        </w:pict>
      </w:r>
    </w:p>
    <w:p w:rsidR="008F759E" w:rsidRPr="00FA0025" w:rsidRDefault="008F759E" w:rsidP="008F759E">
      <w:pPr>
        <w:tabs>
          <w:tab w:val="right" w:pos="9360"/>
        </w:tabs>
        <w:ind w:left="1260"/>
        <w:rPr>
          <w:rFonts w:ascii="Arial" w:hAnsi="Arial" w:cs="Arial"/>
          <w:i/>
          <w:sz w:val="16"/>
          <w:szCs w:val="16"/>
        </w:rPr>
      </w:pPr>
      <w:r>
        <w:rPr>
          <w:rFonts w:ascii="Arial" w:hAnsi="Arial" w:cs="Arial"/>
          <w:i/>
          <w:sz w:val="16"/>
          <w:szCs w:val="16"/>
        </w:rPr>
        <w:t>75 Pleasant Street, Malden, Massachusetts 02148-4906</w:t>
      </w:r>
      <w:r w:rsidRPr="00FA0025">
        <w:rPr>
          <w:rFonts w:ascii="Arial" w:hAnsi="Arial" w:cs="Arial"/>
          <w:i/>
          <w:sz w:val="16"/>
          <w:szCs w:val="16"/>
        </w:rPr>
        <w:tab/>
        <w:t>Telephone: (781) 338-3000</w:t>
      </w:r>
    </w:p>
    <w:p w:rsidR="008F759E" w:rsidRPr="00FA0025" w:rsidRDefault="008F759E" w:rsidP="008F759E">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rsidR="008F759E" w:rsidRPr="00C974A6" w:rsidRDefault="008F759E" w:rsidP="008F759E">
      <w:pPr>
        <w:ind w:left="720"/>
        <w:rPr>
          <w:rFonts w:ascii="Arial" w:hAnsi="Arial"/>
          <w:i/>
          <w:sz w:val="16"/>
          <w:szCs w:val="16"/>
        </w:rPr>
      </w:pPr>
    </w:p>
    <w:tbl>
      <w:tblPr>
        <w:tblStyle w:val="TableGrid"/>
        <w:tblpPr w:leftFromText="180" w:rightFromText="180" w:vertAnchor="text" w:horzAnchor="page" w:tblpX="523"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640"/>
        <w:gridCol w:w="6936"/>
      </w:tblGrid>
      <w:tr w:rsidR="000A7FC8" w:rsidRPr="00C974A6" w:rsidTr="00E977F6">
        <w:tc>
          <w:tcPr>
            <w:tcW w:w="2640" w:type="dxa"/>
          </w:tcPr>
          <w:p w:rsidR="000A7FC8" w:rsidRPr="00FA7DF8" w:rsidRDefault="000A7FC8" w:rsidP="00E977F6">
            <w:pPr>
              <w:jc w:val="center"/>
              <w:rPr>
                <w:rFonts w:ascii="Arial" w:hAnsi="Arial" w:cs="Arial"/>
                <w:sz w:val="14"/>
                <w:szCs w:val="14"/>
              </w:rPr>
            </w:pPr>
          </w:p>
          <w:p w:rsidR="000A7FC8" w:rsidRDefault="000A7FC8" w:rsidP="00E977F6">
            <w:pPr>
              <w:jc w:val="center"/>
              <w:rPr>
                <w:rFonts w:ascii="Arial" w:hAnsi="Arial" w:cs="Arial"/>
                <w:sz w:val="16"/>
                <w:szCs w:val="16"/>
              </w:rPr>
            </w:pPr>
            <w:r>
              <w:rPr>
                <w:rFonts w:ascii="Arial" w:hAnsi="Arial" w:cs="Arial"/>
                <w:sz w:val="16"/>
                <w:szCs w:val="16"/>
              </w:rPr>
              <w:t xml:space="preserve">Mitchell D. Chester, </w:t>
            </w:r>
            <w:r w:rsidRPr="00E90934">
              <w:rPr>
                <w:rFonts w:ascii="Arial" w:hAnsi="Arial" w:cs="Arial"/>
                <w:sz w:val="16"/>
                <w:szCs w:val="16"/>
              </w:rPr>
              <w:t>Ed.D</w:t>
            </w:r>
            <w:r>
              <w:rPr>
                <w:rFonts w:ascii="Arial" w:hAnsi="Arial" w:cs="Arial"/>
                <w:sz w:val="16"/>
                <w:szCs w:val="16"/>
              </w:rPr>
              <w:t>.</w:t>
            </w:r>
          </w:p>
          <w:p w:rsidR="000A7FC8" w:rsidRPr="00E90934" w:rsidRDefault="000A7FC8" w:rsidP="00E977F6">
            <w:pPr>
              <w:jc w:val="center"/>
              <w:rPr>
                <w:rFonts w:ascii="Arial" w:hAnsi="Arial"/>
                <w:i/>
                <w:sz w:val="16"/>
                <w:szCs w:val="16"/>
              </w:rPr>
            </w:pPr>
            <w:r w:rsidRPr="00E90934">
              <w:rPr>
                <w:rFonts w:ascii="Arial" w:hAnsi="Arial"/>
                <w:i/>
                <w:sz w:val="16"/>
                <w:szCs w:val="16"/>
              </w:rPr>
              <w:t>Commissioner</w:t>
            </w:r>
          </w:p>
        </w:tc>
        <w:tc>
          <w:tcPr>
            <w:tcW w:w="6936" w:type="dxa"/>
          </w:tcPr>
          <w:p w:rsidR="000A7FC8" w:rsidRPr="00C974A6" w:rsidRDefault="000A7FC8" w:rsidP="00E977F6">
            <w:pPr>
              <w:jc w:val="center"/>
              <w:rPr>
                <w:rFonts w:ascii="Arial" w:hAnsi="Arial"/>
                <w:i/>
                <w:sz w:val="16"/>
                <w:szCs w:val="16"/>
              </w:rPr>
            </w:pPr>
          </w:p>
        </w:tc>
      </w:tr>
    </w:tbl>
    <w:p w:rsidR="000A7FC8" w:rsidRDefault="000A7FC8" w:rsidP="008F759E">
      <w:pPr>
        <w:rPr>
          <w:rFonts w:ascii="Arial" w:hAnsi="Arial"/>
          <w:i/>
          <w:sz w:val="18"/>
        </w:rPr>
      </w:pPr>
    </w:p>
    <w:p w:rsidR="000A7FC8" w:rsidRDefault="000A7FC8" w:rsidP="008F759E">
      <w:pPr>
        <w:rPr>
          <w:rFonts w:ascii="Arial" w:hAnsi="Arial"/>
          <w:i/>
          <w:sz w:val="18"/>
        </w:rPr>
      </w:pPr>
    </w:p>
    <w:p w:rsidR="000A7FC8" w:rsidRDefault="000A7FC8" w:rsidP="008F759E">
      <w:pPr>
        <w:rPr>
          <w:rFonts w:ascii="Arial" w:hAnsi="Arial"/>
          <w:i/>
          <w:sz w:val="18"/>
        </w:rPr>
      </w:pPr>
    </w:p>
    <w:p w:rsidR="000A7FC8" w:rsidRDefault="000A7FC8" w:rsidP="008F759E">
      <w:pPr>
        <w:rPr>
          <w:rFonts w:ascii="Arial" w:hAnsi="Arial"/>
          <w:i/>
          <w:sz w:val="18"/>
        </w:rPr>
      </w:pPr>
    </w:p>
    <w:p w:rsidR="008F759E" w:rsidRPr="004D299C" w:rsidRDefault="00425417" w:rsidP="008F759E">
      <w:pPr>
        <w:rPr>
          <w:sz w:val="22"/>
          <w:szCs w:val="22"/>
        </w:rPr>
      </w:pPr>
      <w:r>
        <w:rPr>
          <w:sz w:val="22"/>
          <w:szCs w:val="22"/>
        </w:rPr>
        <w:t>June</w:t>
      </w:r>
      <w:r w:rsidR="008F759E" w:rsidRPr="004D299C">
        <w:rPr>
          <w:sz w:val="22"/>
          <w:szCs w:val="22"/>
        </w:rPr>
        <w:t xml:space="preserve"> 2015</w:t>
      </w:r>
    </w:p>
    <w:p w:rsidR="008F759E" w:rsidRPr="004D299C" w:rsidRDefault="008F759E" w:rsidP="008F759E">
      <w:pPr>
        <w:rPr>
          <w:sz w:val="22"/>
          <w:szCs w:val="22"/>
        </w:rPr>
      </w:pPr>
    </w:p>
    <w:p w:rsidR="008F759E" w:rsidRPr="004D299C" w:rsidRDefault="008F759E" w:rsidP="008F759E">
      <w:pPr>
        <w:rPr>
          <w:sz w:val="22"/>
          <w:szCs w:val="22"/>
        </w:rPr>
      </w:pPr>
      <w:r w:rsidRPr="004D299C">
        <w:rPr>
          <w:sz w:val="22"/>
          <w:szCs w:val="22"/>
        </w:rPr>
        <w:t xml:space="preserve">Dear </w:t>
      </w:r>
      <w:r w:rsidR="001D0046" w:rsidRPr="004D299C">
        <w:rPr>
          <w:sz w:val="22"/>
          <w:szCs w:val="22"/>
        </w:rPr>
        <w:t>Governor Baker, Secretary Lepore, and Members of the General Court</w:t>
      </w:r>
      <w:r w:rsidRPr="004D299C">
        <w:rPr>
          <w:sz w:val="22"/>
          <w:szCs w:val="22"/>
        </w:rPr>
        <w:t>:</w:t>
      </w:r>
    </w:p>
    <w:p w:rsidR="008F759E" w:rsidRPr="004D299C" w:rsidRDefault="008F759E" w:rsidP="008F759E">
      <w:pPr>
        <w:rPr>
          <w:sz w:val="22"/>
          <w:szCs w:val="22"/>
        </w:rPr>
      </w:pPr>
    </w:p>
    <w:p w:rsidR="008F759E" w:rsidRPr="004D299C" w:rsidRDefault="00397A77" w:rsidP="001D0046">
      <w:pPr>
        <w:rPr>
          <w:sz w:val="22"/>
          <w:szCs w:val="22"/>
        </w:rPr>
      </w:pPr>
      <w:r>
        <w:rPr>
          <w:sz w:val="22"/>
          <w:szCs w:val="22"/>
        </w:rPr>
        <w:t>We are</w:t>
      </w:r>
      <w:r w:rsidR="001D0046" w:rsidRPr="004D299C">
        <w:rPr>
          <w:sz w:val="22"/>
          <w:szCs w:val="22"/>
        </w:rPr>
        <w:t xml:space="preserve"> pleased to submit this strategic plan, pursuant to Chapter 257 of the Acts of 2014 (Section 2B, line item 1599-7062), </w:t>
      </w:r>
      <w:r w:rsidR="008D721F">
        <w:rPr>
          <w:sz w:val="22"/>
          <w:szCs w:val="22"/>
        </w:rPr>
        <w:t>concerning</w:t>
      </w:r>
      <w:r w:rsidR="001D0046" w:rsidRPr="004D299C">
        <w:rPr>
          <w:sz w:val="22"/>
          <w:szCs w:val="22"/>
        </w:rPr>
        <w:t xml:space="preserve"> the implementation </w:t>
      </w:r>
      <w:r w:rsidR="008D721F">
        <w:rPr>
          <w:sz w:val="22"/>
          <w:szCs w:val="22"/>
        </w:rPr>
        <w:t xml:space="preserve">of </w:t>
      </w:r>
      <w:r w:rsidR="001D0046" w:rsidRPr="004D299C">
        <w:rPr>
          <w:sz w:val="22"/>
          <w:szCs w:val="22"/>
        </w:rPr>
        <w:t xml:space="preserve">a competitive, matching state grant program </w:t>
      </w:r>
      <w:r w:rsidR="00AF1090">
        <w:rPr>
          <w:sz w:val="22"/>
          <w:szCs w:val="22"/>
        </w:rPr>
        <w:t xml:space="preserve">to </w:t>
      </w:r>
      <w:r w:rsidR="00AF1090" w:rsidRPr="004D299C">
        <w:rPr>
          <w:sz w:val="22"/>
          <w:szCs w:val="22"/>
        </w:rPr>
        <w:t>bridge the digital divide that exists in some schools across the Commonwealth and strengthen twenty-first century teaching and learning</w:t>
      </w:r>
      <w:r w:rsidR="008F759E" w:rsidRPr="004D299C">
        <w:rPr>
          <w:sz w:val="22"/>
          <w:szCs w:val="22"/>
        </w:rPr>
        <w:t>:</w:t>
      </w:r>
    </w:p>
    <w:p w:rsidR="008F759E" w:rsidRPr="004D299C" w:rsidRDefault="008F759E" w:rsidP="008F759E">
      <w:pPr>
        <w:rPr>
          <w:sz w:val="22"/>
          <w:szCs w:val="22"/>
        </w:rPr>
      </w:pPr>
    </w:p>
    <w:p w:rsidR="008F759E" w:rsidRPr="004D299C" w:rsidRDefault="001D0046" w:rsidP="008F759E">
      <w:pPr>
        <w:ind w:left="720"/>
        <w:rPr>
          <w:i/>
          <w:sz w:val="22"/>
          <w:szCs w:val="22"/>
        </w:rPr>
      </w:pPr>
      <w:r w:rsidRPr="004D299C">
        <w:rPr>
          <w:i/>
          <w:sz w:val="22"/>
          <w:szCs w:val="22"/>
        </w:rPr>
        <w:t>“…Provided further, that no grants shall be awarded until the executive office of education and the department, in consultation with the Massachusetts office of information technology, develops a detailed strategic plan to ensure that the program maximizes taxpayer value, student access to information technology and information technology preparedness; provided further, that the department shall submit the plan to the governor, the secretary of administration and finance and the clerks of the senate and the house of representatives on or before March 1, 2015…”</w:t>
      </w:r>
    </w:p>
    <w:p w:rsidR="008F759E" w:rsidRPr="004D299C" w:rsidRDefault="008F759E" w:rsidP="008F759E">
      <w:pPr>
        <w:ind w:left="720"/>
        <w:rPr>
          <w:sz w:val="22"/>
          <w:szCs w:val="22"/>
        </w:rPr>
      </w:pPr>
    </w:p>
    <w:p w:rsidR="00CC0DF6" w:rsidRDefault="00CC0DF6" w:rsidP="008F759E">
      <w:pPr>
        <w:rPr>
          <w:sz w:val="22"/>
          <w:szCs w:val="22"/>
        </w:rPr>
      </w:pPr>
      <w:r>
        <w:rPr>
          <w:sz w:val="22"/>
          <w:szCs w:val="22"/>
        </w:rPr>
        <w:t xml:space="preserve">While Massachusetts is second to none </w:t>
      </w:r>
      <w:r w:rsidR="006F4FE5">
        <w:rPr>
          <w:sz w:val="22"/>
          <w:szCs w:val="22"/>
        </w:rPr>
        <w:t>when it</w:t>
      </w:r>
      <w:r>
        <w:rPr>
          <w:sz w:val="22"/>
          <w:szCs w:val="22"/>
        </w:rPr>
        <w:t xml:space="preserve"> comes to academic achievement, many of our schools are not yet up to the task of preparing students for twenty-first century work and life. </w:t>
      </w:r>
      <w:r w:rsidR="00643EE4">
        <w:rPr>
          <w:sz w:val="22"/>
          <w:szCs w:val="22"/>
        </w:rPr>
        <w:t>Preparing our schools to administer online</w:t>
      </w:r>
      <w:r w:rsidR="00643EE4" w:rsidRPr="00397A77">
        <w:rPr>
          <w:sz w:val="22"/>
          <w:szCs w:val="22"/>
        </w:rPr>
        <w:t xml:space="preserve"> </w:t>
      </w:r>
      <w:r w:rsidR="00643EE4">
        <w:rPr>
          <w:sz w:val="22"/>
          <w:szCs w:val="22"/>
        </w:rPr>
        <w:t>assessments was an important goal for this program, but not the primary driver; rather, t</w:t>
      </w:r>
      <w:r w:rsidRPr="004D299C">
        <w:rPr>
          <w:sz w:val="22"/>
          <w:szCs w:val="22"/>
        </w:rPr>
        <w:t>h</w:t>
      </w:r>
      <w:r>
        <w:rPr>
          <w:sz w:val="22"/>
          <w:szCs w:val="22"/>
        </w:rPr>
        <w:t>e</w:t>
      </w:r>
      <w:r w:rsidRPr="004D299C">
        <w:rPr>
          <w:sz w:val="22"/>
          <w:szCs w:val="22"/>
        </w:rPr>
        <w:t xml:space="preserve"> Digital Connections Partnership Schools Grant program is about rethinking the structure and deliv</w:t>
      </w:r>
      <w:r>
        <w:rPr>
          <w:sz w:val="22"/>
          <w:szCs w:val="22"/>
        </w:rPr>
        <w:t xml:space="preserve">ery of learning, </w:t>
      </w:r>
      <w:r w:rsidRPr="004D299C">
        <w:rPr>
          <w:sz w:val="22"/>
          <w:szCs w:val="22"/>
        </w:rPr>
        <w:t>building a more stud</w:t>
      </w:r>
      <w:r>
        <w:rPr>
          <w:sz w:val="22"/>
          <w:szCs w:val="22"/>
        </w:rPr>
        <w:t xml:space="preserve">ent-centered educational system, and </w:t>
      </w:r>
      <w:r w:rsidRPr="004D299C">
        <w:rPr>
          <w:sz w:val="22"/>
          <w:szCs w:val="22"/>
        </w:rPr>
        <w:t>creating the next generation of K–12 learning environments.</w:t>
      </w:r>
    </w:p>
    <w:p w:rsidR="00CC0DF6" w:rsidRDefault="00CC0DF6" w:rsidP="008F759E">
      <w:pPr>
        <w:rPr>
          <w:sz w:val="22"/>
          <w:szCs w:val="22"/>
        </w:rPr>
      </w:pPr>
    </w:p>
    <w:p w:rsidR="00C37B2A" w:rsidRDefault="00C37B2A" w:rsidP="00C37B2A">
      <w:pPr>
        <w:rPr>
          <w:sz w:val="22"/>
          <w:szCs w:val="22"/>
        </w:rPr>
      </w:pPr>
      <w:r>
        <w:rPr>
          <w:sz w:val="22"/>
          <w:szCs w:val="22"/>
        </w:rPr>
        <w:t xml:space="preserve">To support our schools in achieving this vision, we have crafted a plan that </w:t>
      </w:r>
      <w:r w:rsidRPr="004D299C">
        <w:rPr>
          <w:sz w:val="22"/>
          <w:szCs w:val="22"/>
        </w:rPr>
        <w:t xml:space="preserve">streamlines the delivery of </w:t>
      </w:r>
      <w:r>
        <w:rPr>
          <w:sz w:val="22"/>
          <w:szCs w:val="22"/>
        </w:rPr>
        <w:t>technology</w:t>
      </w:r>
      <w:r w:rsidRPr="004D299C">
        <w:rPr>
          <w:sz w:val="22"/>
          <w:szCs w:val="22"/>
        </w:rPr>
        <w:t xml:space="preserve"> to communities, significantly reduces adm</w:t>
      </w:r>
      <w:r>
        <w:rPr>
          <w:sz w:val="22"/>
          <w:szCs w:val="22"/>
        </w:rPr>
        <w:t>inistrative burden and overhead at the local level</w:t>
      </w:r>
      <w:r w:rsidRPr="004D299C">
        <w:rPr>
          <w:sz w:val="22"/>
          <w:szCs w:val="22"/>
        </w:rPr>
        <w:t>, and make</w:t>
      </w:r>
      <w:r>
        <w:rPr>
          <w:sz w:val="22"/>
          <w:szCs w:val="22"/>
        </w:rPr>
        <w:t>s</w:t>
      </w:r>
      <w:r w:rsidRPr="004D299C">
        <w:rPr>
          <w:sz w:val="22"/>
          <w:szCs w:val="22"/>
        </w:rPr>
        <w:t xml:space="preserve"> efficient use of </w:t>
      </w:r>
      <w:r>
        <w:rPr>
          <w:sz w:val="22"/>
          <w:szCs w:val="22"/>
        </w:rPr>
        <w:t>multiple funding streams.</w:t>
      </w:r>
    </w:p>
    <w:p w:rsidR="00C37B2A" w:rsidRPr="004D299C" w:rsidRDefault="00C37B2A" w:rsidP="00C37B2A">
      <w:pPr>
        <w:rPr>
          <w:sz w:val="22"/>
          <w:szCs w:val="22"/>
        </w:rPr>
      </w:pPr>
    </w:p>
    <w:p w:rsidR="008F759E" w:rsidRDefault="00CC0DF6" w:rsidP="008F759E">
      <w:pPr>
        <w:rPr>
          <w:sz w:val="22"/>
          <w:szCs w:val="22"/>
        </w:rPr>
      </w:pPr>
      <w:r>
        <w:rPr>
          <w:sz w:val="22"/>
          <w:szCs w:val="22"/>
        </w:rPr>
        <w:t>Administration of t</w:t>
      </w:r>
      <w:r w:rsidR="001D0046" w:rsidRPr="004D299C">
        <w:rPr>
          <w:sz w:val="22"/>
          <w:szCs w:val="22"/>
        </w:rPr>
        <w:t xml:space="preserve">he </w:t>
      </w:r>
      <w:r w:rsidR="005C1D91">
        <w:rPr>
          <w:sz w:val="22"/>
          <w:szCs w:val="22"/>
        </w:rPr>
        <w:t xml:space="preserve">grant </w:t>
      </w:r>
      <w:r w:rsidR="001D0046" w:rsidRPr="004D299C">
        <w:rPr>
          <w:sz w:val="22"/>
          <w:szCs w:val="22"/>
        </w:rPr>
        <w:t>program represents an unprecedented level of collaborati</w:t>
      </w:r>
      <w:r w:rsidR="00AF1090">
        <w:rPr>
          <w:sz w:val="22"/>
          <w:szCs w:val="22"/>
        </w:rPr>
        <w:t xml:space="preserve">on between </w:t>
      </w:r>
      <w:r w:rsidR="001D0046" w:rsidRPr="004D299C">
        <w:rPr>
          <w:sz w:val="22"/>
          <w:szCs w:val="22"/>
        </w:rPr>
        <w:t>education, policy, and technology leaders</w:t>
      </w:r>
      <w:r w:rsidR="00AF1090">
        <w:rPr>
          <w:sz w:val="22"/>
          <w:szCs w:val="22"/>
        </w:rPr>
        <w:t xml:space="preserve"> from across state government</w:t>
      </w:r>
      <w:r w:rsidR="008F759E" w:rsidRPr="004D299C">
        <w:rPr>
          <w:sz w:val="22"/>
          <w:szCs w:val="22"/>
        </w:rPr>
        <w:t>.</w:t>
      </w:r>
      <w:r w:rsidR="00760C29" w:rsidRPr="004D299C">
        <w:rPr>
          <w:sz w:val="22"/>
          <w:szCs w:val="22"/>
        </w:rPr>
        <w:t xml:space="preserve"> </w:t>
      </w:r>
      <w:r w:rsidR="00397A77">
        <w:rPr>
          <w:sz w:val="22"/>
          <w:szCs w:val="22"/>
        </w:rPr>
        <w:t>For example, t</w:t>
      </w:r>
      <w:r w:rsidR="00760C29" w:rsidRPr="004D299C">
        <w:rPr>
          <w:sz w:val="22"/>
          <w:szCs w:val="22"/>
        </w:rPr>
        <w:t>he Massachusetts Office of Information Technology (MassIT)</w:t>
      </w:r>
      <w:r w:rsidR="00397A77">
        <w:rPr>
          <w:sz w:val="22"/>
          <w:szCs w:val="22"/>
        </w:rPr>
        <w:t xml:space="preserve"> </w:t>
      </w:r>
      <w:r w:rsidR="00C37B2A">
        <w:rPr>
          <w:sz w:val="22"/>
          <w:szCs w:val="22"/>
        </w:rPr>
        <w:t xml:space="preserve">aims </w:t>
      </w:r>
      <w:r w:rsidR="00760C29" w:rsidRPr="004D299C">
        <w:rPr>
          <w:sz w:val="22"/>
          <w:szCs w:val="22"/>
        </w:rPr>
        <w:t xml:space="preserve">to </w:t>
      </w:r>
      <w:r w:rsidR="00DB18CD" w:rsidRPr="004D299C">
        <w:rPr>
          <w:sz w:val="22"/>
          <w:szCs w:val="22"/>
        </w:rPr>
        <w:t>leverage</w:t>
      </w:r>
      <w:r w:rsidR="00760C29" w:rsidRPr="004D299C">
        <w:rPr>
          <w:sz w:val="22"/>
          <w:szCs w:val="22"/>
        </w:rPr>
        <w:t xml:space="preserve"> </w:t>
      </w:r>
      <w:r w:rsidR="00C07D62">
        <w:rPr>
          <w:sz w:val="22"/>
          <w:szCs w:val="22"/>
        </w:rPr>
        <w:t xml:space="preserve">the </w:t>
      </w:r>
      <w:r w:rsidR="00AF1090">
        <w:rPr>
          <w:sz w:val="22"/>
          <w:szCs w:val="22"/>
        </w:rPr>
        <w:t>capacity and buying power of the Commonwealth</w:t>
      </w:r>
      <w:r w:rsidR="00760C29" w:rsidRPr="004D299C">
        <w:rPr>
          <w:sz w:val="22"/>
          <w:szCs w:val="22"/>
        </w:rPr>
        <w:t xml:space="preserve"> </w:t>
      </w:r>
      <w:r w:rsidR="00C07D62">
        <w:rPr>
          <w:sz w:val="22"/>
          <w:szCs w:val="22"/>
        </w:rPr>
        <w:t>to help cities and towns upgrade their technology infrastructure</w:t>
      </w:r>
      <w:r w:rsidR="00AF1090">
        <w:rPr>
          <w:sz w:val="22"/>
          <w:szCs w:val="22"/>
        </w:rPr>
        <w:t xml:space="preserve">: MassIT will </w:t>
      </w:r>
      <w:r w:rsidR="00C07D62">
        <w:rPr>
          <w:sz w:val="22"/>
          <w:szCs w:val="22"/>
        </w:rPr>
        <w:t>act as a single purchasing agent</w:t>
      </w:r>
      <w:r w:rsidR="00AF1090">
        <w:rPr>
          <w:sz w:val="22"/>
          <w:szCs w:val="22"/>
        </w:rPr>
        <w:t xml:space="preserve">, front the cost of all projects, and expedite the flow of </w:t>
      </w:r>
      <w:r w:rsidR="00C07D62">
        <w:rPr>
          <w:sz w:val="22"/>
          <w:szCs w:val="22"/>
        </w:rPr>
        <w:t>hundreds of thousands of dollars</w:t>
      </w:r>
      <w:r w:rsidR="00AF1090">
        <w:rPr>
          <w:sz w:val="22"/>
          <w:szCs w:val="22"/>
        </w:rPr>
        <w:t xml:space="preserve"> in federal E-rate </w:t>
      </w:r>
      <w:r w:rsidR="001B3C63">
        <w:rPr>
          <w:sz w:val="22"/>
          <w:szCs w:val="22"/>
        </w:rPr>
        <w:t xml:space="preserve">elementary and secondary education </w:t>
      </w:r>
      <w:r w:rsidR="00C07D62">
        <w:rPr>
          <w:sz w:val="22"/>
          <w:szCs w:val="22"/>
        </w:rPr>
        <w:t xml:space="preserve">technology discounts </w:t>
      </w:r>
      <w:r w:rsidR="00AF1090">
        <w:rPr>
          <w:sz w:val="22"/>
          <w:szCs w:val="22"/>
        </w:rPr>
        <w:t xml:space="preserve">back to </w:t>
      </w:r>
      <w:r w:rsidR="001B3C63">
        <w:rPr>
          <w:sz w:val="22"/>
          <w:szCs w:val="22"/>
        </w:rPr>
        <w:t>schools</w:t>
      </w:r>
      <w:r w:rsidR="008356D0">
        <w:rPr>
          <w:sz w:val="22"/>
          <w:szCs w:val="22"/>
        </w:rPr>
        <w:t>.</w:t>
      </w:r>
    </w:p>
    <w:p w:rsidR="00AF1090" w:rsidRDefault="00AF1090" w:rsidP="008F759E">
      <w:pPr>
        <w:rPr>
          <w:sz w:val="22"/>
          <w:szCs w:val="22"/>
        </w:rPr>
      </w:pPr>
    </w:p>
    <w:p w:rsidR="006D7489" w:rsidRDefault="00AF1090" w:rsidP="008F759E">
      <w:pPr>
        <w:rPr>
          <w:sz w:val="22"/>
          <w:szCs w:val="22"/>
        </w:rPr>
      </w:pPr>
      <w:r>
        <w:rPr>
          <w:sz w:val="22"/>
          <w:szCs w:val="22"/>
        </w:rPr>
        <w:t xml:space="preserve">Of the $38 million in state bond appropriated by the legislature, $5 million </w:t>
      </w:r>
      <w:r w:rsidR="006D7489">
        <w:rPr>
          <w:sz w:val="22"/>
          <w:szCs w:val="22"/>
        </w:rPr>
        <w:t xml:space="preserve">has been authorized for </w:t>
      </w:r>
      <w:r w:rsidR="00CC0DF6">
        <w:rPr>
          <w:sz w:val="22"/>
          <w:szCs w:val="22"/>
        </w:rPr>
        <w:t xml:space="preserve">use </w:t>
      </w:r>
      <w:r w:rsidR="00E76CBC">
        <w:rPr>
          <w:sz w:val="22"/>
          <w:szCs w:val="22"/>
        </w:rPr>
        <w:t xml:space="preserve">in the first phase of </w:t>
      </w:r>
      <w:r w:rsidR="006D7489">
        <w:rPr>
          <w:sz w:val="22"/>
          <w:szCs w:val="22"/>
        </w:rPr>
        <w:t>the p</w:t>
      </w:r>
      <w:r w:rsidR="0086370E">
        <w:rPr>
          <w:sz w:val="22"/>
          <w:szCs w:val="22"/>
        </w:rPr>
        <w:t xml:space="preserve">rogram by the </w:t>
      </w:r>
      <w:r w:rsidR="00CC0DF6">
        <w:rPr>
          <w:sz w:val="22"/>
          <w:szCs w:val="22"/>
        </w:rPr>
        <w:t>G</w:t>
      </w:r>
      <w:r w:rsidR="0086370E">
        <w:rPr>
          <w:sz w:val="22"/>
          <w:szCs w:val="22"/>
        </w:rPr>
        <w:t xml:space="preserve">overnor’s </w:t>
      </w:r>
      <w:r w:rsidR="00CC0DF6">
        <w:rPr>
          <w:sz w:val="22"/>
          <w:szCs w:val="22"/>
        </w:rPr>
        <w:t>O</w:t>
      </w:r>
      <w:r w:rsidR="0086370E">
        <w:rPr>
          <w:sz w:val="22"/>
          <w:szCs w:val="22"/>
        </w:rPr>
        <w:t>ffice for projects in FY2015-16.</w:t>
      </w:r>
      <w:r w:rsidR="006D7489">
        <w:rPr>
          <w:sz w:val="22"/>
          <w:szCs w:val="22"/>
        </w:rPr>
        <w:t xml:space="preserve"> </w:t>
      </w:r>
    </w:p>
    <w:p w:rsidR="006D7489" w:rsidRDefault="006D7489" w:rsidP="008F759E">
      <w:pPr>
        <w:rPr>
          <w:sz w:val="22"/>
          <w:szCs w:val="22"/>
        </w:rPr>
      </w:pPr>
    </w:p>
    <w:p w:rsidR="00F14A24" w:rsidRPr="004D299C" w:rsidRDefault="00AF1090" w:rsidP="008F759E">
      <w:pPr>
        <w:rPr>
          <w:sz w:val="22"/>
          <w:szCs w:val="22"/>
        </w:rPr>
      </w:pPr>
      <w:r>
        <w:rPr>
          <w:sz w:val="22"/>
          <w:szCs w:val="22"/>
        </w:rPr>
        <w:t xml:space="preserve">The response we received to the initial request for proposals was </w:t>
      </w:r>
      <w:r w:rsidR="006D7489">
        <w:rPr>
          <w:sz w:val="22"/>
          <w:szCs w:val="22"/>
        </w:rPr>
        <w:t>very strong</w:t>
      </w:r>
      <w:r w:rsidR="00E977F6">
        <w:rPr>
          <w:sz w:val="22"/>
          <w:szCs w:val="22"/>
        </w:rPr>
        <w:t>, despite a short application timeframe,</w:t>
      </w:r>
      <w:r w:rsidR="00F24A31">
        <w:rPr>
          <w:sz w:val="22"/>
          <w:szCs w:val="22"/>
        </w:rPr>
        <w:t xml:space="preserve"> and </w:t>
      </w:r>
      <w:r w:rsidR="006D7489">
        <w:rPr>
          <w:sz w:val="22"/>
          <w:szCs w:val="22"/>
        </w:rPr>
        <w:t>is a</w:t>
      </w:r>
      <w:r w:rsidR="006D7489" w:rsidRPr="006D7489">
        <w:rPr>
          <w:sz w:val="22"/>
          <w:szCs w:val="22"/>
        </w:rPr>
        <w:t xml:space="preserve"> </w:t>
      </w:r>
      <w:r w:rsidR="006D7489">
        <w:rPr>
          <w:sz w:val="22"/>
          <w:szCs w:val="22"/>
        </w:rPr>
        <w:t xml:space="preserve">persuasive indicator of the willingness of cities and towns to commit local matching funds. </w:t>
      </w:r>
      <w:r w:rsidR="00610FBE">
        <w:rPr>
          <w:sz w:val="22"/>
          <w:szCs w:val="22"/>
        </w:rPr>
        <w:t xml:space="preserve"> </w:t>
      </w:r>
      <w:r w:rsidR="00F24A31">
        <w:rPr>
          <w:sz w:val="22"/>
          <w:szCs w:val="22"/>
        </w:rPr>
        <w:t xml:space="preserve">At present, </w:t>
      </w:r>
      <w:r w:rsidR="0086370E">
        <w:rPr>
          <w:sz w:val="22"/>
          <w:szCs w:val="22"/>
        </w:rPr>
        <w:t xml:space="preserve">the </w:t>
      </w:r>
      <w:r w:rsidR="006D7489">
        <w:rPr>
          <w:sz w:val="22"/>
          <w:szCs w:val="22"/>
        </w:rPr>
        <w:t xml:space="preserve">demand surpasses our ability to match </w:t>
      </w:r>
      <w:r w:rsidR="00F24A31">
        <w:rPr>
          <w:sz w:val="22"/>
          <w:szCs w:val="22"/>
        </w:rPr>
        <w:t>this</w:t>
      </w:r>
      <w:r w:rsidR="006D7489">
        <w:rPr>
          <w:sz w:val="22"/>
          <w:szCs w:val="22"/>
        </w:rPr>
        <w:t xml:space="preserve"> commitment </w:t>
      </w:r>
      <w:r w:rsidR="00F24A31">
        <w:rPr>
          <w:sz w:val="22"/>
          <w:szCs w:val="22"/>
        </w:rPr>
        <w:t>with</w:t>
      </w:r>
      <w:r w:rsidR="006D7489">
        <w:rPr>
          <w:sz w:val="22"/>
          <w:szCs w:val="22"/>
        </w:rPr>
        <w:t xml:space="preserve"> state </w:t>
      </w:r>
      <w:r w:rsidR="00F24A31">
        <w:rPr>
          <w:sz w:val="22"/>
          <w:szCs w:val="22"/>
        </w:rPr>
        <w:t>funds</w:t>
      </w:r>
      <w:r w:rsidR="00610FBE">
        <w:rPr>
          <w:sz w:val="22"/>
          <w:szCs w:val="22"/>
        </w:rPr>
        <w:t xml:space="preserve">.  The table below highlights the level of demand demonstrated by schools in this initial application round.  </w:t>
      </w:r>
    </w:p>
    <w:p w:rsidR="001D0046" w:rsidRPr="004D299C" w:rsidRDefault="001D0046" w:rsidP="008F759E">
      <w:pPr>
        <w:rPr>
          <w:sz w:val="22"/>
          <w:szCs w:val="22"/>
        </w:rPr>
      </w:pPr>
    </w:p>
    <w:p w:rsidR="00F14A24" w:rsidRPr="00F14A24" w:rsidRDefault="006D7489" w:rsidP="00FD077C">
      <w:pPr>
        <w:pStyle w:val="ListParagraph"/>
        <w:numPr>
          <w:ilvl w:val="0"/>
          <w:numId w:val="21"/>
        </w:numPr>
        <w:contextualSpacing w:val="0"/>
        <w:rPr>
          <w:sz w:val="22"/>
          <w:szCs w:val="22"/>
        </w:rPr>
      </w:pPr>
      <w:r>
        <w:rPr>
          <w:sz w:val="22"/>
          <w:szCs w:val="22"/>
        </w:rPr>
        <w:t xml:space="preserve">The </w:t>
      </w:r>
      <w:r w:rsidR="001D0046" w:rsidRPr="004D299C">
        <w:rPr>
          <w:sz w:val="22"/>
          <w:szCs w:val="22"/>
        </w:rPr>
        <w:t xml:space="preserve">$5 million </w:t>
      </w:r>
      <w:r>
        <w:rPr>
          <w:sz w:val="22"/>
          <w:szCs w:val="22"/>
        </w:rPr>
        <w:t xml:space="preserve">authorized for </w:t>
      </w:r>
      <w:r w:rsidR="00552FA1">
        <w:rPr>
          <w:sz w:val="22"/>
          <w:szCs w:val="22"/>
        </w:rPr>
        <w:t xml:space="preserve">use in </w:t>
      </w:r>
      <w:r>
        <w:rPr>
          <w:sz w:val="22"/>
          <w:szCs w:val="22"/>
        </w:rPr>
        <w:t xml:space="preserve">the </w:t>
      </w:r>
      <w:r w:rsidR="00552FA1">
        <w:rPr>
          <w:sz w:val="22"/>
          <w:szCs w:val="22"/>
        </w:rPr>
        <w:t xml:space="preserve">first phase of the </w:t>
      </w:r>
      <w:r>
        <w:rPr>
          <w:sz w:val="22"/>
          <w:szCs w:val="22"/>
        </w:rPr>
        <w:t>program lets us fund projects that will</w:t>
      </w:r>
      <w:r w:rsidR="005C1D91">
        <w:rPr>
          <w:sz w:val="22"/>
          <w:szCs w:val="22"/>
        </w:rPr>
        <w:t xml:space="preserve"> positively</w:t>
      </w:r>
      <w:r>
        <w:rPr>
          <w:sz w:val="22"/>
          <w:szCs w:val="22"/>
        </w:rPr>
        <w:t xml:space="preserve"> impact </w:t>
      </w:r>
      <w:r w:rsidR="00FD077C">
        <w:rPr>
          <w:sz w:val="22"/>
          <w:szCs w:val="22"/>
        </w:rPr>
        <w:t>24,981</w:t>
      </w:r>
      <w:r>
        <w:rPr>
          <w:sz w:val="22"/>
          <w:szCs w:val="22"/>
        </w:rPr>
        <w:t xml:space="preserve"> students and </w:t>
      </w:r>
      <w:r w:rsidR="00FD077C">
        <w:rPr>
          <w:sz w:val="22"/>
          <w:szCs w:val="22"/>
        </w:rPr>
        <w:t>1,865</w:t>
      </w:r>
      <w:r>
        <w:rPr>
          <w:sz w:val="22"/>
          <w:szCs w:val="22"/>
        </w:rPr>
        <w:t xml:space="preserve"> educators in 47 schools. Communities are prepared to match this investment with </w:t>
      </w:r>
      <w:r w:rsidRPr="006D7489">
        <w:rPr>
          <w:sz w:val="22"/>
          <w:szCs w:val="22"/>
        </w:rPr>
        <w:t>a</w:t>
      </w:r>
      <w:r>
        <w:rPr>
          <w:sz w:val="22"/>
          <w:szCs w:val="22"/>
        </w:rPr>
        <w:t>pproximately</w:t>
      </w:r>
      <w:r w:rsidR="00760C29" w:rsidRPr="006D7489">
        <w:rPr>
          <w:sz w:val="22"/>
          <w:szCs w:val="22"/>
        </w:rPr>
        <w:t xml:space="preserve"> </w:t>
      </w:r>
      <w:r w:rsidR="00F24A31">
        <w:rPr>
          <w:sz w:val="22"/>
          <w:szCs w:val="22"/>
        </w:rPr>
        <w:t xml:space="preserve">$3.59 million </w:t>
      </w:r>
      <w:r w:rsidR="00FA75A5">
        <w:rPr>
          <w:sz w:val="22"/>
          <w:szCs w:val="22"/>
        </w:rPr>
        <w:t>from</w:t>
      </w:r>
      <w:r w:rsidR="00F24A31">
        <w:rPr>
          <w:sz w:val="22"/>
          <w:szCs w:val="22"/>
        </w:rPr>
        <w:t xml:space="preserve"> l</w:t>
      </w:r>
      <w:r w:rsidR="00FA75A5">
        <w:rPr>
          <w:sz w:val="22"/>
          <w:szCs w:val="22"/>
        </w:rPr>
        <w:t>ocal, private, and federal funding streams</w:t>
      </w:r>
      <w:r w:rsidR="00F24A31">
        <w:rPr>
          <w:sz w:val="22"/>
          <w:szCs w:val="22"/>
        </w:rPr>
        <w:t>.</w:t>
      </w:r>
    </w:p>
    <w:p w:rsidR="00B67631" w:rsidRDefault="00E977F6" w:rsidP="00FD077C">
      <w:pPr>
        <w:pStyle w:val="ListParagraph"/>
        <w:numPr>
          <w:ilvl w:val="0"/>
          <w:numId w:val="21"/>
        </w:numPr>
        <w:contextualSpacing w:val="0"/>
        <w:rPr>
          <w:sz w:val="22"/>
          <w:szCs w:val="22"/>
        </w:rPr>
      </w:pPr>
      <w:r>
        <w:rPr>
          <w:sz w:val="22"/>
          <w:szCs w:val="22"/>
        </w:rPr>
        <w:t xml:space="preserve">To meet the full initial demand, </w:t>
      </w:r>
      <w:r w:rsidR="00F24A31">
        <w:rPr>
          <w:sz w:val="22"/>
          <w:szCs w:val="22"/>
        </w:rPr>
        <w:t>an additional $11.79 million in state bond funds</w:t>
      </w:r>
      <w:r>
        <w:rPr>
          <w:sz w:val="22"/>
          <w:szCs w:val="22"/>
        </w:rPr>
        <w:t xml:space="preserve"> would be required</w:t>
      </w:r>
      <w:r w:rsidR="00F24A31" w:rsidRPr="00F24A31">
        <w:rPr>
          <w:sz w:val="22"/>
          <w:szCs w:val="22"/>
        </w:rPr>
        <w:t xml:space="preserve">. </w:t>
      </w:r>
      <w:r w:rsidR="00610FBE">
        <w:rPr>
          <w:sz w:val="22"/>
          <w:szCs w:val="22"/>
        </w:rPr>
        <w:t xml:space="preserve"> </w:t>
      </w:r>
      <w:r>
        <w:rPr>
          <w:sz w:val="22"/>
          <w:szCs w:val="22"/>
        </w:rPr>
        <w:t xml:space="preserve">That level of </w:t>
      </w:r>
      <w:r w:rsidR="00FA75A5">
        <w:rPr>
          <w:sz w:val="22"/>
          <w:szCs w:val="22"/>
        </w:rPr>
        <w:t>fund</w:t>
      </w:r>
      <w:r>
        <w:rPr>
          <w:sz w:val="22"/>
          <w:szCs w:val="22"/>
        </w:rPr>
        <w:t>ing</w:t>
      </w:r>
      <w:r w:rsidR="00FA75A5">
        <w:rPr>
          <w:sz w:val="22"/>
          <w:szCs w:val="22"/>
        </w:rPr>
        <w:t xml:space="preserve"> would </w:t>
      </w:r>
      <w:r w:rsidR="00CC0DF6">
        <w:rPr>
          <w:sz w:val="22"/>
          <w:szCs w:val="22"/>
        </w:rPr>
        <w:t xml:space="preserve">benefit </w:t>
      </w:r>
      <w:r w:rsidR="00FA75A5">
        <w:rPr>
          <w:sz w:val="22"/>
          <w:szCs w:val="22"/>
        </w:rPr>
        <w:t>an</w:t>
      </w:r>
      <w:r w:rsidR="00F24A31">
        <w:rPr>
          <w:sz w:val="22"/>
          <w:szCs w:val="22"/>
        </w:rPr>
        <w:t xml:space="preserve"> </w:t>
      </w:r>
      <w:r w:rsidR="00FA75A5">
        <w:rPr>
          <w:sz w:val="22"/>
          <w:szCs w:val="22"/>
        </w:rPr>
        <w:t>additional</w:t>
      </w:r>
      <w:r w:rsidR="00F24A31">
        <w:rPr>
          <w:sz w:val="22"/>
          <w:szCs w:val="22"/>
        </w:rPr>
        <w:t xml:space="preserve"> </w:t>
      </w:r>
      <w:r w:rsidR="00FD077C">
        <w:rPr>
          <w:sz w:val="22"/>
          <w:szCs w:val="22"/>
        </w:rPr>
        <w:t>108,358</w:t>
      </w:r>
      <w:r w:rsidR="00F24A31" w:rsidRPr="00F24A31">
        <w:rPr>
          <w:sz w:val="22"/>
          <w:szCs w:val="22"/>
        </w:rPr>
        <w:t xml:space="preserve"> </w:t>
      </w:r>
      <w:r w:rsidR="00F24A31">
        <w:rPr>
          <w:sz w:val="22"/>
          <w:szCs w:val="22"/>
        </w:rPr>
        <w:t>students</w:t>
      </w:r>
      <w:r w:rsidR="00F24A31" w:rsidRPr="00F24A31">
        <w:rPr>
          <w:sz w:val="22"/>
          <w:szCs w:val="22"/>
        </w:rPr>
        <w:t xml:space="preserve"> and </w:t>
      </w:r>
      <w:r w:rsidR="00FD077C" w:rsidRPr="00FD077C">
        <w:rPr>
          <w:sz w:val="22"/>
          <w:szCs w:val="22"/>
        </w:rPr>
        <w:t xml:space="preserve">7,835 </w:t>
      </w:r>
      <w:r w:rsidR="00F24A31" w:rsidRPr="00F24A31">
        <w:rPr>
          <w:sz w:val="22"/>
          <w:szCs w:val="22"/>
        </w:rPr>
        <w:t xml:space="preserve">educators in </w:t>
      </w:r>
      <w:r w:rsidR="00A86C5A">
        <w:rPr>
          <w:sz w:val="22"/>
          <w:szCs w:val="22"/>
        </w:rPr>
        <w:t>200</w:t>
      </w:r>
      <w:r w:rsidR="00F24A31" w:rsidRPr="00F24A31">
        <w:rPr>
          <w:sz w:val="22"/>
          <w:szCs w:val="22"/>
        </w:rPr>
        <w:t xml:space="preserve"> </w:t>
      </w:r>
      <w:r w:rsidR="00FA75A5">
        <w:rPr>
          <w:sz w:val="22"/>
          <w:szCs w:val="22"/>
        </w:rPr>
        <w:t xml:space="preserve">schools, and leverage </w:t>
      </w:r>
      <w:r w:rsidR="00A86C5A">
        <w:rPr>
          <w:sz w:val="22"/>
          <w:szCs w:val="22"/>
        </w:rPr>
        <w:t xml:space="preserve">approximately </w:t>
      </w:r>
      <w:r w:rsidR="00DB18CD" w:rsidRPr="00F24A31">
        <w:rPr>
          <w:sz w:val="22"/>
          <w:szCs w:val="22"/>
        </w:rPr>
        <w:t>$13.77 million</w:t>
      </w:r>
      <w:r w:rsidR="00FA75A5">
        <w:rPr>
          <w:sz w:val="22"/>
          <w:szCs w:val="22"/>
        </w:rPr>
        <w:t xml:space="preserve"> in matching funds</w:t>
      </w:r>
      <w:r w:rsidR="0032470D">
        <w:rPr>
          <w:sz w:val="22"/>
          <w:szCs w:val="22"/>
        </w:rPr>
        <w:t>.</w:t>
      </w:r>
      <w:r>
        <w:rPr>
          <w:sz w:val="22"/>
          <w:szCs w:val="22"/>
        </w:rPr>
        <w:t xml:space="preserve">  </w:t>
      </w:r>
    </w:p>
    <w:p w:rsidR="006248D1" w:rsidRDefault="00E977F6" w:rsidP="00FD077C">
      <w:pPr>
        <w:pStyle w:val="ListParagraph"/>
        <w:numPr>
          <w:ilvl w:val="0"/>
          <w:numId w:val="21"/>
        </w:numPr>
        <w:contextualSpacing w:val="0"/>
        <w:rPr>
          <w:sz w:val="22"/>
          <w:szCs w:val="22"/>
        </w:rPr>
      </w:pPr>
      <w:r>
        <w:rPr>
          <w:sz w:val="22"/>
          <w:szCs w:val="22"/>
        </w:rPr>
        <w:t>It is worth noting that</w:t>
      </w:r>
      <w:r w:rsidR="00B67631">
        <w:rPr>
          <w:sz w:val="22"/>
          <w:szCs w:val="22"/>
        </w:rPr>
        <w:t xml:space="preserve"> we expect additional demand to be demonstrated in future application rounds.  A number of</w:t>
      </w:r>
      <w:r>
        <w:rPr>
          <w:sz w:val="22"/>
          <w:szCs w:val="22"/>
        </w:rPr>
        <w:t xml:space="preserve"> schools </w:t>
      </w:r>
      <w:r w:rsidR="00B67631">
        <w:rPr>
          <w:sz w:val="22"/>
          <w:szCs w:val="22"/>
        </w:rPr>
        <w:t>that did not apply in Round 1 – for various reasons –h</w:t>
      </w:r>
      <w:r>
        <w:rPr>
          <w:sz w:val="22"/>
          <w:szCs w:val="22"/>
        </w:rPr>
        <w:t xml:space="preserve">ave indicated </w:t>
      </w:r>
      <w:r w:rsidR="00B67631">
        <w:rPr>
          <w:sz w:val="22"/>
          <w:szCs w:val="22"/>
        </w:rPr>
        <w:t xml:space="preserve">significant interest and informed us of their intent to apply in a future round.  </w:t>
      </w:r>
    </w:p>
    <w:p w:rsidR="0032470D" w:rsidRDefault="0032470D" w:rsidP="0032470D">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741"/>
        <w:gridCol w:w="1107"/>
        <w:gridCol w:w="1107"/>
        <w:gridCol w:w="1107"/>
        <w:gridCol w:w="1473"/>
        <w:gridCol w:w="1473"/>
        <w:gridCol w:w="1471"/>
      </w:tblGrid>
      <w:tr w:rsidR="0032470D" w:rsidTr="003E50CB">
        <w:trPr>
          <w:trHeight w:val="255"/>
        </w:trPr>
        <w:tc>
          <w:tcPr>
            <w:tcW w:w="5000" w:type="pct"/>
            <w:gridSpan w:val="8"/>
            <w:shd w:val="clear" w:color="auto" w:fill="auto"/>
            <w:noWrap/>
            <w:vAlign w:val="bottom"/>
            <w:hideMark/>
          </w:tcPr>
          <w:p w:rsidR="0032470D" w:rsidRPr="003E50CB" w:rsidRDefault="004960BC" w:rsidP="003E50CB">
            <w:pPr>
              <w:spacing w:before="80" w:after="80"/>
              <w:jc w:val="center"/>
              <w:rPr>
                <w:bCs/>
                <w:iCs/>
                <w:color w:val="000000"/>
                <w:sz w:val="22"/>
                <w:szCs w:val="22"/>
              </w:rPr>
            </w:pPr>
            <w:r w:rsidRPr="003E50CB">
              <w:rPr>
                <w:bCs/>
                <w:iCs/>
                <w:color w:val="000000"/>
                <w:sz w:val="22"/>
                <w:szCs w:val="22"/>
              </w:rPr>
              <w:t>Round 1 (</w:t>
            </w:r>
            <w:r w:rsidR="0032470D" w:rsidRPr="003E50CB">
              <w:rPr>
                <w:bCs/>
                <w:iCs/>
                <w:color w:val="000000"/>
                <w:sz w:val="22"/>
                <w:szCs w:val="22"/>
              </w:rPr>
              <w:t>Finalists</w:t>
            </w:r>
            <w:r w:rsidRPr="003E50CB">
              <w:rPr>
                <w:bCs/>
                <w:iCs/>
                <w:color w:val="000000"/>
                <w:sz w:val="22"/>
                <w:szCs w:val="22"/>
              </w:rPr>
              <w:t>)</w:t>
            </w:r>
            <w:r w:rsidR="00E977F6">
              <w:rPr>
                <w:bCs/>
                <w:iCs/>
                <w:color w:val="000000"/>
                <w:sz w:val="22"/>
                <w:szCs w:val="22"/>
              </w:rPr>
              <w:t xml:space="preserve"> –</w:t>
            </w:r>
            <w:r w:rsidR="00610FBE">
              <w:rPr>
                <w:bCs/>
                <w:iCs/>
                <w:color w:val="000000"/>
                <w:sz w:val="22"/>
                <w:szCs w:val="22"/>
              </w:rPr>
              <w:t xml:space="preserve"> Approved for F</w:t>
            </w:r>
            <w:r w:rsidR="00E977F6">
              <w:rPr>
                <w:bCs/>
                <w:iCs/>
                <w:color w:val="000000"/>
                <w:sz w:val="22"/>
                <w:szCs w:val="22"/>
              </w:rPr>
              <w:t>unding</w:t>
            </w:r>
          </w:p>
        </w:tc>
      </w:tr>
      <w:tr w:rsidR="003E50CB" w:rsidTr="003E50CB">
        <w:trPr>
          <w:trHeight w:val="255"/>
        </w:trPr>
        <w:tc>
          <w:tcPr>
            <w:tcW w:w="960" w:type="pct"/>
            <w:gridSpan w:val="2"/>
            <w:shd w:val="clear" w:color="auto" w:fill="auto"/>
            <w:noWrap/>
            <w:vAlign w:val="bottom"/>
          </w:tcPr>
          <w:p w:rsidR="003E50CB" w:rsidRPr="003E50CB" w:rsidRDefault="003E50CB" w:rsidP="003E50CB">
            <w:pPr>
              <w:spacing w:before="80" w:after="80"/>
              <w:rPr>
                <w:bCs/>
                <w:color w:val="000000"/>
                <w:sz w:val="22"/>
                <w:szCs w:val="22"/>
              </w:rPr>
            </w:pPr>
            <w:r w:rsidRPr="003E50CB">
              <w:rPr>
                <w:bCs/>
                <w:color w:val="000000"/>
                <w:sz w:val="22"/>
                <w:szCs w:val="22"/>
              </w:rPr>
              <w:t>Districts</w:t>
            </w:r>
          </w:p>
        </w:tc>
        <w:tc>
          <w:tcPr>
            <w:tcW w:w="578" w:type="pct"/>
            <w:shd w:val="clear" w:color="auto" w:fill="auto"/>
            <w:noWrap/>
            <w:vAlign w:val="bottom"/>
          </w:tcPr>
          <w:p w:rsidR="003E50CB" w:rsidRPr="003E50CB" w:rsidRDefault="003E50CB" w:rsidP="003E50CB">
            <w:pPr>
              <w:spacing w:before="80" w:after="80"/>
              <w:jc w:val="right"/>
              <w:rPr>
                <w:bCs/>
                <w:color w:val="000000"/>
                <w:sz w:val="22"/>
                <w:szCs w:val="22"/>
              </w:rPr>
            </w:pPr>
            <w:r w:rsidRPr="003E50CB">
              <w:rPr>
                <w:bCs/>
                <w:color w:val="000000"/>
                <w:sz w:val="22"/>
                <w:szCs w:val="22"/>
              </w:rPr>
              <w:t>Schools</w:t>
            </w:r>
          </w:p>
        </w:tc>
        <w:tc>
          <w:tcPr>
            <w:tcW w:w="578" w:type="pct"/>
            <w:shd w:val="clear" w:color="auto" w:fill="auto"/>
            <w:noWrap/>
            <w:vAlign w:val="bottom"/>
          </w:tcPr>
          <w:p w:rsidR="003E50CB" w:rsidRPr="003E50CB" w:rsidRDefault="003E50CB" w:rsidP="003E50CB">
            <w:pPr>
              <w:spacing w:before="80" w:after="80"/>
              <w:jc w:val="right"/>
              <w:rPr>
                <w:bCs/>
                <w:color w:val="000000"/>
                <w:sz w:val="22"/>
                <w:szCs w:val="22"/>
              </w:rPr>
            </w:pPr>
            <w:r w:rsidRPr="003E50CB">
              <w:rPr>
                <w:bCs/>
                <w:color w:val="000000"/>
                <w:sz w:val="22"/>
                <w:szCs w:val="22"/>
              </w:rPr>
              <w:t>Teachers</w:t>
            </w:r>
          </w:p>
        </w:tc>
        <w:tc>
          <w:tcPr>
            <w:tcW w:w="578" w:type="pct"/>
            <w:shd w:val="clear" w:color="auto" w:fill="auto"/>
            <w:noWrap/>
            <w:vAlign w:val="bottom"/>
          </w:tcPr>
          <w:p w:rsidR="003E50CB" w:rsidRPr="003E50CB" w:rsidRDefault="003E50CB" w:rsidP="003E50CB">
            <w:pPr>
              <w:spacing w:before="80" w:after="80"/>
              <w:jc w:val="right"/>
              <w:rPr>
                <w:bCs/>
                <w:color w:val="000000"/>
                <w:sz w:val="22"/>
                <w:szCs w:val="22"/>
              </w:rPr>
            </w:pPr>
            <w:r w:rsidRPr="003E50CB">
              <w:rPr>
                <w:bCs/>
                <w:color w:val="000000"/>
                <w:sz w:val="22"/>
                <w:szCs w:val="22"/>
              </w:rPr>
              <w:t>Students</w:t>
            </w:r>
          </w:p>
        </w:tc>
        <w:tc>
          <w:tcPr>
            <w:tcW w:w="769" w:type="pct"/>
            <w:shd w:val="clear" w:color="auto" w:fill="auto"/>
            <w:noWrap/>
            <w:vAlign w:val="bottom"/>
          </w:tcPr>
          <w:p w:rsidR="003E50CB" w:rsidRPr="003E50CB" w:rsidRDefault="003E50CB" w:rsidP="003E50CB">
            <w:pPr>
              <w:spacing w:before="80" w:after="80"/>
              <w:jc w:val="right"/>
              <w:rPr>
                <w:bCs/>
                <w:color w:val="000000"/>
                <w:sz w:val="22"/>
                <w:szCs w:val="22"/>
              </w:rPr>
            </w:pPr>
            <w:r w:rsidRPr="003E50CB">
              <w:rPr>
                <w:bCs/>
                <w:color w:val="000000"/>
                <w:sz w:val="22"/>
                <w:szCs w:val="22"/>
              </w:rPr>
              <w:t>State</w:t>
            </w:r>
            <w:r w:rsidR="00E977F6">
              <w:rPr>
                <w:bCs/>
                <w:color w:val="000000"/>
                <w:sz w:val="22"/>
                <w:szCs w:val="22"/>
              </w:rPr>
              <w:t>*</w:t>
            </w:r>
          </w:p>
        </w:tc>
        <w:tc>
          <w:tcPr>
            <w:tcW w:w="769" w:type="pct"/>
            <w:shd w:val="clear" w:color="auto" w:fill="auto"/>
            <w:noWrap/>
            <w:vAlign w:val="bottom"/>
          </w:tcPr>
          <w:p w:rsidR="003E50CB" w:rsidRPr="003E50CB" w:rsidRDefault="003E50CB" w:rsidP="003E50CB">
            <w:pPr>
              <w:spacing w:before="80" w:after="80"/>
              <w:jc w:val="right"/>
              <w:rPr>
                <w:bCs/>
                <w:color w:val="000000"/>
                <w:sz w:val="22"/>
                <w:szCs w:val="22"/>
              </w:rPr>
            </w:pPr>
            <w:r w:rsidRPr="003E50CB">
              <w:rPr>
                <w:bCs/>
                <w:color w:val="000000"/>
                <w:sz w:val="22"/>
                <w:szCs w:val="22"/>
              </w:rPr>
              <w:t>Local</w:t>
            </w:r>
          </w:p>
        </w:tc>
        <w:tc>
          <w:tcPr>
            <w:tcW w:w="768" w:type="pct"/>
            <w:shd w:val="clear" w:color="auto" w:fill="auto"/>
            <w:noWrap/>
            <w:vAlign w:val="bottom"/>
          </w:tcPr>
          <w:p w:rsidR="003E50CB" w:rsidRPr="003E50CB" w:rsidRDefault="003E50CB" w:rsidP="003E50CB">
            <w:pPr>
              <w:spacing w:before="80" w:after="80"/>
              <w:jc w:val="right"/>
              <w:rPr>
                <w:bCs/>
                <w:color w:val="000000"/>
                <w:sz w:val="22"/>
                <w:szCs w:val="22"/>
              </w:rPr>
            </w:pPr>
            <w:r w:rsidRPr="003E50CB">
              <w:rPr>
                <w:bCs/>
                <w:color w:val="000000"/>
                <w:sz w:val="22"/>
                <w:szCs w:val="22"/>
              </w:rPr>
              <w:t>Total</w:t>
            </w:r>
          </w:p>
        </w:tc>
      </w:tr>
      <w:tr w:rsidR="00B70AF2" w:rsidTr="003E50CB">
        <w:trPr>
          <w:trHeight w:val="255"/>
        </w:trPr>
        <w:tc>
          <w:tcPr>
            <w:tcW w:w="573" w:type="pct"/>
            <w:shd w:val="clear" w:color="auto" w:fill="auto"/>
            <w:noWrap/>
            <w:vAlign w:val="bottom"/>
            <w:hideMark/>
          </w:tcPr>
          <w:p w:rsidR="0032470D" w:rsidRPr="00B70AF2" w:rsidRDefault="0032470D" w:rsidP="005709AF">
            <w:pPr>
              <w:spacing w:before="80" w:after="80"/>
              <w:rPr>
                <w:color w:val="000000"/>
                <w:sz w:val="22"/>
                <w:szCs w:val="22"/>
              </w:rPr>
            </w:pPr>
            <w:r w:rsidRPr="00B70AF2">
              <w:rPr>
                <w:color w:val="000000"/>
                <w:sz w:val="22"/>
                <w:szCs w:val="22"/>
              </w:rPr>
              <w:t>Urban</w:t>
            </w:r>
          </w:p>
        </w:tc>
        <w:tc>
          <w:tcPr>
            <w:tcW w:w="387" w:type="pct"/>
            <w:shd w:val="clear" w:color="auto" w:fill="auto"/>
            <w:noWrap/>
            <w:vAlign w:val="bottom"/>
            <w:hideMark/>
          </w:tcPr>
          <w:p w:rsidR="0032470D" w:rsidRPr="00B70AF2" w:rsidRDefault="0032470D" w:rsidP="005709AF">
            <w:pPr>
              <w:spacing w:before="80" w:after="80"/>
              <w:jc w:val="right"/>
              <w:rPr>
                <w:color w:val="000000"/>
                <w:sz w:val="22"/>
                <w:szCs w:val="22"/>
              </w:rPr>
            </w:pPr>
            <w:r w:rsidRPr="00B70AF2">
              <w:rPr>
                <w:color w:val="000000"/>
                <w:sz w:val="22"/>
                <w:szCs w:val="22"/>
              </w:rPr>
              <w:t>5</w:t>
            </w:r>
          </w:p>
        </w:tc>
        <w:tc>
          <w:tcPr>
            <w:tcW w:w="578" w:type="pct"/>
            <w:shd w:val="clear" w:color="auto" w:fill="auto"/>
            <w:noWrap/>
            <w:vAlign w:val="bottom"/>
            <w:hideMark/>
          </w:tcPr>
          <w:p w:rsidR="0032470D" w:rsidRPr="00B70AF2" w:rsidRDefault="0032470D" w:rsidP="003E50CB">
            <w:pPr>
              <w:spacing w:before="80" w:after="80"/>
              <w:jc w:val="right"/>
              <w:rPr>
                <w:color w:val="000000"/>
                <w:sz w:val="22"/>
                <w:szCs w:val="22"/>
              </w:rPr>
            </w:pPr>
            <w:r w:rsidRPr="00B70AF2">
              <w:rPr>
                <w:color w:val="000000"/>
                <w:sz w:val="22"/>
                <w:szCs w:val="22"/>
              </w:rPr>
              <w:t>18</w:t>
            </w:r>
          </w:p>
        </w:tc>
        <w:tc>
          <w:tcPr>
            <w:tcW w:w="578" w:type="pct"/>
            <w:shd w:val="clear" w:color="auto" w:fill="auto"/>
            <w:noWrap/>
            <w:vAlign w:val="bottom"/>
            <w:hideMark/>
          </w:tcPr>
          <w:p w:rsidR="0032470D" w:rsidRPr="00B70AF2" w:rsidRDefault="0032470D" w:rsidP="003E50CB">
            <w:pPr>
              <w:spacing w:before="80" w:after="80"/>
              <w:jc w:val="right"/>
              <w:rPr>
                <w:color w:val="000000"/>
                <w:sz w:val="22"/>
                <w:szCs w:val="22"/>
              </w:rPr>
            </w:pPr>
            <w:r w:rsidRPr="00B70AF2">
              <w:rPr>
                <w:color w:val="000000"/>
                <w:sz w:val="22"/>
                <w:szCs w:val="22"/>
              </w:rPr>
              <w:t xml:space="preserve">785 </w:t>
            </w:r>
          </w:p>
        </w:tc>
        <w:tc>
          <w:tcPr>
            <w:tcW w:w="578" w:type="pct"/>
            <w:shd w:val="clear" w:color="auto" w:fill="auto"/>
            <w:noWrap/>
            <w:vAlign w:val="bottom"/>
            <w:hideMark/>
          </w:tcPr>
          <w:p w:rsidR="0032470D" w:rsidRPr="00B70AF2" w:rsidRDefault="0032470D" w:rsidP="003E50CB">
            <w:pPr>
              <w:spacing w:before="80" w:after="80"/>
              <w:jc w:val="right"/>
              <w:rPr>
                <w:color w:val="000000"/>
                <w:sz w:val="22"/>
                <w:szCs w:val="22"/>
              </w:rPr>
            </w:pPr>
            <w:r w:rsidRPr="00B70AF2">
              <w:rPr>
                <w:color w:val="000000"/>
                <w:sz w:val="22"/>
                <w:szCs w:val="22"/>
              </w:rPr>
              <w:t xml:space="preserve">10,955 </w:t>
            </w:r>
          </w:p>
        </w:tc>
        <w:tc>
          <w:tcPr>
            <w:tcW w:w="769" w:type="pct"/>
            <w:shd w:val="clear" w:color="auto" w:fill="auto"/>
            <w:noWrap/>
            <w:vAlign w:val="bottom"/>
            <w:hideMark/>
          </w:tcPr>
          <w:p w:rsidR="0032470D" w:rsidRPr="00B70AF2" w:rsidRDefault="00B70AF2" w:rsidP="003E50CB">
            <w:pPr>
              <w:spacing w:before="80" w:after="80"/>
              <w:jc w:val="right"/>
              <w:rPr>
                <w:color w:val="000000"/>
                <w:sz w:val="22"/>
                <w:szCs w:val="22"/>
              </w:rPr>
            </w:pPr>
            <w:r>
              <w:rPr>
                <w:color w:val="000000"/>
                <w:sz w:val="22"/>
                <w:szCs w:val="22"/>
              </w:rPr>
              <w:t xml:space="preserve"> $</w:t>
            </w:r>
            <w:r w:rsidR="0032470D" w:rsidRPr="00B70AF2">
              <w:rPr>
                <w:color w:val="000000"/>
                <w:sz w:val="22"/>
                <w:szCs w:val="22"/>
              </w:rPr>
              <w:t xml:space="preserve">1,730,000 </w:t>
            </w:r>
          </w:p>
        </w:tc>
        <w:tc>
          <w:tcPr>
            <w:tcW w:w="769" w:type="pct"/>
            <w:shd w:val="clear" w:color="auto" w:fill="auto"/>
            <w:noWrap/>
            <w:vAlign w:val="bottom"/>
            <w:hideMark/>
          </w:tcPr>
          <w:p w:rsidR="0032470D" w:rsidRPr="00B70AF2" w:rsidRDefault="0032470D" w:rsidP="003E50CB">
            <w:pPr>
              <w:spacing w:before="80" w:after="80"/>
              <w:jc w:val="right"/>
              <w:rPr>
                <w:color w:val="000000"/>
                <w:sz w:val="22"/>
                <w:szCs w:val="22"/>
              </w:rPr>
            </w:pPr>
            <w:r w:rsidRPr="00B70AF2">
              <w:rPr>
                <w:color w:val="000000"/>
                <w:sz w:val="22"/>
                <w:szCs w:val="22"/>
              </w:rPr>
              <w:t xml:space="preserve"> $1,074,706 </w:t>
            </w:r>
          </w:p>
        </w:tc>
        <w:tc>
          <w:tcPr>
            <w:tcW w:w="768" w:type="pct"/>
            <w:shd w:val="clear" w:color="auto" w:fill="auto"/>
            <w:noWrap/>
            <w:vAlign w:val="bottom"/>
            <w:hideMark/>
          </w:tcPr>
          <w:p w:rsidR="0032470D" w:rsidRPr="00B70AF2" w:rsidRDefault="00B70AF2" w:rsidP="003E50CB">
            <w:pPr>
              <w:spacing w:before="80" w:after="80"/>
              <w:jc w:val="right"/>
              <w:rPr>
                <w:color w:val="000000"/>
                <w:sz w:val="22"/>
                <w:szCs w:val="22"/>
              </w:rPr>
            </w:pPr>
            <w:r>
              <w:rPr>
                <w:color w:val="000000"/>
                <w:sz w:val="22"/>
                <w:szCs w:val="22"/>
              </w:rPr>
              <w:t xml:space="preserve"> $</w:t>
            </w:r>
            <w:r w:rsidR="0032470D" w:rsidRPr="00B70AF2">
              <w:rPr>
                <w:color w:val="000000"/>
                <w:sz w:val="22"/>
                <w:szCs w:val="22"/>
              </w:rPr>
              <w:t xml:space="preserve">2,804,706 </w:t>
            </w:r>
          </w:p>
        </w:tc>
      </w:tr>
      <w:tr w:rsidR="00B70AF2" w:rsidTr="003E50CB">
        <w:trPr>
          <w:trHeight w:val="255"/>
        </w:trPr>
        <w:tc>
          <w:tcPr>
            <w:tcW w:w="573" w:type="pct"/>
            <w:shd w:val="clear" w:color="auto" w:fill="auto"/>
            <w:noWrap/>
            <w:vAlign w:val="bottom"/>
            <w:hideMark/>
          </w:tcPr>
          <w:p w:rsidR="0032470D" w:rsidRPr="00B70AF2" w:rsidRDefault="0032470D" w:rsidP="005709AF">
            <w:pPr>
              <w:spacing w:before="80" w:after="80"/>
              <w:rPr>
                <w:color w:val="000000"/>
                <w:sz w:val="22"/>
                <w:szCs w:val="22"/>
              </w:rPr>
            </w:pPr>
            <w:r w:rsidRPr="00B70AF2">
              <w:rPr>
                <w:color w:val="000000"/>
                <w:sz w:val="22"/>
                <w:szCs w:val="22"/>
              </w:rPr>
              <w:t>Suburban</w:t>
            </w:r>
          </w:p>
        </w:tc>
        <w:tc>
          <w:tcPr>
            <w:tcW w:w="387" w:type="pct"/>
            <w:shd w:val="clear" w:color="auto" w:fill="auto"/>
            <w:noWrap/>
            <w:vAlign w:val="bottom"/>
            <w:hideMark/>
          </w:tcPr>
          <w:p w:rsidR="0032470D" w:rsidRPr="00B70AF2" w:rsidRDefault="0032470D" w:rsidP="005709AF">
            <w:pPr>
              <w:spacing w:before="80" w:after="80"/>
              <w:jc w:val="right"/>
              <w:rPr>
                <w:color w:val="000000"/>
                <w:sz w:val="22"/>
                <w:szCs w:val="22"/>
              </w:rPr>
            </w:pPr>
            <w:r w:rsidRPr="00B70AF2">
              <w:rPr>
                <w:color w:val="000000"/>
                <w:sz w:val="22"/>
                <w:szCs w:val="22"/>
              </w:rPr>
              <w:t>6</w:t>
            </w:r>
          </w:p>
        </w:tc>
        <w:tc>
          <w:tcPr>
            <w:tcW w:w="578" w:type="pct"/>
            <w:shd w:val="clear" w:color="auto" w:fill="auto"/>
            <w:noWrap/>
            <w:vAlign w:val="bottom"/>
            <w:hideMark/>
          </w:tcPr>
          <w:p w:rsidR="0032470D" w:rsidRPr="00B70AF2" w:rsidRDefault="0032470D" w:rsidP="003E50CB">
            <w:pPr>
              <w:spacing w:before="80" w:after="80"/>
              <w:jc w:val="right"/>
              <w:rPr>
                <w:color w:val="000000"/>
                <w:sz w:val="22"/>
                <w:szCs w:val="22"/>
              </w:rPr>
            </w:pPr>
            <w:r w:rsidRPr="00B70AF2">
              <w:rPr>
                <w:color w:val="000000"/>
                <w:sz w:val="22"/>
                <w:szCs w:val="22"/>
              </w:rPr>
              <w:t>16</w:t>
            </w:r>
          </w:p>
        </w:tc>
        <w:tc>
          <w:tcPr>
            <w:tcW w:w="578" w:type="pct"/>
            <w:shd w:val="clear" w:color="auto" w:fill="auto"/>
            <w:noWrap/>
            <w:vAlign w:val="bottom"/>
            <w:hideMark/>
          </w:tcPr>
          <w:p w:rsidR="0032470D" w:rsidRPr="00B70AF2" w:rsidRDefault="0032470D" w:rsidP="003E50CB">
            <w:pPr>
              <w:spacing w:before="80" w:after="80"/>
              <w:jc w:val="right"/>
              <w:rPr>
                <w:color w:val="000000"/>
                <w:sz w:val="22"/>
                <w:szCs w:val="22"/>
              </w:rPr>
            </w:pPr>
            <w:r w:rsidRPr="00B70AF2">
              <w:rPr>
                <w:color w:val="000000"/>
                <w:sz w:val="22"/>
                <w:szCs w:val="22"/>
              </w:rPr>
              <w:t xml:space="preserve">641 </w:t>
            </w:r>
          </w:p>
        </w:tc>
        <w:tc>
          <w:tcPr>
            <w:tcW w:w="578" w:type="pct"/>
            <w:shd w:val="clear" w:color="auto" w:fill="auto"/>
            <w:noWrap/>
            <w:vAlign w:val="bottom"/>
            <w:hideMark/>
          </w:tcPr>
          <w:p w:rsidR="0032470D" w:rsidRPr="00B70AF2" w:rsidRDefault="0032470D" w:rsidP="003E50CB">
            <w:pPr>
              <w:spacing w:before="80" w:after="80"/>
              <w:jc w:val="right"/>
              <w:rPr>
                <w:color w:val="000000"/>
                <w:sz w:val="22"/>
                <w:szCs w:val="22"/>
              </w:rPr>
            </w:pPr>
            <w:r w:rsidRPr="00B70AF2">
              <w:rPr>
                <w:color w:val="000000"/>
                <w:sz w:val="22"/>
                <w:szCs w:val="22"/>
              </w:rPr>
              <w:t xml:space="preserve">8,826 </w:t>
            </w:r>
          </w:p>
        </w:tc>
        <w:tc>
          <w:tcPr>
            <w:tcW w:w="769" w:type="pct"/>
            <w:shd w:val="clear" w:color="auto" w:fill="auto"/>
            <w:noWrap/>
            <w:vAlign w:val="bottom"/>
            <w:hideMark/>
          </w:tcPr>
          <w:p w:rsidR="0032470D" w:rsidRPr="00B70AF2" w:rsidRDefault="00B70AF2" w:rsidP="003E50CB">
            <w:pPr>
              <w:spacing w:before="80" w:after="80"/>
              <w:jc w:val="right"/>
              <w:rPr>
                <w:color w:val="000000"/>
                <w:sz w:val="22"/>
                <w:szCs w:val="22"/>
              </w:rPr>
            </w:pPr>
            <w:r>
              <w:rPr>
                <w:color w:val="000000"/>
                <w:sz w:val="22"/>
                <w:szCs w:val="22"/>
              </w:rPr>
              <w:t xml:space="preserve"> $</w:t>
            </w:r>
            <w:r w:rsidR="0032470D" w:rsidRPr="00B70AF2">
              <w:rPr>
                <w:color w:val="000000"/>
                <w:sz w:val="22"/>
                <w:szCs w:val="22"/>
              </w:rPr>
              <w:t xml:space="preserve">1,640,000 </w:t>
            </w:r>
          </w:p>
        </w:tc>
        <w:tc>
          <w:tcPr>
            <w:tcW w:w="769" w:type="pct"/>
            <w:shd w:val="clear" w:color="auto" w:fill="auto"/>
            <w:noWrap/>
            <w:vAlign w:val="bottom"/>
            <w:hideMark/>
          </w:tcPr>
          <w:p w:rsidR="0032470D" w:rsidRPr="00B70AF2" w:rsidRDefault="0032470D" w:rsidP="003E50CB">
            <w:pPr>
              <w:spacing w:before="80" w:after="80"/>
              <w:jc w:val="right"/>
              <w:rPr>
                <w:color w:val="000000"/>
                <w:sz w:val="22"/>
                <w:szCs w:val="22"/>
              </w:rPr>
            </w:pPr>
            <w:r w:rsidRPr="00B70AF2">
              <w:rPr>
                <w:color w:val="000000"/>
                <w:sz w:val="22"/>
                <w:szCs w:val="22"/>
              </w:rPr>
              <w:t xml:space="preserve"> $1,090,045 </w:t>
            </w:r>
          </w:p>
        </w:tc>
        <w:tc>
          <w:tcPr>
            <w:tcW w:w="768" w:type="pct"/>
            <w:shd w:val="clear" w:color="auto" w:fill="auto"/>
            <w:noWrap/>
            <w:vAlign w:val="bottom"/>
            <w:hideMark/>
          </w:tcPr>
          <w:p w:rsidR="0032470D" w:rsidRPr="00B70AF2" w:rsidRDefault="00B70AF2" w:rsidP="003E50CB">
            <w:pPr>
              <w:spacing w:before="80" w:after="80"/>
              <w:jc w:val="right"/>
              <w:rPr>
                <w:color w:val="000000"/>
                <w:sz w:val="22"/>
                <w:szCs w:val="22"/>
              </w:rPr>
            </w:pPr>
            <w:r>
              <w:rPr>
                <w:color w:val="000000"/>
                <w:sz w:val="22"/>
                <w:szCs w:val="22"/>
              </w:rPr>
              <w:t xml:space="preserve"> $</w:t>
            </w:r>
            <w:r w:rsidR="0032470D" w:rsidRPr="00B70AF2">
              <w:rPr>
                <w:color w:val="000000"/>
                <w:sz w:val="22"/>
                <w:szCs w:val="22"/>
              </w:rPr>
              <w:t xml:space="preserve">2,730,045 </w:t>
            </w:r>
          </w:p>
        </w:tc>
      </w:tr>
      <w:tr w:rsidR="00B70AF2" w:rsidTr="003E50CB">
        <w:trPr>
          <w:trHeight w:val="255"/>
        </w:trPr>
        <w:tc>
          <w:tcPr>
            <w:tcW w:w="573" w:type="pct"/>
            <w:tcBorders>
              <w:bottom w:val="single" w:sz="12" w:space="0" w:color="auto"/>
            </w:tcBorders>
            <w:shd w:val="clear" w:color="auto" w:fill="auto"/>
            <w:noWrap/>
            <w:vAlign w:val="bottom"/>
            <w:hideMark/>
          </w:tcPr>
          <w:p w:rsidR="0032470D" w:rsidRPr="00B70AF2" w:rsidRDefault="0032470D" w:rsidP="005709AF">
            <w:pPr>
              <w:spacing w:before="80" w:after="80"/>
              <w:rPr>
                <w:color w:val="000000"/>
                <w:sz w:val="22"/>
                <w:szCs w:val="22"/>
              </w:rPr>
            </w:pPr>
            <w:r w:rsidRPr="00B70AF2">
              <w:rPr>
                <w:color w:val="000000"/>
                <w:sz w:val="22"/>
                <w:szCs w:val="22"/>
              </w:rPr>
              <w:t>Rural</w:t>
            </w:r>
          </w:p>
        </w:tc>
        <w:tc>
          <w:tcPr>
            <w:tcW w:w="387" w:type="pct"/>
            <w:tcBorders>
              <w:bottom w:val="single" w:sz="12" w:space="0" w:color="auto"/>
            </w:tcBorders>
            <w:shd w:val="clear" w:color="auto" w:fill="auto"/>
            <w:noWrap/>
            <w:vAlign w:val="bottom"/>
            <w:hideMark/>
          </w:tcPr>
          <w:p w:rsidR="0032470D" w:rsidRPr="00B70AF2" w:rsidRDefault="0032470D" w:rsidP="005709AF">
            <w:pPr>
              <w:spacing w:before="80" w:after="80"/>
              <w:jc w:val="right"/>
              <w:rPr>
                <w:color w:val="000000"/>
                <w:sz w:val="22"/>
                <w:szCs w:val="22"/>
              </w:rPr>
            </w:pPr>
            <w:r w:rsidRPr="00B70AF2">
              <w:rPr>
                <w:color w:val="000000"/>
                <w:sz w:val="22"/>
                <w:szCs w:val="22"/>
              </w:rPr>
              <w:t>6</w:t>
            </w:r>
          </w:p>
        </w:tc>
        <w:tc>
          <w:tcPr>
            <w:tcW w:w="578" w:type="pct"/>
            <w:tcBorders>
              <w:bottom w:val="single" w:sz="12" w:space="0" w:color="auto"/>
            </w:tcBorders>
            <w:shd w:val="clear" w:color="auto" w:fill="auto"/>
            <w:noWrap/>
            <w:vAlign w:val="bottom"/>
            <w:hideMark/>
          </w:tcPr>
          <w:p w:rsidR="0032470D" w:rsidRPr="00B70AF2" w:rsidRDefault="0032470D" w:rsidP="003E50CB">
            <w:pPr>
              <w:spacing w:before="80" w:after="80"/>
              <w:jc w:val="right"/>
              <w:rPr>
                <w:color w:val="000000"/>
                <w:sz w:val="22"/>
                <w:szCs w:val="22"/>
              </w:rPr>
            </w:pPr>
            <w:r w:rsidRPr="00B70AF2">
              <w:rPr>
                <w:color w:val="000000"/>
                <w:sz w:val="22"/>
                <w:szCs w:val="22"/>
              </w:rPr>
              <w:t>13</w:t>
            </w:r>
          </w:p>
        </w:tc>
        <w:tc>
          <w:tcPr>
            <w:tcW w:w="578" w:type="pct"/>
            <w:tcBorders>
              <w:bottom w:val="single" w:sz="12" w:space="0" w:color="auto"/>
            </w:tcBorders>
            <w:shd w:val="clear" w:color="auto" w:fill="auto"/>
            <w:noWrap/>
            <w:vAlign w:val="bottom"/>
            <w:hideMark/>
          </w:tcPr>
          <w:p w:rsidR="0032470D" w:rsidRPr="00B70AF2" w:rsidRDefault="0032470D" w:rsidP="003E50CB">
            <w:pPr>
              <w:spacing w:before="80" w:after="80"/>
              <w:jc w:val="right"/>
              <w:rPr>
                <w:color w:val="000000"/>
                <w:sz w:val="22"/>
                <w:szCs w:val="22"/>
              </w:rPr>
            </w:pPr>
            <w:r w:rsidRPr="00B70AF2">
              <w:rPr>
                <w:color w:val="000000"/>
                <w:sz w:val="22"/>
                <w:szCs w:val="22"/>
              </w:rPr>
              <w:t xml:space="preserve">439 </w:t>
            </w:r>
          </w:p>
        </w:tc>
        <w:tc>
          <w:tcPr>
            <w:tcW w:w="578" w:type="pct"/>
            <w:tcBorders>
              <w:bottom w:val="single" w:sz="12" w:space="0" w:color="auto"/>
            </w:tcBorders>
            <w:shd w:val="clear" w:color="auto" w:fill="auto"/>
            <w:noWrap/>
            <w:vAlign w:val="bottom"/>
            <w:hideMark/>
          </w:tcPr>
          <w:p w:rsidR="0032470D" w:rsidRPr="00B70AF2" w:rsidRDefault="0032470D" w:rsidP="003E50CB">
            <w:pPr>
              <w:spacing w:before="80" w:after="80"/>
              <w:jc w:val="right"/>
              <w:rPr>
                <w:color w:val="000000"/>
                <w:sz w:val="22"/>
                <w:szCs w:val="22"/>
              </w:rPr>
            </w:pPr>
            <w:r w:rsidRPr="00B70AF2">
              <w:rPr>
                <w:color w:val="000000"/>
                <w:sz w:val="22"/>
                <w:szCs w:val="22"/>
              </w:rPr>
              <w:t xml:space="preserve">5,200 </w:t>
            </w:r>
          </w:p>
        </w:tc>
        <w:tc>
          <w:tcPr>
            <w:tcW w:w="769" w:type="pct"/>
            <w:tcBorders>
              <w:bottom w:val="single" w:sz="12" w:space="0" w:color="auto"/>
            </w:tcBorders>
            <w:shd w:val="clear" w:color="auto" w:fill="auto"/>
            <w:noWrap/>
            <w:vAlign w:val="bottom"/>
            <w:hideMark/>
          </w:tcPr>
          <w:p w:rsidR="0032470D" w:rsidRPr="00B70AF2" w:rsidRDefault="00B70AF2" w:rsidP="003E50CB">
            <w:pPr>
              <w:spacing w:before="80" w:after="80"/>
              <w:jc w:val="right"/>
              <w:rPr>
                <w:color w:val="000000"/>
                <w:sz w:val="22"/>
                <w:szCs w:val="22"/>
              </w:rPr>
            </w:pPr>
            <w:r>
              <w:rPr>
                <w:color w:val="000000"/>
                <w:sz w:val="22"/>
                <w:szCs w:val="22"/>
              </w:rPr>
              <w:t xml:space="preserve"> $</w:t>
            </w:r>
            <w:r w:rsidR="0032470D" w:rsidRPr="00B70AF2">
              <w:rPr>
                <w:color w:val="000000"/>
                <w:sz w:val="22"/>
                <w:szCs w:val="22"/>
              </w:rPr>
              <w:t xml:space="preserve">870,000 </w:t>
            </w:r>
          </w:p>
        </w:tc>
        <w:tc>
          <w:tcPr>
            <w:tcW w:w="769" w:type="pct"/>
            <w:tcBorders>
              <w:bottom w:val="single" w:sz="12" w:space="0" w:color="auto"/>
            </w:tcBorders>
            <w:shd w:val="clear" w:color="auto" w:fill="auto"/>
            <w:noWrap/>
            <w:vAlign w:val="bottom"/>
            <w:hideMark/>
          </w:tcPr>
          <w:p w:rsidR="0032470D" w:rsidRPr="00B70AF2" w:rsidRDefault="0032470D" w:rsidP="003E50CB">
            <w:pPr>
              <w:spacing w:before="80" w:after="80"/>
              <w:jc w:val="right"/>
              <w:rPr>
                <w:color w:val="000000"/>
                <w:sz w:val="22"/>
                <w:szCs w:val="22"/>
              </w:rPr>
            </w:pPr>
            <w:r w:rsidRPr="00B70AF2">
              <w:rPr>
                <w:color w:val="000000"/>
                <w:sz w:val="22"/>
                <w:szCs w:val="22"/>
              </w:rPr>
              <w:t xml:space="preserve"> $1,432,402 </w:t>
            </w:r>
          </w:p>
        </w:tc>
        <w:tc>
          <w:tcPr>
            <w:tcW w:w="768" w:type="pct"/>
            <w:tcBorders>
              <w:bottom w:val="single" w:sz="12" w:space="0" w:color="auto"/>
            </w:tcBorders>
            <w:shd w:val="clear" w:color="auto" w:fill="auto"/>
            <w:noWrap/>
            <w:vAlign w:val="bottom"/>
            <w:hideMark/>
          </w:tcPr>
          <w:p w:rsidR="0032470D" w:rsidRPr="00B70AF2" w:rsidRDefault="00B70AF2" w:rsidP="003E50CB">
            <w:pPr>
              <w:spacing w:before="80" w:after="80"/>
              <w:jc w:val="right"/>
              <w:rPr>
                <w:color w:val="000000"/>
                <w:sz w:val="22"/>
                <w:szCs w:val="22"/>
              </w:rPr>
            </w:pPr>
            <w:r>
              <w:rPr>
                <w:color w:val="000000"/>
                <w:sz w:val="22"/>
                <w:szCs w:val="22"/>
              </w:rPr>
              <w:t xml:space="preserve"> $</w:t>
            </w:r>
            <w:r w:rsidR="0032470D" w:rsidRPr="00B70AF2">
              <w:rPr>
                <w:color w:val="000000"/>
                <w:sz w:val="22"/>
                <w:szCs w:val="22"/>
              </w:rPr>
              <w:t xml:space="preserve">2,302,402 </w:t>
            </w:r>
          </w:p>
        </w:tc>
      </w:tr>
      <w:tr w:rsidR="00B70AF2" w:rsidTr="003E50CB">
        <w:trPr>
          <w:trHeight w:val="188"/>
        </w:trPr>
        <w:tc>
          <w:tcPr>
            <w:tcW w:w="573" w:type="pct"/>
            <w:tcBorders>
              <w:top w:val="single" w:sz="12" w:space="0" w:color="auto"/>
            </w:tcBorders>
            <w:shd w:val="clear" w:color="auto" w:fill="auto"/>
            <w:noWrap/>
            <w:vAlign w:val="bottom"/>
            <w:hideMark/>
          </w:tcPr>
          <w:p w:rsidR="0032470D" w:rsidRPr="00B70AF2" w:rsidRDefault="0032470D" w:rsidP="005709AF">
            <w:pPr>
              <w:spacing w:before="80" w:after="80"/>
              <w:rPr>
                <w:b/>
                <w:bCs/>
                <w:color w:val="000000"/>
                <w:sz w:val="22"/>
                <w:szCs w:val="22"/>
              </w:rPr>
            </w:pPr>
            <w:r w:rsidRPr="00B70AF2">
              <w:rPr>
                <w:b/>
                <w:bCs/>
                <w:color w:val="000000"/>
                <w:sz w:val="22"/>
                <w:szCs w:val="22"/>
              </w:rPr>
              <w:t>Subtotal</w:t>
            </w:r>
          </w:p>
        </w:tc>
        <w:tc>
          <w:tcPr>
            <w:tcW w:w="387" w:type="pct"/>
            <w:tcBorders>
              <w:top w:val="single" w:sz="12" w:space="0" w:color="auto"/>
            </w:tcBorders>
            <w:shd w:val="clear" w:color="auto" w:fill="auto"/>
            <w:noWrap/>
            <w:vAlign w:val="bottom"/>
            <w:hideMark/>
          </w:tcPr>
          <w:p w:rsidR="0032470D" w:rsidRPr="00B70AF2" w:rsidRDefault="0032470D" w:rsidP="005709AF">
            <w:pPr>
              <w:spacing w:before="80" w:after="80"/>
              <w:jc w:val="right"/>
              <w:rPr>
                <w:b/>
                <w:bCs/>
                <w:color w:val="000000"/>
                <w:sz w:val="22"/>
                <w:szCs w:val="22"/>
              </w:rPr>
            </w:pPr>
            <w:r w:rsidRPr="00B70AF2">
              <w:rPr>
                <w:b/>
                <w:bCs/>
                <w:color w:val="000000"/>
                <w:sz w:val="22"/>
                <w:szCs w:val="22"/>
              </w:rPr>
              <w:t>17</w:t>
            </w:r>
          </w:p>
        </w:tc>
        <w:tc>
          <w:tcPr>
            <w:tcW w:w="578" w:type="pct"/>
            <w:tcBorders>
              <w:top w:val="single" w:sz="12" w:space="0" w:color="auto"/>
            </w:tcBorders>
            <w:shd w:val="clear" w:color="auto" w:fill="auto"/>
            <w:noWrap/>
            <w:vAlign w:val="bottom"/>
            <w:hideMark/>
          </w:tcPr>
          <w:p w:rsidR="0032470D" w:rsidRPr="00B70AF2" w:rsidRDefault="0032470D" w:rsidP="003E50CB">
            <w:pPr>
              <w:spacing w:before="80" w:after="80"/>
              <w:jc w:val="right"/>
              <w:rPr>
                <w:b/>
                <w:bCs/>
                <w:color w:val="000000"/>
                <w:sz w:val="22"/>
                <w:szCs w:val="22"/>
              </w:rPr>
            </w:pPr>
            <w:r w:rsidRPr="00B70AF2">
              <w:rPr>
                <w:b/>
                <w:bCs/>
                <w:color w:val="000000"/>
                <w:sz w:val="22"/>
                <w:szCs w:val="22"/>
              </w:rPr>
              <w:t>47</w:t>
            </w:r>
          </w:p>
        </w:tc>
        <w:tc>
          <w:tcPr>
            <w:tcW w:w="578" w:type="pct"/>
            <w:tcBorders>
              <w:top w:val="single" w:sz="12" w:space="0" w:color="auto"/>
            </w:tcBorders>
            <w:shd w:val="clear" w:color="auto" w:fill="auto"/>
            <w:noWrap/>
            <w:vAlign w:val="bottom"/>
            <w:hideMark/>
          </w:tcPr>
          <w:p w:rsidR="0032470D" w:rsidRPr="00B70AF2" w:rsidRDefault="0032470D" w:rsidP="003E50CB">
            <w:pPr>
              <w:spacing w:before="80" w:after="80"/>
              <w:jc w:val="right"/>
              <w:rPr>
                <w:b/>
                <w:bCs/>
                <w:color w:val="000000"/>
                <w:sz w:val="22"/>
                <w:szCs w:val="22"/>
              </w:rPr>
            </w:pPr>
            <w:r w:rsidRPr="00B70AF2">
              <w:rPr>
                <w:b/>
                <w:bCs/>
                <w:color w:val="000000"/>
                <w:sz w:val="22"/>
                <w:szCs w:val="22"/>
              </w:rPr>
              <w:t xml:space="preserve">1,865 </w:t>
            </w:r>
          </w:p>
        </w:tc>
        <w:tc>
          <w:tcPr>
            <w:tcW w:w="578" w:type="pct"/>
            <w:tcBorders>
              <w:top w:val="single" w:sz="12" w:space="0" w:color="auto"/>
            </w:tcBorders>
            <w:shd w:val="clear" w:color="auto" w:fill="auto"/>
            <w:noWrap/>
            <w:vAlign w:val="bottom"/>
            <w:hideMark/>
          </w:tcPr>
          <w:p w:rsidR="0032470D" w:rsidRPr="00B70AF2" w:rsidRDefault="0032470D" w:rsidP="003E50CB">
            <w:pPr>
              <w:spacing w:before="80" w:after="80"/>
              <w:jc w:val="right"/>
              <w:rPr>
                <w:b/>
                <w:bCs/>
                <w:color w:val="000000"/>
                <w:sz w:val="22"/>
                <w:szCs w:val="22"/>
              </w:rPr>
            </w:pPr>
            <w:r w:rsidRPr="00B70AF2">
              <w:rPr>
                <w:b/>
                <w:bCs/>
                <w:color w:val="000000"/>
                <w:sz w:val="22"/>
                <w:szCs w:val="22"/>
              </w:rPr>
              <w:t xml:space="preserve">24,981 </w:t>
            </w:r>
          </w:p>
        </w:tc>
        <w:tc>
          <w:tcPr>
            <w:tcW w:w="769" w:type="pct"/>
            <w:tcBorders>
              <w:top w:val="single" w:sz="12" w:space="0" w:color="auto"/>
            </w:tcBorders>
            <w:shd w:val="clear" w:color="auto" w:fill="auto"/>
            <w:noWrap/>
            <w:vAlign w:val="bottom"/>
            <w:hideMark/>
          </w:tcPr>
          <w:p w:rsidR="0032470D" w:rsidRPr="00B70AF2" w:rsidRDefault="00B70AF2" w:rsidP="003E50CB">
            <w:pPr>
              <w:spacing w:before="80" w:after="80"/>
              <w:jc w:val="right"/>
              <w:rPr>
                <w:b/>
                <w:bCs/>
                <w:color w:val="000000"/>
                <w:sz w:val="22"/>
                <w:szCs w:val="22"/>
              </w:rPr>
            </w:pPr>
            <w:r>
              <w:rPr>
                <w:b/>
                <w:bCs/>
                <w:color w:val="000000"/>
                <w:sz w:val="22"/>
                <w:szCs w:val="22"/>
              </w:rPr>
              <w:t xml:space="preserve"> $</w:t>
            </w:r>
            <w:r w:rsidR="0032470D" w:rsidRPr="00B70AF2">
              <w:rPr>
                <w:b/>
                <w:bCs/>
                <w:color w:val="000000"/>
                <w:sz w:val="22"/>
                <w:szCs w:val="22"/>
              </w:rPr>
              <w:t xml:space="preserve">4,240,000 </w:t>
            </w:r>
          </w:p>
        </w:tc>
        <w:tc>
          <w:tcPr>
            <w:tcW w:w="769" w:type="pct"/>
            <w:tcBorders>
              <w:top w:val="single" w:sz="12" w:space="0" w:color="auto"/>
            </w:tcBorders>
            <w:shd w:val="clear" w:color="auto" w:fill="auto"/>
            <w:noWrap/>
            <w:vAlign w:val="bottom"/>
            <w:hideMark/>
          </w:tcPr>
          <w:p w:rsidR="0032470D" w:rsidRPr="00B70AF2" w:rsidRDefault="0032470D" w:rsidP="003E50CB">
            <w:pPr>
              <w:spacing w:before="80" w:after="80"/>
              <w:jc w:val="right"/>
              <w:rPr>
                <w:b/>
                <w:bCs/>
                <w:color w:val="000000"/>
                <w:sz w:val="22"/>
                <w:szCs w:val="22"/>
              </w:rPr>
            </w:pPr>
            <w:r w:rsidRPr="00B70AF2">
              <w:rPr>
                <w:b/>
                <w:bCs/>
                <w:color w:val="000000"/>
                <w:sz w:val="22"/>
                <w:szCs w:val="22"/>
              </w:rPr>
              <w:t xml:space="preserve"> $3,597,153 </w:t>
            </w:r>
          </w:p>
        </w:tc>
        <w:tc>
          <w:tcPr>
            <w:tcW w:w="768" w:type="pct"/>
            <w:tcBorders>
              <w:top w:val="single" w:sz="12" w:space="0" w:color="auto"/>
            </w:tcBorders>
            <w:shd w:val="clear" w:color="auto" w:fill="auto"/>
            <w:noWrap/>
            <w:vAlign w:val="bottom"/>
            <w:hideMark/>
          </w:tcPr>
          <w:p w:rsidR="0032470D" w:rsidRPr="00B70AF2" w:rsidRDefault="00B70AF2" w:rsidP="003E50CB">
            <w:pPr>
              <w:spacing w:before="80" w:after="80"/>
              <w:jc w:val="right"/>
              <w:rPr>
                <w:b/>
                <w:bCs/>
                <w:color w:val="000000"/>
                <w:sz w:val="22"/>
                <w:szCs w:val="22"/>
              </w:rPr>
            </w:pPr>
            <w:r>
              <w:rPr>
                <w:b/>
                <w:bCs/>
                <w:color w:val="000000"/>
                <w:sz w:val="22"/>
                <w:szCs w:val="22"/>
              </w:rPr>
              <w:t xml:space="preserve"> $</w:t>
            </w:r>
            <w:r w:rsidR="0032470D" w:rsidRPr="00B70AF2">
              <w:rPr>
                <w:b/>
                <w:bCs/>
                <w:color w:val="000000"/>
                <w:sz w:val="22"/>
                <w:szCs w:val="22"/>
              </w:rPr>
              <w:t xml:space="preserve">7,837,153 </w:t>
            </w:r>
          </w:p>
        </w:tc>
      </w:tr>
      <w:tr w:rsidR="0032470D" w:rsidTr="003E50CB">
        <w:trPr>
          <w:trHeight w:val="255"/>
        </w:trPr>
        <w:tc>
          <w:tcPr>
            <w:tcW w:w="5000" w:type="pct"/>
            <w:gridSpan w:val="8"/>
            <w:shd w:val="clear" w:color="auto" w:fill="auto"/>
            <w:noWrap/>
            <w:vAlign w:val="bottom"/>
            <w:hideMark/>
          </w:tcPr>
          <w:p w:rsidR="0032470D" w:rsidRPr="003E50CB" w:rsidRDefault="004960BC" w:rsidP="00610FBE">
            <w:pPr>
              <w:spacing w:before="80" w:after="80"/>
              <w:jc w:val="center"/>
              <w:rPr>
                <w:iCs/>
                <w:color w:val="000000"/>
                <w:sz w:val="22"/>
                <w:szCs w:val="22"/>
              </w:rPr>
            </w:pPr>
            <w:r w:rsidRPr="003E50CB">
              <w:rPr>
                <w:bCs/>
                <w:iCs/>
                <w:color w:val="000000"/>
                <w:sz w:val="22"/>
                <w:szCs w:val="22"/>
              </w:rPr>
              <w:t xml:space="preserve">Round </w:t>
            </w:r>
            <w:r w:rsidR="00E977F6">
              <w:rPr>
                <w:bCs/>
                <w:iCs/>
                <w:color w:val="000000"/>
                <w:sz w:val="22"/>
                <w:szCs w:val="22"/>
              </w:rPr>
              <w:t>1</w:t>
            </w:r>
            <w:r w:rsidRPr="003E50CB">
              <w:rPr>
                <w:bCs/>
                <w:iCs/>
                <w:color w:val="000000"/>
                <w:sz w:val="22"/>
                <w:szCs w:val="22"/>
              </w:rPr>
              <w:t xml:space="preserve"> (</w:t>
            </w:r>
            <w:r w:rsidR="003E50CB">
              <w:rPr>
                <w:bCs/>
                <w:iCs/>
                <w:color w:val="000000"/>
                <w:sz w:val="22"/>
                <w:szCs w:val="22"/>
              </w:rPr>
              <w:t>Semifinalists and</w:t>
            </w:r>
            <w:r w:rsidR="0032470D" w:rsidRPr="003E50CB">
              <w:rPr>
                <w:bCs/>
                <w:iCs/>
                <w:color w:val="000000"/>
                <w:sz w:val="22"/>
                <w:szCs w:val="22"/>
              </w:rPr>
              <w:t xml:space="preserve"> Candidates</w:t>
            </w:r>
            <w:r w:rsidRPr="003E50CB">
              <w:rPr>
                <w:bCs/>
                <w:iCs/>
                <w:color w:val="000000"/>
                <w:sz w:val="22"/>
                <w:szCs w:val="22"/>
              </w:rPr>
              <w:t>)</w:t>
            </w:r>
            <w:r w:rsidR="00E977F6">
              <w:rPr>
                <w:bCs/>
                <w:iCs/>
                <w:color w:val="000000"/>
                <w:sz w:val="22"/>
                <w:szCs w:val="22"/>
              </w:rPr>
              <w:t xml:space="preserve"> –</w:t>
            </w:r>
            <w:r w:rsidR="00610FBE">
              <w:rPr>
                <w:bCs/>
                <w:iCs/>
                <w:color w:val="000000"/>
                <w:sz w:val="22"/>
                <w:szCs w:val="22"/>
              </w:rPr>
              <w:t xml:space="preserve"> Not Approved for F</w:t>
            </w:r>
            <w:r w:rsidR="00E977F6">
              <w:rPr>
                <w:bCs/>
                <w:iCs/>
                <w:color w:val="000000"/>
                <w:sz w:val="22"/>
                <w:szCs w:val="22"/>
              </w:rPr>
              <w:t>unding</w:t>
            </w:r>
          </w:p>
        </w:tc>
      </w:tr>
      <w:tr w:rsidR="003E50CB" w:rsidTr="003E50CB">
        <w:trPr>
          <w:trHeight w:val="255"/>
        </w:trPr>
        <w:tc>
          <w:tcPr>
            <w:tcW w:w="960" w:type="pct"/>
            <w:gridSpan w:val="2"/>
            <w:shd w:val="clear" w:color="auto" w:fill="auto"/>
            <w:noWrap/>
            <w:vAlign w:val="bottom"/>
          </w:tcPr>
          <w:p w:rsidR="003E50CB" w:rsidRPr="003E50CB" w:rsidRDefault="003E50CB" w:rsidP="003E50CB">
            <w:pPr>
              <w:spacing w:before="80" w:after="80"/>
              <w:rPr>
                <w:bCs/>
                <w:color w:val="000000"/>
                <w:sz w:val="22"/>
                <w:szCs w:val="22"/>
              </w:rPr>
            </w:pPr>
            <w:r w:rsidRPr="003E50CB">
              <w:rPr>
                <w:bCs/>
                <w:color w:val="000000"/>
                <w:sz w:val="22"/>
                <w:szCs w:val="22"/>
              </w:rPr>
              <w:t>Districts</w:t>
            </w:r>
          </w:p>
        </w:tc>
        <w:tc>
          <w:tcPr>
            <w:tcW w:w="578" w:type="pct"/>
            <w:shd w:val="clear" w:color="auto" w:fill="auto"/>
            <w:noWrap/>
            <w:vAlign w:val="bottom"/>
          </w:tcPr>
          <w:p w:rsidR="003E50CB" w:rsidRPr="003E50CB" w:rsidRDefault="003E50CB" w:rsidP="003E50CB">
            <w:pPr>
              <w:spacing w:before="80" w:after="80"/>
              <w:jc w:val="right"/>
              <w:rPr>
                <w:bCs/>
                <w:color w:val="000000"/>
                <w:sz w:val="22"/>
                <w:szCs w:val="22"/>
              </w:rPr>
            </w:pPr>
            <w:r w:rsidRPr="003E50CB">
              <w:rPr>
                <w:bCs/>
                <w:color w:val="000000"/>
                <w:sz w:val="22"/>
                <w:szCs w:val="22"/>
              </w:rPr>
              <w:t>Schools</w:t>
            </w:r>
          </w:p>
        </w:tc>
        <w:tc>
          <w:tcPr>
            <w:tcW w:w="578" w:type="pct"/>
            <w:shd w:val="clear" w:color="auto" w:fill="auto"/>
            <w:noWrap/>
            <w:vAlign w:val="bottom"/>
          </w:tcPr>
          <w:p w:rsidR="003E50CB" w:rsidRPr="003E50CB" w:rsidRDefault="003E50CB" w:rsidP="003E50CB">
            <w:pPr>
              <w:spacing w:before="80" w:after="80"/>
              <w:jc w:val="right"/>
              <w:rPr>
                <w:bCs/>
                <w:color w:val="000000"/>
                <w:sz w:val="22"/>
                <w:szCs w:val="22"/>
              </w:rPr>
            </w:pPr>
            <w:r w:rsidRPr="003E50CB">
              <w:rPr>
                <w:bCs/>
                <w:color w:val="000000"/>
                <w:sz w:val="22"/>
                <w:szCs w:val="22"/>
              </w:rPr>
              <w:t>Teachers</w:t>
            </w:r>
          </w:p>
        </w:tc>
        <w:tc>
          <w:tcPr>
            <w:tcW w:w="578" w:type="pct"/>
            <w:shd w:val="clear" w:color="auto" w:fill="auto"/>
            <w:noWrap/>
            <w:vAlign w:val="bottom"/>
          </w:tcPr>
          <w:p w:rsidR="003E50CB" w:rsidRPr="003E50CB" w:rsidRDefault="003E50CB" w:rsidP="003E50CB">
            <w:pPr>
              <w:spacing w:before="80" w:after="80"/>
              <w:jc w:val="right"/>
              <w:rPr>
                <w:bCs/>
                <w:color w:val="000000"/>
                <w:sz w:val="22"/>
                <w:szCs w:val="22"/>
              </w:rPr>
            </w:pPr>
            <w:r w:rsidRPr="003E50CB">
              <w:rPr>
                <w:bCs/>
                <w:color w:val="000000"/>
                <w:sz w:val="22"/>
                <w:szCs w:val="22"/>
              </w:rPr>
              <w:t>Students</w:t>
            </w:r>
          </w:p>
        </w:tc>
        <w:tc>
          <w:tcPr>
            <w:tcW w:w="769" w:type="pct"/>
            <w:shd w:val="clear" w:color="auto" w:fill="auto"/>
            <w:noWrap/>
            <w:vAlign w:val="bottom"/>
          </w:tcPr>
          <w:p w:rsidR="003E50CB" w:rsidRPr="003E50CB" w:rsidRDefault="003E50CB" w:rsidP="003E50CB">
            <w:pPr>
              <w:spacing w:before="80" w:after="80"/>
              <w:jc w:val="right"/>
              <w:rPr>
                <w:bCs/>
                <w:color w:val="000000"/>
                <w:sz w:val="22"/>
                <w:szCs w:val="22"/>
              </w:rPr>
            </w:pPr>
            <w:r w:rsidRPr="003E50CB">
              <w:rPr>
                <w:bCs/>
                <w:color w:val="000000"/>
                <w:sz w:val="22"/>
                <w:szCs w:val="22"/>
              </w:rPr>
              <w:t>State</w:t>
            </w:r>
          </w:p>
        </w:tc>
        <w:tc>
          <w:tcPr>
            <w:tcW w:w="769" w:type="pct"/>
            <w:shd w:val="clear" w:color="auto" w:fill="auto"/>
            <w:noWrap/>
            <w:vAlign w:val="bottom"/>
          </w:tcPr>
          <w:p w:rsidR="003E50CB" w:rsidRPr="003E50CB" w:rsidRDefault="003E50CB" w:rsidP="003E50CB">
            <w:pPr>
              <w:spacing w:before="80" w:after="80"/>
              <w:jc w:val="right"/>
              <w:rPr>
                <w:bCs/>
                <w:color w:val="000000"/>
                <w:sz w:val="22"/>
                <w:szCs w:val="22"/>
              </w:rPr>
            </w:pPr>
            <w:r w:rsidRPr="003E50CB">
              <w:rPr>
                <w:bCs/>
                <w:color w:val="000000"/>
                <w:sz w:val="22"/>
                <w:szCs w:val="22"/>
              </w:rPr>
              <w:t>Local</w:t>
            </w:r>
          </w:p>
        </w:tc>
        <w:tc>
          <w:tcPr>
            <w:tcW w:w="768" w:type="pct"/>
            <w:shd w:val="clear" w:color="auto" w:fill="auto"/>
            <w:noWrap/>
            <w:vAlign w:val="bottom"/>
          </w:tcPr>
          <w:p w:rsidR="003E50CB" w:rsidRPr="003E50CB" w:rsidRDefault="003E50CB" w:rsidP="003E50CB">
            <w:pPr>
              <w:spacing w:before="80" w:after="80"/>
              <w:jc w:val="right"/>
              <w:rPr>
                <w:bCs/>
                <w:color w:val="000000"/>
                <w:sz w:val="22"/>
                <w:szCs w:val="22"/>
              </w:rPr>
            </w:pPr>
            <w:r w:rsidRPr="003E50CB">
              <w:rPr>
                <w:bCs/>
                <w:color w:val="000000"/>
                <w:sz w:val="22"/>
                <w:szCs w:val="22"/>
              </w:rPr>
              <w:t>Total</w:t>
            </w:r>
          </w:p>
        </w:tc>
      </w:tr>
      <w:tr w:rsidR="00B70AF2" w:rsidTr="003E50CB">
        <w:trPr>
          <w:trHeight w:val="278"/>
        </w:trPr>
        <w:tc>
          <w:tcPr>
            <w:tcW w:w="573" w:type="pct"/>
            <w:shd w:val="clear" w:color="auto" w:fill="auto"/>
            <w:noWrap/>
            <w:vAlign w:val="bottom"/>
            <w:hideMark/>
          </w:tcPr>
          <w:p w:rsidR="0032470D" w:rsidRPr="00B70AF2" w:rsidRDefault="0032470D" w:rsidP="005709AF">
            <w:pPr>
              <w:spacing w:before="80" w:after="80"/>
              <w:rPr>
                <w:color w:val="000000"/>
                <w:sz w:val="22"/>
                <w:szCs w:val="22"/>
              </w:rPr>
            </w:pPr>
            <w:r w:rsidRPr="00B70AF2">
              <w:rPr>
                <w:color w:val="000000"/>
                <w:sz w:val="22"/>
                <w:szCs w:val="22"/>
              </w:rPr>
              <w:t>Urban</w:t>
            </w:r>
          </w:p>
        </w:tc>
        <w:tc>
          <w:tcPr>
            <w:tcW w:w="387" w:type="pct"/>
            <w:shd w:val="clear" w:color="auto" w:fill="auto"/>
            <w:noWrap/>
            <w:vAlign w:val="bottom"/>
            <w:hideMark/>
          </w:tcPr>
          <w:p w:rsidR="0032470D" w:rsidRPr="00B70AF2" w:rsidRDefault="0032470D" w:rsidP="005709AF">
            <w:pPr>
              <w:spacing w:before="80" w:after="80"/>
              <w:jc w:val="right"/>
              <w:rPr>
                <w:color w:val="000000"/>
                <w:sz w:val="22"/>
                <w:szCs w:val="22"/>
              </w:rPr>
            </w:pPr>
            <w:r w:rsidRPr="00B70AF2">
              <w:rPr>
                <w:color w:val="000000"/>
                <w:sz w:val="22"/>
                <w:szCs w:val="22"/>
              </w:rPr>
              <w:t>15</w:t>
            </w:r>
          </w:p>
        </w:tc>
        <w:tc>
          <w:tcPr>
            <w:tcW w:w="578" w:type="pct"/>
            <w:shd w:val="clear" w:color="auto" w:fill="auto"/>
            <w:noWrap/>
            <w:vAlign w:val="bottom"/>
            <w:hideMark/>
          </w:tcPr>
          <w:p w:rsidR="0032470D" w:rsidRPr="00B70AF2" w:rsidRDefault="0032470D" w:rsidP="005709AF">
            <w:pPr>
              <w:spacing w:before="80" w:after="80"/>
              <w:jc w:val="right"/>
              <w:rPr>
                <w:color w:val="000000"/>
                <w:sz w:val="22"/>
                <w:szCs w:val="22"/>
              </w:rPr>
            </w:pPr>
            <w:r w:rsidRPr="00B70AF2">
              <w:rPr>
                <w:color w:val="000000"/>
                <w:sz w:val="22"/>
                <w:szCs w:val="22"/>
              </w:rPr>
              <w:t>61</w:t>
            </w:r>
          </w:p>
        </w:tc>
        <w:tc>
          <w:tcPr>
            <w:tcW w:w="578" w:type="pct"/>
            <w:shd w:val="clear" w:color="auto" w:fill="auto"/>
            <w:noWrap/>
            <w:vAlign w:val="bottom"/>
            <w:hideMark/>
          </w:tcPr>
          <w:p w:rsidR="0032470D" w:rsidRPr="00B70AF2" w:rsidRDefault="0032470D" w:rsidP="005709AF">
            <w:pPr>
              <w:spacing w:before="80" w:after="80"/>
              <w:jc w:val="right"/>
              <w:rPr>
                <w:color w:val="000000"/>
                <w:sz w:val="22"/>
                <w:szCs w:val="22"/>
              </w:rPr>
            </w:pPr>
            <w:r w:rsidRPr="00B70AF2">
              <w:rPr>
                <w:color w:val="000000"/>
                <w:sz w:val="22"/>
                <w:szCs w:val="22"/>
              </w:rPr>
              <w:t xml:space="preserve">2,441 </w:t>
            </w:r>
          </w:p>
        </w:tc>
        <w:tc>
          <w:tcPr>
            <w:tcW w:w="578" w:type="pct"/>
            <w:shd w:val="clear" w:color="auto" w:fill="auto"/>
            <w:noWrap/>
            <w:vAlign w:val="bottom"/>
            <w:hideMark/>
          </w:tcPr>
          <w:p w:rsidR="0032470D" w:rsidRPr="00B70AF2" w:rsidRDefault="0032470D" w:rsidP="005709AF">
            <w:pPr>
              <w:spacing w:before="80" w:after="80"/>
              <w:jc w:val="right"/>
              <w:rPr>
                <w:color w:val="000000"/>
                <w:sz w:val="22"/>
                <w:szCs w:val="22"/>
              </w:rPr>
            </w:pPr>
            <w:r w:rsidRPr="00B70AF2">
              <w:rPr>
                <w:color w:val="000000"/>
                <w:sz w:val="22"/>
                <w:szCs w:val="22"/>
              </w:rPr>
              <w:t xml:space="preserve">34,007 </w:t>
            </w:r>
          </w:p>
        </w:tc>
        <w:tc>
          <w:tcPr>
            <w:tcW w:w="769" w:type="pct"/>
            <w:shd w:val="clear" w:color="auto" w:fill="auto"/>
            <w:noWrap/>
            <w:vAlign w:val="bottom"/>
            <w:hideMark/>
          </w:tcPr>
          <w:p w:rsidR="0032470D" w:rsidRPr="00B70AF2" w:rsidRDefault="00B70AF2" w:rsidP="005709AF">
            <w:pPr>
              <w:spacing w:before="80" w:after="80"/>
              <w:jc w:val="right"/>
              <w:rPr>
                <w:color w:val="000000"/>
                <w:sz w:val="22"/>
                <w:szCs w:val="22"/>
              </w:rPr>
            </w:pPr>
            <w:r>
              <w:rPr>
                <w:color w:val="000000"/>
                <w:sz w:val="22"/>
                <w:szCs w:val="22"/>
              </w:rPr>
              <w:t xml:space="preserve"> $</w:t>
            </w:r>
            <w:r w:rsidR="0032470D" w:rsidRPr="00B70AF2">
              <w:rPr>
                <w:color w:val="000000"/>
                <w:sz w:val="22"/>
                <w:szCs w:val="22"/>
              </w:rPr>
              <w:t xml:space="preserve">4,750,000 </w:t>
            </w:r>
          </w:p>
        </w:tc>
        <w:tc>
          <w:tcPr>
            <w:tcW w:w="769" w:type="pct"/>
            <w:shd w:val="clear" w:color="auto" w:fill="auto"/>
            <w:noWrap/>
            <w:vAlign w:val="bottom"/>
            <w:hideMark/>
          </w:tcPr>
          <w:p w:rsidR="0032470D" w:rsidRPr="00B70AF2" w:rsidRDefault="0032470D" w:rsidP="005709AF">
            <w:pPr>
              <w:spacing w:before="80" w:after="80"/>
              <w:jc w:val="right"/>
              <w:rPr>
                <w:color w:val="000000"/>
                <w:sz w:val="22"/>
                <w:szCs w:val="22"/>
              </w:rPr>
            </w:pPr>
            <w:r w:rsidRPr="00B70AF2">
              <w:rPr>
                <w:color w:val="000000"/>
                <w:sz w:val="22"/>
                <w:szCs w:val="22"/>
              </w:rPr>
              <w:t xml:space="preserve"> $5,786,744 </w:t>
            </w:r>
          </w:p>
        </w:tc>
        <w:tc>
          <w:tcPr>
            <w:tcW w:w="768" w:type="pct"/>
            <w:shd w:val="clear" w:color="auto" w:fill="auto"/>
            <w:noWrap/>
            <w:vAlign w:val="bottom"/>
            <w:hideMark/>
          </w:tcPr>
          <w:p w:rsidR="0032470D" w:rsidRPr="00B70AF2" w:rsidRDefault="00B70AF2" w:rsidP="005709AF">
            <w:pPr>
              <w:spacing w:before="80" w:after="80"/>
              <w:jc w:val="right"/>
              <w:rPr>
                <w:color w:val="000000"/>
                <w:sz w:val="22"/>
                <w:szCs w:val="22"/>
              </w:rPr>
            </w:pPr>
            <w:r>
              <w:rPr>
                <w:color w:val="000000"/>
                <w:sz w:val="22"/>
                <w:szCs w:val="22"/>
              </w:rPr>
              <w:t>$</w:t>
            </w:r>
            <w:r w:rsidR="0032470D" w:rsidRPr="00B70AF2">
              <w:rPr>
                <w:color w:val="000000"/>
                <w:sz w:val="22"/>
                <w:szCs w:val="22"/>
              </w:rPr>
              <w:t xml:space="preserve">10,536,744 </w:t>
            </w:r>
          </w:p>
        </w:tc>
      </w:tr>
      <w:tr w:rsidR="00B70AF2" w:rsidTr="003E50CB">
        <w:trPr>
          <w:trHeight w:val="255"/>
        </w:trPr>
        <w:tc>
          <w:tcPr>
            <w:tcW w:w="573" w:type="pct"/>
            <w:shd w:val="clear" w:color="auto" w:fill="auto"/>
            <w:noWrap/>
            <w:vAlign w:val="bottom"/>
            <w:hideMark/>
          </w:tcPr>
          <w:p w:rsidR="0032470D" w:rsidRPr="00B70AF2" w:rsidRDefault="0032470D" w:rsidP="005709AF">
            <w:pPr>
              <w:spacing w:before="80" w:after="80"/>
              <w:rPr>
                <w:color w:val="000000"/>
                <w:sz w:val="22"/>
                <w:szCs w:val="22"/>
              </w:rPr>
            </w:pPr>
            <w:r w:rsidRPr="00B70AF2">
              <w:rPr>
                <w:color w:val="000000"/>
                <w:sz w:val="22"/>
                <w:szCs w:val="22"/>
              </w:rPr>
              <w:t>Suburban</w:t>
            </w:r>
          </w:p>
        </w:tc>
        <w:tc>
          <w:tcPr>
            <w:tcW w:w="387" w:type="pct"/>
            <w:shd w:val="clear" w:color="auto" w:fill="auto"/>
            <w:noWrap/>
            <w:vAlign w:val="bottom"/>
            <w:hideMark/>
          </w:tcPr>
          <w:p w:rsidR="0032470D" w:rsidRPr="00B70AF2" w:rsidRDefault="0032470D" w:rsidP="005709AF">
            <w:pPr>
              <w:spacing w:before="80" w:after="80"/>
              <w:jc w:val="right"/>
              <w:rPr>
                <w:color w:val="000000"/>
                <w:sz w:val="22"/>
                <w:szCs w:val="22"/>
              </w:rPr>
            </w:pPr>
            <w:r w:rsidRPr="00B70AF2">
              <w:rPr>
                <w:color w:val="000000"/>
                <w:sz w:val="22"/>
                <w:szCs w:val="22"/>
              </w:rPr>
              <w:t>33</w:t>
            </w:r>
          </w:p>
        </w:tc>
        <w:tc>
          <w:tcPr>
            <w:tcW w:w="578" w:type="pct"/>
            <w:shd w:val="clear" w:color="auto" w:fill="auto"/>
            <w:noWrap/>
            <w:vAlign w:val="bottom"/>
            <w:hideMark/>
          </w:tcPr>
          <w:p w:rsidR="0032470D" w:rsidRPr="00B70AF2" w:rsidRDefault="00A86C5A" w:rsidP="005709AF">
            <w:pPr>
              <w:spacing w:before="80" w:after="80"/>
              <w:jc w:val="right"/>
              <w:rPr>
                <w:color w:val="000000"/>
                <w:sz w:val="22"/>
                <w:szCs w:val="22"/>
              </w:rPr>
            </w:pPr>
            <w:r>
              <w:rPr>
                <w:color w:val="000000"/>
                <w:sz w:val="22"/>
                <w:szCs w:val="22"/>
              </w:rPr>
              <w:t>78</w:t>
            </w:r>
          </w:p>
        </w:tc>
        <w:tc>
          <w:tcPr>
            <w:tcW w:w="578" w:type="pct"/>
            <w:shd w:val="clear" w:color="auto" w:fill="auto"/>
            <w:noWrap/>
            <w:vAlign w:val="bottom"/>
            <w:hideMark/>
          </w:tcPr>
          <w:p w:rsidR="0032470D" w:rsidRPr="00B70AF2" w:rsidRDefault="0032470D" w:rsidP="005709AF">
            <w:pPr>
              <w:spacing w:before="80" w:after="80"/>
              <w:jc w:val="right"/>
              <w:rPr>
                <w:color w:val="000000"/>
                <w:sz w:val="22"/>
                <w:szCs w:val="22"/>
              </w:rPr>
            </w:pPr>
            <w:r w:rsidRPr="00B70AF2">
              <w:rPr>
                <w:color w:val="000000"/>
                <w:sz w:val="22"/>
                <w:szCs w:val="22"/>
              </w:rPr>
              <w:t xml:space="preserve">3,116 </w:t>
            </w:r>
          </w:p>
        </w:tc>
        <w:tc>
          <w:tcPr>
            <w:tcW w:w="578" w:type="pct"/>
            <w:shd w:val="clear" w:color="auto" w:fill="auto"/>
            <w:noWrap/>
            <w:vAlign w:val="bottom"/>
            <w:hideMark/>
          </w:tcPr>
          <w:p w:rsidR="0032470D" w:rsidRPr="00B70AF2" w:rsidRDefault="0032470D" w:rsidP="005709AF">
            <w:pPr>
              <w:spacing w:before="80" w:after="80"/>
              <w:jc w:val="right"/>
              <w:rPr>
                <w:color w:val="000000"/>
                <w:sz w:val="22"/>
                <w:szCs w:val="22"/>
              </w:rPr>
            </w:pPr>
            <w:r w:rsidRPr="00B70AF2">
              <w:rPr>
                <w:color w:val="000000"/>
                <w:sz w:val="22"/>
                <w:szCs w:val="22"/>
              </w:rPr>
              <w:t xml:space="preserve">45,245 </w:t>
            </w:r>
          </w:p>
        </w:tc>
        <w:tc>
          <w:tcPr>
            <w:tcW w:w="769" w:type="pct"/>
            <w:shd w:val="clear" w:color="auto" w:fill="auto"/>
            <w:noWrap/>
            <w:vAlign w:val="bottom"/>
            <w:hideMark/>
          </w:tcPr>
          <w:p w:rsidR="0032470D" w:rsidRPr="00B70AF2" w:rsidRDefault="0032470D" w:rsidP="005709AF">
            <w:pPr>
              <w:spacing w:before="80" w:after="80"/>
              <w:jc w:val="right"/>
              <w:rPr>
                <w:color w:val="000000"/>
                <w:sz w:val="22"/>
                <w:szCs w:val="22"/>
              </w:rPr>
            </w:pPr>
            <w:r w:rsidRPr="00B70AF2">
              <w:rPr>
                <w:color w:val="000000"/>
                <w:sz w:val="22"/>
                <w:szCs w:val="22"/>
              </w:rPr>
              <w:t xml:space="preserve"> $4,260,000 </w:t>
            </w:r>
          </w:p>
        </w:tc>
        <w:tc>
          <w:tcPr>
            <w:tcW w:w="769" w:type="pct"/>
            <w:shd w:val="clear" w:color="auto" w:fill="auto"/>
            <w:noWrap/>
            <w:vAlign w:val="bottom"/>
            <w:hideMark/>
          </w:tcPr>
          <w:p w:rsidR="0032470D" w:rsidRPr="00B70AF2" w:rsidRDefault="0032470D" w:rsidP="005709AF">
            <w:pPr>
              <w:spacing w:before="80" w:after="80"/>
              <w:jc w:val="right"/>
              <w:rPr>
                <w:color w:val="000000"/>
                <w:sz w:val="22"/>
                <w:szCs w:val="22"/>
              </w:rPr>
            </w:pPr>
            <w:r w:rsidRPr="00B70AF2">
              <w:rPr>
                <w:color w:val="000000"/>
                <w:sz w:val="22"/>
                <w:szCs w:val="22"/>
              </w:rPr>
              <w:t xml:space="preserve"> $4,849,255 </w:t>
            </w:r>
          </w:p>
        </w:tc>
        <w:tc>
          <w:tcPr>
            <w:tcW w:w="768" w:type="pct"/>
            <w:shd w:val="clear" w:color="auto" w:fill="auto"/>
            <w:noWrap/>
            <w:vAlign w:val="bottom"/>
            <w:hideMark/>
          </w:tcPr>
          <w:p w:rsidR="0032470D" w:rsidRPr="00B70AF2" w:rsidRDefault="00B70AF2" w:rsidP="005709AF">
            <w:pPr>
              <w:spacing w:before="80" w:after="80"/>
              <w:jc w:val="right"/>
              <w:rPr>
                <w:color w:val="000000"/>
                <w:sz w:val="22"/>
                <w:szCs w:val="22"/>
              </w:rPr>
            </w:pPr>
            <w:r>
              <w:rPr>
                <w:color w:val="000000"/>
                <w:sz w:val="22"/>
                <w:szCs w:val="22"/>
              </w:rPr>
              <w:t xml:space="preserve"> $</w:t>
            </w:r>
            <w:r w:rsidR="0032470D" w:rsidRPr="00B70AF2">
              <w:rPr>
                <w:color w:val="000000"/>
                <w:sz w:val="22"/>
                <w:szCs w:val="22"/>
              </w:rPr>
              <w:t xml:space="preserve">9,109,255 </w:t>
            </w:r>
          </w:p>
        </w:tc>
      </w:tr>
      <w:tr w:rsidR="00B70AF2" w:rsidTr="003E50CB">
        <w:trPr>
          <w:trHeight w:val="255"/>
        </w:trPr>
        <w:tc>
          <w:tcPr>
            <w:tcW w:w="573" w:type="pct"/>
            <w:tcBorders>
              <w:bottom w:val="single" w:sz="12" w:space="0" w:color="auto"/>
            </w:tcBorders>
            <w:shd w:val="clear" w:color="auto" w:fill="auto"/>
            <w:noWrap/>
            <w:vAlign w:val="bottom"/>
            <w:hideMark/>
          </w:tcPr>
          <w:p w:rsidR="0032470D" w:rsidRPr="00B70AF2" w:rsidRDefault="0032470D" w:rsidP="005709AF">
            <w:pPr>
              <w:spacing w:before="80" w:after="80"/>
              <w:rPr>
                <w:color w:val="000000"/>
                <w:sz w:val="22"/>
                <w:szCs w:val="22"/>
              </w:rPr>
            </w:pPr>
            <w:r w:rsidRPr="00B70AF2">
              <w:rPr>
                <w:color w:val="000000"/>
                <w:sz w:val="22"/>
                <w:szCs w:val="22"/>
              </w:rPr>
              <w:t>Rural</w:t>
            </w:r>
          </w:p>
        </w:tc>
        <w:tc>
          <w:tcPr>
            <w:tcW w:w="387" w:type="pct"/>
            <w:tcBorders>
              <w:bottom w:val="single" w:sz="12" w:space="0" w:color="auto"/>
            </w:tcBorders>
            <w:shd w:val="clear" w:color="auto" w:fill="auto"/>
            <w:noWrap/>
            <w:vAlign w:val="bottom"/>
            <w:hideMark/>
          </w:tcPr>
          <w:p w:rsidR="0032470D" w:rsidRPr="00B70AF2" w:rsidRDefault="0032470D" w:rsidP="005709AF">
            <w:pPr>
              <w:spacing w:before="80" w:after="80"/>
              <w:jc w:val="right"/>
              <w:rPr>
                <w:color w:val="000000"/>
                <w:sz w:val="22"/>
                <w:szCs w:val="22"/>
              </w:rPr>
            </w:pPr>
            <w:r w:rsidRPr="00B70AF2">
              <w:rPr>
                <w:color w:val="000000"/>
                <w:sz w:val="22"/>
                <w:szCs w:val="22"/>
              </w:rPr>
              <w:t>33</w:t>
            </w:r>
          </w:p>
        </w:tc>
        <w:tc>
          <w:tcPr>
            <w:tcW w:w="578" w:type="pct"/>
            <w:tcBorders>
              <w:bottom w:val="single" w:sz="12" w:space="0" w:color="auto"/>
            </w:tcBorders>
            <w:shd w:val="clear" w:color="auto" w:fill="auto"/>
            <w:noWrap/>
            <w:vAlign w:val="bottom"/>
            <w:hideMark/>
          </w:tcPr>
          <w:p w:rsidR="0032470D" w:rsidRPr="00B70AF2" w:rsidRDefault="00A86C5A" w:rsidP="005709AF">
            <w:pPr>
              <w:spacing w:before="80" w:after="80"/>
              <w:jc w:val="right"/>
              <w:rPr>
                <w:color w:val="000000"/>
                <w:sz w:val="22"/>
                <w:szCs w:val="22"/>
              </w:rPr>
            </w:pPr>
            <w:r>
              <w:rPr>
                <w:color w:val="000000"/>
                <w:sz w:val="22"/>
                <w:szCs w:val="22"/>
              </w:rPr>
              <w:t>61</w:t>
            </w:r>
          </w:p>
        </w:tc>
        <w:tc>
          <w:tcPr>
            <w:tcW w:w="578" w:type="pct"/>
            <w:tcBorders>
              <w:bottom w:val="single" w:sz="12" w:space="0" w:color="auto"/>
            </w:tcBorders>
            <w:shd w:val="clear" w:color="auto" w:fill="auto"/>
            <w:noWrap/>
            <w:vAlign w:val="bottom"/>
            <w:hideMark/>
          </w:tcPr>
          <w:p w:rsidR="0032470D" w:rsidRPr="00B70AF2" w:rsidRDefault="0032470D" w:rsidP="005709AF">
            <w:pPr>
              <w:spacing w:before="80" w:after="80"/>
              <w:jc w:val="right"/>
              <w:rPr>
                <w:color w:val="000000"/>
                <w:sz w:val="22"/>
                <w:szCs w:val="22"/>
              </w:rPr>
            </w:pPr>
            <w:r w:rsidRPr="00B70AF2">
              <w:rPr>
                <w:color w:val="000000"/>
                <w:sz w:val="22"/>
                <w:szCs w:val="22"/>
              </w:rPr>
              <w:t xml:space="preserve">2,278 </w:t>
            </w:r>
          </w:p>
        </w:tc>
        <w:tc>
          <w:tcPr>
            <w:tcW w:w="578" w:type="pct"/>
            <w:tcBorders>
              <w:bottom w:val="single" w:sz="12" w:space="0" w:color="auto"/>
            </w:tcBorders>
            <w:shd w:val="clear" w:color="auto" w:fill="auto"/>
            <w:noWrap/>
            <w:vAlign w:val="bottom"/>
            <w:hideMark/>
          </w:tcPr>
          <w:p w:rsidR="0032470D" w:rsidRPr="00B70AF2" w:rsidRDefault="0032470D" w:rsidP="005709AF">
            <w:pPr>
              <w:spacing w:before="80" w:after="80"/>
              <w:jc w:val="right"/>
              <w:rPr>
                <w:color w:val="000000"/>
                <w:sz w:val="22"/>
                <w:szCs w:val="22"/>
              </w:rPr>
            </w:pPr>
            <w:r w:rsidRPr="00B70AF2">
              <w:rPr>
                <w:color w:val="000000"/>
                <w:sz w:val="22"/>
                <w:szCs w:val="22"/>
              </w:rPr>
              <w:t xml:space="preserve">29,106 </w:t>
            </w:r>
          </w:p>
        </w:tc>
        <w:tc>
          <w:tcPr>
            <w:tcW w:w="769" w:type="pct"/>
            <w:tcBorders>
              <w:bottom w:val="single" w:sz="12" w:space="0" w:color="auto"/>
            </w:tcBorders>
            <w:shd w:val="clear" w:color="auto" w:fill="auto"/>
            <w:noWrap/>
            <w:vAlign w:val="bottom"/>
            <w:hideMark/>
          </w:tcPr>
          <w:p w:rsidR="0032470D" w:rsidRPr="00B70AF2" w:rsidRDefault="0032470D" w:rsidP="005709AF">
            <w:pPr>
              <w:spacing w:before="80" w:after="80"/>
              <w:jc w:val="right"/>
              <w:rPr>
                <w:color w:val="000000"/>
                <w:sz w:val="22"/>
                <w:szCs w:val="22"/>
              </w:rPr>
            </w:pPr>
            <w:r w:rsidRPr="00B70AF2">
              <w:rPr>
                <w:color w:val="000000"/>
                <w:sz w:val="22"/>
                <w:szCs w:val="22"/>
              </w:rPr>
              <w:t xml:space="preserve"> $2,780,000 </w:t>
            </w:r>
          </w:p>
        </w:tc>
        <w:tc>
          <w:tcPr>
            <w:tcW w:w="769" w:type="pct"/>
            <w:tcBorders>
              <w:bottom w:val="single" w:sz="12" w:space="0" w:color="auto"/>
            </w:tcBorders>
            <w:shd w:val="clear" w:color="auto" w:fill="auto"/>
            <w:noWrap/>
            <w:vAlign w:val="bottom"/>
            <w:hideMark/>
          </w:tcPr>
          <w:p w:rsidR="0032470D" w:rsidRPr="00B70AF2" w:rsidRDefault="0032470D" w:rsidP="005709AF">
            <w:pPr>
              <w:spacing w:before="80" w:after="80"/>
              <w:jc w:val="right"/>
              <w:rPr>
                <w:color w:val="000000"/>
                <w:sz w:val="22"/>
                <w:szCs w:val="22"/>
              </w:rPr>
            </w:pPr>
            <w:r w:rsidRPr="00B70AF2">
              <w:rPr>
                <w:color w:val="000000"/>
                <w:sz w:val="22"/>
                <w:szCs w:val="22"/>
              </w:rPr>
              <w:t xml:space="preserve"> $3,134,377 </w:t>
            </w:r>
          </w:p>
        </w:tc>
        <w:tc>
          <w:tcPr>
            <w:tcW w:w="768" w:type="pct"/>
            <w:tcBorders>
              <w:bottom w:val="single" w:sz="12" w:space="0" w:color="auto"/>
            </w:tcBorders>
            <w:shd w:val="clear" w:color="auto" w:fill="auto"/>
            <w:noWrap/>
            <w:vAlign w:val="bottom"/>
            <w:hideMark/>
          </w:tcPr>
          <w:p w:rsidR="0032470D" w:rsidRPr="00B70AF2" w:rsidRDefault="00B70AF2" w:rsidP="005709AF">
            <w:pPr>
              <w:spacing w:before="80" w:after="80"/>
              <w:jc w:val="right"/>
              <w:rPr>
                <w:color w:val="000000"/>
                <w:sz w:val="22"/>
                <w:szCs w:val="22"/>
              </w:rPr>
            </w:pPr>
            <w:r>
              <w:rPr>
                <w:color w:val="000000"/>
                <w:sz w:val="22"/>
                <w:szCs w:val="22"/>
              </w:rPr>
              <w:t xml:space="preserve"> $</w:t>
            </w:r>
            <w:r w:rsidR="0032470D" w:rsidRPr="00B70AF2">
              <w:rPr>
                <w:color w:val="000000"/>
                <w:sz w:val="22"/>
                <w:szCs w:val="22"/>
              </w:rPr>
              <w:t xml:space="preserve">5,914,377 </w:t>
            </w:r>
          </w:p>
        </w:tc>
      </w:tr>
      <w:tr w:rsidR="00B70AF2" w:rsidTr="003E50CB">
        <w:trPr>
          <w:trHeight w:val="255"/>
        </w:trPr>
        <w:tc>
          <w:tcPr>
            <w:tcW w:w="573" w:type="pct"/>
            <w:tcBorders>
              <w:top w:val="single" w:sz="12" w:space="0" w:color="auto"/>
              <w:bottom w:val="single" w:sz="12" w:space="0" w:color="auto"/>
            </w:tcBorders>
            <w:shd w:val="clear" w:color="auto" w:fill="auto"/>
            <w:noWrap/>
            <w:vAlign w:val="bottom"/>
            <w:hideMark/>
          </w:tcPr>
          <w:p w:rsidR="0032470D" w:rsidRPr="00B70AF2" w:rsidRDefault="0032470D" w:rsidP="005709AF">
            <w:pPr>
              <w:spacing w:before="80" w:after="80"/>
              <w:rPr>
                <w:b/>
                <w:bCs/>
                <w:color w:val="000000"/>
                <w:sz w:val="22"/>
                <w:szCs w:val="22"/>
              </w:rPr>
            </w:pPr>
            <w:r w:rsidRPr="00B70AF2">
              <w:rPr>
                <w:b/>
                <w:bCs/>
                <w:color w:val="000000"/>
                <w:sz w:val="22"/>
                <w:szCs w:val="22"/>
              </w:rPr>
              <w:t>Subtotal</w:t>
            </w:r>
          </w:p>
        </w:tc>
        <w:tc>
          <w:tcPr>
            <w:tcW w:w="387" w:type="pct"/>
            <w:tcBorders>
              <w:top w:val="single" w:sz="12" w:space="0" w:color="auto"/>
              <w:bottom w:val="single" w:sz="12" w:space="0" w:color="auto"/>
            </w:tcBorders>
            <w:shd w:val="clear" w:color="auto" w:fill="auto"/>
            <w:noWrap/>
            <w:vAlign w:val="bottom"/>
            <w:hideMark/>
          </w:tcPr>
          <w:p w:rsidR="0032470D" w:rsidRPr="00B70AF2" w:rsidRDefault="0032470D" w:rsidP="005709AF">
            <w:pPr>
              <w:spacing w:before="80" w:after="80"/>
              <w:jc w:val="right"/>
              <w:rPr>
                <w:b/>
                <w:bCs/>
                <w:color w:val="000000"/>
                <w:sz w:val="22"/>
                <w:szCs w:val="22"/>
              </w:rPr>
            </w:pPr>
            <w:r w:rsidRPr="00B70AF2">
              <w:rPr>
                <w:b/>
                <w:bCs/>
                <w:color w:val="000000"/>
                <w:sz w:val="22"/>
                <w:szCs w:val="22"/>
              </w:rPr>
              <w:t>81</w:t>
            </w:r>
          </w:p>
        </w:tc>
        <w:tc>
          <w:tcPr>
            <w:tcW w:w="578" w:type="pct"/>
            <w:tcBorders>
              <w:top w:val="single" w:sz="12" w:space="0" w:color="auto"/>
              <w:bottom w:val="single" w:sz="12" w:space="0" w:color="auto"/>
            </w:tcBorders>
            <w:shd w:val="clear" w:color="auto" w:fill="auto"/>
            <w:noWrap/>
            <w:vAlign w:val="bottom"/>
            <w:hideMark/>
          </w:tcPr>
          <w:p w:rsidR="0032470D" w:rsidRPr="00B70AF2" w:rsidRDefault="00A86C5A" w:rsidP="005709AF">
            <w:pPr>
              <w:spacing w:before="80" w:after="80"/>
              <w:jc w:val="right"/>
              <w:rPr>
                <w:b/>
                <w:bCs/>
                <w:color w:val="000000"/>
                <w:sz w:val="22"/>
                <w:szCs w:val="22"/>
              </w:rPr>
            </w:pPr>
            <w:r>
              <w:rPr>
                <w:b/>
                <w:bCs/>
                <w:color w:val="000000"/>
                <w:sz w:val="22"/>
                <w:szCs w:val="22"/>
              </w:rPr>
              <w:t>200</w:t>
            </w:r>
          </w:p>
        </w:tc>
        <w:tc>
          <w:tcPr>
            <w:tcW w:w="578" w:type="pct"/>
            <w:tcBorders>
              <w:top w:val="single" w:sz="12" w:space="0" w:color="auto"/>
              <w:bottom w:val="single" w:sz="12" w:space="0" w:color="auto"/>
            </w:tcBorders>
            <w:shd w:val="clear" w:color="auto" w:fill="auto"/>
            <w:noWrap/>
            <w:vAlign w:val="bottom"/>
            <w:hideMark/>
          </w:tcPr>
          <w:p w:rsidR="0032470D" w:rsidRPr="00B70AF2" w:rsidRDefault="0032470D" w:rsidP="005709AF">
            <w:pPr>
              <w:spacing w:before="80" w:after="80"/>
              <w:jc w:val="right"/>
              <w:rPr>
                <w:b/>
                <w:bCs/>
                <w:color w:val="000000"/>
                <w:sz w:val="22"/>
                <w:szCs w:val="22"/>
              </w:rPr>
            </w:pPr>
            <w:r w:rsidRPr="00B70AF2">
              <w:rPr>
                <w:b/>
                <w:bCs/>
                <w:color w:val="000000"/>
                <w:sz w:val="22"/>
                <w:szCs w:val="22"/>
              </w:rPr>
              <w:t xml:space="preserve">7,835 </w:t>
            </w:r>
          </w:p>
        </w:tc>
        <w:tc>
          <w:tcPr>
            <w:tcW w:w="578" w:type="pct"/>
            <w:tcBorders>
              <w:top w:val="single" w:sz="12" w:space="0" w:color="auto"/>
              <w:bottom w:val="single" w:sz="12" w:space="0" w:color="auto"/>
            </w:tcBorders>
            <w:shd w:val="clear" w:color="auto" w:fill="auto"/>
            <w:noWrap/>
            <w:vAlign w:val="bottom"/>
            <w:hideMark/>
          </w:tcPr>
          <w:p w:rsidR="0032470D" w:rsidRPr="00B70AF2" w:rsidRDefault="0032470D" w:rsidP="005709AF">
            <w:pPr>
              <w:spacing w:before="80" w:after="80"/>
              <w:jc w:val="right"/>
              <w:rPr>
                <w:b/>
                <w:bCs/>
                <w:color w:val="000000"/>
                <w:sz w:val="22"/>
                <w:szCs w:val="22"/>
              </w:rPr>
            </w:pPr>
            <w:r w:rsidRPr="00B70AF2">
              <w:rPr>
                <w:b/>
                <w:bCs/>
                <w:color w:val="000000"/>
                <w:sz w:val="22"/>
                <w:szCs w:val="22"/>
              </w:rPr>
              <w:t xml:space="preserve">108,358 </w:t>
            </w:r>
          </w:p>
        </w:tc>
        <w:tc>
          <w:tcPr>
            <w:tcW w:w="769" w:type="pct"/>
            <w:tcBorders>
              <w:top w:val="single" w:sz="12" w:space="0" w:color="auto"/>
              <w:bottom w:val="single" w:sz="12" w:space="0" w:color="auto"/>
            </w:tcBorders>
            <w:shd w:val="clear" w:color="auto" w:fill="auto"/>
            <w:noWrap/>
            <w:vAlign w:val="bottom"/>
            <w:hideMark/>
          </w:tcPr>
          <w:p w:rsidR="0032470D" w:rsidRPr="00B70AF2" w:rsidRDefault="00B70AF2" w:rsidP="005709AF">
            <w:pPr>
              <w:spacing w:before="80" w:after="80"/>
              <w:jc w:val="right"/>
              <w:rPr>
                <w:b/>
                <w:bCs/>
                <w:color w:val="000000"/>
                <w:sz w:val="22"/>
                <w:szCs w:val="22"/>
              </w:rPr>
            </w:pPr>
            <w:r>
              <w:rPr>
                <w:b/>
                <w:bCs/>
                <w:color w:val="000000"/>
                <w:sz w:val="22"/>
                <w:szCs w:val="22"/>
              </w:rPr>
              <w:t>$</w:t>
            </w:r>
            <w:r w:rsidR="0032470D" w:rsidRPr="00B70AF2">
              <w:rPr>
                <w:b/>
                <w:bCs/>
                <w:color w:val="000000"/>
                <w:sz w:val="22"/>
                <w:szCs w:val="22"/>
              </w:rPr>
              <w:t xml:space="preserve">11,790,000 </w:t>
            </w:r>
          </w:p>
        </w:tc>
        <w:tc>
          <w:tcPr>
            <w:tcW w:w="769" w:type="pct"/>
            <w:tcBorders>
              <w:top w:val="single" w:sz="12" w:space="0" w:color="auto"/>
              <w:bottom w:val="single" w:sz="12" w:space="0" w:color="auto"/>
            </w:tcBorders>
            <w:shd w:val="clear" w:color="auto" w:fill="auto"/>
            <w:noWrap/>
            <w:vAlign w:val="bottom"/>
            <w:hideMark/>
          </w:tcPr>
          <w:p w:rsidR="0032470D" w:rsidRPr="00B70AF2" w:rsidRDefault="00B70AF2" w:rsidP="005709AF">
            <w:pPr>
              <w:spacing w:before="80" w:after="80"/>
              <w:jc w:val="right"/>
              <w:rPr>
                <w:b/>
                <w:bCs/>
                <w:color w:val="000000"/>
                <w:sz w:val="22"/>
                <w:szCs w:val="22"/>
              </w:rPr>
            </w:pPr>
            <w:r>
              <w:rPr>
                <w:b/>
                <w:bCs/>
                <w:color w:val="000000"/>
                <w:sz w:val="22"/>
                <w:szCs w:val="22"/>
              </w:rPr>
              <w:t>$</w:t>
            </w:r>
            <w:r w:rsidR="0032470D" w:rsidRPr="00B70AF2">
              <w:rPr>
                <w:b/>
                <w:bCs/>
                <w:color w:val="000000"/>
                <w:sz w:val="22"/>
                <w:szCs w:val="22"/>
              </w:rPr>
              <w:t xml:space="preserve">13,770,376 </w:t>
            </w:r>
          </w:p>
        </w:tc>
        <w:tc>
          <w:tcPr>
            <w:tcW w:w="768" w:type="pct"/>
            <w:tcBorders>
              <w:top w:val="single" w:sz="12" w:space="0" w:color="auto"/>
              <w:bottom w:val="single" w:sz="12" w:space="0" w:color="auto"/>
            </w:tcBorders>
            <w:shd w:val="clear" w:color="auto" w:fill="auto"/>
            <w:noWrap/>
            <w:vAlign w:val="bottom"/>
            <w:hideMark/>
          </w:tcPr>
          <w:p w:rsidR="0032470D" w:rsidRPr="00B70AF2" w:rsidRDefault="00B70AF2" w:rsidP="005709AF">
            <w:pPr>
              <w:spacing w:before="80" w:after="80"/>
              <w:jc w:val="right"/>
              <w:rPr>
                <w:b/>
                <w:bCs/>
                <w:color w:val="000000"/>
                <w:sz w:val="22"/>
                <w:szCs w:val="22"/>
              </w:rPr>
            </w:pPr>
            <w:r>
              <w:rPr>
                <w:b/>
                <w:bCs/>
                <w:color w:val="000000"/>
                <w:sz w:val="22"/>
                <w:szCs w:val="22"/>
              </w:rPr>
              <w:t>$</w:t>
            </w:r>
            <w:r w:rsidR="0032470D" w:rsidRPr="00B70AF2">
              <w:rPr>
                <w:b/>
                <w:bCs/>
                <w:color w:val="000000"/>
                <w:sz w:val="22"/>
                <w:szCs w:val="22"/>
              </w:rPr>
              <w:t xml:space="preserve">25,560,376 </w:t>
            </w:r>
          </w:p>
        </w:tc>
      </w:tr>
      <w:tr w:rsidR="00B70AF2" w:rsidTr="003E50CB">
        <w:trPr>
          <w:trHeight w:val="255"/>
        </w:trPr>
        <w:tc>
          <w:tcPr>
            <w:tcW w:w="573" w:type="pct"/>
            <w:tcBorders>
              <w:top w:val="single" w:sz="12" w:space="0" w:color="auto"/>
            </w:tcBorders>
            <w:shd w:val="clear" w:color="auto" w:fill="auto"/>
            <w:noWrap/>
            <w:vAlign w:val="bottom"/>
            <w:hideMark/>
          </w:tcPr>
          <w:p w:rsidR="0032470D" w:rsidRPr="00B70AF2" w:rsidRDefault="00B70AF2" w:rsidP="005709AF">
            <w:pPr>
              <w:spacing w:before="80" w:after="80"/>
              <w:rPr>
                <w:b/>
                <w:bCs/>
                <w:color w:val="000000"/>
                <w:sz w:val="22"/>
                <w:szCs w:val="22"/>
              </w:rPr>
            </w:pPr>
            <w:r>
              <w:rPr>
                <w:b/>
                <w:bCs/>
                <w:color w:val="000000"/>
                <w:sz w:val="22"/>
                <w:szCs w:val="22"/>
              </w:rPr>
              <w:t>Total</w:t>
            </w:r>
            <w:r w:rsidR="005709AF">
              <w:rPr>
                <w:b/>
                <w:bCs/>
                <w:color w:val="000000"/>
                <w:sz w:val="22"/>
                <w:szCs w:val="22"/>
              </w:rPr>
              <w:t>s</w:t>
            </w:r>
          </w:p>
        </w:tc>
        <w:tc>
          <w:tcPr>
            <w:tcW w:w="387" w:type="pct"/>
            <w:tcBorders>
              <w:top w:val="single" w:sz="12" w:space="0" w:color="auto"/>
            </w:tcBorders>
            <w:shd w:val="clear" w:color="auto" w:fill="auto"/>
            <w:noWrap/>
            <w:vAlign w:val="bottom"/>
            <w:hideMark/>
          </w:tcPr>
          <w:p w:rsidR="0032470D" w:rsidRPr="00B70AF2" w:rsidRDefault="0032470D" w:rsidP="005709AF">
            <w:pPr>
              <w:spacing w:before="80" w:after="80"/>
              <w:jc w:val="right"/>
              <w:rPr>
                <w:b/>
                <w:bCs/>
                <w:color w:val="000000"/>
                <w:sz w:val="22"/>
                <w:szCs w:val="22"/>
              </w:rPr>
            </w:pPr>
            <w:r w:rsidRPr="00B70AF2">
              <w:rPr>
                <w:b/>
                <w:bCs/>
                <w:color w:val="000000"/>
                <w:sz w:val="22"/>
                <w:szCs w:val="22"/>
              </w:rPr>
              <w:t>98</w:t>
            </w:r>
          </w:p>
        </w:tc>
        <w:tc>
          <w:tcPr>
            <w:tcW w:w="578" w:type="pct"/>
            <w:tcBorders>
              <w:top w:val="single" w:sz="12" w:space="0" w:color="auto"/>
            </w:tcBorders>
            <w:shd w:val="clear" w:color="auto" w:fill="auto"/>
            <w:noWrap/>
            <w:vAlign w:val="bottom"/>
            <w:hideMark/>
          </w:tcPr>
          <w:p w:rsidR="0032470D" w:rsidRPr="00B70AF2" w:rsidRDefault="0032470D" w:rsidP="00A86C5A">
            <w:pPr>
              <w:spacing w:before="80" w:after="80"/>
              <w:jc w:val="right"/>
              <w:rPr>
                <w:b/>
                <w:bCs/>
                <w:color w:val="000000"/>
                <w:sz w:val="22"/>
                <w:szCs w:val="22"/>
              </w:rPr>
            </w:pPr>
            <w:r w:rsidRPr="00B70AF2">
              <w:rPr>
                <w:b/>
                <w:bCs/>
                <w:color w:val="000000"/>
                <w:sz w:val="22"/>
                <w:szCs w:val="22"/>
              </w:rPr>
              <w:t>2</w:t>
            </w:r>
            <w:r w:rsidR="00A86C5A">
              <w:rPr>
                <w:b/>
                <w:bCs/>
                <w:color w:val="000000"/>
                <w:sz w:val="22"/>
                <w:szCs w:val="22"/>
              </w:rPr>
              <w:t>47</w:t>
            </w:r>
          </w:p>
        </w:tc>
        <w:tc>
          <w:tcPr>
            <w:tcW w:w="578" w:type="pct"/>
            <w:tcBorders>
              <w:top w:val="single" w:sz="12" w:space="0" w:color="auto"/>
            </w:tcBorders>
            <w:shd w:val="clear" w:color="auto" w:fill="auto"/>
            <w:noWrap/>
            <w:vAlign w:val="bottom"/>
            <w:hideMark/>
          </w:tcPr>
          <w:p w:rsidR="0032470D" w:rsidRPr="00B70AF2" w:rsidRDefault="0032470D" w:rsidP="005709AF">
            <w:pPr>
              <w:spacing w:before="80" w:after="80"/>
              <w:jc w:val="right"/>
              <w:rPr>
                <w:b/>
                <w:bCs/>
                <w:color w:val="000000"/>
                <w:sz w:val="22"/>
                <w:szCs w:val="22"/>
              </w:rPr>
            </w:pPr>
            <w:r w:rsidRPr="00B70AF2">
              <w:rPr>
                <w:b/>
                <w:bCs/>
                <w:color w:val="000000"/>
                <w:sz w:val="22"/>
                <w:szCs w:val="22"/>
              </w:rPr>
              <w:t xml:space="preserve">9,700 </w:t>
            </w:r>
          </w:p>
        </w:tc>
        <w:tc>
          <w:tcPr>
            <w:tcW w:w="578" w:type="pct"/>
            <w:tcBorders>
              <w:top w:val="single" w:sz="12" w:space="0" w:color="auto"/>
            </w:tcBorders>
            <w:shd w:val="clear" w:color="auto" w:fill="auto"/>
            <w:noWrap/>
            <w:vAlign w:val="bottom"/>
            <w:hideMark/>
          </w:tcPr>
          <w:p w:rsidR="0032470D" w:rsidRPr="00B70AF2" w:rsidRDefault="0032470D" w:rsidP="005709AF">
            <w:pPr>
              <w:spacing w:before="80" w:after="80"/>
              <w:jc w:val="right"/>
              <w:rPr>
                <w:b/>
                <w:bCs/>
                <w:color w:val="000000"/>
                <w:sz w:val="22"/>
                <w:szCs w:val="22"/>
              </w:rPr>
            </w:pPr>
            <w:r w:rsidRPr="00B70AF2">
              <w:rPr>
                <w:b/>
                <w:bCs/>
                <w:color w:val="000000"/>
                <w:sz w:val="22"/>
                <w:szCs w:val="22"/>
              </w:rPr>
              <w:t xml:space="preserve">133,339 </w:t>
            </w:r>
          </w:p>
        </w:tc>
        <w:tc>
          <w:tcPr>
            <w:tcW w:w="769" w:type="pct"/>
            <w:tcBorders>
              <w:top w:val="single" w:sz="12" w:space="0" w:color="auto"/>
            </w:tcBorders>
            <w:shd w:val="clear" w:color="auto" w:fill="auto"/>
            <w:noWrap/>
            <w:vAlign w:val="bottom"/>
            <w:hideMark/>
          </w:tcPr>
          <w:p w:rsidR="0032470D" w:rsidRPr="00B70AF2" w:rsidRDefault="00B70AF2" w:rsidP="005709AF">
            <w:pPr>
              <w:spacing w:before="80" w:after="80"/>
              <w:jc w:val="right"/>
              <w:rPr>
                <w:b/>
                <w:bCs/>
                <w:color w:val="000000"/>
                <w:sz w:val="22"/>
                <w:szCs w:val="22"/>
              </w:rPr>
            </w:pPr>
            <w:r>
              <w:rPr>
                <w:b/>
                <w:bCs/>
                <w:color w:val="000000"/>
                <w:sz w:val="22"/>
                <w:szCs w:val="22"/>
              </w:rPr>
              <w:t>$</w:t>
            </w:r>
            <w:r w:rsidR="0032470D" w:rsidRPr="00B70AF2">
              <w:rPr>
                <w:b/>
                <w:bCs/>
                <w:color w:val="000000"/>
                <w:sz w:val="22"/>
                <w:szCs w:val="22"/>
              </w:rPr>
              <w:t xml:space="preserve">16,030,000 </w:t>
            </w:r>
          </w:p>
        </w:tc>
        <w:tc>
          <w:tcPr>
            <w:tcW w:w="769" w:type="pct"/>
            <w:tcBorders>
              <w:top w:val="single" w:sz="12" w:space="0" w:color="auto"/>
            </w:tcBorders>
            <w:shd w:val="clear" w:color="auto" w:fill="auto"/>
            <w:noWrap/>
            <w:vAlign w:val="bottom"/>
            <w:hideMark/>
          </w:tcPr>
          <w:p w:rsidR="0032470D" w:rsidRPr="00B70AF2" w:rsidRDefault="00B70AF2" w:rsidP="005709AF">
            <w:pPr>
              <w:spacing w:before="80" w:after="80"/>
              <w:jc w:val="right"/>
              <w:rPr>
                <w:b/>
                <w:bCs/>
                <w:color w:val="000000"/>
                <w:sz w:val="22"/>
                <w:szCs w:val="22"/>
              </w:rPr>
            </w:pPr>
            <w:r>
              <w:rPr>
                <w:b/>
                <w:bCs/>
                <w:color w:val="000000"/>
                <w:sz w:val="22"/>
                <w:szCs w:val="22"/>
              </w:rPr>
              <w:t>$</w:t>
            </w:r>
            <w:r w:rsidR="0032470D" w:rsidRPr="00B70AF2">
              <w:rPr>
                <w:b/>
                <w:bCs/>
                <w:color w:val="000000"/>
                <w:sz w:val="22"/>
                <w:szCs w:val="22"/>
              </w:rPr>
              <w:t xml:space="preserve">17,367,529 </w:t>
            </w:r>
          </w:p>
        </w:tc>
        <w:tc>
          <w:tcPr>
            <w:tcW w:w="768" w:type="pct"/>
            <w:tcBorders>
              <w:top w:val="single" w:sz="12" w:space="0" w:color="auto"/>
            </w:tcBorders>
            <w:shd w:val="clear" w:color="auto" w:fill="auto"/>
            <w:noWrap/>
            <w:vAlign w:val="bottom"/>
            <w:hideMark/>
          </w:tcPr>
          <w:p w:rsidR="0032470D" w:rsidRPr="00B70AF2" w:rsidRDefault="00B70AF2" w:rsidP="005709AF">
            <w:pPr>
              <w:spacing w:before="80" w:after="80"/>
              <w:jc w:val="right"/>
              <w:rPr>
                <w:b/>
                <w:bCs/>
                <w:color w:val="000000"/>
                <w:sz w:val="22"/>
                <w:szCs w:val="22"/>
              </w:rPr>
            </w:pPr>
            <w:r>
              <w:rPr>
                <w:b/>
                <w:bCs/>
                <w:color w:val="000000"/>
                <w:sz w:val="22"/>
                <w:szCs w:val="22"/>
              </w:rPr>
              <w:t>$</w:t>
            </w:r>
            <w:r w:rsidR="0032470D" w:rsidRPr="00B70AF2">
              <w:rPr>
                <w:b/>
                <w:bCs/>
                <w:color w:val="000000"/>
                <w:sz w:val="22"/>
                <w:szCs w:val="22"/>
              </w:rPr>
              <w:t xml:space="preserve">33,397,529 </w:t>
            </w:r>
          </w:p>
        </w:tc>
      </w:tr>
      <w:tr w:rsidR="004960BC" w:rsidTr="004960BC">
        <w:trPr>
          <w:trHeight w:val="255"/>
        </w:trPr>
        <w:tc>
          <w:tcPr>
            <w:tcW w:w="5000" w:type="pct"/>
            <w:gridSpan w:val="8"/>
            <w:shd w:val="clear" w:color="auto" w:fill="auto"/>
            <w:noWrap/>
            <w:vAlign w:val="bottom"/>
          </w:tcPr>
          <w:p w:rsidR="004960BC" w:rsidRDefault="00E977F6" w:rsidP="004960BC">
            <w:pPr>
              <w:spacing w:before="80" w:after="80"/>
              <w:rPr>
                <w:b/>
                <w:bCs/>
                <w:color w:val="000000"/>
                <w:sz w:val="22"/>
                <w:szCs w:val="22"/>
              </w:rPr>
            </w:pPr>
            <w:r>
              <w:rPr>
                <w:bCs/>
                <w:color w:val="000000"/>
                <w:sz w:val="22"/>
                <w:szCs w:val="22"/>
              </w:rPr>
              <w:t>*</w:t>
            </w:r>
            <w:r w:rsidR="004960BC" w:rsidRPr="004960BC">
              <w:rPr>
                <w:bCs/>
                <w:color w:val="000000"/>
                <w:sz w:val="22"/>
                <w:szCs w:val="22"/>
              </w:rPr>
              <w:t>NOTE:</w:t>
            </w:r>
            <w:r w:rsidR="004960BC">
              <w:rPr>
                <w:bCs/>
                <w:color w:val="000000"/>
                <w:sz w:val="22"/>
                <w:szCs w:val="22"/>
              </w:rPr>
              <w:t xml:space="preserve"> State figures </w:t>
            </w:r>
            <w:r w:rsidR="001121BF">
              <w:rPr>
                <w:bCs/>
                <w:color w:val="000000"/>
                <w:sz w:val="22"/>
                <w:szCs w:val="22"/>
              </w:rPr>
              <w:t xml:space="preserve">are </w:t>
            </w:r>
            <w:r w:rsidR="004960BC">
              <w:rPr>
                <w:bCs/>
                <w:color w:val="000000"/>
                <w:sz w:val="22"/>
                <w:szCs w:val="22"/>
              </w:rPr>
              <w:t>based on estimated infrastructure costs.</w:t>
            </w:r>
          </w:p>
        </w:tc>
      </w:tr>
    </w:tbl>
    <w:p w:rsidR="0032470D" w:rsidRPr="0032470D" w:rsidRDefault="0032470D" w:rsidP="0032470D">
      <w:pPr>
        <w:rPr>
          <w:sz w:val="22"/>
          <w:szCs w:val="22"/>
        </w:rPr>
      </w:pPr>
    </w:p>
    <w:p w:rsidR="006248D1" w:rsidRDefault="006248D1" w:rsidP="008F759E">
      <w:pPr>
        <w:rPr>
          <w:sz w:val="22"/>
          <w:szCs w:val="22"/>
        </w:rPr>
      </w:pPr>
      <w:r w:rsidRPr="004D299C">
        <w:rPr>
          <w:sz w:val="22"/>
          <w:szCs w:val="22"/>
        </w:rPr>
        <w:t>Th</w:t>
      </w:r>
      <w:r w:rsidR="00481AC1">
        <w:rPr>
          <w:sz w:val="22"/>
          <w:szCs w:val="22"/>
        </w:rPr>
        <w:t>is</w:t>
      </w:r>
      <w:r w:rsidRPr="004D299C">
        <w:rPr>
          <w:sz w:val="22"/>
          <w:szCs w:val="22"/>
        </w:rPr>
        <w:t xml:space="preserve"> plan is guided by </w:t>
      </w:r>
      <w:r w:rsidR="008D721F">
        <w:rPr>
          <w:sz w:val="22"/>
          <w:szCs w:val="22"/>
        </w:rPr>
        <w:t>four</w:t>
      </w:r>
      <w:r w:rsidRPr="004D299C">
        <w:rPr>
          <w:sz w:val="22"/>
          <w:szCs w:val="22"/>
        </w:rPr>
        <w:t xml:space="preserve"> areas of strategic focus, </w:t>
      </w:r>
      <w:r w:rsidRPr="008D721F">
        <w:rPr>
          <w:i/>
          <w:sz w:val="22"/>
          <w:szCs w:val="22"/>
        </w:rPr>
        <w:t>interagency collaboration</w:t>
      </w:r>
      <w:r w:rsidR="00552FA1">
        <w:rPr>
          <w:i/>
          <w:sz w:val="22"/>
          <w:szCs w:val="22"/>
        </w:rPr>
        <w:t xml:space="preserve"> in support of municipalities</w:t>
      </w:r>
      <w:r w:rsidRPr="004D299C">
        <w:rPr>
          <w:sz w:val="22"/>
          <w:szCs w:val="22"/>
        </w:rPr>
        <w:t xml:space="preserve">, </w:t>
      </w:r>
      <w:r w:rsidR="008D721F">
        <w:rPr>
          <w:i/>
          <w:sz w:val="22"/>
          <w:szCs w:val="22"/>
        </w:rPr>
        <w:t>cost</w:t>
      </w:r>
      <w:r w:rsidR="00C37B2A">
        <w:rPr>
          <w:i/>
          <w:sz w:val="22"/>
          <w:szCs w:val="22"/>
        </w:rPr>
        <w:t>-effectiveness</w:t>
      </w:r>
      <w:r w:rsidR="008D721F">
        <w:rPr>
          <w:i/>
          <w:sz w:val="22"/>
          <w:szCs w:val="22"/>
        </w:rPr>
        <w:t xml:space="preserve">, </w:t>
      </w:r>
      <w:r w:rsidRPr="008D721F">
        <w:rPr>
          <w:i/>
          <w:sz w:val="22"/>
          <w:szCs w:val="22"/>
        </w:rPr>
        <w:t>efficiencies of scale,</w:t>
      </w:r>
      <w:r w:rsidRPr="004D299C">
        <w:rPr>
          <w:sz w:val="22"/>
          <w:szCs w:val="22"/>
        </w:rPr>
        <w:t xml:space="preserve"> and </w:t>
      </w:r>
      <w:r w:rsidRPr="008D721F">
        <w:rPr>
          <w:i/>
          <w:sz w:val="22"/>
          <w:szCs w:val="22"/>
        </w:rPr>
        <w:t>local capacity and sustainability</w:t>
      </w:r>
      <w:r w:rsidRPr="004D299C">
        <w:rPr>
          <w:sz w:val="22"/>
          <w:szCs w:val="22"/>
        </w:rPr>
        <w:t>, and these goals:</w:t>
      </w:r>
    </w:p>
    <w:p w:rsidR="00033A8F" w:rsidRPr="004D299C" w:rsidRDefault="00033A8F" w:rsidP="008F759E">
      <w:pPr>
        <w:rPr>
          <w:sz w:val="22"/>
          <w:szCs w:val="22"/>
        </w:rPr>
      </w:pPr>
    </w:p>
    <w:p w:rsidR="006248D1" w:rsidRPr="004D299C" w:rsidRDefault="00C07D62" w:rsidP="00033A8F">
      <w:pPr>
        <w:pStyle w:val="ListParagraph"/>
        <w:numPr>
          <w:ilvl w:val="0"/>
          <w:numId w:val="22"/>
        </w:numPr>
        <w:contextualSpacing w:val="0"/>
        <w:rPr>
          <w:sz w:val="22"/>
          <w:szCs w:val="22"/>
        </w:rPr>
      </w:pPr>
      <w:r>
        <w:rPr>
          <w:sz w:val="22"/>
          <w:szCs w:val="22"/>
        </w:rPr>
        <w:t>M</w:t>
      </w:r>
      <w:r w:rsidR="006248D1" w:rsidRPr="004D299C">
        <w:rPr>
          <w:sz w:val="22"/>
          <w:szCs w:val="22"/>
        </w:rPr>
        <w:t>aximize taxpayer value, student access to information technology and information technology preparedness.</w:t>
      </w:r>
    </w:p>
    <w:p w:rsidR="006248D1" w:rsidRPr="004D299C" w:rsidRDefault="00C07D62" w:rsidP="00033A8F">
      <w:pPr>
        <w:pStyle w:val="ListParagraph"/>
        <w:numPr>
          <w:ilvl w:val="0"/>
          <w:numId w:val="22"/>
        </w:numPr>
        <w:contextualSpacing w:val="0"/>
        <w:rPr>
          <w:sz w:val="22"/>
          <w:szCs w:val="22"/>
        </w:rPr>
      </w:pPr>
      <w:r>
        <w:rPr>
          <w:sz w:val="22"/>
          <w:szCs w:val="22"/>
        </w:rPr>
        <w:t>P</w:t>
      </w:r>
      <w:r w:rsidR="006248D1" w:rsidRPr="004D299C">
        <w:rPr>
          <w:sz w:val="22"/>
          <w:szCs w:val="22"/>
        </w:rPr>
        <w:t>rovide student access to individualized and rigorous digital learning experiences.</w:t>
      </w:r>
    </w:p>
    <w:p w:rsidR="006248D1" w:rsidRPr="004D299C" w:rsidRDefault="00C07D62" w:rsidP="00033A8F">
      <w:pPr>
        <w:pStyle w:val="ListParagraph"/>
        <w:numPr>
          <w:ilvl w:val="0"/>
          <w:numId w:val="22"/>
        </w:numPr>
        <w:contextualSpacing w:val="0"/>
        <w:rPr>
          <w:sz w:val="22"/>
          <w:szCs w:val="22"/>
        </w:rPr>
      </w:pPr>
      <w:r>
        <w:rPr>
          <w:sz w:val="22"/>
          <w:szCs w:val="22"/>
        </w:rPr>
        <w:t>E</w:t>
      </w:r>
      <w:r w:rsidR="006248D1" w:rsidRPr="004D299C">
        <w:rPr>
          <w:sz w:val="22"/>
          <w:szCs w:val="22"/>
        </w:rPr>
        <w:t>nsure that educators and administrators have the knowledge and skills to implement digital learning curricula.</w:t>
      </w:r>
    </w:p>
    <w:p w:rsidR="006248D1" w:rsidRPr="004D299C" w:rsidRDefault="00C07D62" w:rsidP="00033A8F">
      <w:pPr>
        <w:pStyle w:val="ListParagraph"/>
        <w:numPr>
          <w:ilvl w:val="0"/>
          <w:numId w:val="22"/>
        </w:numPr>
        <w:contextualSpacing w:val="0"/>
        <w:rPr>
          <w:sz w:val="22"/>
          <w:szCs w:val="22"/>
        </w:rPr>
      </w:pPr>
      <w:r>
        <w:rPr>
          <w:sz w:val="22"/>
          <w:szCs w:val="22"/>
        </w:rPr>
        <w:t>M</w:t>
      </w:r>
      <w:r w:rsidR="006248D1" w:rsidRPr="004D299C">
        <w:rPr>
          <w:sz w:val="22"/>
          <w:szCs w:val="22"/>
        </w:rPr>
        <w:t xml:space="preserve">aximize access </w:t>
      </w:r>
      <w:r w:rsidR="00CC0DF6">
        <w:rPr>
          <w:sz w:val="22"/>
          <w:szCs w:val="22"/>
        </w:rPr>
        <w:t>to</w:t>
      </w:r>
      <w:r w:rsidR="00CC0DF6" w:rsidRPr="004D299C">
        <w:rPr>
          <w:sz w:val="22"/>
          <w:szCs w:val="22"/>
        </w:rPr>
        <w:t xml:space="preserve"> </w:t>
      </w:r>
      <w:r w:rsidR="006248D1" w:rsidRPr="004D299C">
        <w:rPr>
          <w:sz w:val="22"/>
          <w:szCs w:val="22"/>
        </w:rPr>
        <w:t>broadband and</w:t>
      </w:r>
      <w:r w:rsidR="005C1D91">
        <w:rPr>
          <w:sz w:val="22"/>
          <w:szCs w:val="22"/>
        </w:rPr>
        <w:t xml:space="preserve"> strengthen teaching and learning across the state in keeping with twenty-first century standards.</w:t>
      </w:r>
    </w:p>
    <w:p w:rsidR="00643EE4" w:rsidRDefault="00643EE4" w:rsidP="00C37B2A">
      <w:pPr>
        <w:rPr>
          <w:sz w:val="22"/>
          <w:szCs w:val="22"/>
        </w:rPr>
      </w:pPr>
    </w:p>
    <w:p w:rsidR="00C37B2A" w:rsidRDefault="00C37B2A" w:rsidP="00C37B2A">
      <w:pPr>
        <w:rPr>
          <w:sz w:val="22"/>
          <w:szCs w:val="22"/>
        </w:rPr>
      </w:pPr>
      <w:r>
        <w:rPr>
          <w:sz w:val="22"/>
          <w:szCs w:val="22"/>
        </w:rPr>
        <w:t>Recently the</w:t>
      </w:r>
      <w:r w:rsidRPr="00C07D62">
        <w:rPr>
          <w:sz w:val="22"/>
          <w:szCs w:val="22"/>
        </w:rPr>
        <w:t xml:space="preserve"> Federal Communications Commission </w:t>
      </w:r>
      <w:r w:rsidR="0033620E" w:rsidRPr="0033620E">
        <w:rPr>
          <w:sz w:val="22"/>
          <w:szCs w:val="22"/>
        </w:rPr>
        <w:t>increase</w:t>
      </w:r>
      <w:r w:rsidR="0033620E">
        <w:rPr>
          <w:sz w:val="22"/>
          <w:szCs w:val="22"/>
        </w:rPr>
        <w:t>d</w:t>
      </w:r>
      <w:r w:rsidR="0033620E" w:rsidRPr="0033620E">
        <w:rPr>
          <w:sz w:val="22"/>
          <w:szCs w:val="22"/>
        </w:rPr>
        <w:t xml:space="preserve"> the annual E-rate program cap to $3.9 billion</w:t>
      </w:r>
      <w:r w:rsidR="0033620E">
        <w:rPr>
          <w:sz w:val="22"/>
          <w:szCs w:val="22"/>
        </w:rPr>
        <w:t xml:space="preserve">. </w:t>
      </w:r>
      <w:r w:rsidR="0033620E" w:rsidRPr="0033620E">
        <w:rPr>
          <w:sz w:val="22"/>
          <w:szCs w:val="22"/>
        </w:rPr>
        <w:t xml:space="preserve">The increased cap will allow the E-rate program to meet its target of $1 billion </w:t>
      </w:r>
      <w:r w:rsidR="00740DB1">
        <w:rPr>
          <w:sz w:val="22"/>
          <w:szCs w:val="22"/>
        </w:rPr>
        <w:t xml:space="preserve">annually </w:t>
      </w:r>
      <w:r w:rsidR="0033620E" w:rsidRPr="0033620E">
        <w:rPr>
          <w:sz w:val="22"/>
          <w:szCs w:val="22"/>
        </w:rPr>
        <w:t xml:space="preserve">in closing </w:t>
      </w:r>
      <w:r w:rsidR="0033620E" w:rsidRPr="0033620E">
        <w:rPr>
          <w:sz w:val="22"/>
          <w:szCs w:val="22"/>
        </w:rPr>
        <w:lastRenderedPageBreak/>
        <w:t>the Wi-Fi gap while transitioning support away from legacy technologies</w:t>
      </w:r>
      <w:r w:rsidR="0033620E">
        <w:rPr>
          <w:sz w:val="22"/>
          <w:szCs w:val="22"/>
        </w:rPr>
        <w:t xml:space="preserve">. </w:t>
      </w:r>
      <w:r>
        <w:rPr>
          <w:sz w:val="22"/>
          <w:szCs w:val="22"/>
        </w:rPr>
        <w:t xml:space="preserve">Consequently, we anticipate continued strong demand </w:t>
      </w:r>
      <w:r w:rsidR="00E76CBC">
        <w:rPr>
          <w:sz w:val="22"/>
          <w:szCs w:val="22"/>
        </w:rPr>
        <w:t>in future phases o</w:t>
      </w:r>
      <w:r w:rsidR="00E20EDA">
        <w:rPr>
          <w:sz w:val="22"/>
          <w:szCs w:val="22"/>
        </w:rPr>
        <w:t>f</w:t>
      </w:r>
      <w:r w:rsidR="00E76CBC">
        <w:rPr>
          <w:sz w:val="22"/>
          <w:szCs w:val="22"/>
        </w:rPr>
        <w:t xml:space="preserve"> this program </w:t>
      </w:r>
      <w:r>
        <w:rPr>
          <w:sz w:val="22"/>
          <w:szCs w:val="22"/>
        </w:rPr>
        <w:t>as our cities and towns seek to capitalize on the opportunity to leverage E-rate and other fundin</w:t>
      </w:r>
      <w:r w:rsidR="0033620E">
        <w:rPr>
          <w:sz w:val="22"/>
          <w:szCs w:val="22"/>
        </w:rPr>
        <w:t>g streams for digital learning.</w:t>
      </w:r>
    </w:p>
    <w:p w:rsidR="006248D1" w:rsidRPr="004D299C" w:rsidRDefault="006248D1" w:rsidP="00033A8F">
      <w:pPr>
        <w:rPr>
          <w:sz w:val="22"/>
          <w:szCs w:val="22"/>
        </w:rPr>
      </w:pPr>
    </w:p>
    <w:p w:rsidR="008F759E" w:rsidRPr="004D299C" w:rsidRDefault="00DD13E4" w:rsidP="00033A8F">
      <w:pPr>
        <w:rPr>
          <w:sz w:val="22"/>
          <w:szCs w:val="22"/>
        </w:rPr>
      </w:pPr>
      <w:r w:rsidRPr="004D299C">
        <w:rPr>
          <w:sz w:val="22"/>
          <w:szCs w:val="22"/>
        </w:rPr>
        <w:t xml:space="preserve">If you have questions or would like to discuss this further, feel free to </w:t>
      </w:r>
      <w:r w:rsidR="00397A77">
        <w:rPr>
          <w:sz w:val="22"/>
          <w:szCs w:val="22"/>
        </w:rPr>
        <w:t>contact us.</w:t>
      </w:r>
    </w:p>
    <w:p w:rsidR="008F759E" w:rsidRPr="004D299C" w:rsidRDefault="008F759E" w:rsidP="00033A8F">
      <w:pPr>
        <w:rPr>
          <w:sz w:val="22"/>
          <w:szCs w:val="22"/>
        </w:rPr>
      </w:pPr>
    </w:p>
    <w:p w:rsidR="008F759E" w:rsidRPr="004D299C" w:rsidRDefault="008F759E" w:rsidP="0015346F">
      <w:pPr>
        <w:ind w:hanging="36"/>
        <w:rPr>
          <w:sz w:val="22"/>
          <w:szCs w:val="22"/>
        </w:rPr>
      </w:pPr>
      <w:r w:rsidRPr="004D299C">
        <w:rPr>
          <w:sz w:val="22"/>
          <w:szCs w:val="22"/>
        </w:rPr>
        <w:t>Sincerely,</w:t>
      </w:r>
    </w:p>
    <w:p w:rsidR="008F759E" w:rsidRPr="004D299C" w:rsidRDefault="008F759E" w:rsidP="00033A8F">
      <w:pPr>
        <w:ind w:hanging="36"/>
        <w:rPr>
          <w:sz w:val="22"/>
          <w:szCs w:val="22"/>
        </w:rPr>
      </w:pPr>
    </w:p>
    <w:p w:rsidR="008F759E" w:rsidRPr="004D299C" w:rsidRDefault="008F759E" w:rsidP="00033A8F">
      <w:pPr>
        <w:ind w:hanging="36"/>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30"/>
        <w:gridCol w:w="270"/>
        <w:gridCol w:w="4860"/>
      </w:tblGrid>
      <w:tr w:rsidR="00397A77" w:rsidTr="00397A77">
        <w:tc>
          <w:tcPr>
            <w:tcW w:w="4230" w:type="dxa"/>
            <w:tcBorders>
              <w:bottom w:val="single" w:sz="4" w:space="0" w:color="auto"/>
            </w:tcBorders>
          </w:tcPr>
          <w:p w:rsidR="00397A77" w:rsidRPr="000842C8" w:rsidRDefault="00397A77" w:rsidP="00033A8F">
            <w:pPr>
              <w:rPr>
                <w:sz w:val="22"/>
                <w:szCs w:val="22"/>
              </w:rPr>
            </w:pPr>
          </w:p>
        </w:tc>
        <w:tc>
          <w:tcPr>
            <w:tcW w:w="270" w:type="dxa"/>
          </w:tcPr>
          <w:p w:rsidR="00397A77" w:rsidRPr="000842C8" w:rsidRDefault="00397A77" w:rsidP="00033A8F">
            <w:pPr>
              <w:rPr>
                <w:sz w:val="22"/>
                <w:szCs w:val="22"/>
              </w:rPr>
            </w:pPr>
          </w:p>
        </w:tc>
        <w:tc>
          <w:tcPr>
            <w:tcW w:w="4860" w:type="dxa"/>
            <w:tcBorders>
              <w:bottom w:val="single" w:sz="4" w:space="0" w:color="auto"/>
            </w:tcBorders>
          </w:tcPr>
          <w:p w:rsidR="00397A77" w:rsidRPr="000842C8" w:rsidRDefault="00397A77" w:rsidP="00033A8F">
            <w:pPr>
              <w:rPr>
                <w:sz w:val="22"/>
                <w:szCs w:val="22"/>
              </w:rPr>
            </w:pPr>
          </w:p>
        </w:tc>
      </w:tr>
      <w:tr w:rsidR="00397A77" w:rsidTr="00397A77">
        <w:tc>
          <w:tcPr>
            <w:tcW w:w="4230" w:type="dxa"/>
            <w:tcBorders>
              <w:top w:val="single" w:sz="4" w:space="0" w:color="auto"/>
            </w:tcBorders>
          </w:tcPr>
          <w:p w:rsidR="00397A77" w:rsidRDefault="00397A77" w:rsidP="00033A8F">
            <w:pPr>
              <w:rPr>
                <w:sz w:val="22"/>
                <w:szCs w:val="22"/>
              </w:rPr>
            </w:pPr>
            <w:r w:rsidRPr="000842C8">
              <w:rPr>
                <w:sz w:val="22"/>
                <w:szCs w:val="22"/>
              </w:rPr>
              <w:t>Mitchell D. Chester, Ed.D.</w:t>
            </w:r>
          </w:p>
        </w:tc>
        <w:tc>
          <w:tcPr>
            <w:tcW w:w="270" w:type="dxa"/>
          </w:tcPr>
          <w:p w:rsidR="00397A77" w:rsidRPr="000842C8" w:rsidRDefault="00397A77" w:rsidP="00033A8F">
            <w:pPr>
              <w:rPr>
                <w:sz w:val="22"/>
                <w:szCs w:val="22"/>
              </w:rPr>
            </w:pPr>
          </w:p>
        </w:tc>
        <w:tc>
          <w:tcPr>
            <w:tcW w:w="4860" w:type="dxa"/>
            <w:tcBorders>
              <w:top w:val="single" w:sz="4" w:space="0" w:color="auto"/>
            </w:tcBorders>
          </w:tcPr>
          <w:p w:rsidR="00397A77" w:rsidRDefault="00397A77" w:rsidP="00033A8F">
            <w:pPr>
              <w:rPr>
                <w:sz w:val="22"/>
                <w:szCs w:val="22"/>
              </w:rPr>
            </w:pPr>
            <w:r w:rsidRPr="000842C8">
              <w:rPr>
                <w:sz w:val="22"/>
                <w:szCs w:val="22"/>
              </w:rPr>
              <w:t>Bill Oates</w:t>
            </w:r>
          </w:p>
        </w:tc>
      </w:tr>
      <w:tr w:rsidR="00397A77" w:rsidTr="00397A77">
        <w:tc>
          <w:tcPr>
            <w:tcW w:w="4230" w:type="dxa"/>
          </w:tcPr>
          <w:p w:rsidR="00397A77" w:rsidRDefault="00397A77" w:rsidP="00033A8F">
            <w:pPr>
              <w:rPr>
                <w:sz w:val="22"/>
                <w:szCs w:val="22"/>
              </w:rPr>
            </w:pPr>
            <w:r w:rsidRPr="000842C8">
              <w:rPr>
                <w:sz w:val="22"/>
                <w:szCs w:val="22"/>
              </w:rPr>
              <w:t>Commissioner of Elementary and Secondary Education</w:t>
            </w:r>
          </w:p>
        </w:tc>
        <w:tc>
          <w:tcPr>
            <w:tcW w:w="270" w:type="dxa"/>
          </w:tcPr>
          <w:p w:rsidR="00397A77" w:rsidRPr="000842C8" w:rsidRDefault="00397A77" w:rsidP="00033A8F">
            <w:pPr>
              <w:rPr>
                <w:sz w:val="22"/>
                <w:szCs w:val="22"/>
              </w:rPr>
            </w:pPr>
          </w:p>
        </w:tc>
        <w:tc>
          <w:tcPr>
            <w:tcW w:w="4860" w:type="dxa"/>
          </w:tcPr>
          <w:p w:rsidR="00397A77" w:rsidRDefault="00397A77" w:rsidP="00EE2A27">
            <w:pPr>
              <w:rPr>
                <w:sz w:val="22"/>
                <w:szCs w:val="22"/>
              </w:rPr>
            </w:pPr>
            <w:r w:rsidRPr="000842C8">
              <w:rPr>
                <w:sz w:val="22"/>
                <w:szCs w:val="22"/>
              </w:rPr>
              <w:t xml:space="preserve">Commonwealth Chief Information Officer </w:t>
            </w:r>
            <w:r w:rsidR="0054601B">
              <w:rPr>
                <w:sz w:val="22"/>
                <w:szCs w:val="22"/>
              </w:rPr>
              <w:t xml:space="preserve">    </w:t>
            </w:r>
            <w:r w:rsidRPr="000842C8">
              <w:rPr>
                <w:sz w:val="22"/>
                <w:szCs w:val="22"/>
              </w:rPr>
              <w:t>MassIT</w:t>
            </w:r>
          </w:p>
        </w:tc>
      </w:tr>
    </w:tbl>
    <w:p w:rsidR="00F14A24" w:rsidRPr="000842C8" w:rsidRDefault="00F14A24" w:rsidP="00F14A24">
      <w:pPr>
        <w:rPr>
          <w:sz w:val="22"/>
          <w:szCs w:val="22"/>
        </w:rPr>
      </w:pPr>
    </w:p>
    <w:p w:rsidR="0032470D" w:rsidRDefault="0032470D">
      <w:pPr>
        <w:rPr>
          <w:rFonts w:ascii="Arial" w:hAnsi="Arial" w:cs="Arial"/>
          <w:b/>
          <w:bCs/>
          <w:sz w:val="28"/>
          <w:szCs w:val="28"/>
        </w:rPr>
      </w:pPr>
      <w:r>
        <w:rPr>
          <w:rFonts w:ascii="Arial" w:hAnsi="Arial" w:cs="Arial"/>
        </w:rPr>
        <w:br w:type="page"/>
      </w:r>
    </w:p>
    <w:p w:rsidR="008F759E" w:rsidRPr="001401A1" w:rsidRDefault="008F759E" w:rsidP="008F759E">
      <w:pPr>
        <w:pStyle w:val="ESETOCHeading"/>
        <w:rPr>
          <w:rFonts w:ascii="Arial" w:hAnsi="Arial" w:cs="Arial"/>
        </w:rPr>
      </w:pPr>
      <w:r w:rsidRPr="001401A1">
        <w:rPr>
          <w:rFonts w:ascii="Arial" w:hAnsi="Arial" w:cs="Arial"/>
        </w:rPr>
        <w:lastRenderedPageBreak/>
        <w:t>Table of Contents</w:t>
      </w:r>
    </w:p>
    <w:p w:rsidR="001B3C63" w:rsidRDefault="00401795">
      <w:pPr>
        <w:pStyle w:val="TOC1"/>
        <w:rPr>
          <w:rFonts w:asciiTheme="minorHAnsi" w:eastAsiaTheme="minorEastAsia" w:hAnsiTheme="minorHAnsi" w:cstheme="minorBidi"/>
          <w:b w:val="0"/>
          <w:noProof/>
          <w:sz w:val="22"/>
          <w:szCs w:val="22"/>
        </w:rPr>
      </w:pPr>
      <w:r w:rsidRPr="00401795">
        <w:rPr>
          <w:rFonts w:cs="Arial"/>
          <w:b w:val="0"/>
          <w:sz w:val="20"/>
          <w:szCs w:val="20"/>
        </w:rPr>
        <w:fldChar w:fldCharType="begin"/>
      </w:r>
      <w:r w:rsidR="00DA657B">
        <w:rPr>
          <w:rFonts w:cs="Arial"/>
          <w:b w:val="0"/>
          <w:sz w:val="20"/>
          <w:szCs w:val="20"/>
        </w:rPr>
        <w:instrText xml:space="preserve"> TOC \o "1-3" \h \z \u </w:instrText>
      </w:r>
      <w:r w:rsidRPr="00401795">
        <w:rPr>
          <w:rFonts w:cs="Arial"/>
          <w:b w:val="0"/>
          <w:sz w:val="20"/>
          <w:szCs w:val="20"/>
        </w:rPr>
        <w:fldChar w:fldCharType="separate"/>
      </w:r>
      <w:hyperlink w:anchor="_Toc420011378" w:history="1">
        <w:r w:rsidR="001B3C63" w:rsidRPr="00DA0D81">
          <w:rPr>
            <w:rStyle w:val="Hyperlink"/>
            <w:noProof/>
          </w:rPr>
          <w:t>Program Overview</w:t>
        </w:r>
        <w:r w:rsidR="001B3C63">
          <w:rPr>
            <w:noProof/>
            <w:webHidden/>
          </w:rPr>
          <w:tab/>
        </w:r>
        <w:r>
          <w:rPr>
            <w:noProof/>
            <w:webHidden/>
          </w:rPr>
          <w:fldChar w:fldCharType="begin"/>
        </w:r>
        <w:r w:rsidR="001B3C63">
          <w:rPr>
            <w:noProof/>
            <w:webHidden/>
          </w:rPr>
          <w:instrText xml:space="preserve"> PAGEREF _Toc420011378 \h </w:instrText>
        </w:r>
        <w:r>
          <w:rPr>
            <w:noProof/>
            <w:webHidden/>
          </w:rPr>
        </w:r>
        <w:r>
          <w:rPr>
            <w:noProof/>
            <w:webHidden/>
          </w:rPr>
          <w:fldChar w:fldCharType="separate"/>
        </w:r>
        <w:r w:rsidR="0062665D">
          <w:rPr>
            <w:noProof/>
            <w:webHidden/>
          </w:rPr>
          <w:t>1</w:t>
        </w:r>
        <w:r>
          <w:rPr>
            <w:noProof/>
            <w:webHidden/>
          </w:rPr>
          <w:fldChar w:fldCharType="end"/>
        </w:r>
      </w:hyperlink>
    </w:p>
    <w:p w:rsidR="001B3C63" w:rsidRDefault="00401795">
      <w:pPr>
        <w:pStyle w:val="TOC1"/>
        <w:rPr>
          <w:rFonts w:asciiTheme="minorHAnsi" w:eastAsiaTheme="minorEastAsia" w:hAnsiTheme="minorHAnsi" w:cstheme="minorBidi"/>
          <w:b w:val="0"/>
          <w:noProof/>
          <w:sz w:val="22"/>
          <w:szCs w:val="22"/>
        </w:rPr>
      </w:pPr>
      <w:hyperlink w:anchor="_Toc420011379" w:history="1">
        <w:r w:rsidR="001B3C63" w:rsidRPr="00DA0D81">
          <w:rPr>
            <w:rStyle w:val="Hyperlink"/>
            <w:noProof/>
          </w:rPr>
          <w:t>Vision</w:t>
        </w:r>
        <w:r w:rsidR="001B3C63">
          <w:rPr>
            <w:noProof/>
            <w:webHidden/>
          </w:rPr>
          <w:tab/>
        </w:r>
        <w:r>
          <w:rPr>
            <w:noProof/>
            <w:webHidden/>
          </w:rPr>
          <w:fldChar w:fldCharType="begin"/>
        </w:r>
        <w:r w:rsidR="001B3C63">
          <w:rPr>
            <w:noProof/>
            <w:webHidden/>
          </w:rPr>
          <w:instrText xml:space="preserve"> PAGEREF _Toc420011379 \h </w:instrText>
        </w:r>
        <w:r>
          <w:rPr>
            <w:noProof/>
            <w:webHidden/>
          </w:rPr>
        </w:r>
        <w:r>
          <w:rPr>
            <w:noProof/>
            <w:webHidden/>
          </w:rPr>
          <w:fldChar w:fldCharType="separate"/>
        </w:r>
        <w:r w:rsidR="0062665D">
          <w:rPr>
            <w:noProof/>
            <w:webHidden/>
          </w:rPr>
          <w:t>2</w:t>
        </w:r>
        <w:r>
          <w:rPr>
            <w:noProof/>
            <w:webHidden/>
          </w:rPr>
          <w:fldChar w:fldCharType="end"/>
        </w:r>
      </w:hyperlink>
    </w:p>
    <w:p w:rsidR="001B3C63" w:rsidRDefault="00401795">
      <w:pPr>
        <w:pStyle w:val="TOC1"/>
        <w:rPr>
          <w:rFonts w:asciiTheme="minorHAnsi" w:eastAsiaTheme="minorEastAsia" w:hAnsiTheme="minorHAnsi" w:cstheme="minorBidi"/>
          <w:b w:val="0"/>
          <w:noProof/>
          <w:sz w:val="22"/>
          <w:szCs w:val="22"/>
        </w:rPr>
      </w:pPr>
      <w:hyperlink w:anchor="_Toc420011380" w:history="1">
        <w:r w:rsidR="001B3C63" w:rsidRPr="00DA0D81">
          <w:rPr>
            <w:rStyle w:val="Hyperlink"/>
            <w:noProof/>
          </w:rPr>
          <w:t>Mission</w:t>
        </w:r>
        <w:r w:rsidR="001B3C63">
          <w:rPr>
            <w:noProof/>
            <w:webHidden/>
          </w:rPr>
          <w:tab/>
        </w:r>
        <w:r>
          <w:rPr>
            <w:noProof/>
            <w:webHidden/>
          </w:rPr>
          <w:fldChar w:fldCharType="begin"/>
        </w:r>
        <w:r w:rsidR="001B3C63">
          <w:rPr>
            <w:noProof/>
            <w:webHidden/>
          </w:rPr>
          <w:instrText xml:space="preserve"> PAGEREF _Toc420011380 \h </w:instrText>
        </w:r>
        <w:r>
          <w:rPr>
            <w:noProof/>
            <w:webHidden/>
          </w:rPr>
        </w:r>
        <w:r>
          <w:rPr>
            <w:noProof/>
            <w:webHidden/>
          </w:rPr>
          <w:fldChar w:fldCharType="separate"/>
        </w:r>
        <w:r w:rsidR="0062665D">
          <w:rPr>
            <w:noProof/>
            <w:webHidden/>
          </w:rPr>
          <w:t>2</w:t>
        </w:r>
        <w:r>
          <w:rPr>
            <w:noProof/>
            <w:webHidden/>
          </w:rPr>
          <w:fldChar w:fldCharType="end"/>
        </w:r>
      </w:hyperlink>
    </w:p>
    <w:p w:rsidR="001B3C63" w:rsidRDefault="00401795">
      <w:pPr>
        <w:pStyle w:val="TOC1"/>
        <w:rPr>
          <w:rFonts w:asciiTheme="minorHAnsi" w:eastAsiaTheme="minorEastAsia" w:hAnsiTheme="minorHAnsi" w:cstheme="minorBidi"/>
          <w:b w:val="0"/>
          <w:noProof/>
          <w:sz w:val="22"/>
          <w:szCs w:val="22"/>
        </w:rPr>
      </w:pPr>
      <w:hyperlink w:anchor="_Toc420011381" w:history="1">
        <w:r w:rsidR="001B3C63" w:rsidRPr="00DA0D81">
          <w:rPr>
            <w:rStyle w:val="Hyperlink"/>
            <w:noProof/>
          </w:rPr>
          <w:t>Core Principles</w:t>
        </w:r>
        <w:r w:rsidR="001B3C63">
          <w:rPr>
            <w:noProof/>
            <w:webHidden/>
          </w:rPr>
          <w:tab/>
        </w:r>
        <w:r>
          <w:rPr>
            <w:noProof/>
            <w:webHidden/>
          </w:rPr>
          <w:fldChar w:fldCharType="begin"/>
        </w:r>
        <w:r w:rsidR="001B3C63">
          <w:rPr>
            <w:noProof/>
            <w:webHidden/>
          </w:rPr>
          <w:instrText xml:space="preserve"> PAGEREF _Toc420011381 \h </w:instrText>
        </w:r>
        <w:r>
          <w:rPr>
            <w:noProof/>
            <w:webHidden/>
          </w:rPr>
        </w:r>
        <w:r>
          <w:rPr>
            <w:noProof/>
            <w:webHidden/>
          </w:rPr>
          <w:fldChar w:fldCharType="separate"/>
        </w:r>
        <w:r w:rsidR="0062665D">
          <w:rPr>
            <w:noProof/>
            <w:webHidden/>
          </w:rPr>
          <w:t>2</w:t>
        </w:r>
        <w:r>
          <w:rPr>
            <w:noProof/>
            <w:webHidden/>
          </w:rPr>
          <w:fldChar w:fldCharType="end"/>
        </w:r>
      </w:hyperlink>
    </w:p>
    <w:p w:rsidR="001B3C63" w:rsidRDefault="00401795">
      <w:pPr>
        <w:pStyle w:val="TOC1"/>
        <w:rPr>
          <w:rFonts w:asciiTheme="minorHAnsi" w:eastAsiaTheme="minorEastAsia" w:hAnsiTheme="minorHAnsi" w:cstheme="minorBidi"/>
          <w:b w:val="0"/>
          <w:noProof/>
          <w:sz w:val="22"/>
          <w:szCs w:val="22"/>
        </w:rPr>
      </w:pPr>
      <w:hyperlink w:anchor="_Toc420011382" w:history="1">
        <w:r w:rsidR="001B3C63" w:rsidRPr="00DA0D81">
          <w:rPr>
            <w:rStyle w:val="Hyperlink"/>
            <w:noProof/>
          </w:rPr>
          <w:t>Strategic Areas of Focus</w:t>
        </w:r>
        <w:r w:rsidR="001B3C63">
          <w:rPr>
            <w:noProof/>
            <w:webHidden/>
          </w:rPr>
          <w:tab/>
        </w:r>
        <w:r>
          <w:rPr>
            <w:noProof/>
            <w:webHidden/>
          </w:rPr>
          <w:fldChar w:fldCharType="begin"/>
        </w:r>
        <w:r w:rsidR="001B3C63">
          <w:rPr>
            <w:noProof/>
            <w:webHidden/>
          </w:rPr>
          <w:instrText xml:space="preserve"> PAGEREF _Toc420011382 \h </w:instrText>
        </w:r>
        <w:r>
          <w:rPr>
            <w:noProof/>
            <w:webHidden/>
          </w:rPr>
        </w:r>
        <w:r>
          <w:rPr>
            <w:noProof/>
            <w:webHidden/>
          </w:rPr>
          <w:fldChar w:fldCharType="separate"/>
        </w:r>
        <w:r w:rsidR="0062665D">
          <w:rPr>
            <w:noProof/>
            <w:webHidden/>
          </w:rPr>
          <w:t>3</w:t>
        </w:r>
        <w:r>
          <w:rPr>
            <w:noProof/>
            <w:webHidden/>
          </w:rPr>
          <w:fldChar w:fldCharType="end"/>
        </w:r>
      </w:hyperlink>
    </w:p>
    <w:p w:rsidR="001B3C63" w:rsidRDefault="00401795">
      <w:pPr>
        <w:pStyle w:val="TOC1"/>
        <w:rPr>
          <w:rFonts w:asciiTheme="minorHAnsi" w:eastAsiaTheme="minorEastAsia" w:hAnsiTheme="minorHAnsi" w:cstheme="minorBidi"/>
          <w:b w:val="0"/>
          <w:noProof/>
          <w:sz w:val="22"/>
          <w:szCs w:val="22"/>
        </w:rPr>
      </w:pPr>
      <w:hyperlink w:anchor="_Toc420011383" w:history="1">
        <w:r w:rsidR="001B3C63" w:rsidRPr="00DA0D81">
          <w:rPr>
            <w:rStyle w:val="Hyperlink"/>
            <w:noProof/>
          </w:rPr>
          <w:t>Strategic Goals</w:t>
        </w:r>
        <w:r w:rsidR="001B3C63">
          <w:rPr>
            <w:noProof/>
            <w:webHidden/>
          </w:rPr>
          <w:tab/>
        </w:r>
        <w:r>
          <w:rPr>
            <w:noProof/>
            <w:webHidden/>
          </w:rPr>
          <w:fldChar w:fldCharType="begin"/>
        </w:r>
        <w:r w:rsidR="001B3C63">
          <w:rPr>
            <w:noProof/>
            <w:webHidden/>
          </w:rPr>
          <w:instrText xml:space="preserve"> PAGEREF _Toc420011383 \h </w:instrText>
        </w:r>
        <w:r>
          <w:rPr>
            <w:noProof/>
            <w:webHidden/>
          </w:rPr>
        </w:r>
        <w:r>
          <w:rPr>
            <w:noProof/>
            <w:webHidden/>
          </w:rPr>
          <w:fldChar w:fldCharType="separate"/>
        </w:r>
        <w:r w:rsidR="0062665D">
          <w:rPr>
            <w:noProof/>
            <w:webHidden/>
          </w:rPr>
          <w:t>3</w:t>
        </w:r>
        <w:r>
          <w:rPr>
            <w:noProof/>
            <w:webHidden/>
          </w:rPr>
          <w:fldChar w:fldCharType="end"/>
        </w:r>
      </w:hyperlink>
    </w:p>
    <w:p w:rsidR="001B3C63" w:rsidRDefault="00401795">
      <w:pPr>
        <w:pStyle w:val="TOC1"/>
        <w:rPr>
          <w:rFonts w:asciiTheme="minorHAnsi" w:eastAsiaTheme="minorEastAsia" w:hAnsiTheme="minorHAnsi" w:cstheme="minorBidi"/>
          <w:b w:val="0"/>
          <w:noProof/>
          <w:sz w:val="22"/>
          <w:szCs w:val="22"/>
        </w:rPr>
      </w:pPr>
      <w:hyperlink w:anchor="_Toc420011384" w:history="1">
        <w:r w:rsidR="001B3C63" w:rsidRPr="00DA0D81">
          <w:rPr>
            <w:rStyle w:val="Hyperlink"/>
            <w:noProof/>
          </w:rPr>
          <w:t>Action Plans</w:t>
        </w:r>
        <w:r w:rsidR="001B3C63">
          <w:rPr>
            <w:noProof/>
            <w:webHidden/>
          </w:rPr>
          <w:tab/>
        </w:r>
        <w:r>
          <w:rPr>
            <w:noProof/>
            <w:webHidden/>
          </w:rPr>
          <w:fldChar w:fldCharType="begin"/>
        </w:r>
        <w:r w:rsidR="001B3C63">
          <w:rPr>
            <w:noProof/>
            <w:webHidden/>
          </w:rPr>
          <w:instrText xml:space="preserve"> PAGEREF _Toc420011384 \h </w:instrText>
        </w:r>
        <w:r>
          <w:rPr>
            <w:noProof/>
            <w:webHidden/>
          </w:rPr>
        </w:r>
        <w:r>
          <w:rPr>
            <w:noProof/>
            <w:webHidden/>
          </w:rPr>
          <w:fldChar w:fldCharType="separate"/>
        </w:r>
        <w:r w:rsidR="0062665D">
          <w:rPr>
            <w:noProof/>
            <w:webHidden/>
          </w:rPr>
          <w:t>3</w:t>
        </w:r>
        <w:r>
          <w:rPr>
            <w:noProof/>
            <w:webHidden/>
          </w:rPr>
          <w:fldChar w:fldCharType="end"/>
        </w:r>
      </w:hyperlink>
    </w:p>
    <w:p w:rsidR="001B3C63" w:rsidRPr="001B3C63" w:rsidRDefault="00401795" w:rsidP="001B3C63">
      <w:pPr>
        <w:pStyle w:val="TOC3"/>
        <w:tabs>
          <w:tab w:val="right" w:leader="dot" w:pos="9350"/>
        </w:tabs>
        <w:spacing w:before="240" w:after="240"/>
        <w:ind w:left="475"/>
        <w:rPr>
          <w:rFonts w:eastAsiaTheme="minorEastAsia" w:cs="Arial"/>
          <w:noProof/>
          <w:szCs w:val="22"/>
        </w:rPr>
      </w:pPr>
      <w:hyperlink w:anchor="_Toc420011385" w:history="1">
        <w:r w:rsidR="001B3C63" w:rsidRPr="001B3C63">
          <w:rPr>
            <w:rStyle w:val="Hyperlink"/>
            <w:rFonts w:cs="Arial"/>
            <w:b/>
            <w:noProof/>
          </w:rPr>
          <w:t xml:space="preserve">Strategic Goal 1: </w:t>
        </w:r>
        <w:r w:rsidR="001B3C63" w:rsidRPr="001B3C63">
          <w:rPr>
            <w:rStyle w:val="Hyperlink"/>
            <w:rFonts w:cs="Arial"/>
            <w:noProof/>
          </w:rPr>
          <w:t>Maximize taxpayer value, student access to information technology and information technology preparedness</w:t>
        </w:r>
        <w:r w:rsidR="001B3C63" w:rsidRPr="001B3C63">
          <w:rPr>
            <w:rFonts w:cs="Arial"/>
            <w:noProof/>
            <w:webHidden/>
          </w:rPr>
          <w:tab/>
        </w:r>
        <w:r w:rsidRPr="001B3C63">
          <w:rPr>
            <w:rFonts w:cs="Arial"/>
            <w:noProof/>
            <w:webHidden/>
          </w:rPr>
          <w:fldChar w:fldCharType="begin"/>
        </w:r>
        <w:r w:rsidR="001B3C63" w:rsidRPr="001B3C63">
          <w:rPr>
            <w:rFonts w:cs="Arial"/>
            <w:noProof/>
            <w:webHidden/>
          </w:rPr>
          <w:instrText xml:space="preserve"> PAGEREF _Toc420011385 \h </w:instrText>
        </w:r>
        <w:r w:rsidRPr="001B3C63">
          <w:rPr>
            <w:rFonts w:cs="Arial"/>
            <w:noProof/>
            <w:webHidden/>
          </w:rPr>
        </w:r>
        <w:r w:rsidRPr="001B3C63">
          <w:rPr>
            <w:rFonts w:cs="Arial"/>
            <w:noProof/>
            <w:webHidden/>
          </w:rPr>
          <w:fldChar w:fldCharType="separate"/>
        </w:r>
        <w:r w:rsidR="0062665D">
          <w:rPr>
            <w:rFonts w:cs="Arial"/>
            <w:noProof/>
            <w:webHidden/>
          </w:rPr>
          <w:t>4</w:t>
        </w:r>
        <w:r w:rsidRPr="001B3C63">
          <w:rPr>
            <w:rFonts w:cs="Arial"/>
            <w:noProof/>
            <w:webHidden/>
          </w:rPr>
          <w:fldChar w:fldCharType="end"/>
        </w:r>
      </w:hyperlink>
    </w:p>
    <w:p w:rsidR="001B3C63" w:rsidRPr="001B3C63" w:rsidRDefault="00401795" w:rsidP="001B3C63">
      <w:pPr>
        <w:pStyle w:val="TOC3"/>
        <w:tabs>
          <w:tab w:val="right" w:leader="dot" w:pos="9350"/>
        </w:tabs>
        <w:spacing w:before="240" w:after="240"/>
        <w:ind w:left="475"/>
        <w:rPr>
          <w:rFonts w:eastAsiaTheme="minorEastAsia" w:cs="Arial"/>
          <w:noProof/>
          <w:szCs w:val="22"/>
        </w:rPr>
      </w:pPr>
      <w:hyperlink w:anchor="_Toc420011386" w:history="1">
        <w:r w:rsidR="001B3C63" w:rsidRPr="001B3C63">
          <w:rPr>
            <w:rStyle w:val="Hyperlink"/>
            <w:rFonts w:cs="Arial"/>
            <w:b/>
            <w:noProof/>
          </w:rPr>
          <w:t xml:space="preserve">Strategic Goal 2: </w:t>
        </w:r>
        <w:r w:rsidR="001B3C63" w:rsidRPr="001B3C63">
          <w:rPr>
            <w:rStyle w:val="Hyperlink"/>
            <w:rFonts w:cs="Arial"/>
            <w:noProof/>
          </w:rPr>
          <w:t>Provide student access to individualized and rigorous digital learning experiences</w:t>
        </w:r>
        <w:r w:rsidR="001B3C63" w:rsidRPr="001B3C63">
          <w:rPr>
            <w:rFonts w:cs="Arial"/>
            <w:noProof/>
            <w:webHidden/>
          </w:rPr>
          <w:tab/>
        </w:r>
        <w:r w:rsidRPr="001B3C63">
          <w:rPr>
            <w:rFonts w:cs="Arial"/>
            <w:noProof/>
            <w:webHidden/>
          </w:rPr>
          <w:fldChar w:fldCharType="begin"/>
        </w:r>
        <w:r w:rsidR="001B3C63" w:rsidRPr="001B3C63">
          <w:rPr>
            <w:rFonts w:cs="Arial"/>
            <w:noProof/>
            <w:webHidden/>
          </w:rPr>
          <w:instrText xml:space="preserve"> PAGEREF _Toc420011386 \h </w:instrText>
        </w:r>
        <w:r w:rsidRPr="001B3C63">
          <w:rPr>
            <w:rFonts w:cs="Arial"/>
            <w:noProof/>
            <w:webHidden/>
          </w:rPr>
        </w:r>
        <w:r w:rsidRPr="001B3C63">
          <w:rPr>
            <w:rFonts w:cs="Arial"/>
            <w:noProof/>
            <w:webHidden/>
          </w:rPr>
          <w:fldChar w:fldCharType="separate"/>
        </w:r>
        <w:r w:rsidR="0062665D">
          <w:rPr>
            <w:rFonts w:cs="Arial"/>
            <w:noProof/>
            <w:webHidden/>
          </w:rPr>
          <w:t>6</w:t>
        </w:r>
        <w:r w:rsidRPr="001B3C63">
          <w:rPr>
            <w:rFonts w:cs="Arial"/>
            <w:noProof/>
            <w:webHidden/>
          </w:rPr>
          <w:fldChar w:fldCharType="end"/>
        </w:r>
      </w:hyperlink>
    </w:p>
    <w:p w:rsidR="001B3C63" w:rsidRPr="001B3C63" w:rsidRDefault="00401795" w:rsidP="001B3C63">
      <w:pPr>
        <w:pStyle w:val="TOC3"/>
        <w:tabs>
          <w:tab w:val="right" w:leader="dot" w:pos="9350"/>
        </w:tabs>
        <w:spacing w:before="240" w:after="240"/>
        <w:ind w:left="475"/>
        <w:rPr>
          <w:rFonts w:eastAsiaTheme="minorEastAsia" w:cs="Arial"/>
          <w:noProof/>
          <w:szCs w:val="22"/>
        </w:rPr>
      </w:pPr>
      <w:hyperlink w:anchor="_Toc420011387" w:history="1">
        <w:r w:rsidR="001B3C63" w:rsidRPr="001B3C63">
          <w:rPr>
            <w:rStyle w:val="Hyperlink"/>
            <w:rFonts w:cs="Arial"/>
            <w:b/>
            <w:noProof/>
          </w:rPr>
          <w:t xml:space="preserve">Strategic Goal 3: </w:t>
        </w:r>
        <w:r w:rsidR="001B3C63" w:rsidRPr="001B3C63">
          <w:rPr>
            <w:rStyle w:val="Hyperlink"/>
            <w:rFonts w:cs="Arial"/>
            <w:noProof/>
          </w:rPr>
          <w:t>Ensure that educators and administrators have the knowledge and skills to implement digital learning curricula.</w:t>
        </w:r>
        <w:r w:rsidR="001B3C63" w:rsidRPr="001B3C63">
          <w:rPr>
            <w:rFonts w:cs="Arial"/>
            <w:noProof/>
            <w:webHidden/>
          </w:rPr>
          <w:tab/>
        </w:r>
        <w:r w:rsidRPr="001B3C63">
          <w:rPr>
            <w:rFonts w:cs="Arial"/>
            <w:noProof/>
            <w:webHidden/>
          </w:rPr>
          <w:fldChar w:fldCharType="begin"/>
        </w:r>
        <w:r w:rsidR="001B3C63" w:rsidRPr="001B3C63">
          <w:rPr>
            <w:rFonts w:cs="Arial"/>
            <w:noProof/>
            <w:webHidden/>
          </w:rPr>
          <w:instrText xml:space="preserve"> PAGEREF _Toc420011387 \h </w:instrText>
        </w:r>
        <w:r w:rsidRPr="001B3C63">
          <w:rPr>
            <w:rFonts w:cs="Arial"/>
            <w:noProof/>
            <w:webHidden/>
          </w:rPr>
        </w:r>
        <w:r w:rsidRPr="001B3C63">
          <w:rPr>
            <w:rFonts w:cs="Arial"/>
            <w:noProof/>
            <w:webHidden/>
          </w:rPr>
          <w:fldChar w:fldCharType="separate"/>
        </w:r>
        <w:r w:rsidR="0062665D">
          <w:rPr>
            <w:rFonts w:cs="Arial"/>
            <w:noProof/>
            <w:webHidden/>
          </w:rPr>
          <w:t>8</w:t>
        </w:r>
        <w:r w:rsidRPr="001B3C63">
          <w:rPr>
            <w:rFonts w:cs="Arial"/>
            <w:noProof/>
            <w:webHidden/>
          </w:rPr>
          <w:fldChar w:fldCharType="end"/>
        </w:r>
      </w:hyperlink>
    </w:p>
    <w:p w:rsidR="001B3C63" w:rsidRPr="001B3C63" w:rsidRDefault="00401795" w:rsidP="001B3C63">
      <w:pPr>
        <w:pStyle w:val="TOC3"/>
        <w:tabs>
          <w:tab w:val="right" w:leader="dot" w:pos="9350"/>
        </w:tabs>
        <w:spacing w:before="240" w:after="240"/>
        <w:ind w:left="475"/>
        <w:rPr>
          <w:rFonts w:eastAsiaTheme="minorEastAsia" w:cs="Arial"/>
          <w:noProof/>
          <w:szCs w:val="22"/>
        </w:rPr>
      </w:pPr>
      <w:hyperlink w:anchor="_Toc420011388" w:history="1">
        <w:r w:rsidR="001B3C63" w:rsidRPr="001B3C63">
          <w:rPr>
            <w:rStyle w:val="Hyperlink"/>
            <w:rFonts w:cs="Arial"/>
            <w:b/>
            <w:noProof/>
          </w:rPr>
          <w:t xml:space="preserve">Strategic Goal 4: </w:t>
        </w:r>
        <w:r w:rsidR="001B3C63" w:rsidRPr="001B3C63">
          <w:rPr>
            <w:rStyle w:val="Hyperlink"/>
            <w:rFonts w:cs="Arial"/>
            <w:noProof/>
          </w:rPr>
          <w:t>Maximize access to broadband and strengthen teaching and learning across the state in keeping with twenty-first century standards.</w:t>
        </w:r>
        <w:r w:rsidR="001B3C63" w:rsidRPr="001B3C63">
          <w:rPr>
            <w:rFonts w:cs="Arial"/>
            <w:noProof/>
            <w:webHidden/>
          </w:rPr>
          <w:tab/>
        </w:r>
        <w:r w:rsidRPr="001B3C63">
          <w:rPr>
            <w:rFonts w:cs="Arial"/>
            <w:noProof/>
            <w:webHidden/>
          </w:rPr>
          <w:fldChar w:fldCharType="begin"/>
        </w:r>
        <w:r w:rsidR="001B3C63" w:rsidRPr="001B3C63">
          <w:rPr>
            <w:rFonts w:cs="Arial"/>
            <w:noProof/>
            <w:webHidden/>
          </w:rPr>
          <w:instrText xml:space="preserve"> PAGEREF _Toc420011388 \h </w:instrText>
        </w:r>
        <w:r w:rsidRPr="001B3C63">
          <w:rPr>
            <w:rFonts w:cs="Arial"/>
            <w:noProof/>
            <w:webHidden/>
          </w:rPr>
        </w:r>
        <w:r w:rsidRPr="001B3C63">
          <w:rPr>
            <w:rFonts w:cs="Arial"/>
            <w:noProof/>
            <w:webHidden/>
          </w:rPr>
          <w:fldChar w:fldCharType="separate"/>
        </w:r>
        <w:r w:rsidR="0062665D">
          <w:rPr>
            <w:rFonts w:cs="Arial"/>
            <w:noProof/>
            <w:webHidden/>
          </w:rPr>
          <w:t>9</w:t>
        </w:r>
        <w:r w:rsidRPr="001B3C63">
          <w:rPr>
            <w:rFonts w:cs="Arial"/>
            <w:noProof/>
            <w:webHidden/>
          </w:rPr>
          <w:fldChar w:fldCharType="end"/>
        </w:r>
      </w:hyperlink>
    </w:p>
    <w:p w:rsidR="008F759E" w:rsidRDefault="00401795" w:rsidP="008F759E">
      <w:r>
        <w:rPr>
          <w:rFonts w:ascii="Arial" w:hAnsi="Arial" w:cs="Arial"/>
          <w:b/>
          <w:sz w:val="20"/>
          <w:szCs w:val="20"/>
        </w:rPr>
        <w:fldChar w:fldCharType="end"/>
      </w:r>
    </w:p>
    <w:p w:rsidR="008F759E" w:rsidRDefault="008F759E" w:rsidP="008F759E"/>
    <w:p w:rsidR="008F759E" w:rsidRDefault="008F759E" w:rsidP="008F759E"/>
    <w:p w:rsidR="008F759E" w:rsidRDefault="008F759E" w:rsidP="008F759E">
      <w:pPr>
        <w:sectPr w:rsidR="008F759E" w:rsidSect="00236809">
          <w:headerReference w:type="first" r:id="rId17"/>
          <w:footerReference w:type="first" r:id="rId18"/>
          <w:pgSz w:w="12240" w:h="15840"/>
          <w:pgMar w:top="1440" w:right="1440" w:bottom="1440" w:left="1440" w:header="720" w:footer="720" w:gutter="0"/>
          <w:cols w:space="720"/>
          <w:docGrid w:linePitch="326"/>
        </w:sectPr>
      </w:pPr>
    </w:p>
    <w:p w:rsidR="008F759E" w:rsidRDefault="00DD13E4" w:rsidP="008F759E">
      <w:pPr>
        <w:pStyle w:val="Heading1"/>
      </w:pPr>
      <w:bookmarkStart w:id="0" w:name="_Toc420011378"/>
      <w:r>
        <w:lastRenderedPageBreak/>
        <w:t>Program Overview</w:t>
      </w:r>
      <w:bookmarkEnd w:id="0"/>
    </w:p>
    <w:p w:rsidR="004D299C" w:rsidRPr="00F85000" w:rsidRDefault="00DD13E4" w:rsidP="004D299C">
      <w:pPr>
        <w:rPr>
          <w:sz w:val="22"/>
        </w:rPr>
      </w:pPr>
      <w:r w:rsidRPr="00F85000">
        <w:rPr>
          <w:sz w:val="22"/>
        </w:rPr>
        <w:t>The purpose of this competitive, matching state grant program is to assist public school districts in improving student instruction and assessment through the use of information technology, including, but not limited to, enhanced information technology infrastructure and increased broadband access</w:t>
      </w:r>
      <w:r w:rsidR="004D299C" w:rsidRPr="00F85000">
        <w:rPr>
          <w:sz w:val="22"/>
        </w:rPr>
        <w:t xml:space="preserve">. </w:t>
      </w:r>
    </w:p>
    <w:p w:rsidR="004D299C" w:rsidRPr="00F85000" w:rsidRDefault="004D299C" w:rsidP="004D299C">
      <w:pPr>
        <w:rPr>
          <w:sz w:val="22"/>
        </w:rPr>
      </w:pPr>
    </w:p>
    <w:p w:rsidR="004D299C" w:rsidRDefault="004D299C" w:rsidP="004D299C">
      <w:pPr>
        <w:rPr>
          <w:sz w:val="22"/>
        </w:rPr>
      </w:pPr>
      <w:r w:rsidRPr="00F85000">
        <w:rPr>
          <w:sz w:val="22"/>
        </w:rPr>
        <w:t>Priority is given to applications that:</w:t>
      </w:r>
    </w:p>
    <w:p w:rsidR="00CA4EDF" w:rsidRPr="00F85000" w:rsidRDefault="00CA4EDF" w:rsidP="004D299C">
      <w:pPr>
        <w:rPr>
          <w:sz w:val="22"/>
        </w:rPr>
      </w:pPr>
    </w:p>
    <w:p w:rsidR="003E1519" w:rsidRPr="00F85000" w:rsidRDefault="003E1519" w:rsidP="003E1519">
      <w:pPr>
        <w:pStyle w:val="ListParagraph"/>
        <w:numPr>
          <w:ilvl w:val="0"/>
          <w:numId w:val="23"/>
        </w:numPr>
        <w:contextualSpacing w:val="0"/>
        <w:rPr>
          <w:sz w:val="22"/>
        </w:rPr>
      </w:pPr>
      <w:r w:rsidRPr="00F85000">
        <w:rPr>
          <w:sz w:val="22"/>
        </w:rPr>
        <w:t>Maximize taxpayer value, student access to information technology and info</w:t>
      </w:r>
      <w:r w:rsidR="001872E8">
        <w:rPr>
          <w:sz w:val="22"/>
        </w:rPr>
        <w:t>rmation technology preparedness;</w:t>
      </w:r>
    </w:p>
    <w:p w:rsidR="004D299C" w:rsidRPr="00F85000" w:rsidRDefault="004D299C" w:rsidP="004D299C">
      <w:pPr>
        <w:pStyle w:val="ListParagraph"/>
        <w:numPr>
          <w:ilvl w:val="0"/>
          <w:numId w:val="23"/>
        </w:numPr>
        <w:contextualSpacing w:val="0"/>
        <w:rPr>
          <w:sz w:val="22"/>
        </w:rPr>
      </w:pPr>
      <w:r w:rsidRPr="00F85000">
        <w:rPr>
          <w:sz w:val="22"/>
        </w:rPr>
        <w:t>Provide student access to individualized and rigorous digital learning experiences;</w:t>
      </w:r>
    </w:p>
    <w:p w:rsidR="004D299C" w:rsidRPr="00F85000" w:rsidRDefault="004D299C" w:rsidP="004D299C">
      <w:pPr>
        <w:pStyle w:val="ListParagraph"/>
        <w:numPr>
          <w:ilvl w:val="0"/>
          <w:numId w:val="23"/>
        </w:numPr>
        <w:contextualSpacing w:val="0"/>
        <w:rPr>
          <w:sz w:val="22"/>
        </w:rPr>
      </w:pPr>
      <w:r w:rsidRPr="00F85000">
        <w:rPr>
          <w:sz w:val="22"/>
        </w:rPr>
        <w:t>Ensure that educators and administrators have the knowledge and skills to develop and implement digital learning curricula; and</w:t>
      </w:r>
    </w:p>
    <w:p w:rsidR="003E1519" w:rsidRPr="00F85000" w:rsidRDefault="003E1519" w:rsidP="003E1519">
      <w:pPr>
        <w:pStyle w:val="ListParagraph"/>
        <w:numPr>
          <w:ilvl w:val="0"/>
          <w:numId w:val="23"/>
        </w:numPr>
        <w:contextualSpacing w:val="0"/>
        <w:rPr>
          <w:sz w:val="22"/>
        </w:rPr>
      </w:pPr>
      <w:r w:rsidRPr="00F85000">
        <w:rPr>
          <w:sz w:val="22"/>
        </w:rPr>
        <w:t xml:space="preserve">Maximize access </w:t>
      </w:r>
      <w:r>
        <w:rPr>
          <w:sz w:val="22"/>
        </w:rPr>
        <w:t>to</w:t>
      </w:r>
      <w:r w:rsidRPr="00F85000">
        <w:rPr>
          <w:sz w:val="22"/>
        </w:rPr>
        <w:t xml:space="preserve"> broadband and </w:t>
      </w:r>
      <w:r w:rsidRPr="00E20EDA">
        <w:rPr>
          <w:sz w:val="22"/>
        </w:rPr>
        <w:t>strengthen teaching and learning across the state in keeping with twenty-first century standards</w:t>
      </w:r>
      <w:r w:rsidR="00A86C5A">
        <w:rPr>
          <w:sz w:val="22"/>
        </w:rPr>
        <w:t>.</w:t>
      </w:r>
    </w:p>
    <w:p w:rsidR="008F759E" w:rsidRPr="00F85000" w:rsidRDefault="008F759E" w:rsidP="008F759E">
      <w:pPr>
        <w:rPr>
          <w:sz w:val="22"/>
        </w:rPr>
      </w:pPr>
    </w:p>
    <w:p w:rsidR="004D299C" w:rsidRDefault="004D299C" w:rsidP="004D299C">
      <w:pPr>
        <w:rPr>
          <w:bCs/>
          <w:sz w:val="22"/>
        </w:rPr>
      </w:pPr>
      <w:r w:rsidRPr="00F85000">
        <w:rPr>
          <w:bCs/>
          <w:sz w:val="22"/>
        </w:rPr>
        <w:t xml:space="preserve">All public school districts in the Commonwealth are eligible for funding, provided that: </w:t>
      </w:r>
    </w:p>
    <w:p w:rsidR="00CA4EDF" w:rsidRPr="00F85000" w:rsidRDefault="00CA4EDF" w:rsidP="004D299C">
      <w:pPr>
        <w:rPr>
          <w:bCs/>
          <w:sz w:val="22"/>
        </w:rPr>
      </w:pPr>
    </w:p>
    <w:p w:rsidR="004D299C" w:rsidRPr="00F85000" w:rsidRDefault="004D299C" w:rsidP="004D299C">
      <w:pPr>
        <w:pStyle w:val="ListParagraph"/>
        <w:numPr>
          <w:ilvl w:val="0"/>
          <w:numId w:val="24"/>
        </w:numPr>
        <w:contextualSpacing w:val="0"/>
        <w:rPr>
          <w:bCs/>
          <w:sz w:val="22"/>
        </w:rPr>
      </w:pPr>
      <w:r w:rsidRPr="00F85000">
        <w:rPr>
          <w:bCs/>
          <w:sz w:val="22"/>
        </w:rPr>
        <w:t>Funds are not awarded to school buildings scheduled for decommissioning or razing within 10 years from the completion of the project; and</w:t>
      </w:r>
    </w:p>
    <w:p w:rsidR="008F759E" w:rsidRPr="00F85000" w:rsidRDefault="004D299C" w:rsidP="004D299C">
      <w:pPr>
        <w:pStyle w:val="ListParagraph"/>
        <w:numPr>
          <w:ilvl w:val="0"/>
          <w:numId w:val="24"/>
        </w:numPr>
        <w:contextualSpacing w:val="0"/>
        <w:rPr>
          <w:bCs/>
          <w:sz w:val="22"/>
        </w:rPr>
      </w:pPr>
      <w:r w:rsidRPr="00F85000">
        <w:rPr>
          <w:bCs/>
          <w:sz w:val="22"/>
        </w:rPr>
        <w:t>Projects occur only on and within publicly-owned real property maintained for the benefit of the school district.</w:t>
      </w:r>
      <w:r w:rsidRPr="00F85000">
        <w:rPr>
          <w:rStyle w:val="FootnoteReference"/>
          <w:bCs/>
          <w:sz w:val="22"/>
        </w:rPr>
        <w:footnoteReference w:id="1"/>
      </w:r>
    </w:p>
    <w:p w:rsidR="008F759E" w:rsidRPr="00F85000" w:rsidRDefault="008F759E" w:rsidP="008F759E">
      <w:pPr>
        <w:rPr>
          <w:bCs/>
          <w:sz w:val="22"/>
        </w:rPr>
      </w:pPr>
    </w:p>
    <w:p w:rsidR="00BD4112" w:rsidRDefault="004D299C" w:rsidP="008F759E">
      <w:pPr>
        <w:rPr>
          <w:sz w:val="22"/>
        </w:rPr>
      </w:pPr>
      <w:r w:rsidRPr="00F85000">
        <w:rPr>
          <w:sz w:val="22"/>
        </w:rPr>
        <w:t xml:space="preserve">A total of $5 million </w:t>
      </w:r>
      <w:r w:rsidR="00254CB6">
        <w:rPr>
          <w:sz w:val="22"/>
        </w:rPr>
        <w:t>was</w:t>
      </w:r>
      <w:r w:rsidR="00033A8F">
        <w:rPr>
          <w:sz w:val="22"/>
        </w:rPr>
        <w:t xml:space="preserve"> authorized for </w:t>
      </w:r>
      <w:r w:rsidR="002A599B">
        <w:rPr>
          <w:sz w:val="22"/>
        </w:rPr>
        <w:t xml:space="preserve">use in the first phase of </w:t>
      </w:r>
      <w:r w:rsidR="00033A8F">
        <w:rPr>
          <w:sz w:val="22"/>
        </w:rPr>
        <w:t xml:space="preserve">the program: </w:t>
      </w:r>
      <w:r w:rsidRPr="00F85000">
        <w:rPr>
          <w:sz w:val="22"/>
        </w:rPr>
        <w:t xml:space="preserve">$2 million for suburban communities, $1 million for rural </w:t>
      </w:r>
      <w:proofErr w:type="gramStart"/>
      <w:r w:rsidRPr="00F85000">
        <w:rPr>
          <w:sz w:val="22"/>
        </w:rPr>
        <w:t>communities,</w:t>
      </w:r>
      <w:proofErr w:type="gramEnd"/>
      <w:r w:rsidRPr="00F85000">
        <w:rPr>
          <w:sz w:val="22"/>
        </w:rPr>
        <w:t xml:space="preserve"> and $2 million for urban communities.</w:t>
      </w:r>
      <w:r w:rsidR="008D721F">
        <w:rPr>
          <w:rStyle w:val="FootnoteReference"/>
          <w:sz w:val="22"/>
        </w:rPr>
        <w:footnoteReference w:id="2"/>
      </w:r>
      <w:r w:rsidRPr="00F85000">
        <w:rPr>
          <w:sz w:val="22"/>
        </w:rPr>
        <w:t xml:space="preserve"> Cities and towns will contribute between 30 and 70</w:t>
      </w:r>
      <w:r w:rsidR="000105FA">
        <w:rPr>
          <w:sz w:val="22"/>
        </w:rPr>
        <w:t xml:space="preserve"> percent</w:t>
      </w:r>
      <w:r w:rsidRPr="00F85000">
        <w:rPr>
          <w:sz w:val="22"/>
        </w:rPr>
        <w:t xml:space="preserve"> on a sliding scale</w:t>
      </w:r>
      <w:r w:rsidR="006D2249">
        <w:rPr>
          <w:sz w:val="22"/>
        </w:rPr>
        <w:t xml:space="preserve"> indexed to</w:t>
      </w:r>
      <w:r w:rsidRPr="00F85000">
        <w:rPr>
          <w:sz w:val="22"/>
        </w:rPr>
        <w:t xml:space="preserve"> their local contribution to the Chapter 70 formula. </w:t>
      </w:r>
      <w:r w:rsidR="00AB4D2D">
        <w:rPr>
          <w:sz w:val="22"/>
        </w:rPr>
        <w:t>Communities</w:t>
      </w:r>
      <w:r w:rsidRPr="00F85000">
        <w:rPr>
          <w:sz w:val="22"/>
        </w:rPr>
        <w:t xml:space="preserve"> may contribute matching funds from public </w:t>
      </w:r>
      <w:r w:rsidR="002A599B">
        <w:rPr>
          <w:sz w:val="22"/>
        </w:rPr>
        <w:t>and/</w:t>
      </w:r>
      <w:r w:rsidRPr="00F85000">
        <w:rPr>
          <w:sz w:val="22"/>
        </w:rPr>
        <w:t>or private source</w:t>
      </w:r>
      <w:r w:rsidR="002A599B">
        <w:rPr>
          <w:sz w:val="22"/>
        </w:rPr>
        <w:t>s</w:t>
      </w:r>
      <w:r w:rsidRPr="00F85000">
        <w:rPr>
          <w:sz w:val="22"/>
        </w:rPr>
        <w:t xml:space="preserve">. </w:t>
      </w:r>
    </w:p>
    <w:p w:rsidR="00BD4112" w:rsidRDefault="00BD4112" w:rsidP="008F759E">
      <w:pPr>
        <w:rPr>
          <w:sz w:val="22"/>
        </w:rPr>
      </w:pPr>
    </w:p>
    <w:p w:rsidR="008F759E" w:rsidRPr="00F85000" w:rsidRDefault="004D299C" w:rsidP="008F759E">
      <w:pPr>
        <w:rPr>
          <w:sz w:val="22"/>
        </w:rPr>
      </w:pPr>
      <w:r w:rsidRPr="00F85000">
        <w:rPr>
          <w:sz w:val="22"/>
        </w:rPr>
        <w:t xml:space="preserve">Funds </w:t>
      </w:r>
      <w:r w:rsidR="006D2249">
        <w:rPr>
          <w:sz w:val="22"/>
        </w:rPr>
        <w:t>will</w:t>
      </w:r>
      <w:r w:rsidRPr="00F85000">
        <w:rPr>
          <w:sz w:val="22"/>
        </w:rPr>
        <w:t xml:space="preserve"> be expended </w:t>
      </w:r>
      <w:r w:rsidR="006D2249">
        <w:rPr>
          <w:sz w:val="22"/>
        </w:rPr>
        <w:t xml:space="preserve">to implement </w:t>
      </w:r>
      <w:r w:rsidRPr="00F85000">
        <w:rPr>
          <w:sz w:val="22"/>
        </w:rPr>
        <w:t>projects in either the 2015-16 or 2016-17 school years.</w:t>
      </w:r>
      <w:r w:rsidR="00BD4112">
        <w:rPr>
          <w:sz w:val="22"/>
        </w:rPr>
        <w:t xml:space="preserve"> If additional state bond funds are </w:t>
      </w:r>
      <w:r w:rsidR="006D2249">
        <w:rPr>
          <w:sz w:val="22"/>
        </w:rPr>
        <w:t>released</w:t>
      </w:r>
      <w:r w:rsidR="00BD4112">
        <w:rPr>
          <w:sz w:val="22"/>
        </w:rPr>
        <w:t xml:space="preserve">, we </w:t>
      </w:r>
      <w:r w:rsidR="006D2249">
        <w:rPr>
          <w:sz w:val="22"/>
        </w:rPr>
        <w:t>will</w:t>
      </w:r>
      <w:r w:rsidR="00BD4112">
        <w:rPr>
          <w:sz w:val="22"/>
        </w:rPr>
        <w:t xml:space="preserve"> fund projects through the 2017-18 school year.</w:t>
      </w:r>
    </w:p>
    <w:p w:rsidR="004D299C" w:rsidRPr="00F85000" w:rsidRDefault="004D299C" w:rsidP="008F759E">
      <w:pPr>
        <w:rPr>
          <w:sz w:val="22"/>
        </w:rPr>
      </w:pPr>
    </w:p>
    <w:p w:rsidR="004D299C" w:rsidRDefault="004D299C" w:rsidP="008F759E">
      <w:pPr>
        <w:rPr>
          <w:sz w:val="22"/>
        </w:rPr>
      </w:pPr>
      <w:r w:rsidRPr="00F85000">
        <w:rPr>
          <w:sz w:val="22"/>
        </w:rPr>
        <w:t>State bond funds may be used to fund capital projects that provide high-speed broadband and/or wireless Internet connectivity for schools. Up to 100</w:t>
      </w:r>
      <w:r w:rsidR="000105FA">
        <w:rPr>
          <w:sz w:val="22"/>
        </w:rPr>
        <w:t xml:space="preserve"> percent</w:t>
      </w:r>
      <w:r w:rsidRPr="00F85000">
        <w:rPr>
          <w:sz w:val="22"/>
        </w:rPr>
        <w:t xml:space="preserve"> of the local contribution (between 30</w:t>
      </w:r>
      <w:r w:rsidR="000105FA">
        <w:rPr>
          <w:sz w:val="22"/>
        </w:rPr>
        <w:t xml:space="preserve"> and 70 percent</w:t>
      </w:r>
      <w:r w:rsidRPr="00F85000">
        <w:rPr>
          <w:sz w:val="22"/>
        </w:rPr>
        <w:t xml:space="preserve"> of the total cost of the project) may fund devices for students and teachers, provided that </w:t>
      </w:r>
      <w:r w:rsidR="006D2249">
        <w:rPr>
          <w:sz w:val="22"/>
        </w:rPr>
        <w:t>schools and municipalities have</w:t>
      </w:r>
      <w:r w:rsidRPr="00F85000">
        <w:rPr>
          <w:sz w:val="22"/>
        </w:rPr>
        <w:t xml:space="preserve"> a sound plan for incorporating recurring device costs into the annual operating budget. State funds may not be use</w:t>
      </w:r>
      <w:r w:rsidR="006D2249">
        <w:rPr>
          <w:sz w:val="22"/>
        </w:rPr>
        <w:t>d retroactively or for devices. A</w:t>
      </w:r>
      <w:r w:rsidRPr="00F85000">
        <w:rPr>
          <w:sz w:val="22"/>
        </w:rPr>
        <w:t xml:space="preserve">ny devices for students purchased or leased </w:t>
      </w:r>
      <w:r w:rsidR="00AB4D2D">
        <w:rPr>
          <w:sz w:val="22"/>
        </w:rPr>
        <w:t>by</w:t>
      </w:r>
      <w:r w:rsidRPr="00F85000">
        <w:rPr>
          <w:sz w:val="22"/>
        </w:rPr>
        <w:t xml:space="preserve"> the local match </w:t>
      </w:r>
      <w:r w:rsidR="00F404A9">
        <w:rPr>
          <w:sz w:val="22"/>
        </w:rPr>
        <w:t xml:space="preserve">need to </w:t>
      </w:r>
      <w:r w:rsidRPr="00F85000">
        <w:rPr>
          <w:sz w:val="22"/>
        </w:rPr>
        <w:t xml:space="preserve">meet current </w:t>
      </w:r>
      <w:r w:rsidR="00F404A9">
        <w:rPr>
          <w:sz w:val="22"/>
        </w:rPr>
        <w:t>specifications for online statewide assessments.</w:t>
      </w:r>
    </w:p>
    <w:p w:rsidR="00E851E7" w:rsidRDefault="00E851E7" w:rsidP="008F759E">
      <w:pPr>
        <w:rPr>
          <w:sz w:val="22"/>
        </w:rPr>
      </w:pPr>
    </w:p>
    <w:p w:rsidR="00E851E7" w:rsidRDefault="006D2249" w:rsidP="008F759E">
      <w:pPr>
        <w:rPr>
          <w:sz w:val="22"/>
        </w:rPr>
      </w:pPr>
      <w:r>
        <w:rPr>
          <w:sz w:val="22"/>
        </w:rPr>
        <w:t>Applicants sign</w:t>
      </w:r>
      <w:r w:rsidR="0086370E">
        <w:rPr>
          <w:sz w:val="22"/>
        </w:rPr>
        <w:t>ed</w:t>
      </w:r>
      <w:r>
        <w:rPr>
          <w:sz w:val="22"/>
        </w:rPr>
        <w:t xml:space="preserve"> </w:t>
      </w:r>
      <w:r w:rsidR="00E851E7" w:rsidRPr="00F85000">
        <w:rPr>
          <w:sz w:val="22"/>
        </w:rPr>
        <w:t xml:space="preserve">a statement of assurances, </w:t>
      </w:r>
      <w:r>
        <w:rPr>
          <w:sz w:val="22"/>
        </w:rPr>
        <w:t>provide</w:t>
      </w:r>
      <w:r w:rsidR="0086370E">
        <w:rPr>
          <w:sz w:val="22"/>
        </w:rPr>
        <w:t>d</w:t>
      </w:r>
      <w:r>
        <w:rPr>
          <w:sz w:val="22"/>
        </w:rPr>
        <w:t xml:space="preserve"> </w:t>
      </w:r>
      <w:r w:rsidR="00E851E7" w:rsidRPr="00F85000">
        <w:rPr>
          <w:sz w:val="22"/>
        </w:rPr>
        <w:t xml:space="preserve">technical information </w:t>
      </w:r>
      <w:r w:rsidR="008D721F">
        <w:rPr>
          <w:sz w:val="22"/>
        </w:rPr>
        <w:t>on</w:t>
      </w:r>
      <w:r w:rsidR="00E851E7" w:rsidRPr="00F85000">
        <w:rPr>
          <w:sz w:val="22"/>
        </w:rPr>
        <w:t xml:space="preserve"> the current technology infrastructure </w:t>
      </w:r>
      <w:r w:rsidR="008D721F">
        <w:rPr>
          <w:sz w:val="22"/>
        </w:rPr>
        <w:t>of</w:t>
      </w:r>
      <w:r w:rsidR="00E851E7" w:rsidRPr="00F85000">
        <w:rPr>
          <w:sz w:val="22"/>
        </w:rPr>
        <w:t xml:space="preserve"> their schools, and respo</w:t>
      </w:r>
      <w:r w:rsidR="00E851E7">
        <w:rPr>
          <w:sz w:val="22"/>
        </w:rPr>
        <w:t>nd</w:t>
      </w:r>
      <w:r w:rsidR="0086370E">
        <w:rPr>
          <w:sz w:val="22"/>
        </w:rPr>
        <w:t>ed</w:t>
      </w:r>
      <w:r w:rsidR="00E851E7">
        <w:rPr>
          <w:sz w:val="22"/>
        </w:rPr>
        <w:t xml:space="preserve"> to a short list of questions </w:t>
      </w:r>
      <w:r>
        <w:rPr>
          <w:sz w:val="22"/>
        </w:rPr>
        <w:t>that assess</w:t>
      </w:r>
      <w:r w:rsidR="0086370E">
        <w:rPr>
          <w:sz w:val="22"/>
        </w:rPr>
        <w:t>ed</w:t>
      </w:r>
      <w:r w:rsidR="00E851E7">
        <w:rPr>
          <w:sz w:val="22"/>
        </w:rPr>
        <w:t xml:space="preserve"> each </w:t>
      </w:r>
      <w:r>
        <w:rPr>
          <w:sz w:val="22"/>
        </w:rPr>
        <w:t>school’s</w:t>
      </w:r>
      <w:r w:rsidR="00E851E7">
        <w:rPr>
          <w:sz w:val="22"/>
        </w:rPr>
        <w:t xml:space="preserve"> readiness for digital learning.</w:t>
      </w:r>
    </w:p>
    <w:p w:rsidR="000842C8" w:rsidRDefault="000842C8" w:rsidP="008F759E">
      <w:pPr>
        <w:rPr>
          <w:sz w:val="22"/>
        </w:rPr>
      </w:pPr>
    </w:p>
    <w:p w:rsidR="000842C8" w:rsidRDefault="000842C8" w:rsidP="008F759E">
      <w:pPr>
        <w:rPr>
          <w:sz w:val="22"/>
        </w:rPr>
      </w:pPr>
      <w:r w:rsidRPr="00F85000">
        <w:rPr>
          <w:sz w:val="22"/>
        </w:rPr>
        <w:t xml:space="preserve">The Department received </w:t>
      </w:r>
      <w:r w:rsidR="00033A8F">
        <w:rPr>
          <w:sz w:val="22"/>
        </w:rPr>
        <w:t>proposals</w:t>
      </w:r>
      <w:r w:rsidRPr="00F85000">
        <w:rPr>
          <w:sz w:val="22"/>
        </w:rPr>
        <w:t xml:space="preserve"> from</w:t>
      </w:r>
      <w:r w:rsidRPr="00C94C01">
        <w:rPr>
          <w:sz w:val="22"/>
        </w:rPr>
        <w:t xml:space="preserve"> </w:t>
      </w:r>
      <w:r>
        <w:rPr>
          <w:sz w:val="22"/>
        </w:rPr>
        <w:t>247 schools</w:t>
      </w:r>
      <w:r w:rsidR="006D2249">
        <w:rPr>
          <w:sz w:val="22"/>
        </w:rPr>
        <w:t xml:space="preserve"> </w:t>
      </w:r>
      <w:r w:rsidR="00CF4868">
        <w:rPr>
          <w:sz w:val="22"/>
        </w:rPr>
        <w:t xml:space="preserve">across </w:t>
      </w:r>
      <w:r w:rsidR="006D2249">
        <w:rPr>
          <w:sz w:val="22"/>
        </w:rPr>
        <w:t>98 school districts</w:t>
      </w:r>
      <w:r w:rsidRPr="00C94C01">
        <w:rPr>
          <w:sz w:val="22"/>
        </w:rPr>
        <w:t xml:space="preserve">. This </w:t>
      </w:r>
      <w:r>
        <w:rPr>
          <w:sz w:val="22"/>
        </w:rPr>
        <w:t xml:space="preserve">represents </w:t>
      </w:r>
      <w:r w:rsidRPr="00C94C01">
        <w:rPr>
          <w:sz w:val="22"/>
        </w:rPr>
        <w:t>approximately</w:t>
      </w:r>
      <w:r>
        <w:rPr>
          <w:sz w:val="22"/>
        </w:rPr>
        <w:t xml:space="preserve"> 25</w:t>
      </w:r>
      <w:r w:rsidR="000105FA">
        <w:rPr>
          <w:sz w:val="22"/>
        </w:rPr>
        <w:t xml:space="preserve"> percent</w:t>
      </w:r>
      <w:r>
        <w:rPr>
          <w:sz w:val="22"/>
        </w:rPr>
        <w:t xml:space="preserve"> </w:t>
      </w:r>
      <w:r w:rsidRPr="00C94C01">
        <w:rPr>
          <w:sz w:val="22"/>
        </w:rPr>
        <w:t xml:space="preserve">of </w:t>
      </w:r>
      <w:r w:rsidR="006D2249">
        <w:rPr>
          <w:sz w:val="22"/>
        </w:rPr>
        <w:t xml:space="preserve">the Commonwealth’s </w:t>
      </w:r>
      <w:r w:rsidRPr="00C94C01">
        <w:rPr>
          <w:sz w:val="22"/>
        </w:rPr>
        <w:t xml:space="preserve">school districts and </w:t>
      </w:r>
      <w:r>
        <w:rPr>
          <w:sz w:val="22"/>
        </w:rPr>
        <w:t>13</w:t>
      </w:r>
      <w:r w:rsidR="000105FA">
        <w:rPr>
          <w:sz w:val="22"/>
        </w:rPr>
        <w:t xml:space="preserve"> percent</w:t>
      </w:r>
      <w:r>
        <w:rPr>
          <w:sz w:val="22"/>
        </w:rPr>
        <w:t xml:space="preserve"> </w:t>
      </w:r>
      <w:r w:rsidRPr="00C94C01">
        <w:rPr>
          <w:sz w:val="22"/>
        </w:rPr>
        <w:t xml:space="preserve">of </w:t>
      </w:r>
      <w:r w:rsidR="006D2249">
        <w:rPr>
          <w:sz w:val="22"/>
        </w:rPr>
        <w:t>its</w:t>
      </w:r>
      <w:r>
        <w:rPr>
          <w:sz w:val="22"/>
        </w:rPr>
        <w:t xml:space="preserve"> schools</w:t>
      </w:r>
      <w:r w:rsidRPr="00C94C01">
        <w:rPr>
          <w:sz w:val="22"/>
        </w:rPr>
        <w:t>.</w:t>
      </w:r>
    </w:p>
    <w:p w:rsidR="008D721F" w:rsidRDefault="008D721F" w:rsidP="008F759E">
      <w:pPr>
        <w:rPr>
          <w:sz w:val="22"/>
        </w:rPr>
      </w:pPr>
    </w:p>
    <w:p w:rsidR="008D721F" w:rsidRDefault="00CA4EDF" w:rsidP="008F759E">
      <w:pPr>
        <w:rPr>
          <w:sz w:val="22"/>
        </w:rPr>
      </w:pPr>
      <w:r>
        <w:rPr>
          <w:sz w:val="22"/>
        </w:rPr>
        <w:lastRenderedPageBreak/>
        <w:t>Proposals were</w:t>
      </w:r>
      <w:r w:rsidR="008356D0">
        <w:rPr>
          <w:sz w:val="22"/>
        </w:rPr>
        <w:t xml:space="preserve"> reviewed by teams of </w:t>
      </w:r>
      <w:r w:rsidR="008D721F">
        <w:rPr>
          <w:sz w:val="22"/>
        </w:rPr>
        <w:t>sta</w:t>
      </w:r>
      <w:r w:rsidR="00AB4D2D">
        <w:rPr>
          <w:sz w:val="22"/>
        </w:rPr>
        <w:t>ff members from the Department</w:t>
      </w:r>
      <w:r w:rsidR="00CF4868">
        <w:rPr>
          <w:sz w:val="22"/>
        </w:rPr>
        <w:t xml:space="preserve"> and MassIT</w:t>
      </w:r>
      <w:r w:rsidR="00AB4D2D">
        <w:rPr>
          <w:sz w:val="22"/>
        </w:rPr>
        <w:t>. E</w:t>
      </w:r>
      <w:r w:rsidR="008D721F">
        <w:rPr>
          <w:sz w:val="22"/>
        </w:rPr>
        <w:t xml:space="preserve">ach team was assigned a group of suburban, rural, or urban </w:t>
      </w:r>
      <w:r w:rsidR="00EA6251">
        <w:rPr>
          <w:sz w:val="22"/>
        </w:rPr>
        <w:t>applicants</w:t>
      </w:r>
      <w:r w:rsidR="008D721F">
        <w:rPr>
          <w:sz w:val="22"/>
        </w:rPr>
        <w:t xml:space="preserve"> to review. To ensure consistency</w:t>
      </w:r>
      <w:r w:rsidR="00AB4D2D">
        <w:rPr>
          <w:sz w:val="22"/>
        </w:rPr>
        <w:t xml:space="preserve"> in scoring</w:t>
      </w:r>
      <w:r w:rsidR="008D721F">
        <w:rPr>
          <w:sz w:val="22"/>
        </w:rPr>
        <w:t xml:space="preserve">, staff from the Department’s Office of Digital Learning reviewed all of the proposals within each community type. </w:t>
      </w:r>
      <w:r w:rsidR="008356D0">
        <w:rPr>
          <w:sz w:val="22"/>
        </w:rPr>
        <w:t>T</w:t>
      </w:r>
      <w:r w:rsidR="00AB4D2D">
        <w:rPr>
          <w:sz w:val="22"/>
        </w:rPr>
        <w:t>he proposals were rank-ordered by score</w:t>
      </w:r>
      <w:r w:rsidR="008356D0" w:rsidRPr="008356D0">
        <w:rPr>
          <w:sz w:val="22"/>
        </w:rPr>
        <w:t xml:space="preserve"> </w:t>
      </w:r>
      <w:r w:rsidR="008356D0">
        <w:rPr>
          <w:sz w:val="22"/>
        </w:rPr>
        <w:t>within each community type</w:t>
      </w:r>
      <w:r w:rsidR="00CD1593">
        <w:rPr>
          <w:sz w:val="22"/>
        </w:rPr>
        <w:t>:</w:t>
      </w:r>
    </w:p>
    <w:p w:rsidR="008D721F" w:rsidRDefault="008D721F" w:rsidP="008F759E">
      <w:pPr>
        <w:rPr>
          <w:sz w:val="22"/>
        </w:rPr>
      </w:pPr>
    </w:p>
    <w:p w:rsidR="008D721F" w:rsidRDefault="008D721F" w:rsidP="008D721F">
      <w:pPr>
        <w:pStyle w:val="ListParagraph"/>
        <w:numPr>
          <w:ilvl w:val="0"/>
          <w:numId w:val="26"/>
        </w:numPr>
        <w:contextualSpacing w:val="0"/>
        <w:rPr>
          <w:sz w:val="22"/>
        </w:rPr>
      </w:pPr>
      <w:r w:rsidRPr="00CD1593">
        <w:rPr>
          <w:i/>
          <w:sz w:val="22"/>
        </w:rPr>
        <w:t>Finalists</w:t>
      </w:r>
      <w:r>
        <w:rPr>
          <w:sz w:val="22"/>
        </w:rPr>
        <w:t xml:space="preserve"> </w:t>
      </w:r>
      <w:r w:rsidR="00AB4D2D">
        <w:rPr>
          <w:sz w:val="22"/>
        </w:rPr>
        <w:t xml:space="preserve">earned the highest scores. These </w:t>
      </w:r>
      <w:r w:rsidR="00EA6251">
        <w:rPr>
          <w:sz w:val="22"/>
        </w:rPr>
        <w:t>proposals</w:t>
      </w:r>
      <w:r w:rsidR="00AB4D2D">
        <w:rPr>
          <w:sz w:val="22"/>
        </w:rPr>
        <w:t xml:space="preserve"> can be funded through the $5 million </w:t>
      </w:r>
      <w:r w:rsidR="00EA6251">
        <w:rPr>
          <w:sz w:val="22"/>
        </w:rPr>
        <w:t xml:space="preserve">currently </w:t>
      </w:r>
      <w:r w:rsidR="00AB4D2D">
        <w:rPr>
          <w:sz w:val="22"/>
        </w:rPr>
        <w:t>authorized for the program</w:t>
      </w:r>
      <w:r w:rsidR="00CD1593">
        <w:rPr>
          <w:sz w:val="22"/>
        </w:rPr>
        <w:t>.</w:t>
      </w:r>
    </w:p>
    <w:p w:rsidR="00CD1593" w:rsidRDefault="00CD1593" w:rsidP="008D721F">
      <w:pPr>
        <w:pStyle w:val="ListParagraph"/>
        <w:numPr>
          <w:ilvl w:val="0"/>
          <w:numId w:val="26"/>
        </w:numPr>
        <w:contextualSpacing w:val="0"/>
        <w:rPr>
          <w:sz w:val="22"/>
        </w:rPr>
      </w:pPr>
      <w:r>
        <w:rPr>
          <w:i/>
          <w:sz w:val="22"/>
        </w:rPr>
        <w:t>Semifinalists</w:t>
      </w:r>
      <w:r w:rsidR="00AB4D2D">
        <w:rPr>
          <w:sz w:val="22"/>
        </w:rPr>
        <w:t xml:space="preserve"> </w:t>
      </w:r>
      <w:r>
        <w:rPr>
          <w:sz w:val="22"/>
        </w:rPr>
        <w:t xml:space="preserve">are proposals likely to </w:t>
      </w:r>
      <w:r w:rsidR="00AB4D2D">
        <w:rPr>
          <w:sz w:val="22"/>
        </w:rPr>
        <w:t xml:space="preserve">be </w:t>
      </w:r>
      <w:r w:rsidR="00CF4868">
        <w:rPr>
          <w:sz w:val="22"/>
        </w:rPr>
        <w:t xml:space="preserve">recommended for </w:t>
      </w:r>
      <w:r>
        <w:rPr>
          <w:sz w:val="22"/>
        </w:rPr>
        <w:t>fund</w:t>
      </w:r>
      <w:r w:rsidR="00CF4868">
        <w:rPr>
          <w:sz w:val="22"/>
        </w:rPr>
        <w:t>ing</w:t>
      </w:r>
      <w:r w:rsidR="00AB4D2D">
        <w:rPr>
          <w:sz w:val="22"/>
        </w:rPr>
        <w:t xml:space="preserve">, </w:t>
      </w:r>
      <w:r>
        <w:rPr>
          <w:sz w:val="22"/>
        </w:rPr>
        <w:t xml:space="preserve">pending the </w:t>
      </w:r>
      <w:r w:rsidR="008320B4">
        <w:rPr>
          <w:sz w:val="22"/>
        </w:rPr>
        <w:t>release</w:t>
      </w:r>
      <w:r>
        <w:rPr>
          <w:sz w:val="22"/>
        </w:rPr>
        <w:t xml:space="preserve"> of additional </w:t>
      </w:r>
      <w:r w:rsidR="008320B4">
        <w:rPr>
          <w:sz w:val="22"/>
        </w:rPr>
        <w:t xml:space="preserve">state bond </w:t>
      </w:r>
      <w:r>
        <w:rPr>
          <w:sz w:val="22"/>
        </w:rPr>
        <w:t xml:space="preserve">funds. </w:t>
      </w:r>
      <w:r w:rsidR="00AB4D2D">
        <w:rPr>
          <w:sz w:val="22"/>
        </w:rPr>
        <w:t>Some of these</w:t>
      </w:r>
      <w:r>
        <w:rPr>
          <w:sz w:val="22"/>
        </w:rPr>
        <w:t xml:space="preserve"> proposals require moderate revision.</w:t>
      </w:r>
    </w:p>
    <w:p w:rsidR="00AB4D2D" w:rsidRDefault="00CD1593" w:rsidP="00AB4D2D">
      <w:pPr>
        <w:pStyle w:val="ListParagraph"/>
        <w:numPr>
          <w:ilvl w:val="0"/>
          <w:numId w:val="26"/>
        </w:numPr>
        <w:contextualSpacing w:val="0"/>
        <w:rPr>
          <w:sz w:val="22"/>
        </w:rPr>
      </w:pPr>
      <w:r>
        <w:rPr>
          <w:i/>
          <w:sz w:val="22"/>
        </w:rPr>
        <w:t xml:space="preserve">Candidates </w:t>
      </w:r>
      <w:r>
        <w:rPr>
          <w:sz w:val="22"/>
        </w:rPr>
        <w:t xml:space="preserve">are proposals that require substantial revision before </w:t>
      </w:r>
      <w:r w:rsidR="00AB4D2D">
        <w:rPr>
          <w:sz w:val="22"/>
        </w:rPr>
        <w:t xml:space="preserve">they can be recommended </w:t>
      </w:r>
      <w:r w:rsidR="008320B4">
        <w:rPr>
          <w:sz w:val="22"/>
        </w:rPr>
        <w:t>for funding</w:t>
      </w:r>
      <w:r>
        <w:rPr>
          <w:sz w:val="22"/>
        </w:rPr>
        <w:t>.</w:t>
      </w:r>
      <w:r w:rsidR="00AB4D2D">
        <w:rPr>
          <w:sz w:val="22"/>
        </w:rPr>
        <w:t xml:space="preserve"> This category also </w:t>
      </w:r>
      <w:r w:rsidR="00EA6251">
        <w:rPr>
          <w:sz w:val="22"/>
        </w:rPr>
        <w:t>includes</w:t>
      </w:r>
      <w:r w:rsidR="00AB4D2D">
        <w:rPr>
          <w:sz w:val="22"/>
        </w:rPr>
        <w:t xml:space="preserve"> </w:t>
      </w:r>
      <w:r w:rsidR="006F0065">
        <w:rPr>
          <w:sz w:val="22"/>
        </w:rPr>
        <w:t>proposals</w:t>
      </w:r>
      <w:r w:rsidR="00AB4D2D">
        <w:rPr>
          <w:sz w:val="22"/>
        </w:rPr>
        <w:t xml:space="preserve"> that did </w:t>
      </w:r>
      <w:r w:rsidR="006F0065">
        <w:rPr>
          <w:sz w:val="22"/>
        </w:rPr>
        <w:t xml:space="preserve">not </w:t>
      </w:r>
      <w:r w:rsidR="00EA6251">
        <w:rPr>
          <w:sz w:val="22"/>
        </w:rPr>
        <w:t>clearly</w:t>
      </w:r>
      <w:r w:rsidR="00AB4D2D">
        <w:rPr>
          <w:sz w:val="22"/>
        </w:rPr>
        <w:t xml:space="preserve"> </w:t>
      </w:r>
      <w:r w:rsidR="00EA6251">
        <w:rPr>
          <w:sz w:val="22"/>
        </w:rPr>
        <w:t xml:space="preserve">indicate </w:t>
      </w:r>
      <w:r w:rsidR="006F0065">
        <w:rPr>
          <w:sz w:val="22"/>
        </w:rPr>
        <w:t>a</w:t>
      </w:r>
      <w:r w:rsidR="00EA6251">
        <w:rPr>
          <w:sz w:val="22"/>
        </w:rPr>
        <w:t xml:space="preserve"> commitment to implement</w:t>
      </w:r>
      <w:r w:rsidR="00AB4D2D">
        <w:rPr>
          <w:sz w:val="22"/>
        </w:rPr>
        <w:t xml:space="preserve"> a one-to-one student to device initiative in at least one subject or grade in each school.</w:t>
      </w:r>
    </w:p>
    <w:p w:rsidR="0086370E" w:rsidRDefault="0086370E" w:rsidP="0086370E">
      <w:pPr>
        <w:rPr>
          <w:sz w:val="22"/>
        </w:rPr>
      </w:pPr>
    </w:p>
    <w:tbl>
      <w:tblPr>
        <w:tblStyle w:val="TableGrid"/>
        <w:tblW w:w="0" w:type="auto"/>
        <w:tblLook w:val="04A0"/>
      </w:tblPr>
      <w:tblGrid>
        <w:gridCol w:w="1903"/>
        <w:gridCol w:w="1870"/>
        <w:gridCol w:w="2008"/>
        <w:gridCol w:w="1950"/>
        <w:gridCol w:w="1619"/>
      </w:tblGrid>
      <w:tr w:rsidR="00ED67A5" w:rsidTr="008430B0">
        <w:tc>
          <w:tcPr>
            <w:tcW w:w="9350" w:type="dxa"/>
            <w:gridSpan w:val="5"/>
          </w:tcPr>
          <w:p w:rsidR="00ED67A5" w:rsidRDefault="00ED67A5" w:rsidP="00ED67A5">
            <w:pPr>
              <w:spacing w:before="40" w:after="40"/>
              <w:jc w:val="center"/>
              <w:rPr>
                <w:sz w:val="22"/>
              </w:rPr>
            </w:pPr>
            <w:r>
              <w:rPr>
                <w:sz w:val="22"/>
              </w:rPr>
              <w:t>Schools by Community Type and Award Status</w:t>
            </w:r>
          </w:p>
        </w:tc>
      </w:tr>
      <w:tr w:rsidR="00ED67A5" w:rsidTr="00ED67A5">
        <w:tc>
          <w:tcPr>
            <w:tcW w:w="1903" w:type="dxa"/>
          </w:tcPr>
          <w:p w:rsidR="00ED67A5" w:rsidRDefault="00ED67A5" w:rsidP="00ED67A5">
            <w:pPr>
              <w:spacing w:before="40" w:after="40"/>
              <w:rPr>
                <w:sz w:val="22"/>
              </w:rPr>
            </w:pPr>
          </w:p>
        </w:tc>
        <w:tc>
          <w:tcPr>
            <w:tcW w:w="1870" w:type="dxa"/>
          </w:tcPr>
          <w:p w:rsidR="00ED67A5" w:rsidRDefault="00ED67A5" w:rsidP="00ED67A5">
            <w:pPr>
              <w:spacing w:before="40" w:after="40"/>
              <w:jc w:val="center"/>
              <w:rPr>
                <w:sz w:val="22"/>
              </w:rPr>
            </w:pPr>
            <w:r>
              <w:rPr>
                <w:sz w:val="22"/>
              </w:rPr>
              <w:t>Finalists</w:t>
            </w:r>
          </w:p>
        </w:tc>
        <w:tc>
          <w:tcPr>
            <w:tcW w:w="2008" w:type="dxa"/>
          </w:tcPr>
          <w:p w:rsidR="00ED67A5" w:rsidRDefault="00ED67A5" w:rsidP="00ED67A5">
            <w:pPr>
              <w:spacing w:before="40" w:after="40"/>
              <w:jc w:val="center"/>
              <w:rPr>
                <w:sz w:val="22"/>
              </w:rPr>
            </w:pPr>
            <w:r>
              <w:rPr>
                <w:sz w:val="22"/>
              </w:rPr>
              <w:t>Semifinalists</w:t>
            </w:r>
          </w:p>
        </w:tc>
        <w:tc>
          <w:tcPr>
            <w:tcW w:w="1950" w:type="dxa"/>
            <w:tcBorders>
              <w:right w:val="single" w:sz="12" w:space="0" w:color="auto"/>
            </w:tcBorders>
          </w:tcPr>
          <w:p w:rsidR="00ED67A5" w:rsidRDefault="00ED67A5" w:rsidP="00ED67A5">
            <w:pPr>
              <w:spacing w:before="40" w:after="40"/>
              <w:jc w:val="center"/>
              <w:rPr>
                <w:sz w:val="22"/>
              </w:rPr>
            </w:pPr>
            <w:r>
              <w:rPr>
                <w:sz w:val="22"/>
              </w:rPr>
              <w:t>Candidates</w:t>
            </w:r>
          </w:p>
        </w:tc>
        <w:tc>
          <w:tcPr>
            <w:tcW w:w="1619" w:type="dxa"/>
            <w:tcBorders>
              <w:left w:val="single" w:sz="12" w:space="0" w:color="auto"/>
            </w:tcBorders>
          </w:tcPr>
          <w:p w:rsidR="00ED67A5" w:rsidRPr="00ED67A5" w:rsidRDefault="00ED67A5" w:rsidP="00ED67A5">
            <w:pPr>
              <w:spacing w:before="40" w:after="40"/>
              <w:jc w:val="center"/>
              <w:rPr>
                <w:b/>
                <w:sz w:val="22"/>
              </w:rPr>
            </w:pPr>
            <w:r w:rsidRPr="00ED67A5">
              <w:rPr>
                <w:b/>
                <w:sz w:val="22"/>
              </w:rPr>
              <w:t>Total</w:t>
            </w:r>
          </w:p>
        </w:tc>
      </w:tr>
      <w:tr w:rsidR="00ED67A5" w:rsidTr="00ED67A5">
        <w:tc>
          <w:tcPr>
            <w:tcW w:w="1903" w:type="dxa"/>
          </w:tcPr>
          <w:p w:rsidR="00ED67A5" w:rsidRDefault="00ED67A5" w:rsidP="00ED67A5">
            <w:pPr>
              <w:spacing w:before="40" w:after="40"/>
              <w:rPr>
                <w:sz w:val="22"/>
              </w:rPr>
            </w:pPr>
            <w:r>
              <w:rPr>
                <w:sz w:val="22"/>
              </w:rPr>
              <w:t>Urban</w:t>
            </w:r>
          </w:p>
        </w:tc>
        <w:tc>
          <w:tcPr>
            <w:tcW w:w="1870" w:type="dxa"/>
          </w:tcPr>
          <w:p w:rsidR="00ED67A5" w:rsidRDefault="00ED67A5" w:rsidP="00ED67A5">
            <w:pPr>
              <w:spacing w:before="40" w:after="40"/>
              <w:jc w:val="center"/>
              <w:rPr>
                <w:sz w:val="22"/>
              </w:rPr>
            </w:pPr>
            <w:r>
              <w:rPr>
                <w:sz w:val="22"/>
              </w:rPr>
              <w:t>18</w:t>
            </w:r>
          </w:p>
        </w:tc>
        <w:tc>
          <w:tcPr>
            <w:tcW w:w="2008" w:type="dxa"/>
          </w:tcPr>
          <w:p w:rsidR="00ED67A5" w:rsidRDefault="00ED67A5" w:rsidP="00ED67A5">
            <w:pPr>
              <w:spacing w:before="40" w:after="40"/>
              <w:jc w:val="center"/>
              <w:rPr>
                <w:sz w:val="22"/>
              </w:rPr>
            </w:pPr>
            <w:r>
              <w:rPr>
                <w:sz w:val="22"/>
              </w:rPr>
              <w:t>--</w:t>
            </w:r>
          </w:p>
        </w:tc>
        <w:tc>
          <w:tcPr>
            <w:tcW w:w="1950" w:type="dxa"/>
            <w:tcBorders>
              <w:right w:val="single" w:sz="12" w:space="0" w:color="auto"/>
            </w:tcBorders>
          </w:tcPr>
          <w:p w:rsidR="00ED67A5" w:rsidRDefault="00ED67A5" w:rsidP="00ED67A5">
            <w:pPr>
              <w:spacing w:before="40" w:after="40"/>
              <w:jc w:val="center"/>
              <w:rPr>
                <w:sz w:val="22"/>
              </w:rPr>
            </w:pPr>
            <w:r>
              <w:rPr>
                <w:sz w:val="22"/>
              </w:rPr>
              <w:t>61</w:t>
            </w:r>
          </w:p>
        </w:tc>
        <w:tc>
          <w:tcPr>
            <w:tcW w:w="1619" w:type="dxa"/>
            <w:tcBorders>
              <w:left w:val="single" w:sz="12" w:space="0" w:color="auto"/>
            </w:tcBorders>
          </w:tcPr>
          <w:p w:rsidR="00ED67A5" w:rsidRPr="00ED67A5" w:rsidRDefault="00ED67A5" w:rsidP="00ED67A5">
            <w:pPr>
              <w:spacing w:before="40" w:after="40"/>
              <w:jc w:val="center"/>
              <w:rPr>
                <w:b/>
                <w:sz w:val="22"/>
              </w:rPr>
            </w:pPr>
            <w:r w:rsidRPr="00ED67A5">
              <w:rPr>
                <w:b/>
                <w:sz w:val="22"/>
              </w:rPr>
              <w:t>79</w:t>
            </w:r>
          </w:p>
        </w:tc>
      </w:tr>
      <w:tr w:rsidR="00ED67A5" w:rsidTr="00ED67A5">
        <w:tc>
          <w:tcPr>
            <w:tcW w:w="1903" w:type="dxa"/>
          </w:tcPr>
          <w:p w:rsidR="00ED67A5" w:rsidRDefault="00ED67A5" w:rsidP="00ED67A5">
            <w:pPr>
              <w:spacing w:before="40" w:after="40"/>
              <w:rPr>
                <w:sz w:val="22"/>
              </w:rPr>
            </w:pPr>
            <w:r>
              <w:rPr>
                <w:sz w:val="22"/>
              </w:rPr>
              <w:t>Suburban</w:t>
            </w:r>
          </w:p>
        </w:tc>
        <w:tc>
          <w:tcPr>
            <w:tcW w:w="1870" w:type="dxa"/>
          </w:tcPr>
          <w:p w:rsidR="00ED67A5" w:rsidRDefault="00ED67A5" w:rsidP="00ED67A5">
            <w:pPr>
              <w:spacing w:before="40" w:after="40"/>
              <w:jc w:val="center"/>
              <w:rPr>
                <w:sz w:val="22"/>
              </w:rPr>
            </w:pPr>
            <w:r>
              <w:rPr>
                <w:sz w:val="22"/>
              </w:rPr>
              <w:t>16</w:t>
            </w:r>
          </w:p>
        </w:tc>
        <w:tc>
          <w:tcPr>
            <w:tcW w:w="2008" w:type="dxa"/>
          </w:tcPr>
          <w:p w:rsidR="00ED67A5" w:rsidRDefault="00ED67A5" w:rsidP="00ED67A5">
            <w:pPr>
              <w:spacing w:before="40" w:after="40"/>
              <w:jc w:val="center"/>
              <w:rPr>
                <w:sz w:val="22"/>
              </w:rPr>
            </w:pPr>
            <w:r>
              <w:rPr>
                <w:sz w:val="22"/>
              </w:rPr>
              <w:t>28</w:t>
            </w:r>
          </w:p>
        </w:tc>
        <w:tc>
          <w:tcPr>
            <w:tcW w:w="1950" w:type="dxa"/>
            <w:tcBorders>
              <w:right w:val="single" w:sz="12" w:space="0" w:color="auto"/>
            </w:tcBorders>
          </w:tcPr>
          <w:p w:rsidR="00ED67A5" w:rsidRDefault="00ED67A5" w:rsidP="00ED67A5">
            <w:pPr>
              <w:spacing w:before="40" w:after="40"/>
              <w:jc w:val="center"/>
              <w:rPr>
                <w:sz w:val="22"/>
              </w:rPr>
            </w:pPr>
            <w:r>
              <w:rPr>
                <w:sz w:val="22"/>
              </w:rPr>
              <w:t>50</w:t>
            </w:r>
          </w:p>
        </w:tc>
        <w:tc>
          <w:tcPr>
            <w:tcW w:w="1619" w:type="dxa"/>
            <w:tcBorders>
              <w:left w:val="single" w:sz="12" w:space="0" w:color="auto"/>
            </w:tcBorders>
          </w:tcPr>
          <w:p w:rsidR="00ED67A5" w:rsidRPr="00ED67A5" w:rsidRDefault="00ED67A5" w:rsidP="00ED67A5">
            <w:pPr>
              <w:spacing w:before="40" w:after="40"/>
              <w:jc w:val="center"/>
              <w:rPr>
                <w:b/>
                <w:sz w:val="22"/>
              </w:rPr>
            </w:pPr>
            <w:r w:rsidRPr="00ED67A5">
              <w:rPr>
                <w:b/>
                <w:sz w:val="22"/>
              </w:rPr>
              <w:t>94</w:t>
            </w:r>
          </w:p>
        </w:tc>
      </w:tr>
      <w:tr w:rsidR="00ED67A5" w:rsidTr="00ED67A5">
        <w:tc>
          <w:tcPr>
            <w:tcW w:w="1903" w:type="dxa"/>
            <w:tcBorders>
              <w:bottom w:val="single" w:sz="12" w:space="0" w:color="auto"/>
            </w:tcBorders>
          </w:tcPr>
          <w:p w:rsidR="00ED67A5" w:rsidRDefault="00ED67A5" w:rsidP="00ED67A5">
            <w:pPr>
              <w:spacing w:before="40" w:after="40"/>
              <w:rPr>
                <w:sz w:val="22"/>
              </w:rPr>
            </w:pPr>
            <w:r>
              <w:rPr>
                <w:sz w:val="22"/>
              </w:rPr>
              <w:t>Rural</w:t>
            </w:r>
          </w:p>
        </w:tc>
        <w:tc>
          <w:tcPr>
            <w:tcW w:w="1870" w:type="dxa"/>
            <w:tcBorders>
              <w:bottom w:val="single" w:sz="12" w:space="0" w:color="auto"/>
            </w:tcBorders>
          </w:tcPr>
          <w:p w:rsidR="00ED67A5" w:rsidRDefault="00ED67A5" w:rsidP="00ED67A5">
            <w:pPr>
              <w:spacing w:before="40" w:after="40"/>
              <w:jc w:val="center"/>
              <w:rPr>
                <w:sz w:val="22"/>
              </w:rPr>
            </w:pPr>
            <w:r>
              <w:rPr>
                <w:sz w:val="22"/>
              </w:rPr>
              <w:t>13</w:t>
            </w:r>
          </w:p>
        </w:tc>
        <w:tc>
          <w:tcPr>
            <w:tcW w:w="2008" w:type="dxa"/>
            <w:tcBorders>
              <w:bottom w:val="single" w:sz="12" w:space="0" w:color="auto"/>
            </w:tcBorders>
          </w:tcPr>
          <w:p w:rsidR="00ED67A5" w:rsidRDefault="00ED67A5" w:rsidP="00ED67A5">
            <w:pPr>
              <w:spacing w:before="40" w:after="40"/>
              <w:jc w:val="center"/>
              <w:rPr>
                <w:sz w:val="22"/>
              </w:rPr>
            </w:pPr>
            <w:r>
              <w:rPr>
                <w:sz w:val="22"/>
              </w:rPr>
              <w:t>17</w:t>
            </w:r>
          </w:p>
        </w:tc>
        <w:tc>
          <w:tcPr>
            <w:tcW w:w="1950" w:type="dxa"/>
            <w:tcBorders>
              <w:bottom w:val="single" w:sz="12" w:space="0" w:color="auto"/>
              <w:right w:val="single" w:sz="12" w:space="0" w:color="auto"/>
            </w:tcBorders>
          </w:tcPr>
          <w:p w:rsidR="00ED67A5" w:rsidRDefault="00ED67A5" w:rsidP="00ED67A5">
            <w:pPr>
              <w:spacing w:before="40" w:after="40"/>
              <w:jc w:val="center"/>
              <w:rPr>
                <w:sz w:val="22"/>
              </w:rPr>
            </w:pPr>
            <w:r>
              <w:rPr>
                <w:sz w:val="22"/>
              </w:rPr>
              <w:t>44</w:t>
            </w:r>
          </w:p>
        </w:tc>
        <w:tc>
          <w:tcPr>
            <w:tcW w:w="1619" w:type="dxa"/>
            <w:tcBorders>
              <w:left w:val="single" w:sz="12" w:space="0" w:color="auto"/>
              <w:bottom w:val="single" w:sz="12" w:space="0" w:color="auto"/>
            </w:tcBorders>
          </w:tcPr>
          <w:p w:rsidR="00ED67A5" w:rsidRPr="00ED67A5" w:rsidRDefault="00ED67A5" w:rsidP="00ED67A5">
            <w:pPr>
              <w:spacing w:before="40" w:after="40"/>
              <w:jc w:val="center"/>
              <w:rPr>
                <w:b/>
                <w:sz w:val="22"/>
              </w:rPr>
            </w:pPr>
            <w:r w:rsidRPr="00ED67A5">
              <w:rPr>
                <w:b/>
                <w:sz w:val="22"/>
              </w:rPr>
              <w:t>74</w:t>
            </w:r>
          </w:p>
        </w:tc>
      </w:tr>
      <w:tr w:rsidR="00ED67A5" w:rsidTr="00ED67A5">
        <w:tc>
          <w:tcPr>
            <w:tcW w:w="1903" w:type="dxa"/>
            <w:tcBorders>
              <w:top w:val="single" w:sz="12" w:space="0" w:color="auto"/>
            </w:tcBorders>
          </w:tcPr>
          <w:p w:rsidR="00ED67A5" w:rsidRPr="00ED67A5" w:rsidRDefault="00ED67A5" w:rsidP="00ED67A5">
            <w:pPr>
              <w:spacing w:before="40" w:after="40"/>
              <w:rPr>
                <w:b/>
                <w:sz w:val="22"/>
              </w:rPr>
            </w:pPr>
            <w:r w:rsidRPr="00ED67A5">
              <w:rPr>
                <w:b/>
                <w:sz w:val="22"/>
              </w:rPr>
              <w:t>Total</w:t>
            </w:r>
          </w:p>
        </w:tc>
        <w:tc>
          <w:tcPr>
            <w:tcW w:w="1870" w:type="dxa"/>
            <w:tcBorders>
              <w:top w:val="single" w:sz="12" w:space="0" w:color="auto"/>
            </w:tcBorders>
          </w:tcPr>
          <w:p w:rsidR="00ED67A5" w:rsidRPr="00ED67A5" w:rsidRDefault="00ED67A5" w:rsidP="00ED67A5">
            <w:pPr>
              <w:spacing w:before="40" w:after="40"/>
              <w:jc w:val="center"/>
              <w:rPr>
                <w:b/>
                <w:sz w:val="22"/>
              </w:rPr>
            </w:pPr>
            <w:r w:rsidRPr="00ED67A5">
              <w:rPr>
                <w:b/>
                <w:sz w:val="22"/>
              </w:rPr>
              <w:t>47</w:t>
            </w:r>
          </w:p>
        </w:tc>
        <w:tc>
          <w:tcPr>
            <w:tcW w:w="2008" w:type="dxa"/>
            <w:tcBorders>
              <w:top w:val="single" w:sz="12" w:space="0" w:color="auto"/>
            </w:tcBorders>
          </w:tcPr>
          <w:p w:rsidR="00ED67A5" w:rsidRPr="00ED67A5" w:rsidRDefault="00ED67A5" w:rsidP="00ED67A5">
            <w:pPr>
              <w:spacing w:before="40" w:after="40"/>
              <w:jc w:val="center"/>
              <w:rPr>
                <w:b/>
                <w:sz w:val="22"/>
              </w:rPr>
            </w:pPr>
            <w:r w:rsidRPr="00ED67A5">
              <w:rPr>
                <w:b/>
                <w:sz w:val="22"/>
              </w:rPr>
              <w:t>45</w:t>
            </w:r>
          </w:p>
        </w:tc>
        <w:tc>
          <w:tcPr>
            <w:tcW w:w="1950" w:type="dxa"/>
            <w:tcBorders>
              <w:top w:val="single" w:sz="12" w:space="0" w:color="auto"/>
              <w:right w:val="single" w:sz="12" w:space="0" w:color="auto"/>
            </w:tcBorders>
          </w:tcPr>
          <w:p w:rsidR="00ED67A5" w:rsidRPr="00ED67A5" w:rsidRDefault="00ED67A5" w:rsidP="00ED67A5">
            <w:pPr>
              <w:spacing w:before="40" w:after="40"/>
              <w:jc w:val="center"/>
              <w:rPr>
                <w:b/>
                <w:sz w:val="22"/>
              </w:rPr>
            </w:pPr>
            <w:r w:rsidRPr="00ED67A5">
              <w:rPr>
                <w:b/>
                <w:sz w:val="22"/>
              </w:rPr>
              <w:t>155</w:t>
            </w:r>
          </w:p>
        </w:tc>
        <w:tc>
          <w:tcPr>
            <w:tcW w:w="1619" w:type="dxa"/>
            <w:tcBorders>
              <w:top w:val="single" w:sz="12" w:space="0" w:color="auto"/>
              <w:left w:val="single" w:sz="12" w:space="0" w:color="auto"/>
            </w:tcBorders>
          </w:tcPr>
          <w:p w:rsidR="00ED67A5" w:rsidRPr="00ED67A5" w:rsidRDefault="00ED67A5" w:rsidP="00ED67A5">
            <w:pPr>
              <w:spacing w:before="40" w:after="40"/>
              <w:jc w:val="center"/>
              <w:rPr>
                <w:b/>
                <w:sz w:val="22"/>
              </w:rPr>
            </w:pPr>
            <w:r w:rsidRPr="00ED67A5">
              <w:rPr>
                <w:b/>
                <w:sz w:val="22"/>
              </w:rPr>
              <w:t>247</w:t>
            </w:r>
          </w:p>
        </w:tc>
      </w:tr>
    </w:tbl>
    <w:p w:rsidR="0086370E" w:rsidRPr="0086370E" w:rsidRDefault="0086370E" w:rsidP="0086370E">
      <w:pPr>
        <w:rPr>
          <w:sz w:val="22"/>
        </w:rPr>
      </w:pPr>
    </w:p>
    <w:p w:rsidR="00CD1593" w:rsidRPr="00CD1593" w:rsidRDefault="008320B4" w:rsidP="00CD1593">
      <w:pPr>
        <w:rPr>
          <w:sz w:val="22"/>
          <w:szCs w:val="22"/>
        </w:rPr>
      </w:pPr>
      <w:r>
        <w:rPr>
          <w:sz w:val="22"/>
          <w:szCs w:val="22"/>
        </w:rPr>
        <w:t>Additional information is</w:t>
      </w:r>
      <w:r w:rsidR="00CD1593">
        <w:rPr>
          <w:sz w:val="22"/>
          <w:szCs w:val="22"/>
        </w:rPr>
        <w:t xml:space="preserve"> available online:</w:t>
      </w:r>
    </w:p>
    <w:p w:rsidR="00CD1593" w:rsidRDefault="00CD1593" w:rsidP="008F759E">
      <w:pPr>
        <w:rPr>
          <w:sz w:val="22"/>
          <w:szCs w:val="22"/>
        </w:rPr>
      </w:pPr>
    </w:p>
    <w:p w:rsidR="008F759E" w:rsidRPr="00CD1593" w:rsidRDefault="00CD1593" w:rsidP="00CD1593">
      <w:pPr>
        <w:pStyle w:val="ListParagraph"/>
        <w:numPr>
          <w:ilvl w:val="0"/>
          <w:numId w:val="27"/>
        </w:numPr>
        <w:contextualSpacing w:val="0"/>
        <w:rPr>
          <w:sz w:val="22"/>
          <w:szCs w:val="22"/>
        </w:rPr>
      </w:pPr>
      <w:r w:rsidRPr="00CD1593">
        <w:rPr>
          <w:sz w:val="22"/>
          <w:szCs w:val="22"/>
        </w:rPr>
        <w:t>R</w:t>
      </w:r>
      <w:r w:rsidR="004D299C" w:rsidRPr="00CD1593">
        <w:rPr>
          <w:sz w:val="22"/>
          <w:szCs w:val="22"/>
        </w:rPr>
        <w:t>equest for proposal (RFP)</w:t>
      </w:r>
      <w:r w:rsidR="008320B4">
        <w:rPr>
          <w:sz w:val="22"/>
          <w:szCs w:val="22"/>
        </w:rPr>
        <w:t>, required information, and attachments</w:t>
      </w:r>
      <w:r w:rsidRPr="00CD1593">
        <w:rPr>
          <w:sz w:val="22"/>
          <w:szCs w:val="22"/>
        </w:rPr>
        <w:t xml:space="preserve">: </w:t>
      </w:r>
      <w:hyperlink r:id="rId19" w:history="1">
        <w:r w:rsidR="004D299C" w:rsidRPr="00CD1593">
          <w:rPr>
            <w:rStyle w:val="Hyperlink"/>
            <w:sz w:val="22"/>
            <w:szCs w:val="22"/>
          </w:rPr>
          <w:t>http://www.doe.mass.edu/grants/2015/DCPSG/</w:t>
        </w:r>
      </w:hyperlink>
      <w:r w:rsidR="004D299C" w:rsidRPr="00CD1593">
        <w:rPr>
          <w:sz w:val="22"/>
          <w:szCs w:val="22"/>
        </w:rPr>
        <w:t>.</w:t>
      </w:r>
    </w:p>
    <w:p w:rsidR="004D299C" w:rsidRDefault="008320B4" w:rsidP="008320B4">
      <w:pPr>
        <w:pStyle w:val="ListParagraph"/>
        <w:numPr>
          <w:ilvl w:val="0"/>
          <w:numId w:val="27"/>
        </w:numPr>
        <w:contextualSpacing w:val="0"/>
        <w:rPr>
          <w:sz w:val="22"/>
          <w:szCs w:val="22"/>
        </w:rPr>
      </w:pPr>
      <w:r>
        <w:rPr>
          <w:sz w:val="22"/>
          <w:szCs w:val="22"/>
        </w:rPr>
        <w:t>Supporting materials, including the scorecard and answers to frequently asked questions</w:t>
      </w:r>
      <w:r w:rsidR="00CD1593" w:rsidRPr="00CD1593">
        <w:rPr>
          <w:sz w:val="22"/>
          <w:szCs w:val="22"/>
        </w:rPr>
        <w:t xml:space="preserve">: </w:t>
      </w:r>
      <w:hyperlink r:id="rId20" w:history="1">
        <w:r w:rsidRPr="003957F4">
          <w:rPr>
            <w:rStyle w:val="Hyperlink"/>
            <w:sz w:val="22"/>
            <w:szCs w:val="22"/>
          </w:rPr>
          <w:t>http://www.doe.mass.edu/odl/grants/DigitalConnections.html</w:t>
        </w:r>
      </w:hyperlink>
      <w:r w:rsidR="00CD1593" w:rsidRPr="00CD1593">
        <w:rPr>
          <w:sz w:val="22"/>
          <w:szCs w:val="22"/>
        </w:rPr>
        <w:t>.</w:t>
      </w:r>
    </w:p>
    <w:p w:rsidR="003D6F40" w:rsidRDefault="003D6F40" w:rsidP="003D6F40">
      <w:pPr>
        <w:pStyle w:val="ListParagraph"/>
        <w:numPr>
          <w:ilvl w:val="0"/>
          <w:numId w:val="27"/>
        </w:numPr>
        <w:contextualSpacing w:val="0"/>
        <w:rPr>
          <w:sz w:val="22"/>
          <w:szCs w:val="22"/>
        </w:rPr>
      </w:pPr>
      <w:r>
        <w:rPr>
          <w:sz w:val="22"/>
          <w:szCs w:val="22"/>
        </w:rPr>
        <w:t>Interactive map that shows details regarding each school’s application and local matching funds:</w:t>
      </w:r>
    </w:p>
    <w:p w:rsidR="003D6F40" w:rsidRPr="00CD1593" w:rsidRDefault="003D6F40" w:rsidP="003D6F40">
      <w:pPr>
        <w:pStyle w:val="ListParagraph"/>
        <w:contextualSpacing w:val="0"/>
        <w:rPr>
          <w:sz w:val="22"/>
          <w:szCs w:val="22"/>
        </w:rPr>
      </w:pPr>
      <w:r>
        <w:rPr>
          <w:sz w:val="22"/>
          <w:szCs w:val="22"/>
        </w:rPr>
        <w:t xml:space="preserve"> </w:t>
      </w:r>
      <w:hyperlink r:id="rId21" w:history="1">
        <w:r w:rsidRPr="00A003AA">
          <w:rPr>
            <w:rStyle w:val="Hyperlink"/>
            <w:sz w:val="22"/>
            <w:szCs w:val="22"/>
          </w:rPr>
          <w:t>http://gisprpxy.itd.state.ma.us/AGOL/DCPS/dcps_responsive.html</w:t>
        </w:r>
      </w:hyperlink>
      <w:r>
        <w:rPr>
          <w:sz w:val="22"/>
          <w:szCs w:val="22"/>
        </w:rPr>
        <w:t xml:space="preserve"> </w:t>
      </w:r>
    </w:p>
    <w:p w:rsidR="008320B4" w:rsidRDefault="008320B4" w:rsidP="008320B4">
      <w:pPr>
        <w:pStyle w:val="Heading1"/>
      </w:pPr>
      <w:bookmarkStart w:id="1" w:name="_Toc420011379"/>
      <w:r>
        <w:t>Vision</w:t>
      </w:r>
      <w:bookmarkEnd w:id="1"/>
    </w:p>
    <w:p w:rsidR="008320B4" w:rsidRPr="00CA4EDF" w:rsidRDefault="008320B4" w:rsidP="008320B4">
      <w:pPr>
        <w:rPr>
          <w:sz w:val="22"/>
          <w:szCs w:val="22"/>
        </w:rPr>
      </w:pPr>
      <w:r w:rsidRPr="00CA4EDF">
        <w:rPr>
          <w:sz w:val="22"/>
          <w:szCs w:val="22"/>
        </w:rPr>
        <w:t xml:space="preserve">The vision of the </w:t>
      </w:r>
      <w:r w:rsidR="008356D0" w:rsidRPr="008356D0">
        <w:rPr>
          <w:sz w:val="22"/>
          <w:szCs w:val="22"/>
        </w:rPr>
        <w:t xml:space="preserve">Digital Connections Partnership Schools Grant </w:t>
      </w:r>
      <w:r w:rsidRPr="00CA4EDF">
        <w:rPr>
          <w:sz w:val="22"/>
          <w:szCs w:val="22"/>
        </w:rPr>
        <w:t xml:space="preserve">is to ensure sufficient baseline broadband capacity throughout all public schools in the Commonwealth </w:t>
      </w:r>
      <w:r w:rsidR="00D4785C">
        <w:rPr>
          <w:sz w:val="22"/>
          <w:szCs w:val="22"/>
        </w:rPr>
        <w:t>by 2018</w:t>
      </w:r>
      <w:r w:rsidR="006F0065">
        <w:rPr>
          <w:sz w:val="22"/>
          <w:szCs w:val="22"/>
        </w:rPr>
        <w:t xml:space="preserve"> and </w:t>
      </w:r>
      <w:r w:rsidR="00CF4868">
        <w:rPr>
          <w:sz w:val="22"/>
          <w:szCs w:val="22"/>
        </w:rPr>
        <w:t xml:space="preserve">to </w:t>
      </w:r>
      <w:r w:rsidR="00F82C04">
        <w:rPr>
          <w:sz w:val="22"/>
          <w:szCs w:val="22"/>
        </w:rPr>
        <w:t>dramatically expand access to an</w:t>
      </w:r>
      <w:r w:rsidR="006F0065">
        <w:rPr>
          <w:sz w:val="22"/>
          <w:szCs w:val="22"/>
        </w:rPr>
        <w:t xml:space="preserve"> array of digital content, tools, </w:t>
      </w:r>
      <w:r w:rsidR="00F82C04">
        <w:rPr>
          <w:sz w:val="22"/>
          <w:szCs w:val="22"/>
        </w:rPr>
        <w:t>and applications that effectively use technology to strengthen teaching and learning.</w:t>
      </w:r>
    </w:p>
    <w:p w:rsidR="00CA4EDF" w:rsidRPr="00CA4EDF" w:rsidRDefault="00CA4EDF" w:rsidP="00CA4EDF">
      <w:pPr>
        <w:pStyle w:val="Heading1"/>
      </w:pPr>
      <w:bookmarkStart w:id="2" w:name="_Toc420011380"/>
      <w:r w:rsidRPr="00CA4EDF">
        <w:t>Mission</w:t>
      </w:r>
      <w:bookmarkEnd w:id="2"/>
    </w:p>
    <w:p w:rsidR="008320B4" w:rsidRPr="00CA4EDF" w:rsidRDefault="008320B4" w:rsidP="008320B4">
      <w:pPr>
        <w:rPr>
          <w:sz w:val="22"/>
          <w:szCs w:val="22"/>
        </w:rPr>
      </w:pPr>
      <w:r w:rsidRPr="00CA4EDF">
        <w:rPr>
          <w:sz w:val="22"/>
          <w:szCs w:val="22"/>
        </w:rPr>
        <w:t xml:space="preserve">The mission of the program is </w:t>
      </w:r>
      <w:r w:rsidR="00EA6251">
        <w:rPr>
          <w:sz w:val="22"/>
          <w:szCs w:val="22"/>
        </w:rPr>
        <w:t xml:space="preserve">to </w:t>
      </w:r>
      <w:r w:rsidR="00EA6251" w:rsidRPr="004D299C">
        <w:rPr>
          <w:sz w:val="22"/>
          <w:szCs w:val="22"/>
        </w:rPr>
        <w:t>bridge the digital divide that exists in some schools across the Commonwealth and strengthen twenty-first century teaching and learning</w:t>
      </w:r>
      <w:r w:rsidRPr="00CA4EDF">
        <w:rPr>
          <w:sz w:val="22"/>
          <w:szCs w:val="22"/>
        </w:rPr>
        <w:t>.</w:t>
      </w:r>
    </w:p>
    <w:p w:rsidR="00CA4EDF" w:rsidRPr="00CA4EDF" w:rsidRDefault="00CA4EDF" w:rsidP="00CA4EDF">
      <w:pPr>
        <w:pStyle w:val="Heading1"/>
      </w:pPr>
      <w:bookmarkStart w:id="3" w:name="_Toc420011381"/>
      <w:r w:rsidRPr="00CA4EDF">
        <w:t>Core Principles</w:t>
      </w:r>
      <w:bookmarkEnd w:id="3"/>
    </w:p>
    <w:p w:rsidR="008320B4" w:rsidRPr="00CA4EDF" w:rsidRDefault="008320B4" w:rsidP="008356D0">
      <w:pPr>
        <w:rPr>
          <w:sz w:val="22"/>
          <w:szCs w:val="22"/>
        </w:rPr>
      </w:pPr>
      <w:r w:rsidRPr="00CA4EDF">
        <w:rPr>
          <w:sz w:val="22"/>
          <w:szCs w:val="22"/>
        </w:rPr>
        <w:t>On September 16, 2014 an advi</w:t>
      </w:r>
      <w:r w:rsidR="00CA4EDF" w:rsidRPr="00CA4EDF">
        <w:rPr>
          <w:sz w:val="22"/>
          <w:szCs w:val="22"/>
        </w:rPr>
        <w:t xml:space="preserve">sory committee </w:t>
      </w:r>
      <w:r w:rsidRPr="00CA4EDF">
        <w:rPr>
          <w:sz w:val="22"/>
          <w:szCs w:val="22"/>
        </w:rPr>
        <w:t xml:space="preserve">with broad representation </w:t>
      </w:r>
      <w:r w:rsidR="00CA4EDF" w:rsidRPr="00CA4EDF">
        <w:rPr>
          <w:sz w:val="22"/>
          <w:szCs w:val="22"/>
        </w:rPr>
        <w:t xml:space="preserve">from </w:t>
      </w:r>
      <w:r w:rsidR="008356D0">
        <w:rPr>
          <w:sz w:val="22"/>
          <w:szCs w:val="22"/>
        </w:rPr>
        <w:t>state government, local school districts, and professional associations</w:t>
      </w:r>
      <w:r w:rsidR="00CA4EDF" w:rsidRPr="00CA4EDF">
        <w:rPr>
          <w:sz w:val="22"/>
          <w:szCs w:val="22"/>
        </w:rPr>
        <w:t xml:space="preserve"> </w:t>
      </w:r>
      <w:r w:rsidR="008356D0">
        <w:rPr>
          <w:sz w:val="22"/>
          <w:szCs w:val="22"/>
        </w:rPr>
        <w:t>convened</w:t>
      </w:r>
      <w:r w:rsidRPr="00CA4EDF">
        <w:rPr>
          <w:sz w:val="22"/>
          <w:szCs w:val="22"/>
        </w:rPr>
        <w:t xml:space="preserve"> </w:t>
      </w:r>
      <w:r w:rsidR="008356D0">
        <w:rPr>
          <w:sz w:val="22"/>
          <w:szCs w:val="22"/>
        </w:rPr>
        <w:t xml:space="preserve">at the State House </w:t>
      </w:r>
      <w:r w:rsidRPr="00CA4EDF">
        <w:rPr>
          <w:sz w:val="22"/>
          <w:szCs w:val="22"/>
        </w:rPr>
        <w:t>to establish the</w:t>
      </w:r>
      <w:r w:rsidR="00EA6251">
        <w:rPr>
          <w:sz w:val="22"/>
          <w:szCs w:val="22"/>
        </w:rPr>
        <w:t>se</w:t>
      </w:r>
      <w:r w:rsidRPr="00CA4EDF">
        <w:rPr>
          <w:sz w:val="22"/>
          <w:szCs w:val="22"/>
        </w:rPr>
        <w:t xml:space="preserve"> principles:</w:t>
      </w:r>
    </w:p>
    <w:p w:rsidR="00CA4EDF" w:rsidRPr="00CA4EDF" w:rsidRDefault="00CA4EDF" w:rsidP="008356D0">
      <w:pPr>
        <w:rPr>
          <w:sz w:val="22"/>
          <w:szCs w:val="22"/>
        </w:rPr>
      </w:pPr>
    </w:p>
    <w:p w:rsidR="00CA4EDF" w:rsidRPr="00CA4EDF" w:rsidRDefault="00CA4EDF" w:rsidP="008356D0">
      <w:pPr>
        <w:pStyle w:val="ListParagraph"/>
        <w:numPr>
          <w:ilvl w:val="0"/>
          <w:numId w:val="24"/>
        </w:numPr>
        <w:contextualSpacing w:val="0"/>
        <w:rPr>
          <w:bCs/>
          <w:sz w:val="22"/>
          <w:szCs w:val="22"/>
        </w:rPr>
      </w:pPr>
      <w:r w:rsidRPr="00CA4EDF">
        <w:rPr>
          <w:bCs/>
          <w:sz w:val="22"/>
          <w:szCs w:val="22"/>
        </w:rPr>
        <w:t>Funds shall be available to all types of communities</w:t>
      </w:r>
      <w:r w:rsidR="00CF4868">
        <w:rPr>
          <w:bCs/>
          <w:sz w:val="22"/>
          <w:szCs w:val="22"/>
        </w:rPr>
        <w:t>:</w:t>
      </w:r>
      <w:r w:rsidRPr="00CA4EDF">
        <w:rPr>
          <w:bCs/>
          <w:sz w:val="22"/>
          <w:szCs w:val="22"/>
        </w:rPr>
        <w:t xml:space="preserve"> urban, suburban, and rural.</w:t>
      </w:r>
    </w:p>
    <w:p w:rsidR="00CA4EDF" w:rsidRPr="00CA4EDF" w:rsidRDefault="00CA4EDF" w:rsidP="008356D0">
      <w:pPr>
        <w:pStyle w:val="ListParagraph"/>
        <w:numPr>
          <w:ilvl w:val="0"/>
          <w:numId w:val="24"/>
        </w:numPr>
        <w:contextualSpacing w:val="0"/>
        <w:rPr>
          <w:bCs/>
          <w:sz w:val="22"/>
          <w:szCs w:val="22"/>
        </w:rPr>
      </w:pPr>
      <w:r w:rsidRPr="00CA4EDF">
        <w:rPr>
          <w:bCs/>
          <w:sz w:val="22"/>
          <w:szCs w:val="22"/>
        </w:rPr>
        <w:t xml:space="preserve">All </w:t>
      </w:r>
      <w:r w:rsidR="00EA6251" w:rsidRPr="00CA4EDF">
        <w:rPr>
          <w:bCs/>
          <w:sz w:val="22"/>
          <w:szCs w:val="22"/>
        </w:rPr>
        <w:t xml:space="preserve">communities </w:t>
      </w:r>
      <w:r w:rsidRPr="00CA4EDF">
        <w:rPr>
          <w:bCs/>
          <w:sz w:val="22"/>
          <w:szCs w:val="22"/>
        </w:rPr>
        <w:t>shall have the opportunity to apply for funding.</w:t>
      </w:r>
    </w:p>
    <w:p w:rsidR="00CA4EDF" w:rsidRPr="00CA4EDF" w:rsidRDefault="00CA4EDF" w:rsidP="008356D0">
      <w:pPr>
        <w:pStyle w:val="ListParagraph"/>
        <w:numPr>
          <w:ilvl w:val="0"/>
          <w:numId w:val="24"/>
        </w:numPr>
        <w:contextualSpacing w:val="0"/>
        <w:rPr>
          <w:bCs/>
          <w:sz w:val="22"/>
          <w:szCs w:val="22"/>
        </w:rPr>
      </w:pPr>
      <w:r w:rsidRPr="00CA4EDF">
        <w:rPr>
          <w:bCs/>
          <w:sz w:val="22"/>
          <w:szCs w:val="22"/>
        </w:rPr>
        <w:lastRenderedPageBreak/>
        <w:t>More funds shall be made available to communities with fewer resources than other communities.</w:t>
      </w:r>
    </w:p>
    <w:p w:rsidR="00CA4EDF" w:rsidRPr="00CA4EDF" w:rsidRDefault="00CA4EDF" w:rsidP="008356D0">
      <w:pPr>
        <w:pStyle w:val="ListParagraph"/>
        <w:numPr>
          <w:ilvl w:val="0"/>
          <w:numId w:val="24"/>
        </w:numPr>
        <w:contextualSpacing w:val="0"/>
        <w:rPr>
          <w:bCs/>
          <w:sz w:val="22"/>
          <w:szCs w:val="22"/>
        </w:rPr>
      </w:pPr>
      <w:r w:rsidRPr="00CA4EDF">
        <w:rPr>
          <w:bCs/>
          <w:sz w:val="22"/>
          <w:szCs w:val="22"/>
        </w:rPr>
        <w:t xml:space="preserve">Applicants shall be incented to propose projects in areas that </w:t>
      </w:r>
      <w:r w:rsidR="00CF4868">
        <w:rPr>
          <w:bCs/>
          <w:sz w:val="22"/>
          <w:szCs w:val="22"/>
        </w:rPr>
        <w:t>have limited or no</w:t>
      </w:r>
      <w:r w:rsidRPr="00CA4EDF">
        <w:rPr>
          <w:bCs/>
          <w:sz w:val="22"/>
          <w:szCs w:val="22"/>
        </w:rPr>
        <w:t xml:space="preserve"> broadband access or that are part of larger, integrated plans to connec</w:t>
      </w:r>
      <w:r w:rsidR="00D4785C">
        <w:rPr>
          <w:bCs/>
          <w:sz w:val="22"/>
          <w:szCs w:val="22"/>
        </w:rPr>
        <w:t>t community anchor institutions such as municipal buildings, libraries, or community centers</w:t>
      </w:r>
      <w:r w:rsidR="00CF4868">
        <w:rPr>
          <w:bCs/>
          <w:sz w:val="22"/>
          <w:szCs w:val="22"/>
        </w:rPr>
        <w:t xml:space="preserve"> to broadband</w:t>
      </w:r>
      <w:r w:rsidR="00D4785C">
        <w:rPr>
          <w:bCs/>
          <w:sz w:val="22"/>
          <w:szCs w:val="22"/>
        </w:rPr>
        <w:t>.</w:t>
      </w:r>
    </w:p>
    <w:p w:rsidR="00CA4EDF" w:rsidRPr="00CA4EDF" w:rsidRDefault="00CA4EDF" w:rsidP="008356D0">
      <w:pPr>
        <w:pStyle w:val="ListParagraph"/>
        <w:numPr>
          <w:ilvl w:val="0"/>
          <w:numId w:val="24"/>
        </w:numPr>
        <w:contextualSpacing w:val="0"/>
        <w:rPr>
          <w:bCs/>
          <w:sz w:val="22"/>
          <w:szCs w:val="22"/>
        </w:rPr>
      </w:pPr>
      <w:r w:rsidRPr="00CA4EDF">
        <w:rPr>
          <w:bCs/>
          <w:sz w:val="22"/>
          <w:szCs w:val="22"/>
        </w:rPr>
        <w:t xml:space="preserve">State agencies shall alleviate </w:t>
      </w:r>
      <w:r w:rsidR="00EA6251">
        <w:rPr>
          <w:bCs/>
          <w:sz w:val="22"/>
          <w:szCs w:val="22"/>
        </w:rPr>
        <w:t xml:space="preserve">the </w:t>
      </w:r>
      <w:r w:rsidRPr="00CA4EDF">
        <w:rPr>
          <w:bCs/>
          <w:sz w:val="22"/>
          <w:szCs w:val="22"/>
        </w:rPr>
        <w:t xml:space="preserve">administrative burden </w:t>
      </w:r>
      <w:r w:rsidR="00EA6251">
        <w:rPr>
          <w:bCs/>
          <w:sz w:val="22"/>
          <w:szCs w:val="22"/>
        </w:rPr>
        <w:t xml:space="preserve">at the local level </w:t>
      </w:r>
      <w:r w:rsidR="00EA6251" w:rsidRPr="00CA4EDF">
        <w:rPr>
          <w:bCs/>
          <w:sz w:val="22"/>
          <w:szCs w:val="22"/>
        </w:rPr>
        <w:t xml:space="preserve">and promote cost savings </w:t>
      </w:r>
      <w:r w:rsidR="00EA6251">
        <w:rPr>
          <w:bCs/>
          <w:sz w:val="22"/>
          <w:szCs w:val="22"/>
        </w:rPr>
        <w:t xml:space="preserve">for </w:t>
      </w:r>
      <w:r w:rsidR="00EA6251" w:rsidRPr="00CA4EDF">
        <w:rPr>
          <w:bCs/>
          <w:sz w:val="22"/>
          <w:szCs w:val="22"/>
        </w:rPr>
        <w:t>communities</w:t>
      </w:r>
      <w:r w:rsidRPr="00CA4EDF">
        <w:rPr>
          <w:bCs/>
          <w:sz w:val="22"/>
          <w:szCs w:val="22"/>
        </w:rPr>
        <w:t>.</w:t>
      </w:r>
    </w:p>
    <w:p w:rsidR="008F759E" w:rsidRPr="00CA4EDF" w:rsidRDefault="00EA6251" w:rsidP="008356D0">
      <w:pPr>
        <w:pStyle w:val="ListParagraph"/>
        <w:numPr>
          <w:ilvl w:val="0"/>
          <w:numId w:val="24"/>
        </w:numPr>
        <w:contextualSpacing w:val="0"/>
        <w:rPr>
          <w:bCs/>
          <w:sz w:val="22"/>
          <w:szCs w:val="22"/>
        </w:rPr>
      </w:pPr>
      <w:r>
        <w:rPr>
          <w:bCs/>
          <w:sz w:val="22"/>
          <w:szCs w:val="22"/>
        </w:rPr>
        <w:t>C</w:t>
      </w:r>
      <w:r w:rsidRPr="00CA4EDF">
        <w:rPr>
          <w:bCs/>
          <w:sz w:val="22"/>
          <w:szCs w:val="22"/>
        </w:rPr>
        <w:t xml:space="preserve">ommunities </w:t>
      </w:r>
      <w:r>
        <w:rPr>
          <w:bCs/>
          <w:sz w:val="22"/>
          <w:szCs w:val="22"/>
        </w:rPr>
        <w:t>shall</w:t>
      </w:r>
      <w:r w:rsidR="00CA4EDF" w:rsidRPr="00CA4EDF">
        <w:rPr>
          <w:bCs/>
          <w:sz w:val="22"/>
          <w:szCs w:val="22"/>
        </w:rPr>
        <w:t xml:space="preserve"> propose projects that mee</w:t>
      </w:r>
      <w:r>
        <w:rPr>
          <w:bCs/>
          <w:sz w:val="22"/>
          <w:szCs w:val="22"/>
        </w:rPr>
        <w:t>t their local context and needs.</w:t>
      </w:r>
    </w:p>
    <w:p w:rsidR="00CA4EDF" w:rsidRDefault="00CA4EDF" w:rsidP="00CA4EDF">
      <w:pPr>
        <w:pStyle w:val="Heading1"/>
      </w:pPr>
      <w:bookmarkStart w:id="4" w:name="_Toc420011382"/>
      <w:r>
        <w:t>Strategic Areas of Focus</w:t>
      </w:r>
      <w:bookmarkEnd w:id="4"/>
    </w:p>
    <w:p w:rsidR="00CA4EDF" w:rsidRDefault="00CA4EDF" w:rsidP="00CA4EDF">
      <w:pPr>
        <w:rPr>
          <w:sz w:val="22"/>
          <w:szCs w:val="22"/>
        </w:rPr>
      </w:pPr>
      <w:r w:rsidRPr="00CA4EDF">
        <w:rPr>
          <w:sz w:val="22"/>
          <w:szCs w:val="22"/>
        </w:rPr>
        <w:t>The plan is guided by four</w:t>
      </w:r>
      <w:r>
        <w:rPr>
          <w:sz w:val="22"/>
          <w:szCs w:val="22"/>
        </w:rPr>
        <w:t xml:space="preserve"> areas of </w:t>
      </w:r>
      <w:r w:rsidR="00E375AE">
        <w:rPr>
          <w:sz w:val="22"/>
          <w:szCs w:val="22"/>
        </w:rPr>
        <w:t xml:space="preserve">strategic </w:t>
      </w:r>
      <w:r>
        <w:rPr>
          <w:sz w:val="22"/>
          <w:szCs w:val="22"/>
        </w:rPr>
        <w:t>focus:</w:t>
      </w:r>
    </w:p>
    <w:p w:rsidR="00CF4868" w:rsidRDefault="00CF4868" w:rsidP="00CF4868">
      <w:pPr>
        <w:pStyle w:val="ListParagraph"/>
        <w:numPr>
          <w:ilvl w:val="0"/>
          <w:numId w:val="30"/>
        </w:numPr>
        <w:rPr>
          <w:sz w:val="22"/>
          <w:szCs w:val="22"/>
        </w:rPr>
      </w:pPr>
      <w:r w:rsidRPr="00ED67A5">
        <w:rPr>
          <w:i/>
          <w:sz w:val="22"/>
          <w:szCs w:val="22"/>
        </w:rPr>
        <w:t>Cost</w:t>
      </w:r>
      <w:r>
        <w:rPr>
          <w:i/>
          <w:sz w:val="22"/>
          <w:szCs w:val="22"/>
        </w:rPr>
        <w:t>-effectiveness</w:t>
      </w:r>
      <w:r>
        <w:rPr>
          <w:sz w:val="22"/>
          <w:szCs w:val="22"/>
        </w:rPr>
        <w:t>: The program will make efficient use of multiple funding streams and the state will leverage its buying power to make technology more affordable to communities.</w:t>
      </w:r>
    </w:p>
    <w:p w:rsidR="00CA4EDF" w:rsidRDefault="00CA4EDF" w:rsidP="00CA4EDF">
      <w:pPr>
        <w:pStyle w:val="ListParagraph"/>
        <w:numPr>
          <w:ilvl w:val="0"/>
          <w:numId w:val="30"/>
        </w:numPr>
        <w:rPr>
          <w:sz w:val="22"/>
          <w:szCs w:val="22"/>
        </w:rPr>
      </w:pPr>
      <w:r w:rsidRPr="00ED67A5">
        <w:rPr>
          <w:i/>
          <w:sz w:val="22"/>
          <w:szCs w:val="22"/>
        </w:rPr>
        <w:t>Interagency collaboration</w:t>
      </w:r>
      <w:r w:rsidR="00CF4868">
        <w:rPr>
          <w:i/>
          <w:sz w:val="22"/>
          <w:szCs w:val="22"/>
        </w:rPr>
        <w:t xml:space="preserve"> in support of municipalities</w:t>
      </w:r>
      <w:r w:rsidR="008356D0">
        <w:rPr>
          <w:sz w:val="22"/>
          <w:szCs w:val="22"/>
        </w:rPr>
        <w:t xml:space="preserve">: Agencies across state government will leverage their specific areas of expertise to support </w:t>
      </w:r>
      <w:r w:rsidR="00EA6251">
        <w:rPr>
          <w:bCs/>
          <w:sz w:val="22"/>
          <w:szCs w:val="22"/>
        </w:rPr>
        <w:t>communities</w:t>
      </w:r>
      <w:r w:rsidR="006809CF">
        <w:rPr>
          <w:sz w:val="22"/>
          <w:szCs w:val="22"/>
        </w:rPr>
        <w:t>.</w:t>
      </w:r>
    </w:p>
    <w:p w:rsidR="00CA4EDF" w:rsidRDefault="00CA4EDF" w:rsidP="00CA4EDF">
      <w:pPr>
        <w:pStyle w:val="ListParagraph"/>
        <w:numPr>
          <w:ilvl w:val="0"/>
          <w:numId w:val="30"/>
        </w:numPr>
        <w:rPr>
          <w:sz w:val="22"/>
          <w:szCs w:val="22"/>
        </w:rPr>
      </w:pPr>
      <w:r w:rsidRPr="00ED67A5">
        <w:rPr>
          <w:i/>
          <w:sz w:val="22"/>
          <w:szCs w:val="22"/>
        </w:rPr>
        <w:t>Efficiencies of scale</w:t>
      </w:r>
      <w:r w:rsidR="00B87493">
        <w:rPr>
          <w:sz w:val="22"/>
          <w:szCs w:val="22"/>
        </w:rPr>
        <w:t xml:space="preserve">: The state will act as an aggregator for infrastructure upgrades and </w:t>
      </w:r>
      <w:r w:rsidR="00EA6251">
        <w:rPr>
          <w:sz w:val="22"/>
          <w:szCs w:val="22"/>
        </w:rPr>
        <w:t>serve</w:t>
      </w:r>
      <w:r w:rsidR="00B87493">
        <w:rPr>
          <w:sz w:val="22"/>
          <w:szCs w:val="22"/>
        </w:rPr>
        <w:t xml:space="preserve"> as the lead consortium applicant in obtaining federal E-rate technology </w:t>
      </w:r>
      <w:r w:rsidR="00EA6251">
        <w:rPr>
          <w:sz w:val="22"/>
          <w:szCs w:val="22"/>
        </w:rPr>
        <w:t>discounts</w:t>
      </w:r>
      <w:r w:rsidR="00B87493">
        <w:rPr>
          <w:sz w:val="22"/>
          <w:szCs w:val="22"/>
        </w:rPr>
        <w:t>.</w:t>
      </w:r>
    </w:p>
    <w:p w:rsidR="00CA4EDF" w:rsidRPr="00CA4EDF" w:rsidRDefault="00CA4EDF" w:rsidP="00CA4EDF">
      <w:pPr>
        <w:pStyle w:val="ListParagraph"/>
        <w:numPr>
          <w:ilvl w:val="0"/>
          <w:numId w:val="30"/>
        </w:numPr>
        <w:rPr>
          <w:sz w:val="22"/>
          <w:szCs w:val="22"/>
        </w:rPr>
      </w:pPr>
      <w:r w:rsidRPr="00ED67A5">
        <w:rPr>
          <w:i/>
          <w:sz w:val="22"/>
          <w:szCs w:val="22"/>
        </w:rPr>
        <w:t>Local capacity and sustainability</w:t>
      </w:r>
      <w:r w:rsidR="00B87493">
        <w:rPr>
          <w:sz w:val="22"/>
          <w:szCs w:val="22"/>
        </w:rPr>
        <w:t xml:space="preserve">: </w:t>
      </w:r>
      <w:r w:rsidR="00EA6251">
        <w:rPr>
          <w:sz w:val="22"/>
          <w:szCs w:val="22"/>
        </w:rPr>
        <w:t>S</w:t>
      </w:r>
      <w:r w:rsidR="00B87493">
        <w:rPr>
          <w:sz w:val="22"/>
          <w:szCs w:val="22"/>
        </w:rPr>
        <w:t xml:space="preserve">afeguards and incentives </w:t>
      </w:r>
      <w:r w:rsidR="00612B82">
        <w:rPr>
          <w:sz w:val="22"/>
          <w:szCs w:val="22"/>
        </w:rPr>
        <w:t xml:space="preserve">are intended to </w:t>
      </w:r>
      <w:r w:rsidR="00EA6251">
        <w:rPr>
          <w:sz w:val="22"/>
          <w:szCs w:val="22"/>
        </w:rPr>
        <w:t>help</w:t>
      </w:r>
      <w:r w:rsidR="00B87493">
        <w:rPr>
          <w:sz w:val="22"/>
          <w:szCs w:val="22"/>
        </w:rPr>
        <w:t xml:space="preserve"> </w:t>
      </w:r>
      <w:r w:rsidR="00EA6251">
        <w:rPr>
          <w:sz w:val="22"/>
          <w:szCs w:val="22"/>
        </w:rPr>
        <w:t xml:space="preserve">promote the efficient and effective management of technology resources </w:t>
      </w:r>
      <w:r w:rsidR="00B87493">
        <w:rPr>
          <w:sz w:val="22"/>
          <w:szCs w:val="22"/>
        </w:rPr>
        <w:t>over the long term.</w:t>
      </w:r>
    </w:p>
    <w:p w:rsidR="00CA4EDF" w:rsidRPr="00CA4EDF" w:rsidRDefault="00CA4EDF" w:rsidP="00CA4EDF">
      <w:pPr>
        <w:pStyle w:val="Heading1"/>
      </w:pPr>
      <w:bookmarkStart w:id="5" w:name="_Toc420011383"/>
      <w:r>
        <w:t>Str</w:t>
      </w:r>
      <w:r w:rsidRPr="00CA4EDF">
        <w:t>ategic Goals</w:t>
      </w:r>
      <w:bookmarkEnd w:id="5"/>
    </w:p>
    <w:p w:rsidR="00EA6251" w:rsidRPr="00EA6251" w:rsidRDefault="00EA6251" w:rsidP="00EA6251">
      <w:pPr>
        <w:rPr>
          <w:sz w:val="22"/>
          <w:szCs w:val="22"/>
        </w:rPr>
      </w:pPr>
      <w:r>
        <w:rPr>
          <w:sz w:val="22"/>
          <w:szCs w:val="22"/>
        </w:rPr>
        <w:t xml:space="preserve">The </w:t>
      </w:r>
      <w:r w:rsidR="00612B82">
        <w:rPr>
          <w:sz w:val="22"/>
          <w:szCs w:val="22"/>
        </w:rPr>
        <w:t xml:space="preserve">program’s </w:t>
      </w:r>
      <w:r>
        <w:rPr>
          <w:sz w:val="22"/>
          <w:szCs w:val="22"/>
        </w:rPr>
        <w:t>strategic goals derive from the legislation:</w:t>
      </w:r>
    </w:p>
    <w:p w:rsidR="00CA4EDF" w:rsidRPr="00CA4EDF" w:rsidRDefault="00EA6251" w:rsidP="00B87493">
      <w:pPr>
        <w:pStyle w:val="ListParagraph"/>
        <w:numPr>
          <w:ilvl w:val="0"/>
          <w:numId w:val="29"/>
        </w:numPr>
        <w:contextualSpacing w:val="0"/>
        <w:rPr>
          <w:sz w:val="22"/>
          <w:szCs w:val="22"/>
        </w:rPr>
      </w:pPr>
      <w:r>
        <w:rPr>
          <w:sz w:val="22"/>
          <w:szCs w:val="22"/>
        </w:rPr>
        <w:t>M</w:t>
      </w:r>
      <w:r w:rsidR="00CA4EDF" w:rsidRPr="00CA4EDF">
        <w:rPr>
          <w:sz w:val="22"/>
          <w:szCs w:val="22"/>
        </w:rPr>
        <w:t>aximize taxpayer value, student access to information technology and information technology preparedness.</w:t>
      </w:r>
    </w:p>
    <w:p w:rsidR="00CA4EDF" w:rsidRPr="00CA4EDF" w:rsidRDefault="00EA6251" w:rsidP="00B87493">
      <w:pPr>
        <w:pStyle w:val="ListParagraph"/>
        <w:numPr>
          <w:ilvl w:val="0"/>
          <w:numId w:val="29"/>
        </w:numPr>
        <w:contextualSpacing w:val="0"/>
        <w:rPr>
          <w:sz w:val="22"/>
          <w:szCs w:val="22"/>
        </w:rPr>
      </w:pPr>
      <w:r>
        <w:rPr>
          <w:sz w:val="22"/>
          <w:szCs w:val="22"/>
        </w:rPr>
        <w:t>P</w:t>
      </w:r>
      <w:r w:rsidR="00CA4EDF" w:rsidRPr="00CA4EDF">
        <w:rPr>
          <w:sz w:val="22"/>
          <w:szCs w:val="22"/>
        </w:rPr>
        <w:t>rovide student access to individualized and rigorous digital learning experiences.</w:t>
      </w:r>
    </w:p>
    <w:p w:rsidR="00CA4EDF" w:rsidRPr="00CA4EDF" w:rsidRDefault="00EA6251" w:rsidP="00B87493">
      <w:pPr>
        <w:pStyle w:val="ListParagraph"/>
        <w:numPr>
          <w:ilvl w:val="0"/>
          <w:numId w:val="29"/>
        </w:numPr>
        <w:contextualSpacing w:val="0"/>
        <w:rPr>
          <w:sz w:val="22"/>
          <w:szCs w:val="22"/>
        </w:rPr>
      </w:pPr>
      <w:r>
        <w:rPr>
          <w:sz w:val="22"/>
          <w:szCs w:val="22"/>
        </w:rPr>
        <w:t>E</w:t>
      </w:r>
      <w:r w:rsidR="00CA4EDF" w:rsidRPr="00CA4EDF">
        <w:rPr>
          <w:sz w:val="22"/>
          <w:szCs w:val="22"/>
        </w:rPr>
        <w:t>nsure that educators and administrators have the knowledge and skills to implement digital learning curricula.</w:t>
      </w:r>
    </w:p>
    <w:p w:rsidR="00E375AE" w:rsidRDefault="00EA6251" w:rsidP="00B87493">
      <w:pPr>
        <w:pStyle w:val="ListParagraph"/>
        <w:numPr>
          <w:ilvl w:val="0"/>
          <w:numId w:val="29"/>
        </w:numPr>
        <w:contextualSpacing w:val="0"/>
        <w:rPr>
          <w:sz w:val="22"/>
          <w:szCs w:val="22"/>
        </w:rPr>
      </w:pPr>
      <w:r>
        <w:rPr>
          <w:sz w:val="22"/>
          <w:szCs w:val="22"/>
        </w:rPr>
        <w:t>M</w:t>
      </w:r>
      <w:r w:rsidR="00CA4EDF" w:rsidRPr="00CA4EDF">
        <w:rPr>
          <w:sz w:val="22"/>
          <w:szCs w:val="22"/>
        </w:rPr>
        <w:t xml:space="preserve">aximize access </w:t>
      </w:r>
      <w:r w:rsidR="00CC0DF6">
        <w:rPr>
          <w:sz w:val="22"/>
          <w:szCs w:val="22"/>
        </w:rPr>
        <w:t>to</w:t>
      </w:r>
      <w:r w:rsidR="00CC0DF6" w:rsidRPr="00CA4EDF">
        <w:rPr>
          <w:sz w:val="22"/>
          <w:szCs w:val="22"/>
        </w:rPr>
        <w:t xml:space="preserve"> </w:t>
      </w:r>
      <w:r w:rsidR="00CA4EDF" w:rsidRPr="00CA4EDF">
        <w:rPr>
          <w:sz w:val="22"/>
          <w:szCs w:val="22"/>
        </w:rPr>
        <w:t xml:space="preserve">broadband and </w:t>
      </w:r>
      <w:r w:rsidR="00E20EDA">
        <w:rPr>
          <w:sz w:val="22"/>
          <w:szCs w:val="22"/>
        </w:rPr>
        <w:t>strengthen teaching and learning across the state in keeping with twenty-first century standards</w:t>
      </w:r>
      <w:r w:rsidR="00CA4EDF" w:rsidRPr="00CA4EDF">
        <w:rPr>
          <w:sz w:val="22"/>
          <w:szCs w:val="22"/>
        </w:rPr>
        <w:t>.</w:t>
      </w:r>
    </w:p>
    <w:p w:rsidR="006809CF" w:rsidRDefault="006809CF" w:rsidP="006809CF">
      <w:pPr>
        <w:pStyle w:val="Heading1"/>
      </w:pPr>
      <w:bookmarkStart w:id="6" w:name="_Toc420011384"/>
      <w:r w:rsidRPr="006809CF">
        <w:t>Action Plans</w:t>
      </w:r>
      <w:bookmarkEnd w:id="6"/>
    </w:p>
    <w:p w:rsidR="006809CF" w:rsidRPr="006809CF" w:rsidRDefault="006809CF" w:rsidP="006809CF">
      <w:pPr>
        <w:sectPr w:rsidR="006809CF" w:rsidRPr="006809CF" w:rsidSect="00236809">
          <w:footerReference w:type="default" r:id="rId22"/>
          <w:pgSz w:w="12240" w:h="15840"/>
          <w:pgMar w:top="1440" w:right="1440" w:bottom="1440" w:left="1440" w:header="720" w:footer="720" w:gutter="0"/>
          <w:pgNumType w:start="1"/>
          <w:cols w:space="720"/>
          <w:docGrid w:linePitch="326"/>
        </w:sectPr>
      </w:pPr>
      <w:r>
        <w:rPr>
          <w:sz w:val="22"/>
          <w:szCs w:val="22"/>
        </w:rPr>
        <w:t>The plans on the following pages identify strategies, responsible state agencies, action steps, and timeline</w:t>
      </w:r>
      <w:r w:rsidR="00F404A9">
        <w:rPr>
          <w:sz w:val="22"/>
          <w:szCs w:val="22"/>
        </w:rPr>
        <w:t>s</w:t>
      </w:r>
      <w:r>
        <w:rPr>
          <w:sz w:val="22"/>
          <w:szCs w:val="22"/>
        </w:rPr>
        <w:t xml:space="preserve"> through the 2016-17 school year. </w:t>
      </w:r>
      <w:r w:rsidR="00F404A9">
        <w:rPr>
          <w:sz w:val="22"/>
          <w:szCs w:val="22"/>
        </w:rPr>
        <w:t>If</w:t>
      </w:r>
      <w:r w:rsidRPr="006809CF">
        <w:rPr>
          <w:sz w:val="22"/>
          <w:szCs w:val="22"/>
        </w:rPr>
        <w:t xml:space="preserve"> additional state bonds </w:t>
      </w:r>
      <w:r w:rsidR="00F404A9">
        <w:rPr>
          <w:sz w:val="22"/>
          <w:szCs w:val="22"/>
        </w:rPr>
        <w:t>are</w:t>
      </w:r>
      <w:r w:rsidRPr="006809CF">
        <w:rPr>
          <w:sz w:val="22"/>
          <w:szCs w:val="22"/>
        </w:rPr>
        <w:t xml:space="preserve"> released, MassIT and the Department are prepared to run a second competition through the 2017-18 school year.</w:t>
      </w:r>
    </w:p>
    <w:tbl>
      <w:tblPr>
        <w:tblStyle w:val="TableGrid"/>
        <w:tblW w:w="5000" w:type="pct"/>
        <w:tblLook w:val="04A0"/>
      </w:tblPr>
      <w:tblGrid>
        <w:gridCol w:w="2559"/>
        <w:gridCol w:w="1283"/>
        <w:gridCol w:w="8130"/>
        <w:gridCol w:w="1204"/>
      </w:tblGrid>
      <w:tr w:rsidR="00E375AE" w:rsidRPr="00E375AE" w:rsidTr="005914A1">
        <w:trPr>
          <w:cantSplit/>
          <w:tblHeader/>
        </w:trPr>
        <w:tc>
          <w:tcPr>
            <w:tcW w:w="5000" w:type="pct"/>
            <w:gridSpan w:val="4"/>
          </w:tcPr>
          <w:p w:rsidR="00E375AE" w:rsidRPr="00F70069" w:rsidRDefault="00E375AE" w:rsidP="00612B82">
            <w:pPr>
              <w:pStyle w:val="Heading3"/>
              <w:widowControl/>
              <w:spacing w:before="80" w:after="80"/>
              <w:outlineLvl w:val="2"/>
              <w:rPr>
                <w:rFonts w:ascii="Times New Roman" w:hAnsi="Times New Roman" w:cs="Times New Roman"/>
                <w:sz w:val="20"/>
                <w:szCs w:val="20"/>
              </w:rPr>
            </w:pPr>
            <w:bookmarkStart w:id="7" w:name="_Toc420011385"/>
            <w:r w:rsidRPr="00F70069">
              <w:rPr>
                <w:rFonts w:ascii="Times New Roman" w:hAnsi="Times New Roman" w:cs="Times New Roman"/>
                <w:sz w:val="20"/>
                <w:szCs w:val="20"/>
              </w:rPr>
              <w:lastRenderedPageBreak/>
              <w:t>S</w:t>
            </w:r>
            <w:r w:rsidR="005914A1">
              <w:rPr>
                <w:rFonts w:ascii="Times New Roman" w:hAnsi="Times New Roman" w:cs="Times New Roman"/>
                <w:sz w:val="20"/>
                <w:szCs w:val="20"/>
              </w:rPr>
              <w:t>trategic Goal 1: Maxi</w:t>
            </w:r>
            <w:r w:rsidRPr="00F70069">
              <w:rPr>
                <w:rFonts w:ascii="Times New Roman" w:hAnsi="Times New Roman" w:cs="Times New Roman"/>
                <w:sz w:val="20"/>
                <w:szCs w:val="20"/>
              </w:rPr>
              <w:t>mize taxpayer value, student access to information technology and information technology preparedness</w:t>
            </w:r>
            <w:bookmarkEnd w:id="7"/>
          </w:p>
        </w:tc>
      </w:tr>
      <w:tr w:rsidR="00E375AE" w:rsidRPr="00E375AE" w:rsidTr="005914A1">
        <w:trPr>
          <w:cantSplit/>
          <w:tblHeader/>
        </w:trPr>
        <w:tc>
          <w:tcPr>
            <w:tcW w:w="971" w:type="pct"/>
          </w:tcPr>
          <w:p w:rsidR="00E375AE" w:rsidRPr="00F70069" w:rsidRDefault="00E375AE" w:rsidP="00C325E2">
            <w:pPr>
              <w:pStyle w:val="Heading4"/>
              <w:keepNext/>
              <w:widowControl/>
              <w:outlineLvl w:val="3"/>
            </w:pPr>
            <w:r w:rsidRPr="00F70069">
              <w:t>Strategies</w:t>
            </w:r>
          </w:p>
        </w:tc>
        <w:tc>
          <w:tcPr>
            <w:tcW w:w="487" w:type="pct"/>
          </w:tcPr>
          <w:p w:rsidR="00E375AE" w:rsidRPr="00F70069" w:rsidRDefault="00E375AE" w:rsidP="00C325E2">
            <w:pPr>
              <w:keepNext/>
              <w:widowControl/>
              <w:spacing w:before="80" w:after="80"/>
              <w:rPr>
                <w:b/>
                <w:sz w:val="20"/>
                <w:szCs w:val="20"/>
              </w:rPr>
            </w:pPr>
            <w:r w:rsidRPr="00F70069">
              <w:rPr>
                <w:b/>
                <w:sz w:val="20"/>
                <w:szCs w:val="20"/>
              </w:rPr>
              <w:t>Responsible Agency</w:t>
            </w:r>
            <w:r w:rsidR="00F404A9">
              <w:rPr>
                <w:rStyle w:val="FootnoteReference"/>
                <w:b/>
                <w:sz w:val="20"/>
                <w:szCs w:val="20"/>
              </w:rPr>
              <w:footnoteReference w:id="3"/>
            </w:r>
          </w:p>
        </w:tc>
        <w:tc>
          <w:tcPr>
            <w:tcW w:w="3085" w:type="pct"/>
          </w:tcPr>
          <w:p w:rsidR="00E375AE" w:rsidRPr="00F70069" w:rsidRDefault="00E375AE" w:rsidP="00C325E2">
            <w:pPr>
              <w:keepNext/>
              <w:widowControl/>
              <w:spacing w:before="80" w:after="80"/>
              <w:rPr>
                <w:b/>
                <w:sz w:val="20"/>
                <w:szCs w:val="20"/>
              </w:rPr>
            </w:pPr>
            <w:r w:rsidRPr="00F70069">
              <w:rPr>
                <w:b/>
                <w:sz w:val="20"/>
                <w:szCs w:val="20"/>
              </w:rPr>
              <w:t>Actions</w:t>
            </w:r>
          </w:p>
        </w:tc>
        <w:tc>
          <w:tcPr>
            <w:tcW w:w="457" w:type="pct"/>
          </w:tcPr>
          <w:p w:rsidR="00E375AE" w:rsidRPr="00F70069" w:rsidRDefault="00E375AE" w:rsidP="00C325E2">
            <w:pPr>
              <w:keepNext/>
              <w:widowControl/>
              <w:spacing w:before="80" w:after="80"/>
              <w:rPr>
                <w:b/>
                <w:sz w:val="20"/>
                <w:szCs w:val="20"/>
              </w:rPr>
            </w:pPr>
            <w:r w:rsidRPr="00F70069">
              <w:rPr>
                <w:b/>
                <w:sz w:val="20"/>
                <w:szCs w:val="20"/>
              </w:rPr>
              <w:t>Timeline</w:t>
            </w:r>
          </w:p>
        </w:tc>
      </w:tr>
      <w:tr w:rsidR="00E375AE" w:rsidRPr="00E375AE" w:rsidTr="005914A1">
        <w:trPr>
          <w:cantSplit/>
        </w:trPr>
        <w:tc>
          <w:tcPr>
            <w:tcW w:w="971" w:type="pct"/>
            <w:vMerge w:val="restart"/>
          </w:tcPr>
          <w:p w:rsidR="00E375AE" w:rsidRPr="00EB4A7A" w:rsidRDefault="00F404A9" w:rsidP="00F404A9">
            <w:pPr>
              <w:spacing w:before="80" w:after="80"/>
              <w:rPr>
                <w:sz w:val="20"/>
              </w:rPr>
            </w:pPr>
            <w:r>
              <w:rPr>
                <w:sz w:val="20"/>
              </w:rPr>
              <w:t>Develop a transparent funding structure that channels</w:t>
            </w:r>
            <w:r w:rsidR="00E375AE" w:rsidRPr="00EB4A7A">
              <w:rPr>
                <w:sz w:val="20"/>
              </w:rPr>
              <w:t xml:space="preserve"> more matching state dollars to communities with fewer resources than other communities.</w:t>
            </w:r>
          </w:p>
        </w:tc>
        <w:tc>
          <w:tcPr>
            <w:tcW w:w="487" w:type="pct"/>
          </w:tcPr>
          <w:p w:rsidR="00E375AE" w:rsidRPr="00E375AE" w:rsidRDefault="00E375AE" w:rsidP="00C325E2">
            <w:pPr>
              <w:spacing w:before="80" w:after="80"/>
              <w:rPr>
                <w:sz w:val="20"/>
                <w:szCs w:val="20"/>
              </w:rPr>
            </w:pPr>
            <w:r w:rsidRPr="00E375AE">
              <w:rPr>
                <w:sz w:val="20"/>
                <w:szCs w:val="20"/>
              </w:rPr>
              <w:t>ESE</w:t>
            </w:r>
          </w:p>
        </w:tc>
        <w:tc>
          <w:tcPr>
            <w:tcW w:w="3085" w:type="pct"/>
          </w:tcPr>
          <w:p w:rsidR="00E375AE" w:rsidRPr="00B6016A" w:rsidRDefault="00B6016A" w:rsidP="00C325E2">
            <w:pPr>
              <w:pStyle w:val="ListParagraph"/>
              <w:numPr>
                <w:ilvl w:val="0"/>
                <w:numId w:val="31"/>
              </w:numPr>
              <w:spacing w:before="80" w:after="80"/>
              <w:ind w:left="281" w:hanging="281"/>
              <w:contextualSpacing w:val="0"/>
              <w:rPr>
                <w:sz w:val="20"/>
                <w:szCs w:val="20"/>
              </w:rPr>
            </w:pPr>
            <w:r>
              <w:rPr>
                <w:sz w:val="20"/>
                <w:szCs w:val="20"/>
              </w:rPr>
              <w:t>Classify</w:t>
            </w:r>
            <w:r w:rsidR="00E375AE" w:rsidRPr="00B6016A">
              <w:rPr>
                <w:sz w:val="20"/>
                <w:szCs w:val="20"/>
              </w:rPr>
              <w:t xml:space="preserve"> </w:t>
            </w:r>
            <w:r w:rsidR="00FA0E47">
              <w:rPr>
                <w:sz w:val="20"/>
                <w:szCs w:val="20"/>
              </w:rPr>
              <w:t>communities</w:t>
            </w:r>
            <w:r w:rsidR="00E375AE" w:rsidRPr="00B6016A">
              <w:rPr>
                <w:sz w:val="20"/>
                <w:szCs w:val="20"/>
              </w:rPr>
              <w:t xml:space="preserve"> as urban, suburban, or rural using data provided by the Department of Elementary and Secondary Education’s School Finance Office.</w:t>
            </w:r>
          </w:p>
          <w:p w:rsidR="00E375AE" w:rsidRPr="001401A1" w:rsidRDefault="00FA0E47" w:rsidP="00C325E2">
            <w:pPr>
              <w:pStyle w:val="ListParagraph"/>
              <w:numPr>
                <w:ilvl w:val="0"/>
                <w:numId w:val="31"/>
              </w:numPr>
              <w:spacing w:before="80" w:after="80"/>
              <w:ind w:left="281" w:hanging="281"/>
              <w:contextualSpacing w:val="0"/>
              <w:rPr>
                <w:sz w:val="20"/>
                <w:szCs w:val="20"/>
              </w:rPr>
            </w:pPr>
            <w:r>
              <w:rPr>
                <w:sz w:val="20"/>
                <w:szCs w:val="20"/>
              </w:rPr>
              <w:t>D</w:t>
            </w:r>
            <w:r w:rsidR="00E375AE" w:rsidRPr="001401A1">
              <w:rPr>
                <w:sz w:val="20"/>
                <w:szCs w:val="20"/>
              </w:rPr>
              <w:t>etermine each community’s contribution (local ef</w:t>
            </w:r>
            <w:r w:rsidR="001401A1" w:rsidRPr="001401A1">
              <w:rPr>
                <w:sz w:val="20"/>
                <w:szCs w:val="20"/>
              </w:rPr>
              <w:t xml:space="preserve">fort) to the Chapter 70 program and </w:t>
            </w:r>
            <w:r w:rsidR="001401A1">
              <w:rPr>
                <w:sz w:val="20"/>
                <w:szCs w:val="20"/>
              </w:rPr>
              <w:t>r</w:t>
            </w:r>
            <w:r w:rsidR="00E375AE" w:rsidRPr="001401A1">
              <w:rPr>
                <w:sz w:val="20"/>
                <w:szCs w:val="20"/>
              </w:rPr>
              <w:t xml:space="preserve">ank order </w:t>
            </w:r>
            <w:r w:rsidR="001401A1">
              <w:rPr>
                <w:sz w:val="20"/>
                <w:szCs w:val="20"/>
              </w:rPr>
              <w:t>them</w:t>
            </w:r>
            <w:r w:rsidR="00E375AE" w:rsidRPr="001401A1">
              <w:rPr>
                <w:sz w:val="20"/>
                <w:szCs w:val="20"/>
              </w:rPr>
              <w:t xml:space="preserve"> based on their local effort contribution</w:t>
            </w:r>
            <w:r>
              <w:rPr>
                <w:sz w:val="20"/>
                <w:szCs w:val="20"/>
              </w:rPr>
              <w:t xml:space="preserve"> by community type</w:t>
            </w:r>
            <w:r w:rsidR="001401A1">
              <w:rPr>
                <w:sz w:val="20"/>
                <w:szCs w:val="20"/>
              </w:rPr>
              <w:t>.</w:t>
            </w:r>
          </w:p>
          <w:p w:rsidR="00E375AE" w:rsidRPr="00E375AE" w:rsidRDefault="00FA0E47" w:rsidP="00C325E2">
            <w:pPr>
              <w:pStyle w:val="ListParagraph"/>
              <w:numPr>
                <w:ilvl w:val="0"/>
                <w:numId w:val="31"/>
              </w:numPr>
              <w:spacing w:before="80" w:after="80"/>
              <w:ind w:left="281" w:hanging="281"/>
              <w:contextualSpacing w:val="0"/>
              <w:rPr>
                <w:sz w:val="20"/>
                <w:szCs w:val="20"/>
              </w:rPr>
            </w:pPr>
            <w:r>
              <w:rPr>
                <w:sz w:val="20"/>
                <w:szCs w:val="20"/>
              </w:rPr>
              <w:t>Allocate</w:t>
            </w:r>
            <w:r w:rsidR="00E375AE" w:rsidRPr="00E375AE">
              <w:rPr>
                <w:sz w:val="20"/>
                <w:szCs w:val="20"/>
              </w:rPr>
              <w:t xml:space="preserve"> $5 million in matching state funds </w:t>
            </w:r>
            <w:r>
              <w:rPr>
                <w:sz w:val="20"/>
                <w:szCs w:val="20"/>
              </w:rPr>
              <w:t>to each community type proportionate to aggregate Chapter 70 foundation enrollment</w:t>
            </w:r>
            <w:r w:rsidR="00E375AE" w:rsidRPr="00E375AE">
              <w:rPr>
                <w:sz w:val="20"/>
                <w:szCs w:val="20"/>
              </w:rPr>
              <w:t>: urban (40</w:t>
            </w:r>
            <w:r w:rsidR="000105FA">
              <w:rPr>
                <w:sz w:val="20"/>
                <w:szCs w:val="20"/>
              </w:rPr>
              <w:t xml:space="preserve"> percent</w:t>
            </w:r>
            <w:r w:rsidR="00E375AE" w:rsidRPr="00E375AE">
              <w:rPr>
                <w:sz w:val="20"/>
                <w:szCs w:val="20"/>
              </w:rPr>
              <w:t>), suburban (40</w:t>
            </w:r>
            <w:r w:rsidR="000105FA">
              <w:rPr>
                <w:sz w:val="20"/>
                <w:szCs w:val="20"/>
              </w:rPr>
              <w:t xml:space="preserve"> percent</w:t>
            </w:r>
            <w:r w:rsidR="00643EE4">
              <w:rPr>
                <w:sz w:val="20"/>
                <w:szCs w:val="20"/>
              </w:rPr>
              <w:t>), and rural (2</w:t>
            </w:r>
            <w:r w:rsidR="00E375AE" w:rsidRPr="00E375AE">
              <w:rPr>
                <w:sz w:val="20"/>
                <w:szCs w:val="20"/>
              </w:rPr>
              <w:t>0</w:t>
            </w:r>
            <w:r w:rsidR="000105FA">
              <w:rPr>
                <w:sz w:val="20"/>
                <w:szCs w:val="20"/>
              </w:rPr>
              <w:t xml:space="preserve"> percent</w:t>
            </w:r>
            <w:r w:rsidR="00E375AE" w:rsidRPr="00E375AE">
              <w:rPr>
                <w:sz w:val="20"/>
                <w:szCs w:val="20"/>
              </w:rPr>
              <w:t>).</w:t>
            </w:r>
          </w:p>
          <w:p w:rsidR="00E375AE" w:rsidRPr="00E375AE" w:rsidRDefault="00E375AE" w:rsidP="000105FA">
            <w:pPr>
              <w:pStyle w:val="ListParagraph"/>
              <w:numPr>
                <w:ilvl w:val="0"/>
                <w:numId w:val="31"/>
              </w:numPr>
              <w:spacing w:before="80" w:after="80"/>
              <w:ind w:left="281" w:hanging="281"/>
              <w:contextualSpacing w:val="0"/>
              <w:rPr>
                <w:sz w:val="20"/>
                <w:szCs w:val="20"/>
              </w:rPr>
            </w:pPr>
            <w:r w:rsidRPr="00E375AE">
              <w:rPr>
                <w:sz w:val="20"/>
                <w:szCs w:val="20"/>
              </w:rPr>
              <w:t xml:space="preserve">Apply a sliding scale </w:t>
            </w:r>
            <w:r w:rsidR="00FA0E47">
              <w:rPr>
                <w:sz w:val="20"/>
                <w:szCs w:val="20"/>
              </w:rPr>
              <w:t xml:space="preserve">for the local match requirement </w:t>
            </w:r>
            <w:r w:rsidRPr="00E375AE">
              <w:rPr>
                <w:sz w:val="20"/>
                <w:szCs w:val="20"/>
              </w:rPr>
              <w:t>in proportion to each community’s local effort cont</w:t>
            </w:r>
            <w:r w:rsidR="00FA0E47">
              <w:rPr>
                <w:sz w:val="20"/>
                <w:szCs w:val="20"/>
              </w:rPr>
              <w:t>ribution: 70, 60, 50, 40, and 30</w:t>
            </w:r>
            <w:r w:rsidR="000105FA">
              <w:rPr>
                <w:sz w:val="20"/>
                <w:szCs w:val="20"/>
              </w:rPr>
              <w:t xml:space="preserve"> percent</w:t>
            </w:r>
            <w:r w:rsidRPr="00E375AE">
              <w:rPr>
                <w:sz w:val="20"/>
                <w:szCs w:val="20"/>
              </w:rPr>
              <w:t>, respectively.</w:t>
            </w:r>
          </w:p>
        </w:tc>
        <w:tc>
          <w:tcPr>
            <w:tcW w:w="457" w:type="pct"/>
          </w:tcPr>
          <w:p w:rsidR="00E375AE" w:rsidRPr="00E375AE" w:rsidRDefault="00E375AE" w:rsidP="00C325E2">
            <w:pPr>
              <w:spacing w:before="80" w:after="80"/>
              <w:rPr>
                <w:sz w:val="20"/>
                <w:szCs w:val="20"/>
              </w:rPr>
            </w:pPr>
            <w:r w:rsidRPr="00E375AE">
              <w:rPr>
                <w:sz w:val="20"/>
                <w:szCs w:val="20"/>
              </w:rPr>
              <w:t>9/2014</w:t>
            </w:r>
          </w:p>
        </w:tc>
      </w:tr>
      <w:tr w:rsidR="00E375AE" w:rsidRPr="00E375AE" w:rsidTr="005914A1">
        <w:trPr>
          <w:cantSplit/>
        </w:trPr>
        <w:tc>
          <w:tcPr>
            <w:tcW w:w="971" w:type="pct"/>
            <w:vMerge/>
          </w:tcPr>
          <w:p w:rsidR="00E375AE" w:rsidRPr="00EB4A7A" w:rsidRDefault="00E375AE" w:rsidP="00EB4A7A">
            <w:pPr>
              <w:spacing w:before="80" w:after="80"/>
              <w:rPr>
                <w:sz w:val="20"/>
              </w:rPr>
            </w:pPr>
          </w:p>
        </w:tc>
        <w:tc>
          <w:tcPr>
            <w:tcW w:w="487" w:type="pct"/>
          </w:tcPr>
          <w:p w:rsidR="00E375AE" w:rsidRPr="00E375AE" w:rsidRDefault="00E375AE" w:rsidP="00C325E2">
            <w:pPr>
              <w:spacing w:before="80" w:after="80"/>
              <w:rPr>
                <w:sz w:val="20"/>
                <w:szCs w:val="20"/>
              </w:rPr>
            </w:pPr>
            <w:r w:rsidRPr="00E375AE">
              <w:rPr>
                <w:sz w:val="20"/>
                <w:szCs w:val="20"/>
              </w:rPr>
              <w:t>ESE, MassIT</w:t>
            </w:r>
          </w:p>
        </w:tc>
        <w:tc>
          <w:tcPr>
            <w:tcW w:w="3085" w:type="pct"/>
          </w:tcPr>
          <w:p w:rsidR="00E375AE" w:rsidRPr="00E375AE" w:rsidRDefault="00E375AE" w:rsidP="00F404A9">
            <w:pPr>
              <w:pStyle w:val="ListParagraph"/>
              <w:numPr>
                <w:ilvl w:val="0"/>
                <w:numId w:val="31"/>
              </w:numPr>
              <w:spacing w:before="80" w:after="80"/>
              <w:ind w:left="281" w:hanging="281"/>
              <w:contextualSpacing w:val="0"/>
              <w:rPr>
                <w:sz w:val="20"/>
                <w:szCs w:val="20"/>
              </w:rPr>
            </w:pPr>
            <w:r w:rsidRPr="00E375AE">
              <w:rPr>
                <w:sz w:val="20"/>
                <w:szCs w:val="20"/>
              </w:rPr>
              <w:t>Provide technical assistance to communities to help them determine the local match</w:t>
            </w:r>
            <w:r w:rsidR="00FA0E47">
              <w:rPr>
                <w:sz w:val="20"/>
                <w:szCs w:val="20"/>
              </w:rPr>
              <w:t xml:space="preserve">, and provide </w:t>
            </w:r>
            <w:r w:rsidR="00F404A9">
              <w:rPr>
                <w:sz w:val="20"/>
                <w:szCs w:val="20"/>
              </w:rPr>
              <w:t xml:space="preserve">transparent information detailing the </w:t>
            </w:r>
            <w:r w:rsidR="00FA0E47">
              <w:rPr>
                <w:sz w:val="20"/>
                <w:szCs w:val="20"/>
              </w:rPr>
              <w:t>underlying calculations.</w:t>
            </w:r>
          </w:p>
        </w:tc>
        <w:tc>
          <w:tcPr>
            <w:tcW w:w="457" w:type="pct"/>
          </w:tcPr>
          <w:p w:rsidR="00E375AE" w:rsidRPr="00E375AE" w:rsidRDefault="001401A1" w:rsidP="00C325E2">
            <w:pPr>
              <w:spacing w:before="80" w:after="80"/>
              <w:rPr>
                <w:sz w:val="20"/>
                <w:szCs w:val="20"/>
              </w:rPr>
            </w:pPr>
            <w:r>
              <w:rPr>
                <w:sz w:val="20"/>
                <w:szCs w:val="20"/>
              </w:rPr>
              <w:t>10/2014</w:t>
            </w:r>
          </w:p>
        </w:tc>
      </w:tr>
      <w:tr w:rsidR="00E375AE" w:rsidRPr="00E375AE" w:rsidTr="005914A1">
        <w:trPr>
          <w:cantSplit/>
        </w:trPr>
        <w:tc>
          <w:tcPr>
            <w:tcW w:w="971" w:type="pct"/>
          </w:tcPr>
          <w:p w:rsidR="00E375AE" w:rsidRPr="00EB4A7A" w:rsidRDefault="00F404A9" w:rsidP="00F404A9">
            <w:pPr>
              <w:spacing w:before="80" w:after="80"/>
              <w:rPr>
                <w:sz w:val="20"/>
              </w:rPr>
            </w:pPr>
            <w:r>
              <w:rPr>
                <w:sz w:val="20"/>
              </w:rPr>
              <w:t xml:space="preserve">Develop incentives for communities to expand the reach of technology to </w:t>
            </w:r>
            <w:r w:rsidR="00096662">
              <w:rPr>
                <w:sz w:val="20"/>
              </w:rPr>
              <w:t xml:space="preserve">benefit </w:t>
            </w:r>
            <w:r>
              <w:rPr>
                <w:sz w:val="20"/>
              </w:rPr>
              <w:t>community anchor institutions, businesses, and households.</w:t>
            </w:r>
            <w:r w:rsidR="00096662">
              <w:rPr>
                <w:rStyle w:val="FootnoteReference"/>
                <w:sz w:val="20"/>
              </w:rPr>
              <w:footnoteReference w:id="4"/>
            </w:r>
          </w:p>
        </w:tc>
        <w:tc>
          <w:tcPr>
            <w:tcW w:w="487" w:type="pct"/>
          </w:tcPr>
          <w:p w:rsidR="00E375AE" w:rsidRPr="00E375AE" w:rsidRDefault="00E375AE" w:rsidP="00C325E2">
            <w:pPr>
              <w:spacing w:before="80" w:after="80"/>
              <w:rPr>
                <w:sz w:val="20"/>
                <w:szCs w:val="20"/>
              </w:rPr>
            </w:pPr>
            <w:r w:rsidRPr="00E375AE">
              <w:rPr>
                <w:sz w:val="20"/>
                <w:szCs w:val="20"/>
              </w:rPr>
              <w:t>ESE</w:t>
            </w:r>
          </w:p>
        </w:tc>
        <w:tc>
          <w:tcPr>
            <w:tcW w:w="3085" w:type="pct"/>
          </w:tcPr>
          <w:p w:rsidR="00F404A9" w:rsidRDefault="00E375AE" w:rsidP="00F404A9">
            <w:pPr>
              <w:pStyle w:val="ListParagraph"/>
              <w:numPr>
                <w:ilvl w:val="0"/>
                <w:numId w:val="31"/>
              </w:numPr>
              <w:spacing w:before="80" w:after="80"/>
              <w:ind w:left="281" w:hanging="281"/>
              <w:contextualSpacing w:val="0"/>
              <w:rPr>
                <w:sz w:val="20"/>
                <w:szCs w:val="20"/>
              </w:rPr>
            </w:pPr>
            <w:r w:rsidRPr="00E375AE">
              <w:rPr>
                <w:sz w:val="20"/>
                <w:szCs w:val="20"/>
              </w:rPr>
              <w:t xml:space="preserve">Use data from the Massachusetts Broadband Institute </w:t>
            </w:r>
            <w:r w:rsidR="00F404A9">
              <w:rPr>
                <w:sz w:val="20"/>
                <w:szCs w:val="20"/>
              </w:rPr>
              <w:t xml:space="preserve">(MBI) </w:t>
            </w:r>
            <w:r w:rsidRPr="00E375AE">
              <w:rPr>
                <w:sz w:val="20"/>
                <w:szCs w:val="20"/>
              </w:rPr>
              <w:t xml:space="preserve">to identify communities in the MBI service area and </w:t>
            </w:r>
            <w:r w:rsidR="001401A1">
              <w:rPr>
                <w:sz w:val="20"/>
                <w:szCs w:val="20"/>
              </w:rPr>
              <w:t xml:space="preserve">determine </w:t>
            </w:r>
            <w:r w:rsidRPr="00E375AE">
              <w:rPr>
                <w:sz w:val="20"/>
                <w:szCs w:val="20"/>
              </w:rPr>
              <w:t>whether they are receiving service from the network.</w:t>
            </w:r>
          </w:p>
          <w:p w:rsidR="00E375AE" w:rsidRPr="00F404A9" w:rsidRDefault="00E375AE" w:rsidP="00F404A9">
            <w:pPr>
              <w:pStyle w:val="ListParagraph"/>
              <w:numPr>
                <w:ilvl w:val="0"/>
                <w:numId w:val="31"/>
              </w:numPr>
              <w:spacing w:before="80" w:after="80"/>
              <w:ind w:left="281" w:hanging="281"/>
              <w:contextualSpacing w:val="0"/>
              <w:rPr>
                <w:sz w:val="20"/>
                <w:szCs w:val="20"/>
              </w:rPr>
            </w:pPr>
            <w:r w:rsidRPr="00F404A9">
              <w:rPr>
                <w:sz w:val="20"/>
                <w:szCs w:val="20"/>
              </w:rPr>
              <w:t xml:space="preserve">Use </w:t>
            </w:r>
            <w:r w:rsidR="00F404A9" w:rsidRPr="00F404A9">
              <w:rPr>
                <w:sz w:val="20"/>
                <w:szCs w:val="20"/>
              </w:rPr>
              <w:t xml:space="preserve">Partnership for Assessment of Readiness for College and Careers (PARCC) </w:t>
            </w:r>
            <w:r w:rsidRPr="00F404A9">
              <w:rPr>
                <w:sz w:val="20"/>
                <w:szCs w:val="20"/>
              </w:rPr>
              <w:t xml:space="preserve">assessment readiness data to </w:t>
            </w:r>
            <w:r w:rsidR="00F404A9">
              <w:rPr>
                <w:sz w:val="20"/>
                <w:szCs w:val="20"/>
              </w:rPr>
              <w:t>flag</w:t>
            </w:r>
            <w:r w:rsidRPr="00F404A9">
              <w:rPr>
                <w:sz w:val="20"/>
                <w:szCs w:val="20"/>
              </w:rPr>
              <w:t xml:space="preserve"> schools with </w:t>
            </w:r>
            <w:r w:rsidR="00F404A9">
              <w:rPr>
                <w:sz w:val="20"/>
                <w:szCs w:val="20"/>
              </w:rPr>
              <w:t xml:space="preserve">potentially </w:t>
            </w:r>
            <w:r w:rsidRPr="00F404A9">
              <w:rPr>
                <w:sz w:val="20"/>
                <w:szCs w:val="20"/>
              </w:rPr>
              <w:t>insufficient technology infrastructure.</w:t>
            </w:r>
          </w:p>
          <w:p w:rsidR="00E375AE" w:rsidRPr="00E375AE" w:rsidRDefault="001401A1" w:rsidP="00C325E2">
            <w:pPr>
              <w:pStyle w:val="ListParagraph"/>
              <w:numPr>
                <w:ilvl w:val="0"/>
                <w:numId w:val="31"/>
              </w:numPr>
              <w:spacing w:before="80" w:after="80"/>
              <w:ind w:left="281" w:hanging="281"/>
              <w:contextualSpacing w:val="0"/>
              <w:rPr>
                <w:sz w:val="20"/>
                <w:szCs w:val="20"/>
              </w:rPr>
            </w:pPr>
            <w:r>
              <w:rPr>
                <w:sz w:val="20"/>
                <w:szCs w:val="20"/>
              </w:rPr>
              <w:t>Award</w:t>
            </w:r>
            <w:r w:rsidR="00E375AE" w:rsidRPr="00E375AE">
              <w:rPr>
                <w:sz w:val="20"/>
                <w:szCs w:val="20"/>
              </w:rPr>
              <w:t xml:space="preserve"> </w:t>
            </w:r>
            <w:r>
              <w:rPr>
                <w:sz w:val="20"/>
                <w:szCs w:val="20"/>
              </w:rPr>
              <w:t>extra</w:t>
            </w:r>
            <w:r w:rsidR="00E375AE" w:rsidRPr="00E375AE">
              <w:rPr>
                <w:sz w:val="20"/>
                <w:szCs w:val="20"/>
              </w:rPr>
              <w:t xml:space="preserve"> points to </w:t>
            </w:r>
            <w:r w:rsidR="00F404A9">
              <w:rPr>
                <w:sz w:val="20"/>
                <w:szCs w:val="20"/>
              </w:rPr>
              <w:t>applicants</w:t>
            </w:r>
            <w:r w:rsidR="00E375AE" w:rsidRPr="00E375AE">
              <w:rPr>
                <w:sz w:val="20"/>
                <w:szCs w:val="20"/>
              </w:rPr>
              <w:t xml:space="preserve"> that propose to fund projects that </w:t>
            </w:r>
            <w:r w:rsidR="00F404A9">
              <w:rPr>
                <w:sz w:val="20"/>
                <w:szCs w:val="20"/>
              </w:rPr>
              <w:t xml:space="preserve">are </w:t>
            </w:r>
            <w:r w:rsidR="00E375AE" w:rsidRPr="00E375AE">
              <w:rPr>
                <w:sz w:val="20"/>
                <w:szCs w:val="20"/>
              </w:rPr>
              <w:t>part of integrated plan</w:t>
            </w:r>
            <w:r w:rsidR="00F404A9">
              <w:rPr>
                <w:sz w:val="20"/>
                <w:szCs w:val="20"/>
              </w:rPr>
              <w:t>s</w:t>
            </w:r>
            <w:r w:rsidR="00E375AE" w:rsidRPr="00E375AE">
              <w:rPr>
                <w:sz w:val="20"/>
                <w:szCs w:val="20"/>
              </w:rPr>
              <w:t xml:space="preserve"> impacting other sectors of the community, such as plan</w:t>
            </w:r>
            <w:r w:rsidR="00F404A9">
              <w:rPr>
                <w:sz w:val="20"/>
                <w:szCs w:val="20"/>
              </w:rPr>
              <w:t>s</w:t>
            </w:r>
            <w:r w:rsidR="00E375AE" w:rsidRPr="00E375AE">
              <w:rPr>
                <w:sz w:val="20"/>
                <w:szCs w:val="20"/>
              </w:rPr>
              <w:t xml:space="preserve"> to connect community anchor institutions to broadband (e.g., public libraries, town buildings, community centers, etc.) </w:t>
            </w:r>
            <w:r w:rsidR="00F404A9" w:rsidRPr="00E375AE">
              <w:rPr>
                <w:sz w:val="20"/>
                <w:szCs w:val="20"/>
              </w:rPr>
              <w:t>or plans</w:t>
            </w:r>
            <w:r w:rsidR="00E375AE" w:rsidRPr="00E375AE">
              <w:rPr>
                <w:sz w:val="20"/>
                <w:szCs w:val="20"/>
              </w:rPr>
              <w:t xml:space="preserve"> to improve roads or highways.</w:t>
            </w:r>
          </w:p>
          <w:p w:rsidR="00E375AE" w:rsidRPr="00E375AE" w:rsidRDefault="001401A1" w:rsidP="00C325E2">
            <w:pPr>
              <w:pStyle w:val="ListParagraph"/>
              <w:numPr>
                <w:ilvl w:val="0"/>
                <w:numId w:val="31"/>
              </w:numPr>
              <w:spacing w:before="80" w:after="80"/>
              <w:ind w:left="281" w:hanging="281"/>
              <w:contextualSpacing w:val="0"/>
              <w:rPr>
                <w:sz w:val="20"/>
                <w:szCs w:val="20"/>
              </w:rPr>
            </w:pPr>
            <w:r>
              <w:rPr>
                <w:sz w:val="20"/>
                <w:szCs w:val="20"/>
              </w:rPr>
              <w:t>Award</w:t>
            </w:r>
            <w:r w:rsidR="00E375AE" w:rsidRPr="00E375AE">
              <w:rPr>
                <w:sz w:val="20"/>
                <w:szCs w:val="20"/>
              </w:rPr>
              <w:t xml:space="preserve"> </w:t>
            </w:r>
            <w:r>
              <w:rPr>
                <w:sz w:val="20"/>
                <w:szCs w:val="20"/>
              </w:rPr>
              <w:t>extra</w:t>
            </w:r>
            <w:r w:rsidRPr="00E375AE">
              <w:rPr>
                <w:sz w:val="20"/>
                <w:szCs w:val="20"/>
              </w:rPr>
              <w:t xml:space="preserve"> </w:t>
            </w:r>
            <w:r w:rsidR="00E375AE" w:rsidRPr="00E375AE">
              <w:rPr>
                <w:sz w:val="20"/>
                <w:szCs w:val="20"/>
              </w:rPr>
              <w:t xml:space="preserve">points to </w:t>
            </w:r>
            <w:r w:rsidR="00F404A9">
              <w:rPr>
                <w:sz w:val="20"/>
                <w:szCs w:val="20"/>
              </w:rPr>
              <w:t>applicants</w:t>
            </w:r>
            <w:r w:rsidR="00FA0E47">
              <w:rPr>
                <w:sz w:val="20"/>
                <w:szCs w:val="20"/>
              </w:rPr>
              <w:t xml:space="preserve"> from communities where</w:t>
            </w:r>
            <w:r w:rsidR="00E375AE" w:rsidRPr="00E375AE">
              <w:rPr>
                <w:sz w:val="20"/>
                <w:szCs w:val="20"/>
              </w:rPr>
              <w:t>:</w:t>
            </w:r>
          </w:p>
          <w:p w:rsidR="00E375AE" w:rsidRPr="00E375AE" w:rsidRDefault="00E375AE" w:rsidP="00C325E2">
            <w:pPr>
              <w:pStyle w:val="ListParagraph"/>
              <w:numPr>
                <w:ilvl w:val="1"/>
                <w:numId w:val="31"/>
              </w:numPr>
              <w:spacing w:before="80" w:after="80"/>
              <w:contextualSpacing w:val="0"/>
              <w:rPr>
                <w:sz w:val="20"/>
                <w:szCs w:val="20"/>
              </w:rPr>
            </w:pPr>
            <w:r w:rsidRPr="00E375AE">
              <w:rPr>
                <w:sz w:val="20"/>
                <w:szCs w:val="20"/>
              </w:rPr>
              <w:t>The majority of the public buildings do not have access to high speed broadband.</w:t>
            </w:r>
          </w:p>
          <w:p w:rsidR="00E375AE" w:rsidRPr="00E375AE" w:rsidRDefault="00E375AE" w:rsidP="00C325E2">
            <w:pPr>
              <w:pStyle w:val="ListParagraph"/>
              <w:numPr>
                <w:ilvl w:val="1"/>
                <w:numId w:val="31"/>
              </w:numPr>
              <w:spacing w:before="80" w:after="80"/>
              <w:contextualSpacing w:val="0"/>
              <w:rPr>
                <w:sz w:val="20"/>
                <w:szCs w:val="20"/>
              </w:rPr>
            </w:pPr>
            <w:r w:rsidRPr="00E375AE">
              <w:rPr>
                <w:sz w:val="20"/>
                <w:szCs w:val="20"/>
              </w:rPr>
              <w:t>High speed broadband is not available to the majority of households.</w:t>
            </w:r>
          </w:p>
          <w:p w:rsidR="00E375AE" w:rsidRPr="00E375AE" w:rsidRDefault="00E375AE" w:rsidP="00C325E2">
            <w:pPr>
              <w:pStyle w:val="ListParagraph"/>
              <w:numPr>
                <w:ilvl w:val="1"/>
                <w:numId w:val="31"/>
              </w:numPr>
              <w:spacing w:before="80" w:after="80"/>
              <w:contextualSpacing w:val="0"/>
              <w:rPr>
                <w:sz w:val="20"/>
                <w:szCs w:val="20"/>
              </w:rPr>
            </w:pPr>
            <w:r w:rsidRPr="00E375AE">
              <w:rPr>
                <w:sz w:val="20"/>
                <w:szCs w:val="20"/>
              </w:rPr>
              <w:t>High speed broadband is not affordable to the majority of households.</w:t>
            </w:r>
          </w:p>
        </w:tc>
        <w:tc>
          <w:tcPr>
            <w:tcW w:w="457" w:type="pct"/>
          </w:tcPr>
          <w:p w:rsidR="00E375AE" w:rsidRPr="00E375AE" w:rsidRDefault="00E375AE" w:rsidP="00C325E2">
            <w:pPr>
              <w:spacing w:before="80" w:after="80"/>
              <w:rPr>
                <w:sz w:val="20"/>
                <w:szCs w:val="20"/>
              </w:rPr>
            </w:pPr>
            <w:r w:rsidRPr="00E375AE">
              <w:rPr>
                <w:sz w:val="20"/>
                <w:szCs w:val="20"/>
              </w:rPr>
              <w:t>11/2014</w:t>
            </w:r>
          </w:p>
        </w:tc>
      </w:tr>
      <w:tr w:rsidR="00FA0E47" w:rsidRPr="00E375AE" w:rsidTr="005914A1">
        <w:trPr>
          <w:cantSplit/>
        </w:trPr>
        <w:tc>
          <w:tcPr>
            <w:tcW w:w="971" w:type="pct"/>
            <w:vMerge w:val="restart"/>
          </w:tcPr>
          <w:p w:rsidR="00FA0E47" w:rsidRPr="00EB4A7A" w:rsidRDefault="00BD4112" w:rsidP="00096662">
            <w:pPr>
              <w:spacing w:before="80" w:after="80"/>
              <w:rPr>
                <w:sz w:val="20"/>
              </w:rPr>
            </w:pPr>
            <w:r w:rsidRPr="00EB4A7A">
              <w:rPr>
                <w:sz w:val="20"/>
              </w:rPr>
              <w:lastRenderedPageBreak/>
              <w:br w:type="page"/>
            </w:r>
            <w:r w:rsidR="00096662">
              <w:rPr>
                <w:sz w:val="20"/>
              </w:rPr>
              <w:t>Develop incentives that help communities build the capacity to effectively manage both the technical and educational facets of their technology</w:t>
            </w:r>
            <w:r w:rsidR="00FA0E47" w:rsidRPr="00EB4A7A">
              <w:rPr>
                <w:sz w:val="20"/>
              </w:rPr>
              <w:t>.</w:t>
            </w:r>
          </w:p>
        </w:tc>
        <w:tc>
          <w:tcPr>
            <w:tcW w:w="487" w:type="pct"/>
            <w:vMerge w:val="restart"/>
          </w:tcPr>
          <w:p w:rsidR="00FA0E47" w:rsidRPr="00E375AE" w:rsidRDefault="00FA0E47" w:rsidP="00C325E2">
            <w:pPr>
              <w:spacing w:before="80" w:after="80"/>
              <w:rPr>
                <w:sz w:val="20"/>
                <w:szCs w:val="20"/>
              </w:rPr>
            </w:pPr>
            <w:r w:rsidRPr="00E375AE">
              <w:rPr>
                <w:sz w:val="20"/>
                <w:szCs w:val="20"/>
              </w:rPr>
              <w:t>ESE</w:t>
            </w:r>
            <w:r w:rsidR="00096662">
              <w:rPr>
                <w:sz w:val="20"/>
                <w:szCs w:val="20"/>
              </w:rPr>
              <w:t>, LEA</w:t>
            </w:r>
          </w:p>
        </w:tc>
        <w:tc>
          <w:tcPr>
            <w:tcW w:w="3085" w:type="pct"/>
          </w:tcPr>
          <w:p w:rsidR="00FA0E47" w:rsidRPr="00FA0E47" w:rsidRDefault="00FA0E47" w:rsidP="00F404A9">
            <w:pPr>
              <w:pStyle w:val="ListParagraph"/>
              <w:numPr>
                <w:ilvl w:val="0"/>
                <w:numId w:val="31"/>
              </w:numPr>
              <w:spacing w:before="80" w:after="80"/>
              <w:ind w:left="281" w:hanging="281"/>
              <w:contextualSpacing w:val="0"/>
              <w:rPr>
                <w:sz w:val="20"/>
                <w:szCs w:val="20"/>
              </w:rPr>
            </w:pPr>
            <w:r>
              <w:rPr>
                <w:sz w:val="20"/>
                <w:szCs w:val="20"/>
              </w:rPr>
              <w:t>Award</w:t>
            </w:r>
            <w:r w:rsidRPr="00E375AE">
              <w:rPr>
                <w:sz w:val="20"/>
                <w:szCs w:val="20"/>
              </w:rPr>
              <w:t xml:space="preserve"> </w:t>
            </w:r>
            <w:r>
              <w:rPr>
                <w:sz w:val="20"/>
                <w:szCs w:val="20"/>
              </w:rPr>
              <w:t>extra</w:t>
            </w:r>
            <w:r w:rsidRPr="00E375AE">
              <w:rPr>
                <w:sz w:val="20"/>
                <w:szCs w:val="20"/>
              </w:rPr>
              <w:t xml:space="preserve"> points to </w:t>
            </w:r>
            <w:r w:rsidR="00F404A9">
              <w:rPr>
                <w:sz w:val="20"/>
                <w:szCs w:val="20"/>
              </w:rPr>
              <w:t>applicants</w:t>
            </w:r>
            <w:r w:rsidRPr="00E375AE">
              <w:rPr>
                <w:sz w:val="20"/>
                <w:szCs w:val="20"/>
              </w:rPr>
              <w:t xml:space="preserve"> </w:t>
            </w:r>
            <w:r w:rsidR="00F404A9">
              <w:rPr>
                <w:sz w:val="20"/>
                <w:szCs w:val="20"/>
              </w:rPr>
              <w:t xml:space="preserve">whose </w:t>
            </w:r>
            <w:r w:rsidRPr="00E375AE">
              <w:rPr>
                <w:sz w:val="20"/>
                <w:szCs w:val="20"/>
              </w:rPr>
              <w:t xml:space="preserve">chief technology administrator </w:t>
            </w:r>
            <w:r>
              <w:rPr>
                <w:sz w:val="20"/>
                <w:szCs w:val="20"/>
              </w:rPr>
              <w:t xml:space="preserve">possesses </w:t>
            </w:r>
            <w:r w:rsidRPr="00E375AE">
              <w:rPr>
                <w:sz w:val="20"/>
                <w:szCs w:val="20"/>
              </w:rPr>
              <w:t xml:space="preserve">or will pursue </w:t>
            </w:r>
            <w:r w:rsidR="00F404A9">
              <w:rPr>
                <w:sz w:val="20"/>
                <w:szCs w:val="20"/>
              </w:rPr>
              <w:t xml:space="preserve">national </w:t>
            </w:r>
            <w:r w:rsidRPr="00E375AE">
              <w:rPr>
                <w:sz w:val="20"/>
                <w:szCs w:val="20"/>
              </w:rPr>
              <w:t>Certified Educational Technology Leader (CETL) certificatio</w:t>
            </w:r>
            <w:r w:rsidR="00F404A9">
              <w:rPr>
                <w:sz w:val="20"/>
                <w:szCs w:val="20"/>
              </w:rPr>
              <w:t>n.</w:t>
            </w:r>
          </w:p>
        </w:tc>
        <w:tc>
          <w:tcPr>
            <w:tcW w:w="457" w:type="pct"/>
          </w:tcPr>
          <w:p w:rsidR="00FA0E47" w:rsidRPr="00E375AE" w:rsidRDefault="00FA0E47" w:rsidP="00C325E2">
            <w:pPr>
              <w:spacing w:before="80" w:after="80"/>
              <w:rPr>
                <w:sz w:val="20"/>
                <w:szCs w:val="20"/>
              </w:rPr>
            </w:pPr>
            <w:r w:rsidRPr="00E375AE">
              <w:rPr>
                <w:sz w:val="20"/>
                <w:szCs w:val="20"/>
              </w:rPr>
              <w:t>11/2014</w:t>
            </w:r>
            <w:r>
              <w:rPr>
                <w:sz w:val="20"/>
                <w:szCs w:val="20"/>
              </w:rPr>
              <w:t>-6/2017</w:t>
            </w:r>
          </w:p>
        </w:tc>
      </w:tr>
      <w:tr w:rsidR="00FA0E47" w:rsidRPr="00E375AE" w:rsidTr="005914A1">
        <w:trPr>
          <w:cantSplit/>
        </w:trPr>
        <w:tc>
          <w:tcPr>
            <w:tcW w:w="971" w:type="pct"/>
            <w:vMerge/>
          </w:tcPr>
          <w:p w:rsidR="00FA0E47" w:rsidRPr="00EB4A7A" w:rsidRDefault="00FA0E47" w:rsidP="00EB4A7A">
            <w:pPr>
              <w:spacing w:before="80" w:after="80"/>
              <w:rPr>
                <w:sz w:val="20"/>
              </w:rPr>
            </w:pPr>
          </w:p>
        </w:tc>
        <w:tc>
          <w:tcPr>
            <w:tcW w:w="487" w:type="pct"/>
            <w:vMerge/>
          </w:tcPr>
          <w:p w:rsidR="00FA0E47" w:rsidRPr="00E375AE" w:rsidRDefault="00FA0E47" w:rsidP="00C325E2">
            <w:pPr>
              <w:spacing w:before="80" w:after="80"/>
              <w:rPr>
                <w:sz w:val="20"/>
                <w:szCs w:val="20"/>
              </w:rPr>
            </w:pPr>
          </w:p>
        </w:tc>
        <w:tc>
          <w:tcPr>
            <w:tcW w:w="3085" w:type="pct"/>
          </w:tcPr>
          <w:p w:rsidR="00FA0E47" w:rsidRDefault="00096662" w:rsidP="00096662">
            <w:pPr>
              <w:pStyle w:val="ListParagraph"/>
              <w:numPr>
                <w:ilvl w:val="0"/>
                <w:numId w:val="31"/>
              </w:numPr>
              <w:spacing w:before="80" w:after="80"/>
              <w:ind w:left="281" w:hanging="281"/>
              <w:contextualSpacing w:val="0"/>
              <w:rPr>
                <w:sz w:val="20"/>
                <w:szCs w:val="20"/>
              </w:rPr>
            </w:pPr>
            <w:r>
              <w:rPr>
                <w:sz w:val="20"/>
                <w:szCs w:val="20"/>
              </w:rPr>
              <w:t xml:space="preserve">Chief technology administrators </w:t>
            </w:r>
            <w:r w:rsidR="00FA0E47" w:rsidRPr="00E375AE">
              <w:rPr>
                <w:sz w:val="20"/>
                <w:szCs w:val="20"/>
              </w:rPr>
              <w:t>earn this certification no later than June 30, 2017.</w:t>
            </w:r>
          </w:p>
        </w:tc>
        <w:tc>
          <w:tcPr>
            <w:tcW w:w="457" w:type="pct"/>
          </w:tcPr>
          <w:p w:rsidR="00FA0E47" w:rsidRPr="00E375AE" w:rsidRDefault="00FA0E47" w:rsidP="00C325E2">
            <w:pPr>
              <w:spacing w:before="80" w:after="80"/>
              <w:rPr>
                <w:sz w:val="20"/>
                <w:szCs w:val="20"/>
              </w:rPr>
            </w:pPr>
            <w:r>
              <w:rPr>
                <w:sz w:val="20"/>
                <w:szCs w:val="20"/>
              </w:rPr>
              <w:t>6/2017</w:t>
            </w:r>
          </w:p>
        </w:tc>
      </w:tr>
      <w:tr w:rsidR="00FA0E47" w:rsidRPr="00E375AE" w:rsidTr="005914A1">
        <w:trPr>
          <w:cantSplit/>
        </w:trPr>
        <w:tc>
          <w:tcPr>
            <w:tcW w:w="971" w:type="pct"/>
            <w:vMerge/>
          </w:tcPr>
          <w:p w:rsidR="00FA0E47" w:rsidRPr="00EB4A7A" w:rsidRDefault="00FA0E47" w:rsidP="00EB4A7A">
            <w:pPr>
              <w:spacing w:before="80" w:after="80"/>
              <w:rPr>
                <w:sz w:val="20"/>
              </w:rPr>
            </w:pPr>
          </w:p>
        </w:tc>
        <w:tc>
          <w:tcPr>
            <w:tcW w:w="487" w:type="pct"/>
            <w:vMerge/>
          </w:tcPr>
          <w:p w:rsidR="00FA0E47" w:rsidRPr="00E375AE" w:rsidRDefault="00FA0E47" w:rsidP="00C325E2">
            <w:pPr>
              <w:spacing w:before="80" w:after="80"/>
              <w:rPr>
                <w:sz w:val="20"/>
                <w:szCs w:val="20"/>
              </w:rPr>
            </w:pPr>
          </w:p>
        </w:tc>
        <w:tc>
          <w:tcPr>
            <w:tcW w:w="3085" w:type="pct"/>
          </w:tcPr>
          <w:p w:rsidR="00FA0E47" w:rsidRDefault="00FA0E47" w:rsidP="00EB4A7A">
            <w:pPr>
              <w:pStyle w:val="ListParagraph"/>
              <w:numPr>
                <w:ilvl w:val="0"/>
                <w:numId w:val="31"/>
              </w:numPr>
              <w:spacing w:before="80" w:after="80"/>
              <w:ind w:left="281" w:hanging="281"/>
              <w:contextualSpacing w:val="0"/>
              <w:rPr>
                <w:sz w:val="20"/>
                <w:szCs w:val="20"/>
              </w:rPr>
            </w:pPr>
            <w:r>
              <w:rPr>
                <w:sz w:val="20"/>
                <w:szCs w:val="20"/>
              </w:rPr>
              <w:t>Perform due d</w:t>
            </w:r>
            <w:r w:rsidR="00096662">
              <w:rPr>
                <w:sz w:val="20"/>
                <w:szCs w:val="20"/>
              </w:rPr>
              <w:t>iligence checks.</w:t>
            </w:r>
          </w:p>
        </w:tc>
        <w:tc>
          <w:tcPr>
            <w:tcW w:w="457" w:type="pct"/>
          </w:tcPr>
          <w:p w:rsidR="00FA0E47" w:rsidRPr="00E375AE" w:rsidRDefault="00FA0E47" w:rsidP="00C325E2">
            <w:pPr>
              <w:spacing w:before="80" w:after="80"/>
              <w:rPr>
                <w:sz w:val="20"/>
                <w:szCs w:val="20"/>
              </w:rPr>
            </w:pPr>
            <w:r>
              <w:rPr>
                <w:sz w:val="20"/>
                <w:szCs w:val="20"/>
              </w:rPr>
              <w:t>6/2016, 6/2017</w:t>
            </w:r>
          </w:p>
        </w:tc>
      </w:tr>
      <w:tr w:rsidR="00E375AE" w:rsidRPr="00E375AE" w:rsidTr="005914A1">
        <w:trPr>
          <w:cantSplit/>
        </w:trPr>
        <w:tc>
          <w:tcPr>
            <w:tcW w:w="971" w:type="pct"/>
            <w:vMerge w:val="restart"/>
          </w:tcPr>
          <w:p w:rsidR="00E375AE" w:rsidRPr="00EB4A7A" w:rsidRDefault="00830F78" w:rsidP="00830F78">
            <w:pPr>
              <w:spacing w:before="80" w:after="80"/>
              <w:rPr>
                <w:sz w:val="20"/>
              </w:rPr>
            </w:pPr>
            <w:r>
              <w:rPr>
                <w:sz w:val="20"/>
              </w:rPr>
              <w:t>Leverage</w:t>
            </w:r>
            <w:r w:rsidR="00096662">
              <w:rPr>
                <w:sz w:val="20"/>
              </w:rPr>
              <w:t xml:space="preserve"> </w:t>
            </w:r>
            <w:r>
              <w:rPr>
                <w:sz w:val="20"/>
              </w:rPr>
              <w:t>state resources</w:t>
            </w:r>
            <w:r w:rsidR="00096662">
              <w:rPr>
                <w:sz w:val="20"/>
              </w:rPr>
              <w:t xml:space="preserve"> </w:t>
            </w:r>
            <w:r>
              <w:rPr>
                <w:sz w:val="20"/>
              </w:rPr>
              <w:t xml:space="preserve">and </w:t>
            </w:r>
            <w:r w:rsidR="00096662">
              <w:rPr>
                <w:sz w:val="20"/>
              </w:rPr>
              <w:t xml:space="preserve">capacity to </w:t>
            </w:r>
            <w:r w:rsidR="00096662" w:rsidRPr="00096662">
              <w:rPr>
                <w:sz w:val="20"/>
              </w:rPr>
              <w:t xml:space="preserve">expedite the flow of hundreds of thousands of dollars in federal E-rate technology discounts to </w:t>
            </w:r>
            <w:r w:rsidR="00096662">
              <w:rPr>
                <w:sz w:val="20"/>
              </w:rPr>
              <w:t>communities</w:t>
            </w:r>
            <w:r>
              <w:rPr>
                <w:sz w:val="20"/>
              </w:rPr>
              <w:t>, and create safeguards that help ensure stable funding streams for school technology.</w:t>
            </w:r>
          </w:p>
        </w:tc>
        <w:tc>
          <w:tcPr>
            <w:tcW w:w="487" w:type="pct"/>
          </w:tcPr>
          <w:p w:rsidR="00E375AE" w:rsidRPr="00E375AE" w:rsidRDefault="00E375AE" w:rsidP="00C325E2">
            <w:pPr>
              <w:spacing w:before="80" w:after="80"/>
              <w:rPr>
                <w:sz w:val="20"/>
                <w:szCs w:val="20"/>
              </w:rPr>
            </w:pPr>
            <w:r w:rsidRPr="00E375AE">
              <w:rPr>
                <w:sz w:val="20"/>
                <w:szCs w:val="20"/>
              </w:rPr>
              <w:t>MassIT</w:t>
            </w:r>
          </w:p>
        </w:tc>
        <w:tc>
          <w:tcPr>
            <w:tcW w:w="3085" w:type="pct"/>
          </w:tcPr>
          <w:p w:rsidR="00E375AE" w:rsidRPr="00E375AE" w:rsidRDefault="00E375AE" w:rsidP="00C325E2">
            <w:pPr>
              <w:pStyle w:val="ListParagraph"/>
              <w:numPr>
                <w:ilvl w:val="0"/>
                <w:numId w:val="31"/>
              </w:numPr>
              <w:spacing w:before="80" w:after="80"/>
              <w:ind w:left="281" w:hanging="281"/>
              <w:contextualSpacing w:val="0"/>
              <w:rPr>
                <w:sz w:val="20"/>
                <w:szCs w:val="20"/>
              </w:rPr>
            </w:pPr>
            <w:r w:rsidRPr="00E375AE">
              <w:rPr>
                <w:sz w:val="20"/>
                <w:szCs w:val="20"/>
              </w:rPr>
              <w:t>Apply to the Universal Services Administrative Company (USAC)</w:t>
            </w:r>
            <w:r w:rsidR="00830F78">
              <w:rPr>
                <w:rStyle w:val="FootnoteReference"/>
                <w:sz w:val="20"/>
                <w:szCs w:val="20"/>
              </w:rPr>
              <w:footnoteReference w:id="5"/>
            </w:r>
            <w:r w:rsidRPr="00E375AE">
              <w:rPr>
                <w:sz w:val="20"/>
                <w:szCs w:val="20"/>
              </w:rPr>
              <w:t xml:space="preserve"> to become a lead applicant for E-rate technology discounts</w:t>
            </w:r>
            <w:r w:rsidR="00FA0E47">
              <w:rPr>
                <w:sz w:val="20"/>
                <w:szCs w:val="20"/>
              </w:rPr>
              <w:t xml:space="preserve"> on behalf of a statewide consortium.</w:t>
            </w:r>
          </w:p>
        </w:tc>
        <w:tc>
          <w:tcPr>
            <w:tcW w:w="457" w:type="pct"/>
          </w:tcPr>
          <w:p w:rsidR="00E375AE" w:rsidRPr="00E375AE" w:rsidRDefault="00E375AE" w:rsidP="00C325E2">
            <w:pPr>
              <w:spacing w:before="80" w:after="80"/>
              <w:rPr>
                <w:sz w:val="20"/>
                <w:szCs w:val="20"/>
              </w:rPr>
            </w:pPr>
            <w:r w:rsidRPr="00E375AE">
              <w:rPr>
                <w:sz w:val="20"/>
                <w:szCs w:val="20"/>
              </w:rPr>
              <w:t>9/2014</w:t>
            </w:r>
          </w:p>
        </w:tc>
      </w:tr>
      <w:tr w:rsidR="00E375AE" w:rsidRPr="00E375AE" w:rsidTr="005914A1">
        <w:trPr>
          <w:cantSplit/>
        </w:trPr>
        <w:tc>
          <w:tcPr>
            <w:tcW w:w="971" w:type="pct"/>
            <w:vMerge/>
          </w:tcPr>
          <w:p w:rsidR="00E375AE" w:rsidRPr="00E375AE" w:rsidRDefault="00E375AE" w:rsidP="00C325E2">
            <w:pPr>
              <w:pStyle w:val="ListParagraph"/>
              <w:numPr>
                <w:ilvl w:val="0"/>
                <w:numId w:val="32"/>
              </w:numPr>
              <w:spacing w:before="80" w:after="80"/>
              <w:contextualSpacing w:val="0"/>
              <w:rPr>
                <w:sz w:val="20"/>
                <w:szCs w:val="20"/>
              </w:rPr>
            </w:pPr>
          </w:p>
        </w:tc>
        <w:tc>
          <w:tcPr>
            <w:tcW w:w="487" w:type="pct"/>
          </w:tcPr>
          <w:p w:rsidR="00E375AE" w:rsidRPr="00E375AE" w:rsidRDefault="00E375AE" w:rsidP="00C325E2">
            <w:pPr>
              <w:spacing w:before="80" w:after="80"/>
              <w:rPr>
                <w:sz w:val="20"/>
                <w:szCs w:val="20"/>
              </w:rPr>
            </w:pPr>
            <w:r w:rsidRPr="00E375AE">
              <w:rPr>
                <w:sz w:val="20"/>
                <w:szCs w:val="20"/>
              </w:rPr>
              <w:t>MassIT</w:t>
            </w:r>
          </w:p>
        </w:tc>
        <w:tc>
          <w:tcPr>
            <w:tcW w:w="3085" w:type="pct"/>
          </w:tcPr>
          <w:p w:rsidR="00E375AE" w:rsidRPr="00E375AE" w:rsidRDefault="00E375AE" w:rsidP="00C325E2">
            <w:pPr>
              <w:pStyle w:val="ListParagraph"/>
              <w:numPr>
                <w:ilvl w:val="0"/>
                <w:numId w:val="31"/>
              </w:numPr>
              <w:spacing w:before="80" w:after="80"/>
              <w:ind w:left="281" w:hanging="281"/>
              <w:contextualSpacing w:val="0"/>
              <w:rPr>
                <w:sz w:val="20"/>
                <w:szCs w:val="20"/>
              </w:rPr>
            </w:pPr>
            <w:r w:rsidRPr="00E375AE">
              <w:rPr>
                <w:sz w:val="20"/>
                <w:szCs w:val="20"/>
              </w:rPr>
              <w:t>Retain an account manager to oversee the</w:t>
            </w:r>
            <w:r w:rsidR="00096662">
              <w:rPr>
                <w:sz w:val="20"/>
                <w:szCs w:val="20"/>
              </w:rPr>
              <w:t xml:space="preserve"> fiscal aspects of the program. The individual will develop</w:t>
            </w:r>
            <w:r w:rsidRPr="00E375AE">
              <w:rPr>
                <w:sz w:val="20"/>
                <w:szCs w:val="20"/>
              </w:rPr>
              <w:t xml:space="preserve"> internal controls to track and report </w:t>
            </w:r>
            <w:r w:rsidR="00096662">
              <w:rPr>
                <w:sz w:val="20"/>
                <w:szCs w:val="20"/>
              </w:rPr>
              <w:t>the</w:t>
            </w:r>
            <w:r w:rsidRPr="00E375AE">
              <w:rPr>
                <w:sz w:val="20"/>
                <w:szCs w:val="20"/>
              </w:rPr>
              <w:t xml:space="preserve"> allocation and use</w:t>
            </w:r>
            <w:r w:rsidR="00096662">
              <w:rPr>
                <w:sz w:val="20"/>
                <w:szCs w:val="20"/>
              </w:rPr>
              <w:t xml:space="preserve"> of all funding</w:t>
            </w:r>
            <w:r w:rsidRPr="00E375AE">
              <w:rPr>
                <w:sz w:val="20"/>
                <w:szCs w:val="20"/>
              </w:rPr>
              <w:t>.</w:t>
            </w:r>
          </w:p>
          <w:p w:rsidR="00E375AE" w:rsidRPr="00E375AE" w:rsidRDefault="00E375AE" w:rsidP="00096662">
            <w:pPr>
              <w:pStyle w:val="ListParagraph"/>
              <w:numPr>
                <w:ilvl w:val="0"/>
                <w:numId w:val="31"/>
              </w:numPr>
              <w:spacing w:before="80" w:after="80"/>
              <w:ind w:left="281" w:hanging="281"/>
              <w:contextualSpacing w:val="0"/>
              <w:rPr>
                <w:sz w:val="20"/>
                <w:szCs w:val="20"/>
              </w:rPr>
            </w:pPr>
            <w:r w:rsidRPr="00E375AE">
              <w:rPr>
                <w:sz w:val="20"/>
                <w:szCs w:val="20"/>
              </w:rPr>
              <w:t xml:space="preserve">Retain a consultant with demonstrated experience </w:t>
            </w:r>
            <w:r w:rsidR="00096662">
              <w:rPr>
                <w:sz w:val="20"/>
                <w:szCs w:val="20"/>
              </w:rPr>
              <w:t xml:space="preserve">nationally </w:t>
            </w:r>
            <w:r w:rsidRPr="00E375AE">
              <w:rPr>
                <w:sz w:val="20"/>
                <w:szCs w:val="20"/>
              </w:rPr>
              <w:t>in maximizing federal E-rate reimbu</w:t>
            </w:r>
            <w:r w:rsidR="00096662">
              <w:rPr>
                <w:sz w:val="20"/>
                <w:szCs w:val="20"/>
              </w:rPr>
              <w:t>rsements for technology.</w:t>
            </w:r>
          </w:p>
        </w:tc>
        <w:tc>
          <w:tcPr>
            <w:tcW w:w="457" w:type="pct"/>
          </w:tcPr>
          <w:p w:rsidR="00E375AE" w:rsidRPr="00E375AE" w:rsidRDefault="00E375AE" w:rsidP="00C325E2">
            <w:pPr>
              <w:spacing w:before="80" w:after="80"/>
              <w:rPr>
                <w:sz w:val="20"/>
                <w:szCs w:val="20"/>
              </w:rPr>
            </w:pPr>
            <w:r w:rsidRPr="00E375AE">
              <w:rPr>
                <w:sz w:val="20"/>
                <w:szCs w:val="20"/>
              </w:rPr>
              <w:t>2/2015</w:t>
            </w:r>
          </w:p>
        </w:tc>
      </w:tr>
      <w:tr w:rsidR="00E375AE" w:rsidRPr="00E375AE" w:rsidTr="005914A1">
        <w:trPr>
          <w:cantSplit/>
        </w:trPr>
        <w:tc>
          <w:tcPr>
            <w:tcW w:w="971" w:type="pct"/>
            <w:vMerge/>
          </w:tcPr>
          <w:p w:rsidR="00E375AE" w:rsidRPr="00E375AE" w:rsidRDefault="00E375AE" w:rsidP="00C325E2">
            <w:pPr>
              <w:pStyle w:val="ListParagraph"/>
              <w:numPr>
                <w:ilvl w:val="0"/>
                <w:numId w:val="32"/>
              </w:numPr>
              <w:spacing w:before="80" w:after="80"/>
              <w:contextualSpacing w:val="0"/>
              <w:rPr>
                <w:sz w:val="20"/>
                <w:szCs w:val="20"/>
              </w:rPr>
            </w:pPr>
          </w:p>
        </w:tc>
        <w:tc>
          <w:tcPr>
            <w:tcW w:w="487" w:type="pct"/>
          </w:tcPr>
          <w:p w:rsidR="00E375AE" w:rsidRPr="00E375AE" w:rsidRDefault="00E375AE" w:rsidP="00C325E2">
            <w:pPr>
              <w:spacing w:before="80" w:after="80"/>
              <w:rPr>
                <w:sz w:val="20"/>
                <w:szCs w:val="20"/>
              </w:rPr>
            </w:pPr>
            <w:r w:rsidRPr="00E375AE">
              <w:rPr>
                <w:sz w:val="20"/>
                <w:szCs w:val="20"/>
              </w:rPr>
              <w:t>ESE, MassIT</w:t>
            </w:r>
          </w:p>
        </w:tc>
        <w:tc>
          <w:tcPr>
            <w:tcW w:w="3085" w:type="pct"/>
          </w:tcPr>
          <w:p w:rsidR="00E375AE" w:rsidRPr="00E375AE" w:rsidRDefault="00096662" w:rsidP="00C325E2">
            <w:pPr>
              <w:pStyle w:val="ListParagraph"/>
              <w:numPr>
                <w:ilvl w:val="0"/>
                <w:numId w:val="31"/>
              </w:numPr>
              <w:spacing w:before="80" w:after="80"/>
              <w:ind w:left="281" w:hanging="281"/>
              <w:contextualSpacing w:val="0"/>
              <w:rPr>
                <w:sz w:val="20"/>
                <w:szCs w:val="20"/>
              </w:rPr>
            </w:pPr>
            <w:r>
              <w:rPr>
                <w:sz w:val="20"/>
                <w:szCs w:val="20"/>
              </w:rPr>
              <w:t>P</w:t>
            </w:r>
            <w:r w:rsidR="00E375AE" w:rsidRPr="00E375AE">
              <w:rPr>
                <w:sz w:val="20"/>
                <w:szCs w:val="20"/>
              </w:rPr>
              <w:t xml:space="preserve">romote the availability of federal E-rate </w:t>
            </w:r>
            <w:r>
              <w:rPr>
                <w:sz w:val="20"/>
                <w:szCs w:val="20"/>
              </w:rPr>
              <w:t>technology discounts</w:t>
            </w:r>
            <w:r w:rsidR="00E375AE" w:rsidRPr="00E375AE">
              <w:rPr>
                <w:sz w:val="20"/>
                <w:szCs w:val="20"/>
              </w:rPr>
              <w:t xml:space="preserve"> to school</w:t>
            </w:r>
            <w:r w:rsidR="000105FA">
              <w:rPr>
                <w:sz w:val="20"/>
                <w:szCs w:val="20"/>
              </w:rPr>
              <w:t>s</w:t>
            </w:r>
            <w:r w:rsidR="00E375AE" w:rsidRPr="00E375AE">
              <w:rPr>
                <w:sz w:val="20"/>
                <w:szCs w:val="20"/>
              </w:rPr>
              <w:t xml:space="preserve"> and libraries in the Commonwealth through varied media, including:</w:t>
            </w:r>
          </w:p>
          <w:p w:rsidR="00E375AE" w:rsidRPr="00E375AE" w:rsidRDefault="00E375AE" w:rsidP="00C325E2">
            <w:pPr>
              <w:pStyle w:val="ListParagraph"/>
              <w:numPr>
                <w:ilvl w:val="1"/>
                <w:numId w:val="31"/>
              </w:numPr>
              <w:spacing w:before="80" w:after="80"/>
              <w:contextualSpacing w:val="0"/>
              <w:rPr>
                <w:sz w:val="20"/>
                <w:szCs w:val="20"/>
              </w:rPr>
            </w:pPr>
            <w:r w:rsidRPr="00E375AE">
              <w:rPr>
                <w:sz w:val="20"/>
                <w:szCs w:val="20"/>
              </w:rPr>
              <w:t>MassIT and ESE Twitter accounts</w:t>
            </w:r>
            <w:r w:rsidR="00CC2B3E">
              <w:rPr>
                <w:sz w:val="20"/>
                <w:szCs w:val="20"/>
              </w:rPr>
              <w:t>.</w:t>
            </w:r>
          </w:p>
          <w:p w:rsidR="00E375AE" w:rsidRPr="00E375AE" w:rsidRDefault="00E375AE" w:rsidP="00C325E2">
            <w:pPr>
              <w:pStyle w:val="ListParagraph"/>
              <w:numPr>
                <w:ilvl w:val="1"/>
                <w:numId w:val="31"/>
              </w:numPr>
              <w:spacing w:before="80" w:after="80"/>
              <w:contextualSpacing w:val="0"/>
              <w:rPr>
                <w:sz w:val="20"/>
                <w:szCs w:val="20"/>
              </w:rPr>
            </w:pPr>
            <w:r w:rsidRPr="00E375AE">
              <w:rPr>
                <w:sz w:val="20"/>
                <w:szCs w:val="20"/>
              </w:rPr>
              <w:t>Commissioner’s Update</w:t>
            </w:r>
            <w:r w:rsidR="00CC2B3E">
              <w:rPr>
                <w:sz w:val="20"/>
                <w:szCs w:val="20"/>
              </w:rPr>
              <w:t>.</w:t>
            </w:r>
          </w:p>
          <w:p w:rsidR="00E375AE" w:rsidRPr="00E375AE" w:rsidRDefault="00E375AE" w:rsidP="00C325E2">
            <w:pPr>
              <w:pStyle w:val="ListParagraph"/>
              <w:numPr>
                <w:ilvl w:val="1"/>
                <w:numId w:val="31"/>
              </w:numPr>
              <w:spacing w:before="80" w:after="80"/>
              <w:contextualSpacing w:val="0"/>
              <w:rPr>
                <w:sz w:val="20"/>
                <w:szCs w:val="20"/>
              </w:rPr>
            </w:pPr>
            <w:r w:rsidRPr="00E375AE">
              <w:rPr>
                <w:sz w:val="20"/>
                <w:szCs w:val="20"/>
              </w:rPr>
              <w:t>Links to federal E-rate resources from the ESE website</w:t>
            </w:r>
            <w:r w:rsidR="00CC2B3E">
              <w:rPr>
                <w:sz w:val="20"/>
                <w:szCs w:val="20"/>
              </w:rPr>
              <w:t>.</w:t>
            </w:r>
          </w:p>
          <w:p w:rsidR="00E375AE" w:rsidRPr="00E375AE" w:rsidRDefault="00E375AE" w:rsidP="00C325E2">
            <w:pPr>
              <w:pStyle w:val="ListParagraph"/>
              <w:numPr>
                <w:ilvl w:val="1"/>
                <w:numId w:val="31"/>
              </w:numPr>
              <w:spacing w:before="80" w:after="80"/>
              <w:contextualSpacing w:val="0"/>
              <w:rPr>
                <w:sz w:val="20"/>
                <w:szCs w:val="20"/>
              </w:rPr>
            </w:pPr>
            <w:r w:rsidRPr="00E375AE">
              <w:rPr>
                <w:sz w:val="20"/>
                <w:szCs w:val="20"/>
              </w:rPr>
              <w:t>Statewide conference call convened by Senator Ed</w:t>
            </w:r>
            <w:r w:rsidR="00FA0E47">
              <w:rPr>
                <w:sz w:val="20"/>
                <w:szCs w:val="20"/>
              </w:rPr>
              <w:t>ward Markey</w:t>
            </w:r>
            <w:r w:rsidR="00096662">
              <w:rPr>
                <w:rStyle w:val="FootnoteReference"/>
                <w:sz w:val="20"/>
                <w:szCs w:val="20"/>
              </w:rPr>
              <w:footnoteReference w:id="6"/>
            </w:r>
            <w:r w:rsidR="00FA0E47">
              <w:rPr>
                <w:sz w:val="20"/>
                <w:szCs w:val="20"/>
              </w:rPr>
              <w:t xml:space="preserve"> in collaboration with</w:t>
            </w:r>
            <w:r w:rsidRPr="00E375AE">
              <w:rPr>
                <w:sz w:val="20"/>
                <w:szCs w:val="20"/>
              </w:rPr>
              <w:t xml:space="preserve"> the Fe</w:t>
            </w:r>
            <w:r w:rsidR="00096662">
              <w:rPr>
                <w:sz w:val="20"/>
                <w:szCs w:val="20"/>
              </w:rPr>
              <w:t>deral Communications Commission</w:t>
            </w:r>
            <w:r w:rsidRPr="00E375AE">
              <w:rPr>
                <w:sz w:val="20"/>
                <w:szCs w:val="20"/>
              </w:rPr>
              <w:t xml:space="preserve"> and the Office of Digital Learning</w:t>
            </w:r>
            <w:r w:rsidR="00CC2B3E">
              <w:rPr>
                <w:sz w:val="20"/>
                <w:szCs w:val="20"/>
              </w:rPr>
              <w:t>.</w:t>
            </w:r>
          </w:p>
        </w:tc>
        <w:tc>
          <w:tcPr>
            <w:tcW w:w="457" w:type="pct"/>
          </w:tcPr>
          <w:p w:rsidR="00E375AE" w:rsidRPr="00E375AE" w:rsidRDefault="00E375AE" w:rsidP="00ED67A5">
            <w:pPr>
              <w:spacing w:before="80" w:after="80"/>
              <w:rPr>
                <w:sz w:val="20"/>
                <w:szCs w:val="20"/>
              </w:rPr>
            </w:pPr>
            <w:r w:rsidRPr="00E375AE">
              <w:rPr>
                <w:sz w:val="20"/>
                <w:szCs w:val="20"/>
              </w:rPr>
              <w:t>10/2014-</w:t>
            </w:r>
            <w:r w:rsidR="00ED67A5">
              <w:rPr>
                <w:sz w:val="20"/>
                <w:szCs w:val="20"/>
              </w:rPr>
              <w:t>4</w:t>
            </w:r>
            <w:r w:rsidRPr="00E375AE">
              <w:rPr>
                <w:sz w:val="20"/>
                <w:szCs w:val="20"/>
              </w:rPr>
              <w:t>/2015</w:t>
            </w:r>
          </w:p>
        </w:tc>
      </w:tr>
      <w:tr w:rsidR="000458D3" w:rsidRPr="00E375AE" w:rsidTr="005914A1">
        <w:trPr>
          <w:cantSplit/>
        </w:trPr>
        <w:tc>
          <w:tcPr>
            <w:tcW w:w="971" w:type="pct"/>
            <w:vMerge/>
          </w:tcPr>
          <w:p w:rsidR="000458D3" w:rsidRPr="00E375AE" w:rsidRDefault="000458D3" w:rsidP="00C325E2">
            <w:pPr>
              <w:pStyle w:val="ListParagraph"/>
              <w:numPr>
                <w:ilvl w:val="0"/>
                <w:numId w:val="32"/>
              </w:numPr>
              <w:spacing w:before="80" w:after="80"/>
              <w:contextualSpacing w:val="0"/>
              <w:rPr>
                <w:sz w:val="20"/>
                <w:szCs w:val="20"/>
              </w:rPr>
            </w:pPr>
          </w:p>
        </w:tc>
        <w:tc>
          <w:tcPr>
            <w:tcW w:w="487" w:type="pct"/>
            <w:vMerge w:val="restart"/>
          </w:tcPr>
          <w:p w:rsidR="000458D3" w:rsidRPr="00E375AE" w:rsidRDefault="000458D3" w:rsidP="00C325E2">
            <w:pPr>
              <w:spacing w:before="80" w:after="80"/>
              <w:rPr>
                <w:sz w:val="20"/>
                <w:szCs w:val="20"/>
              </w:rPr>
            </w:pPr>
            <w:r>
              <w:rPr>
                <w:sz w:val="20"/>
                <w:szCs w:val="20"/>
              </w:rPr>
              <w:t>LEAs</w:t>
            </w:r>
          </w:p>
        </w:tc>
        <w:tc>
          <w:tcPr>
            <w:tcW w:w="3085" w:type="pct"/>
          </w:tcPr>
          <w:p w:rsidR="000458D3" w:rsidRPr="00E375AE" w:rsidRDefault="000458D3" w:rsidP="00830F78">
            <w:pPr>
              <w:pStyle w:val="ListParagraph"/>
              <w:numPr>
                <w:ilvl w:val="0"/>
                <w:numId w:val="31"/>
              </w:numPr>
              <w:spacing w:before="80" w:after="80"/>
              <w:ind w:left="281" w:hanging="281"/>
              <w:contextualSpacing w:val="0"/>
              <w:rPr>
                <w:sz w:val="20"/>
                <w:szCs w:val="20"/>
              </w:rPr>
            </w:pPr>
            <w:r>
              <w:rPr>
                <w:sz w:val="20"/>
                <w:szCs w:val="20"/>
              </w:rPr>
              <w:t>School</w:t>
            </w:r>
            <w:r w:rsidRPr="00E375AE">
              <w:rPr>
                <w:sz w:val="20"/>
                <w:szCs w:val="20"/>
              </w:rPr>
              <w:t xml:space="preserve"> and </w:t>
            </w:r>
            <w:r>
              <w:rPr>
                <w:sz w:val="20"/>
                <w:szCs w:val="20"/>
              </w:rPr>
              <w:t>local</w:t>
            </w:r>
            <w:r w:rsidRPr="00E375AE">
              <w:rPr>
                <w:sz w:val="20"/>
                <w:szCs w:val="20"/>
              </w:rPr>
              <w:t xml:space="preserve"> officials assure the Commonwealth that federal E-rate reimbursement dollars will be reserved for school technology needs and not diverted into general funds.</w:t>
            </w:r>
          </w:p>
        </w:tc>
        <w:tc>
          <w:tcPr>
            <w:tcW w:w="457" w:type="pct"/>
            <w:vMerge w:val="restart"/>
          </w:tcPr>
          <w:p w:rsidR="000458D3" w:rsidRPr="00E375AE" w:rsidRDefault="000458D3" w:rsidP="00C325E2">
            <w:pPr>
              <w:spacing w:before="80" w:after="80"/>
              <w:rPr>
                <w:sz w:val="20"/>
                <w:szCs w:val="20"/>
              </w:rPr>
            </w:pPr>
            <w:r w:rsidRPr="00E375AE">
              <w:rPr>
                <w:sz w:val="20"/>
                <w:szCs w:val="20"/>
              </w:rPr>
              <w:t>3</w:t>
            </w:r>
            <w:r w:rsidR="00ED67A5">
              <w:rPr>
                <w:sz w:val="20"/>
                <w:szCs w:val="20"/>
              </w:rPr>
              <w:t>-4</w:t>
            </w:r>
            <w:r w:rsidRPr="00E375AE">
              <w:rPr>
                <w:sz w:val="20"/>
                <w:szCs w:val="20"/>
              </w:rPr>
              <w:t>/2015</w:t>
            </w:r>
          </w:p>
        </w:tc>
      </w:tr>
      <w:tr w:rsidR="000458D3" w:rsidRPr="00E375AE" w:rsidTr="005914A1">
        <w:trPr>
          <w:cantSplit/>
        </w:trPr>
        <w:tc>
          <w:tcPr>
            <w:tcW w:w="971" w:type="pct"/>
            <w:vMerge/>
          </w:tcPr>
          <w:p w:rsidR="000458D3" w:rsidRPr="00E375AE" w:rsidRDefault="000458D3" w:rsidP="00C325E2">
            <w:pPr>
              <w:pStyle w:val="ListParagraph"/>
              <w:numPr>
                <w:ilvl w:val="0"/>
                <w:numId w:val="32"/>
              </w:numPr>
              <w:spacing w:before="80" w:after="80"/>
              <w:contextualSpacing w:val="0"/>
              <w:rPr>
                <w:sz w:val="20"/>
                <w:szCs w:val="20"/>
              </w:rPr>
            </w:pPr>
          </w:p>
        </w:tc>
        <w:tc>
          <w:tcPr>
            <w:tcW w:w="487" w:type="pct"/>
            <w:vMerge/>
          </w:tcPr>
          <w:p w:rsidR="000458D3" w:rsidRDefault="000458D3" w:rsidP="00C325E2">
            <w:pPr>
              <w:spacing w:before="80" w:after="80"/>
              <w:rPr>
                <w:sz w:val="20"/>
                <w:szCs w:val="20"/>
              </w:rPr>
            </w:pPr>
          </w:p>
        </w:tc>
        <w:tc>
          <w:tcPr>
            <w:tcW w:w="3085" w:type="pct"/>
          </w:tcPr>
          <w:p w:rsidR="000458D3" w:rsidRDefault="000458D3" w:rsidP="000458D3">
            <w:pPr>
              <w:pStyle w:val="ListParagraph"/>
              <w:numPr>
                <w:ilvl w:val="0"/>
                <w:numId w:val="31"/>
              </w:numPr>
              <w:spacing w:before="80" w:after="80"/>
              <w:ind w:left="281" w:hanging="281"/>
              <w:contextualSpacing w:val="0"/>
              <w:rPr>
                <w:sz w:val="20"/>
                <w:szCs w:val="20"/>
              </w:rPr>
            </w:pPr>
            <w:r>
              <w:rPr>
                <w:sz w:val="20"/>
                <w:szCs w:val="20"/>
              </w:rPr>
              <w:t>School</w:t>
            </w:r>
            <w:r w:rsidRPr="00E375AE">
              <w:rPr>
                <w:sz w:val="20"/>
                <w:szCs w:val="20"/>
              </w:rPr>
              <w:t xml:space="preserve"> and </w:t>
            </w:r>
            <w:r>
              <w:rPr>
                <w:sz w:val="20"/>
                <w:szCs w:val="20"/>
              </w:rPr>
              <w:t>local</w:t>
            </w:r>
            <w:r w:rsidRPr="00E375AE">
              <w:rPr>
                <w:sz w:val="20"/>
                <w:szCs w:val="20"/>
              </w:rPr>
              <w:t xml:space="preserve"> officials</w:t>
            </w:r>
            <w:r>
              <w:rPr>
                <w:sz w:val="20"/>
                <w:szCs w:val="20"/>
              </w:rPr>
              <w:t xml:space="preserve"> </w:t>
            </w:r>
            <w:r w:rsidRPr="00E375AE">
              <w:rPr>
                <w:sz w:val="20"/>
                <w:szCs w:val="20"/>
              </w:rPr>
              <w:t xml:space="preserve">establish a line item in </w:t>
            </w:r>
            <w:r>
              <w:rPr>
                <w:sz w:val="20"/>
                <w:szCs w:val="20"/>
              </w:rPr>
              <w:t>the operating budget for recurring technology costs and identify</w:t>
            </w:r>
            <w:r w:rsidRPr="00E375AE">
              <w:rPr>
                <w:sz w:val="20"/>
                <w:szCs w:val="20"/>
              </w:rPr>
              <w:t xml:space="preserve"> </w:t>
            </w:r>
            <w:r>
              <w:rPr>
                <w:sz w:val="20"/>
                <w:szCs w:val="20"/>
              </w:rPr>
              <w:t>one or more associated funding streams.</w:t>
            </w:r>
          </w:p>
        </w:tc>
        <w:tc>
          <w:tcPr>
            <w:tcW w:w="457" w:type="pct"/>
            <w:vMerge/>
          </w:tcPr>
          <w:p w:rsidR="000458D3" w:rsidRPr="00E375AE" w:rsidRDefault="000458D3" w:rsidP="00C325E2">
            <w:pPr>
              <w:spacing w:before="80" w:after="80"/>
              <w:rPr>
                <w:sz w:val="20"/>
                <w:szCs w:val="20"/>
              </w:rPr>
            </w:pPr>
          </w:p>
        </w:tc>
      </w:tr>
      <w:tr w:rsidR="00E375AE" w:rsidRPr="00E375AE" w:rsidTr="005914A1">
        <w:trPr>
          <w:cantSplit/>
        </w:trPr>
        <w:tc>
          <w:tcPr>
            <w:tcW w:w="971" w:type="pct"/>
            <w:vMerge/>
          </w:tcPr>
          <w:p w:rsidR="00E375AE" w:rsidRPr="00E375AE" w:rsidRDefault="00E375AE" w:rsidP="00C325E2">
            <w:pPr>
              <w:pStyle w:val="ListParagraph"/>
              <w:numPr>
                <w:ilvl w:val="0"/>
                <w:numId w:val="32"/>
              </w:numPr>
              <w:spacing w:before="80" w:after="80"/>
              <w:contextualSpacing w:val="0"/>
              <w:rPr>
                <w:sz w:val="20"/>
                <w:szCs w:val="20"/>
              </w:rPr>
            </w:pPr>
          </w:p>
        </w:tc>
        <w:tc>
          <w:tcPr>
            <w:tcW w:w="487" w:type="pct"/>
          </w:tcPr>
          <w:p w:rsidR="00E375AE" w:rsidRPr="00E375AE" w:rsidRDefault="00E375AE" w:rsidP="00C325E2">
            <w:pPr>
              <w:spacing w:before="80" w:after="80"/>
              <w:rPr>
                <w:sz w:val="20"/>
                <w:szCs w:val="20"/>
              </w:rPr>
            </w:pPr>
            <w:r w:rsidRPr="00E375AE">
              <w:rPr>
                <w:sz w:val="20"/>
                <w:szCs w:val="20"/>
              </w:rPr>
              <w:t>MassIT</w:t>
            </w:r>
          </w:p>
        </w:tc>
        <w:tc>
          <w:tcPr>
            <w:tcW w:w="3085" w:type="pct"/>
          </w:tcPr>
          <w:p w:rsidR="00E375AE" w:rsidRPr="00E375AE" w:rsidRDefault="00E375AE" w:rsidP="00643EE4">
            <w:pPr>
              <w:pStyle w:val="ListParagraph"/>
              <w:numPr>
                <w:ilvl w:val="0"/>
                <w:numId w:val="31"/>
              </w:numPr>
              <w:spacing w:before="80" w:after="80"/>
              <w:ind w:left="281" w:hanging="281"/>
              <w:contextualSpacing w:val="0"/>
              <w:rPr>
                <w:sz w:val="20"/>
                <w:szCs w:val="20"/>
              </w:rPr>
            </w:pPr>
            <w:r w:rsidRPr="00E375AE">
              <w:rPr>
                <w:sz w:val="20"/>
                <w:szCs w:val="20"/>
              </w:rPr>
              <w:t xml:space="preserve">Apply for E-rate reimbursements </w:t>
            </w:r>
            <w:r w:rsidR="00643EE4">
              <w:rPr>
                <w:sz w:val="20"/>
                <w:szCs w:val="20"/>
              </w:rPr>
              <w:t xml:space="preserve">for technology infrastructure </w:t>
            </w:r>
            <w:r w:rsidRPr="00E375AE">
              <w:rPr>
                <w:sz w:val="20"/>
                <w:szCs w:val="20"/>
              </w:rPr>
              <w:t>from USAC on behalf of all applicant</w:t>
            </w:r>
            <w:r w:rsidR="00830F78">
              <w:rPr>
                <w:sz w:val="20"/>
                <w:szCs w:val="20"/>
              </w:rPr>
              <w:t>s</w:t>
            </w:r>
            <w:r w:rsidRPr="00E375AE">
              <w:rPr>
                <w:sz w:val="20"/>
                <w:szCs w:val="20"/>
              </w:rPr>
              <w:t>.</w:t>
            </w:r>
          </w:p>
        </w:tc>
        <w:tc>
          <w:tcPr>
            <w:tcW w:w="457" w:type="pct"/>
          </w:tcPr>
          <w:p w:rsidR="00E375AE" w:rsidRPr="00E375AE" w:rsidRDefault="00ED67A5" w:rsidP="00C325E2">
            <w:pPr>
              <w:spacing w:before="80" w:after="80"/>
              <w:rPr>
                <w:sz w:val="20"/>
                <w:szCs w:val="20"/>
              </w:rPr>
            </w:pPr>
            <w:r>
              <w:rPr>
                <w:sz w:val="20"/>
                <w:szCs w:val="20"/>
              </w:rPr>
              <w:t>4</w:t>
            </w:r>
            <w:r w:rsidR="00E375AE" w:rsidRPr="00E375AE">
              <w:rPr>
                <w:sz w:val="20"/>
                <w:szCs w:val="20"/>
              </w:rPr>
              <w:t>/2015</w:t>
            </w:r>
          </w:p>
        </w:tc>
      </w:tr>
      <w:tr w:rsidR="00E375AE" w:rsidRPr="00E375AE" w:rsidTr="005914A1">
        <w:trPr>
          <w:cantSplit/>
        </w:trPr>
        <w:tc>
          <w:tcPr>
            <w:tcW w:w="971" w:type="pct"/>
            <w:vMerge/>
          </w:tcPr>
          <w:p w:rsidR="00E375AE" w:rsidRPr="00E375AE" w:rsidRDefault="00E375AE" w:rsidP="00C325E2">
            <w:pPr>
              <w:spacing w:before="80" w:after="80"/>
              <w:rPr>
                <w:sz w:val="20"/>
                <w:szCs w:val="20"/>
              </w:rPr>
            </w:pPr>
          </w:p>
        </w:tc>
        <w:tc>
          <w:tcPr>
            <w:tcW w:w="487" w:type="pct"/>
          </w:tcPr>
          <w:p w:rsidR="00E375AE" w:rsidRPr="00E375AE" w:rsidRDefault="00E375AE" w:rsidP="00C325E2">
            <w:pPr>
              <w:spacing w:before="80" w:after="80"/>
              <w:rPr>
                <w:sz w:val="20"/>
                <w:szCs w:val="20"/>
              </w:rPr>
            </w:pPr>
            <w:r w:rsidRPr="00E375AE">
              <w:rPr>
                <w:sz w:val="20"/>
                <w:szCs w:val="20"/>
              </w:rPr>
              <w:t>MassIT</w:t>
            </w:r>
          </w:p>
        </w:tc>
        <w:tc>
          <w:tcPr>
            <w:tcW w:w="3085" w:type="pct"/>
          </w:tcPr>
          <w:p w:rsidR="00E375AE" w:rsidRPr="00E375AE" w:rsidRDefault="000458D3" w:rsidP="00ED67A5">
            <w:pPr>
              <w:pStyle w:val="ListParagraph"/>
              <w:numPr>
                <w:ilvl w:val="0"/>
                <w:numId w:val="31"/>
              </w:numPr>
              <w:spacing w:before="80" w:after="80"/>
              <w:ind w:left="281" w:hanging="281"/>
              <w:contextualSpacing w:val="0"/>
              <w:rPr>
                <w:sz w:val="20"/>
                <w:szCs w:val="20"/>
              </w:rPr>
            </w:pPr>
            <w:r>
              <w:rPr>
                <w:sz w:val="20"/>
                <w:szCs w:val="20"/>
              </w:rPr>
              <w:t>D</w:t>
            </w:r>
            <w:r w:rsidR="00E375AE" w:rsidRPr="00E375AE">
              <w:rPr>
                <w:sz w:val="20"/>
                <w:szCs w:val="20"/>
              </w:rPr>
              <w:t>isburse E-rate techno</w:t>
            </w:r>
            <w:r>
              <w:rPr>
                <w:sz w:val="20"/>
                <w:szCs w:val="20"/>
              </w:rPr>
              <w:t>logy</w:t>
            </w:r>
            <w:r w:rsidR="00ED67A5">
              <w:rPr>
                <w:sz w:val="20"/>
                <w:szCs w:val="20"/>
              </w:rPr>
              <w:t xml:space="preserve"> reimbursements to communities. Communities may permit</w:t>
            </w:r>
            <w:r>
              <w:rPr>
                <w:sz w:val="20"/>
                <w:szCs w:val="20"/>
              </w:rPr>
              <w:t xml:space="preserve"> MassIT to withhold funding to cover the local match.</w:t>
            </w:r>
          </w:p>
        </w:tc>
        <w:tc>
          <w:tcPr>
            <w:tcW w:w="457" w:type="pct"/>
          </w:tcPr>
          <w:p w:rsidR="00E375AE" w:rsidRPr="00E375AE" w:rsidRDefault="00E375AE" w:rsidP="00C325E2">
            <w:pPr>
              <w:spacing w:before="80" w:after="80"/>
              <w:rPr>
                <w:sz w:val="20"/>
                <w:szCs w:val="20"/>
              </w:rPr>
            </w:pPr>
            <w:r w:rsidRPr="00E375AE">
              <w:rPr>
                <w:sz w:val="20"/>
                <w:szCs w:val="20"/>
              </w:rPr>
              <w:t>9/2015</w:t>
            </w:r>
          </w:p>
        </w:tc>
      </w:tr>
    </w:tbl>
    <w:p w:rsidR="00EB4A7A" w:rsidRDefault="00EB4A7A" w:rsidP="00E375AE"/>
    <w:p w:rsidR="00E375AE" w:rsidRDefault="00E375AE" w:rsidP="00E375AE"/>
    <w:tbl>
      <w:tblPr>
        <w:tblStyle w:val="TableGrid"/>
        <w:tblW w:w="5000" w:type="pct"/>
        <w:tblLook w:val="04A0"/>
      </w:tblPr>
      <w:tblGrid>
        <w:gridCol w:w="2559"/>
        <w:gridCol w:w="1283"/>
        <w:gridCol w:w="8130"/>
        <w:gridCol w:w="1204"/>
      </w:tblGrid>
      <w:tr w:rsidR="00E375AE" w:rsidRPr="00E375AE" w:rsidTr="003E4AA3">
        <w:trPr>
          <w:tblHeader/>
        </w:trPr>
        <w:tc>
          <w:tcPr>
            <w:tcW w:w="5000" w:type="pct"/>
            <w:gridSpan w:val="4"/>
          </w:tcPr>
          <w:p w:rsidR="00E375AE" w:rsidRPr="00F70069" w:rsidRDefault="00E375AE" w:rsidP="0071585E">
            <w:pPr>
              <w:pStyle w:val="Heading3"/>
              <w:spacing w:before="80" w:after="80"/>
              <w:outlineLvl w:val="2"/>
              <w:rPr>
                <w:rFonts w:ascii="Times New Roman" w:hAnsi="Times New Roman" w:cs="Times New Roman"/>
                <w:sz w:val="20"/>
                <w:szCs w:val="20"/>
              </w:rPr>
            </w:pPr>
            <w:bookmarkStart w:id="8" w:name="_Toc420011386"/>
            <w:r w:rsidRPr="00F70069">
              <w:rPr>
                <w:rFonts w:ascii="Times New Roman" w:hAnsi="Times New Roman" w:cs="Times New Roman"/>
                <w:sz w:val="20"/>
                <w:szCs w:val="20"/>
              </w:rPr>
              <w:t>Strategic Goal 2: Provide student access to individualized and rigorous digital learning experiences</w:t>
            </w:r>
            <w:bookmarkEnd w:id="8"/>
          </w:p>
        </w:tc>
      </w:tr>
      <w:tr w:rsidR="00E375AE" w:rsidRPr="00E375AE" w:rsidTr="003E4AA3">
        <w:trPr>
          <w:tblHeader/>
        </w:trPr>
        <w:tc>
          <w:tcPr>
            <w:tcW w:w="971" w:type="pct"/>
          </w:tcPr>
          <w:p w:rsidR="00E375AE" w:rsidRPr="00F70069" w:rsidRDefault="00E375AE" w:rsidP="003E4AA3">
            <w:pPr>
              <w:spacing w:before="80" w:after="80"/>
              <w:rPr>
                <w:b/>
                <w:sz w:val="20"/>
                <w:szCs w:val="20"/>
              </w:rPr>
            </w:pPr>
            <w:r w:rsidRPr="00F70069">
              <w:rPr>
                <w:b/>
                <w:sz w:val="20"/>
                <w:szCs w:val="20"/>
              </w:rPr>
              <w:t>Strategies</w:t>
            </w:r>
          </w:p>
        </w:tc>
        <w:tc>
          <w:tcPr>
            <w:tcW w:w="487" w:type="pct"/>
          </w:tcPr>
          <w:p w:rsidR="00E375AE" w:rsidRPr="00F70069" w:rsidRDefault="00E375AE" w:rsidP="003E4AA3">
            <w:pPr>
              <w:spacing w:before="80" w:after="80"/>
              <w:rPr>
                <w:b/>
                <w:sz w:val="20"/>
                <w:szCs w:val="20"/>
              </w:rPr>
            </w:pPr>
            <w:r w:rsidRPr="00F70069">
              <w:rPr>
                <w:b/>
                <w:sz w:val="20"/>
                <w:szCs w:val="20"/>
              </w:rPr>
              <w:t>Responsible Agency</w:t>
            </w:r>
          </w:p>
        </w:tc>
        <w:tc>
          <w:tcPr>
            <w:tcW w:w="3085" w:type="pct"/>
          </w:tcPr>
          <w:p w:rsidR="00E375AE" w:rsidRPr="00F70069" w:rsidRDefault="00E375AE" w:rsidP="003E4AA3">
            <w:pPr>
              <w:spacing w:before="80" w:after="80"/>
              <w:rPr>
                <w:b/>
                <w:sz w:val="20"/>
                <w:szCs w:val="20"/>
              </w:rPr>
            </w:pPr>
            <w:r w:rsidRPr="00F70069">
              <w:rPr>
                <w:b/>
                <w:sz w:val="20"/>
                <w:szCs w:val="20"/>
              </w:rPr>
              <w:t>Actions</w:t>
            </w:r>
          </w:p>
        </w:tc>
        <w:tc>
          <w:tcPr>
            <w:tcW w:w="457" w:type="pct"/>
          </w:tcPr>
          <w:p w:rsidR="00E375AE" w:rsidRPr="00F70069" w:rsidRDefault="00E375AE" w:rsidP="003E4AA3">
            <w:pPr>
              <w:spacing w:before="80" w:after="80"/>
              <w:rPr>
                <w:b/>
                <w:sz w:val="20"/>
                <w:szCs w:val="20"/>
              </w:rPr>
            </w:pPr>
            <w:r w:rsidRPr="00F70069">
              <w:rPr>
                <w:b/>
                <w:sz w:val="20"/>
                <w:szCs w:val="20"/>
              </w:rPr>
              <w:t>Timeline</w:t>
            </w:r>
          </w:p>
        </w:tc>
      </w:tr>
      <w:tr w:rsidR="00830F78" w:rsidRPr="00E375AE" w:rsidTr="00830F78">
        <w:trPr>
          <w:trHeight w:val="928"/>
        </w:trPr>
        <w:tc>
          <w:tcPr>
            <w:tcW w:w="971" w:type="pct"/>
            <w:vMerge w:val="restart"/>
          </w:tcPr>
          <w:p w:rsidR="00830F78" w:rsidRPr="00EB4A7A" w:rsidRDefault="00830F78" w:rsidP="00830F78">
            <w:pPr>
              <w:spacing w:before="80" w:after="80"/>
              <w:rPr>
                <w:sz w:val="20"/>
              </w:rPr>
            </w:pPr>
            <w:r>
              <w:rPr>
                <w:sz w:val="20"/>
              </w:rPr>
              <w:t xml:space="preserve">Schools use local matching funds to purchase devices on a scale commensurate with </w:t>
            </w:r>
            <w:r>
              <w:rPr>
                <w:sz w:val="20"/>
                <w:szCs w:val="20"/>
              </w:rPr>
              <w:t>existing capacity and current educational opportunities presented by technology</w:t>
            </w:r>
            <w:r>
              <w:rPr>
                <w:sz w:val="20"/>
              </w:rPr>
              <w:t xml:space="preserve"> in the school.</w:t>
            </w:r>
          </w:p>
        </w:tc>
        <w:tc>
          <w:tcPr>
            <w:tcW w:w="487" w:type="pct"/>
            <w:vMerge w:val="restart"/>
          </w:tcPr>
          <w:p w:rsidR="00830F78" w:rsidRPr="00E375AE" w:rsidRDefault="00830F78" w:rsidP="003E4AA3">
            <w:pPr>
              <w:spacing w:before="80" w:after="80"/>
              <w:rPr>
                <w:sz w:val="20"/>
                <w:szCs w:val="20"/>
              </w:rPr>
            </w:pPr>
            <w:r w:rsidRPr="00E375AE">
              <w:rPr>
                <w:sz w:val="20"/>
                <w:szCs w:val="20"/>
              </w:rPr>
              <w:t>ESE</w:t>
            </w:r>
            <w:r>
              <w:rPr>
                <w:sz w:val="20"/>
                <w:szCs w:val="20"/>
              </w:rPr>
              <w:t>, LEA</w:t>
            </w:r>
          </w:p>
        </w:tc>
        <w:tc>
          <w:tcPr>
            <w:tcW w:w="3085" w:type="pct"/>
          </w:tcPr>
          <w:p w:rsidR="00830F78" w:rsidRPr="00E375AE" w:rsidRDefault="00830F78" w:rsidP="00E375AE">
            <w:pPr>
              <w:pStyle w:val="ListParagraph"/>
              <w:numPr>
                <w:ilvl w:val="0"/>
                <w:numId w:val="31"/>
              </w:numPr>
              <w:spacing w:before="80" w:after="80"/>
              <w:ind w:left="281" w:hanging="281"/>
              <w:contextualSpacing w:val="0"/>
              <w:rPr>
                <w:sz w:val="20"/>
                <w:szCs w:val="20"/>
              </w:rPr>
            </w:pPr>
            <w:r>
              <w:rPr>
                <w:sz w:val="20"/>
                <w:szCs w:val="20"/>
              </w:rPr>
              <w:t>A</w:t>
            </w:r>
            <w:r w:rsidRPr="00E375AE">
              <w:rPr>
                <w:sz w:val="20"/>
                <w:szCs w:val="20"/>
              </w:rPr>
              <w:t>pplicants describe the specific instructional and learning challenges facing each school that a shift toward an increased use of digital learning will help them solve.</w:t>
            </w:r>
          </w:p>
          <w:p w:rsidR="00830F78" w:rsidRPr="00E375AE" w:rsidRDefault="00830F78" w:rsidP="00830F78">
            <w:pPr>
              <w:pStyle w:val="ListParagraph"/>
              <w:numPr>
                <w:ilvl w:val="0"/>
                <w:numId w:val="31"/>
              </w:numPr>
              <w:spacing w:before="80" w:after="80"/>
              <w:ind w:left="281" w:hanging="281"/>
              <w:contextualSpacing w:val="0"/>
              <w:rPr>
                <w:sz w:val="20"/>
                <w:szCs w:val="20"/>
              </w:rPr>
            </w:pPr>
            <w:r>
              <w:rPr>
                <w:sz w:val="20"/>
                <w:szCs w:val="20"/>
              </w:rPr>
              <w:t xml:space="preserve">Applicants describe how the </w:t>
            </w:r>
            <w:r w:rsidRPr="00E375AE">
              <w:rPr>
                <w:sz w:val="20"/>
                <w:szCs w:val="20"/>
              </w:rPr>
              <w:t>program will integrate online and face-to-face learning.</w:t>
            </w:r>
          </w:p>
        </w:tc>
        <w:tc>
          <w:tcPr>
            <w:tcW w:w="457" w:type="pct"/>
          </w:tcPr>
          <w:p w:rsidR="00830F78" w:rsidRPr="00E375AE" w:rsidRDefault="00830F78" w:rsidP="003E4AA3">
            <w:pPr>
              <w:spacing w:before="80" w:after="80"/>
              <w:rPr>
                <w:sz w:val="20"/>
                <w:szCs w:val="20"/>
              </w:rPr>
            </w:pPr>
            <w:r w:rsidRPr="00E375AE">
              <w:rPr>
                <w:sz w:val="20"/>
                <w:szCs w:val="20"/>
              </w:rPr>
              <w:t>11/2014</w:t>
            </w:r>
          </w:p>
        </w:tc>
      </w:tr>
      <w:tr w:rsidR="00830F78" w:rsidRPr="00E375AE" w:rsidTr="003E4AA3">
        <w:trPr>
          <w:trHeight w:val="928"/>
        </w:trPr>
        <w:tc>
          <w:tcPr>
            <w:tcW w:w="971" w:type="pct"/>
            <w:vMerge/>
          </w:tcPr>
          <w:p w:rsidR="00830F78" w:rsidRDefault="00830F78" w:rsidP="00830F78">
            <w:pPr>
              <w:spacing w:before="80" w:after="80"/>
              <w:rPr>
                <w:sz w:val="20"/>
              </w:rPr>
            </w:pPr>
          </w:p>
        </w:tc>
        <w:tc>
          <w:tcPr>
            <w:tcW w:w="487" w:type="pct"/>
            <w:vMerge/>
          </w:tcPr>
          <w:p w:rsidR="00830F78" w:rsidRPr="00E375AE" w:rsidRDefault="00830F78" w:rsidP="003E4AA3">
            <w:pPr>
              <w:spacing w:before="80" w:after="80"/>
              <w:rPr>
                <w:sz w:val="20"/>
                <w:szCs w:val="20"/>
              </w:rPr>
            </w:pPr>
          </w:p>
        </w:tc>
        <w:tc>
          <w:tcPr>
            <w:tcW w:w="3085" w:type="pct"/>
          </w:tcPr>
          <w:p w:rsidR="00830F78" w:rsidRPr="00E375AE" w:rsidRDefault="00830F78" w:rsidP="00830F78">
            <w:pPr>
              <w:pStyle w:val="ListParagraph"/>
              <w:numPr>
                <w:ilvl w:val="0"/>
                <w:numId w:val="31"/>
              </w:numPr>
              <w:spacing w:before="80" w:after="80"/>
              <w:ind w:left="281" w:hanging="281"/>
              <w:contextualSpacing w:val="0"/>
              <w:rPr>
                <w:sz w:val="20"/>
                <w:szCs w:val="20"/>
              </w:rPr>
            </w:pPr>
            <w:r>
              <w:rPr>
                <w:sz w:val="20"/>
                <w:szCs w:val="20"/>
              </w:rPr>
              <w:t xml:space="preserve">Each applicant deploys a </w:t>
            </w:r>
            <w:r w:rsidRPr="00E375AE">
              <w:rPr>
                <w:sz w:val="20"/>
                <w:szCs w:val="20"/>
              </w:rPr>
              <w:t xml:space="preserve">one-to-one (one device per student) </w:t>
            </w:r>
            <w:r>
              <w:rPr>
                <w:sz w:val="20"/>
                <w:szCs w:val="20"/>
              </w:rPr>
              <w:t>initiative</w:t>
            </w:r>
            <w:r w:rsidRPr="00E375AE">
              <w:rPr>
                <w:sz w:val="20"/>
                <w:szCs w:val="20"/>
              </w:rPr>
              <w:t xml:space="preserve"> in </w:t>
            </w:r>
            <w:r>
              <w:rPr>
                <w:sz w:val="20"/>
                <w:szCs w:val="20"/>
              </w:rPr>
              <w:t xml:space="preserve">funded </w:t>
            </w:r>
            <w:r w:rsidRPr="00E375AE">
              <w:rPr>
                <w:sz w:val="20"/>
                <w:szCs w:val="20"/>
              </w:rPr>
              <w:t>schools</w:t>
            </w:r>
            <w:r>
              <w:rPr>
                <w:sz w:val="20"/>
                <w:szCs w:val="20"/>
              </w:rPr>
              <w:t xml:space="preserve"> based on current capacity and educational opportunities presented by technology</w:t>
            </w:r>
            <w:r w:rsidRPr="00E375AE">
              <w:rPr>
                <w:sz w:val="20"/>
                <w:szCs w:val="20"/>
              </w:rPr>
              <w:t>:</w:t>
            </w:r>
          </w:p>
          <w:p w:rsidR="00830F78" w:rsidRPr="00E375AE" w:rsidRDefault="00830F78" w:rsidP="00830F78">
            <w:pPr>
              <w:pStyle w:val="ListParagraph"/>
              <w:numPr>
                <w:ilvl w:val="1"/>
                <w:numId w:val="31"/>
              </w:numPr>
              <w:spacing w:before="80" w:after="80"/>
              <w:contextualSpacing w:val="0"/>
              <w:rPr>
                <w:sz w:val="20"/>
                <w:szCs w:val="20"/>
              </w:rPr>
            </w:pPr>
            <w:r w:rsidRPr="00E375AE">
              <w:rPr>
                <w:sz w:val="20"/>
                <w:szCs w:val="20"/>
              </w:rPr>
              <w:t>Option 1: All grades and subjects in the school</w:t>
            </w:r>
            <w:r w:rsidR="00CC2B3E">
              <w:rPr>
                <w:sz w:val="20"/>
                <w:szCs w:val="20"/>
              </w:rPr>
              <w:t>.</w:t>
            </w:r>
          </w:p>
          <w:p w:rsidR="00830F78" w:rsidRPr="00E375AE" w:rsidRDefault="00830F78" w:rsidP="00830F78">
            <w:pPr>
              <w:pStyle w:val="ListParagraph"/>
              <w:numPr>
                <w:ilvl w:val="1"/>
                <w:numId w:val="31"/>
              </w:numPr>
              <w:spacing w:before="80" w:after="80"/>
              <w:contextualSpacing w:val="0"/>
              <w:rPr>
                <w:sz w:val="20"/>
                <w:szCs w:val="20"/>
              </w:rPr>
            </w:pPr>
            <w:r w:rsidRPr="00E375AE">
              <w:rPr>
                <w:sz w:val="20"/>
                <w:szCs w:val="20"/>
              </w:rPr>
              <w:t>Option 2: A single grade or specific grades in the school</w:t>
            </w:r>
            <w:r w:rsidR="00CC2B3E">
              <w:rPr>
                <w:sz w:val="20"/>
                <w:szCs w:val="20"/>
              </w:rPr>
              <w:t>.</w:t>
            </w:r>
          </w:p>
          <w:p w:rsidR="00830F78" w:rsidRPr="00830F78" w:rsidRDefault="00830F78" w:rsidP="00830F78">
            <w:pPr>
              <w:pStyle w:val="ListParagraph"/>
              <w:numPr>
                <w:ilvl w:val="1"/>
                <w:numId w:val="31"/>
              </w:numPr>
              <w:spacing w:before="80" w:after="80"/>
              <w:contextualSpacing w:val="0"/>
              <w:rPr>
                <w:sz w:val="20"/>
                <w:szCs w:val="20"/>
              </w:rPr>
            </w:pPr>
            <w:r w:rsidRPr="00E375AE">
              <w:rPr>
                <w:sz w:val="20"/>
                <w:szCs w:val="20"/>
              </w:rPr>
              <w:t>Option 3: A single subject or specific subjects in the school</w:t>
            </w:r>
            <w:r w:rsidR="00CC2B3E">
              <w:rPr>
                <w:sz w:val="20"/>
                <w:szCs w:val="20"/>
              </w:rPr>
              <w:t>.</w:t>
            </w:r>
          </w:p>
        </w:tc>
        <w:tc>
          <w:tcPr>
            <w:tcW w:w="457" w:type="pct"/>
          </w:tcPr>
          <w:p w:rsidR="00830F78" w:rsidRPr="00E375AE" w:rsidRDefault="00830F78" w:rsidP="003E4AA3">
            <w:pPr>
              <w:spacing w:before="80" w:after="80"/>
              <w:rPr>
                <w:sz w:val="20"/>
                <w:szCs w:val="20"/>
              </w:rPr>
            </w:pPr>
            <w:r>
              <w:rPr>
                <w:sz w:val="20"/>
                <w:szCs w:val="20"/>
              </w:rPr>
              <w:t>9/2015</w:t>
            </w:r>
          </w:p>
        </w:tc>
      </w:tr>
      <w:tr w:rsidR="00E375AE" w:rsidRPr="00E375AE" w:rsidTr="003E4AA3">
        <w:tc>
          <w:tcPr>
            <w:tcW w:w="971" w:type="pct"/>
          </w:tcPr>
          <w:p w:rsidR="00E375AE" w:rsidRPr="00EB4A7A" w:rsidRDefault="000458D3" w:rsidP="00EB4A7A">
            <w:pPr>
              <w:spacing w:before="80" w:after="80"/>
              <w:rPr>
                <w:sz w:val="20"/>
              </w:rPr>
            </w:pPr>
            <w:r>
              <w:rPr>
                <w:sz w:val="20"/>
              </w:rPr>
              <w:t>Schools leverage statewide contracts to procure professional development, network management services, and twenty-first century tools.</w:t>
            </w:r>
          </w:p>
        </w:tc>
        <w:tc>
          <w:tcPr>
            <w:tcW w:w="487" w:type="pct"/>
          </w:tcPr>
          <w:p w:rsidR="00E375AE" w:rsidRPr="00E375AE" w:rsidRDefault="00E375AE" w:rsidP="003E4AA3">
            <w:pPr>
              <w:spacing w:before="80" w:after="80"/>
              <w:rPr>
                <w:sz w:val="20"/>
                <w:szCs w:val="20"/>
              </w:rPr>
            </w:pPr>
            <w:r w:rsidRPr="00E375AE">
              <w:rPr>
                <w:sz w:val="20"/>
                <w:szCs w:val="20"/>
              </w:rPr>
              <w:t>ESE, MassIT</w:t>
            </w:r>
          </w:p>
        </w:tc>
        <w:tc>
          <w:tcPr>
            <w:tcW w:w="3085" w:type="pct"/>
          </w:tcPr>
          <w:p w:rsidR="00E375AE" w:rsidRPr="00E375AE" w:rsidRDefault="00FA0E47" w:rsidP="000458D3">
            <w:pPr>
              <w:pStyle w:val="ListParagraph"/>
              <w:numPr>
                <w:ilvl w:val="0"/>
                <w:numId w:val="31"/>
              </w:numPr>
              <w:spacing w:before="80" w:after="80"/>
              <w:ind w:left="281" w:hanging="281"/>
              <w:contextualSpacing w:val="0"/>
              <w:rPr>
                <w:sz w:val="20"/>
                <w:szCs w:val="20"/>
              </w:rPr>
            </w:pPr>
            <w:r>
              <w:rPr>
                <w:sz w:val="20"/>
                <w:szCs w:val="20"/>
              </w:rPr>
              <w:t>Award</w:t>
            </w:r>
            <w:r w:rsidR="00E375AE" w:rsidRPr="00E375AE">
              <w:rPr>
                <w:sz w:val="20"/>
                <w:szCs w:val="20"/>
              </w:rPr>
              <w:t xml:space="preserve"> </w:t>
            </w:r>
            <w:r>
              <w:rPr>
                <w:sz w:val="20"/>
                <w:szCs w:val="20"/>
              </w:rPr>
              <w:t>extra</w:t>
            </w:r>
            <w:r w:rsidR="00E375AE" w:rsidRPr="00E375AE">
              <w:rPr>
                <w:sz w:val="20"/>
                <w:szCs w:val="20"/>
              </w:rPr>
              <w:t xml:space="preserve"> points to applicants that </w:t>
            </w:r>
            <w:r w:rsidR="00830F78">
              <w:rPr>
                <w:sz w:val="20"/>
                <w:szCs w:val="20"/>
              </w:rPr>
              <w:t xml:space="preserve">leverage statewide contracts to procure </w:t>
            </w:r>
            <w:r w:rsidR="00E375AE" w:rsidRPr="00E375AE">
              <w:rPr>
                <w:sz w:val="20"/>
                <w:szCs w:val="20"/>
              </w:rPr>
              <w:t>professional development</w:t>
            </w:r>
            <w:r w:rsidR="000458D3">
              <w:rPr>
                <w:sz w:val="20"/>
                <w:szCs w:val="20"/>
              </w:rPr>
              <w:t>, network management services,</w:t>
            </w:r>
            <w:r w:rsidR="00E375AE" w:rsidRPr="00E375AE">
              <w:rPr>
                <w:sz w:val="20"/>
                <w:szCs w:val="20"/>
              </w:rPr>
              <w:t xml:space="preserve"> and twenty-first century tools </w:t>
            </w:r>
            <w:r w:rsidR="000458D3">
              <w:rPr>
                <w:sz w:val="20"/>
                <w:szCs w:val="20"/>
              </w:rPr>
              <w:t xml:space="preserve">(e.g., devices for students and teachers and assistive technology for students with disabilities) </w:t>
            </w:r>
            <w:r w:rsidR="00E375AE" w:rsidRPr="00E375AE">
              <w:rPr>
                <w:sz w:val="20"/>
                <w:szCs w:val="20"/>
              </w:rPr>
              <w:t xml:space="preserve">to support </w:t>
            </w:r>
            <w:r w:rsidR="000458D3">
              <w:rPr>
                <w:sz w:val="20"/>
                <w:szCs w:val="20"/>
              </w:rPr>
              <w:t>students’</w:t>
            </w:r>
            <w:r w:rsidR="00E375AE" w:rsidRPr="00E375AE">
              <w:rPr>
                <w:sz w:val="20"/>
                <w:szCs w:val="20"/>
              </w:rPr>
              <w:t xml:space="preserve"> attainment of the Massachusetts Curriculum Frameworks.</w:t>
            </w:r>
            <w:r w:rsidR="00D4785C">
              <w:rPr>
                <w:rStyle w:val="FootnoteReference"/>
                <w:sz w:val="20"/>
                <w:szCs w:val="20"/>
              </w:rPr>
              <w:footnoteReference w:id="7"/>
            </w:r>
          </w:p>
        </w:tc>
        <w:tc>
          <w:tcPr>
            <w:tcW w:w="457" w:type="pct"/>
          </w:tcPr>
          <w:p w:rsidR="00E375AE" w:rsidRPr="00E375AE" w:rsidRDefault="00E375AE" w:rsidP="003E4AA3">
            <w:pPr>
              <w:spacing w:before="80" w:after="80"/>
              <w:rPr>
                <w:sz w:val="20"/>
                <w:szCs w:val="20"/>
              </w:rPr>
            </w:pPr>
            <w:r w:rsidRPr="00E375AE">
              <w:rPr>
                <w:sz w:val="20"/>
                <w:szCs w:val="20"/>
              </w:rPr>
              <w:t>11/2014</w:t>
            </w:r>
          </w:p>
        </w:tc>
      </w:tr>
      <w:tr w:rsidR="002F26AB" w:rsidRPr="00E375AE" w:rsidTr="002F26AB">
        <w:trPr>
          <w:trHeight w:val="947"/>
        </w:trPr>
        <w:tc>
          <w:tcPr>
            <w:tcW w:w="971" w:type="pct"/>
            <w:vMerge w:val="restart"/>
          </w:tcPr>
          <w:p w:rsidR="002F26AB" w:rsidRPr="00EB4A7A" w:rsidRDefault="002F26AB" w:rsidP="000458D3">
            <w:pPr>
              <w:spacing w:before="80" w:after="80"/>
              <w:rPr>
                <w:sz w:val="20"/>
              </w:rPr>
            </w:pPr>
            <w:r>
              <w:rPr>
                <w:sz w:val="20"/>
              </w:rPr>
              <w:t>Schools provide a</w:t>
            </w:r>
            <w:r w:rsidRPr="000458D3">
              <w:rPr>
                <w:sz w:val="20"/>
              </w:rPr>
              <w:t xml:space="preserve">ssistive technologies and accessible instructional materials </w:t>
            </w:r>
            <w:r>
              <w:rPr>
                <w:sz w:val="20"/>
              </w:rPr>
              <w:t>for students with disabilities that expand</w:t>
            </w:r>
            <w:r w:rsidRPr="000458D3">
              <w:rPr>
                <w:sz w:val="20"/>
              </w:rPr>
              <w:t xml:space="preserve"> their learning </w:t>
            </w:r>
            <w:r w:rsidRPr="000458D3">
              <w:rPr>
                <w:sz w:val="20"/>
              </w:rPr>
              <w:lastRenderedPageBreak/>
              <w:t>oppo</w:t>
            </w:r>
            <w:r>
              <w:rPr>
                <w:sz w:val="20"/>
              </w:rPr>
              <w:t>rtunities, personalize their instruction, and allow</w:t>
            </w:r>
            <w:r w:rsidRPr="000458D3">
              <w:rPr>
                <w:sz w:val="20"/>
              </w:rPr>
              <w:t xml:space="preserve"> them to participate in school activities alongside their peers.</w:t>
            </w:r>
          </w:p>
        </w:tc>
        <w:tc>
          <w:tcPr>
            <w:tcW w:w="487" w:type="pct"/>
            <w:vMerge w:val="restart"/>
          </w:tcPr>
          <w:p w:rsidR="002F26AB" w:rsidRPr="00E375AE" w:rsidRDefault="002F26AB" w:rsidP="003E4AA3">
            <w:pPr>
              <w:spacing w:before="80" w:after="80"/>
              <w:rPr>
                <w:sz w:val="20"/>
                <w:szCs w:val="20"/>
              </w:rPr>
            </w:pPr>
            <w:r w:rsidRPr="00E375AE">
              <w:rPr>
                <w:sz w:val="20"/>
                <w:szCs w:val="20"/>
              </w:rPr>
              <w:lastRenderedPageBreak/>
              <w:t>ESE</w:t>
            </w:r>
          </w:p>
        </w:tc>
        <w:tc>
          <w:tcPr>
            <w:tcW w:w="3085" w:type="pct"/>
          </w:tcPr>
          <w:p w:rsidR="002F26AB" w:rsidRDefault="002F26AB" w:rsidP="002F26AB">
            <w:pPr>
              <w:pStyle w:val="ListParagraph"/>
              <w:numPr>
                <w:ilvl w:val="0"/>
                <w:numId w:val="31"/>
              </w:numPr>
              <w:spacing w:before="80" w:after="80"/>
              <w:ind w:left="281" w:hanging="281"/>
              <w:contextualSpacing w:val="0"/>
              <w:rPr>
                <w:sz w:val="20"/>
                <w:szCs w:val="20"/>
              </w:rPr>
            </w:pPr>
            <w:r>
              <w:rPr>
                <w:sz w:val="20"/>
                <w:szCs w:val="20"/>
              </w:rPr>
              <w:t>Condition</w:t>
            </w:r>
            <w:r w:rsidRPr="00E375AE">
              <w:rPr>
                <w:sz w:val="20"/>
                <w:szCs w:val="20"/>
              </w:rPr>
              <w:t xml:space="preserve"> funding</w:t>
            </w:r>
            <w:r>
              <w:rPr>
                <w:sz w:val="20"/>
                <w:szCs w:val="20"/>
              </w:rPr>
              <w:t xml:space="preserve"> on the</w:t>
            </w:r>
            <w:r w:rsidRPr="00E375AE">
              <w:rPr>
                <w:sz w:val="20"/>
                <w:szCs w:val="20"/>
              </w:rPr>
              <w:t xml:space="preserve"> </w:t>
            </w:r>
            <w:r>
              <w:rPr>
                <w:sz w:val="20"/>
                <w:szCs w:val="20"/>
              </w:rPr>
              <w:t xml:space="preserve">provision of assistive technologies and accessible instructional materials </w:t>
            </w:r>
            <w:r w:rsidRPr="00E375AE">
              <w:rPr>
                <w:sz w:val="20"/>
                <w:szCs w:val="20"/>
              </w:rPr>
              <w:t>based on the needs of the student population.</w:t>
            </w:r>
          </w:p>
          <w:p w:rsidR="002F26AB" w:rsidRPr="002F26AB" w:rsidRDefault="002F26AB" w:rsidP="002F26AB">
            <w:pPr>
              <w:pStyle w:val="ListParagraph"/>
              <w:numPr>
                <w:ilvl w:val="0"/>
                <w:numId w:val="31"/>
              </w:numPr>
              <w:spacing w:before="80" w:after="80"/>
              <w:ind w:left="281" w:hanging="281"/>
              <w:contextualSpacing w:val="0"/>
              <w:rPr>
                <w:sz w:val="20"/>
                <w:szCs w:val="20"/>
              </w:rPr>
            </w:pPr>
            <w:r w:rsidRPr="002F26AB">
              <w:rPr>
                <w:sz w:val="20"/>
                <w:szCs w:val="20"/>
              </w:rPr>
              <w:t xml:space="preserve">Provide guidance, resources, and links for schools to develop flexible curricula that </w:t>
            </w:r>
            <w:r>
              <w:rPr>
                <w:sz w:val="20"/>
                <w:szCs w:val="20"/>
              </w:rPr>
              <w:t>meet the needs of all students, offer</w:t>
            </w:r>
            <w:r w:rsidRPr="002F26AB">
              <w:rPr>
                <w:sz w:val="20"/>
                <w:szCs w:val="20"/>
              </w:rPr>
              <w:t xml:space="preserve"> multiple options for students to access information, </w:t>
            </w:r>
            <w:r>
              <w:rPr>
                <w:sz w:val="20"/>
                <w:szCs w:val="20"/>
              </w:rPr>
              <w:t xml:space="preserve">help </w:t>
            </w:r>
            <w:r w:rsidRPr="002F26AB">
              <w:rPr>
                <w:sz w:val="20"/>
                <w:szCs w:val="20"/>
              </w:rPr>
              <w:t xml:space="preserve">demonstrate what they know, and get </w:t>
            </w:r>
            <w:r>
              <w:rPr>
                <w:sz w:val="20"/>
                <w:szCs w:val="20"/>
              </w:rPr>
              <w:t xml:space="preserve">students </w:t>
            </w:r>
            <w:r w:rsidRPr="002F26AB">
              <w:rPr>
                <w:sz w:val="20"/>
                <w:szCs w:val="20"/>
              </w:rPr>
              <w:t>excited about learning</w:t>
            </w:r>
            <w:r>
              <w:rPr>
                <w:sz w:val="20"/>
                <w:szCs w:val="20"/>
              </w:rPr>
              <w:t>.</w:t>
            </w:r>
          </w:p>
        </w:tc>
        <w:tc>
          <w:tcPr>
            <w:tcW w:w="457" w:type="pct"/>
          </w:tcPr>
          <w:p w:rsidR="002F26AB" w:rsidRPr="00E375AE" w:rsidRDefault="002F26AB" w:rsidP="003E4AA3">
            <w:pPr>
              <w:spacing w:before="80" w:after="80"/>
              <w:rPr>
                <w:sz w:val="20"/>
                <w:szCs w:val="20"/>
              </w:rPr>
            </w:pPr>
            <w:r w:rsidRPr="00E375AE">
              <w:rPr>
                <w:sz w:val="20"/>
                <w:szCs w:val="20"/>
              </w:rPr>
              <w:t>11/2014</w:t>
            </w:r>
          </w:p>
        </w:tc>
      </w:tr>
      <w:tr w:rsidR="002F26AB" w:rsidRPr="00E375AE" w:rsidTr="003E4AA3">
        <w:trPr>
          <w:trHeight w:val="947"/>
        </w:trPr>
        <w:tc>
          <w:tcPr>
            <w:tcW w:w="971" w:type="pct"/>
            <w:vMerge/>
          </w:tcPr>
          <w:p w:rsidR="002F26AB" w:rsidRDefault="002F26AB" w:rsidP="000458D3">
            <w:pPr>
              <w:spacing w:before="80" w:after="80"/>
              <w:rPr>
                <w:sz w:val="20"/>
              </w:rPr>
            </w:pPr>
          </w:p>
        </w:tc>
        <w:tc>
          <w:tcPr>
            <w:tcW w:w="487" w:type="pct"/>
            <w:vMerge/>
          </w:tcPr>
          <w:p w:rsidR="002F26AB" w:rsidRPr="00E375AE" w:rsidRDefault="002F26AB" w:rsidP="003E4AA3">
            <w:pPr>
              <w:spacing w:before="80" w:after="80"/>
              <w:rPr>
                <w:sz w:val="20"/>
                <w:szCs w:val="20"/>
              </w:rPr>
            </w:pPr>
          </w:p>
        </w:tc>
        <w:tc>
          <w:tcPr>
            <w:tcW w:w="3085" w:type="pct"/>
          </w:tcPr>
          <w:p w:rsidR="002F26AB" w:rsidRDefault="002F26AB" w:rsidP="002F26AB">
            <w:pPr>
              <w:pStyle w:val="ListParagraph"/>
              <w:numPr>
                <w:ilvl w:val="0"/>
                <w:numId w:val="31"/>
              </w:numPr>
              <w:spacing w:before="80" w:after="80"/>
              <w:ind w:left="281" w:hanging="281"/>
              <w:contextualSpacing w:val="0"/>
              <w:rPr>
                <w:sz w:val="20"/>
                <w:szCs w:val="20"/>
              </w:rPr>
            </w:pPr>
            <w:r>
              <w:rPr>
                <w:sz w:val="20"/>
                <w:szCs w:val="20"/>
              </w:rPr>
              <w:t>Offer two (2) in-person summer institutes in</w:t>
            </w:r>
            <w:r w:rsidRPr="002F26AB">
              <w:rPr>
                <w:sz w:val="20"/>
                <w:szCs w:val="20"/>
              </w:rPr>
              <w:t xml:space="preserve"> </w:t>
            </w:r>
            <w:r>
              <w:rPr>
                <w:sz w:val="20"/>
                <w:szCs w:val="20"/>
              </w:rPr>
              <w:t>assistive technology for educators.</w:t>
            </w:r>
          </w:p>
        </w:tc>
        <w:tc>
          <w:tcPr>
            <w:tcW w:w="457" w:type="pct"/>
          </w:tcPr>
          <w:p w:rsidR="002F26AB" w:rsidRPr="00E375AE" w:rsidRDefault="002F26AB" w:rsidP="003E4AA3">
            <w:pPr>
              <w:spacing w:before="80" w:after="80"/>
              <w:rPr>
                <w:sz w:val="20"/>
                <w:szCs w:val="20"/>
              </w:rPr>
            </w:pPr>
            <w:r>
              <w:rPr>
                <w:sz w:val="20"/>
                <w:szCs w:val="20"/>
              </w:rPr>
              <w:t>7/2015</w:t>
            </w:r>
          </w:p>
        </w:tc>
      </w:tr>
      <w:tr w:rsidR="00E375AE" w:rsidRPr="00E375AE" w:rsidTr="00F70069">
        <w:trPr>
          <w:cantSplit/>
        </w:trPr>
        <w:tc>
          <w:tcPr>
            <w:tcW w:w="971" w:type="pct"/>
          </w:tcPr>
          <w:p w:rsidR="00E375AE" w:rsidRPr="00EB4A7A" w:rsidRDefault="00E375AE" w:rsidP="00EB4A7A">
            <w:pPr>
              <w:spacing w:before="80" w:after="80"/>
              <w:rPr>
                <w:sz w:val="20"/>
              </w:rPr>
            </w:pPr>
            <w:r w:rsidRPr="00EB4A7A">
              <w:rPr>
                <w:sz w:val="20"/>
              </w:rPr>
              <w:lastRenderedPageBreak/>
              <w:t xml:space="preserve">Districts plan to ensure the appropriate use of technology by students and staff members, including </w:t>
            </w:r>
            <w:r w:rsidR="00BD4112" w:rsidRPr="00EB4A7A">
              <w:rPr>
                <w:sz w:val="20"/>
              </w:rPr>
              <w:t>protection of student privacy.</w:t>
            </w:r>
          </w:p>
        </w:tc>
        <w:tc>
          <w:tcPr>
            <w:tcW w:w="487" w:type="pct"/>
          </w:tcPr>
          <w:p w:rsidR="00E375AE" w:rsidRPr="00F70069" w:rsidRDefault="00CC16CB" w:rsidP="003E4AA3">
            <w:pPr>
              <w:spacing w:before="80" w:after="80"/>
              <w:rPr>
                <w:sz w:val="20"/>
                <w:szCs w:val="20"/>
              </w:rPr>
            </w:pPr>
            <w:r w:rsidRPr="00E375AE">
              <w:rPr>
                <w:sz w:val="20"/>
                <w:szCs w:val="20"/>
              </w:rPr>
              <w:t>ESE, MassIT</w:t>
            </w:r>
          </w:p>
        </w:tc>
        <w:tc>
          <w:tcPr>
            <w:tcW w:w="3085" w:type="pct"/>
          </w:tcPr>
          <w:p w:rsidR="00E375AE" w:rsidRPr="00F70069" w:rsidRDefault="006F3C85" w:rsidP="00E375AE">
            <w:pPr>
              <w:pStyle w:val="ListParagraph"/>
              <w:numPr>
                <w:ilvl w:val="0"/>
                <w:numId w:val="31"/>
              </w:numPr>
              <w:spacing w:before="80" w:after="80"/>
              <w:ind w:left="281" w:hanging="281"/>
              <w:contextualSpacing w:val="0"/>
              <w:rPr>
                <w:sz w:val="20"/>
                <w:szCs w:val="20"/>
              </w:rPr>
            </w:pPr>
            <w:r w:rsidRPr="00F70069">
              <w:rPr>
                <w:sz w:val="20"/>
                <w:szCs w:val="20"/>
              </w:rPr>
              <w:t>Condition funding on the</w:t>
            </w:r>
            <w:r w:rsidR="00E375AE" w:rsidRPr="00F70069">
              <w:rPr>
                <w:sz w:val="20"/>
                <w:szCs w:val="20"/>
              </w:rPr>
              <w:t xml:space="preserve"> develop</w:t>
            </w:r>
            <w:r w:rsidRPr="00F70069">
              <w:rPr>
                <w:sz w:val="20"/>
                <w:szCs w:val="20"/>
              </w:rPr>
              <w:t>ment, maintenance, and dissemination of</w:t>
            </w:r>
            <w:r w:rsidR="00E375AE" w:rsidRPr="00F70069">
              <w:rPr>
                <w:sz w:val="20"/>
                <w:szCs w:val="20"/>
              </w:rPr>
              <w:t xml:space="preserve"> current policies that comply </w:t>
            </w:r>
            <w:r w:rsidR="000105FA">
              <w:rPr>
                <w:sz w:val="20"/>
                <w:szCs w:val="20"/>
              </w:rPr>
              <w:t xml:space="preserve">with </w:t>
            </w:r>
            <w:r w:rsidR="00E375AE" w:rsidRPr="00F70069">
              <w:rPr>
                <w:sz w:val="20"/>
                <w:szCs w:val="20"/>
              </w:rPr>
              <w:t>the following laws and regulations:</w:t>
            </w:r>
          </w:p>
          <w:p w:rsidR="00E375AE" w:rsidRPr="00F70069" w:rsidRDefault="00E375AE" w:rsidP="00E375AE">
            <w:pPr>
              <w:pStyle w:val="ListParagraph"/>
              <w:numPr>
                <w:ilvl w:val="1"/>
                <w:numId w:val="31"/>
              </w:numPr>
              <w:spacing w:before="80" w:after="80"/>
              <w:contextualSpacing w:val="0"/>
              <w:rPr>
                <w:sz w:val="20"/>
                <w:szCs w:val="20"/>
              </w:rPr>
            </w:pPr>
            <w:r w:rsidRPr="00F70069">
              <w:rPr>
                <w:sz w:val="20"/>
                <w:szCs w:val="20"/>
              </w:rPr>
              <w:t>Public notice of directory information disclosures and opt-out process</w:t>
            </w:r>
            <w:r w:rsidR="00CC2B3E">
              <w:rPr>
                <w:sz w:val="20"/>
                <w:szCs w:val="20"/>
              </w:rPr>
              <w:t>.</w:t>
            </w:r>
          </w:p>
          <w:p w:rsidR="00E375AE" w:rsidRPr="00F70069" w:rsidRDefault="00E375AE" w:rsidP="00E375AE">
            <w:pPr>
              <w:pStyle w:val="ListParagraph"/>
              <w:numPr>
                <w:ilvl w:val="1"/>
                <w:numId w:val="31"/>
              </w:numPr>
              <w:spacing w:before="80" w:after="80"/>
              <w:contextualSpacing w:val="0"/>
              <w:rPr>
                <w:sz w:val="20"/>
                <w:szCs w:val="20"/>
              </w:rPr>
            </w:pPr>
            <w:r w:rsidRPr="00F70069">
              <w:rPr>
                <w:sz w:val="20"/>
                <w:szCs w:val="20"/>
              </w:rPr>
              <w:t>Data security practices and policies and data governance policies</w:t>
            </w:r>
            <w:r w:rsidR="00CC2B3E">
              <w:rPr>
                <w:sz w:val="20"/>
                <w:szCs w:val="20"/>
              </w:rPr>
              <w:t>.</w:t>
            </w:r>
          </w:p>
          <w:p w:rsidR="00E375AE" w:rsidRPr="00F70069" w:rsidRDefault="00E375AE" w:rsidP="00E375AE">
            <w:pPr>
              <w:pStyle w:val="ListParagraph"/>
              <w:numPr>
                <w:ilvl w:val="1"/>
                <w:numId w:val="31"/>
              </w:numPr>
              <w:spacing w:before="80" w:after="80"/>
              <w:contextualSpacing w:val="0"/>
              <w:rPr>
                <w:sz w:val="20"/>
                <w:szCs w:val="20"/>
              </w:rPr>
            </w:pPr>
            <w:r w:rsidRPr="00F70069">
              <w:rPr>
                <w:sz w:val="20"/>
                <w:szCs w:val="20"/>
              </w:rPr>
              <w:t>Digital Copyright Millennium Act (DCMA)</w:t>
            </w:r>
            <w:r w:rsidR="00CC2B3E">
              <w:rPr>
                <w:sz w:val="20"/>
                <w:szCs w:val="20"/>
              </w:rPr>
              <w:t>.</w:t>
            </w:r>
          </w:p>
          <w:p w:rsidR="00E375AE" w:rsidRPr="00F70069" w:rsidRDefault="00E375AE" w:rsidP="00E375AE">
            <w:pPr>
              <w:pStyle w:val="ListParagraph"/>
              <w:numPr>
                <w:ilvl w:val="1"/>
                <w:numId w:val="31"/>
              </w:numPr>
              <w:spacing w:before="80" w:after="80"/>
              <w:contextualSpacing w:val="0"/>
              <w:rPr>
                <w:sz w:val="20"/>
                <w:szCs w:val="20"/>
              </w:rPr>
            </w:pPr>
            <w:r w:rsidRPr="00F70069">
              <w:rPr>
                <w:sz w:val="20"/>
                <w:szCs w:val="20"/>
              </w:rPr>
              <w:t>Family Educational Rights and Privacy Act (FERPA) and 603 CMR 23.00 (Massachusetts regulations governing student records)</w:t>
            </w:r>
            <w:r w:rsidR="00CC2B3E">
              <w:rPr>
                <w:sz w:val="20"/>
                <w:szCs w:val="20"/>
              </w:rPr>
              <w:t>.</w:t>
            </w:r>
          </w:p>
          <w:p w:rsidR="00E375AE" w:rsidRPr="00F70069" w:rsidRDefault="00E375AE" w:rsidP="00E375AE">
            <w:pPr>
              <w:pStyle w:val="ListParagraph"/>
              <w:numPr>
                <w:ilvl w:val="1"/>
                <w:numId w:val="31"/>
              </w:numPr>
              <w:spacing w:before="80" w:after="80"/>
              <w:contextualSpacing w:val="0"/>
              <w:rPr>
                <w:sz w:val="20"/>
                <w:szCs w:val="20"/>
              </w:rPr>
            </w:pPr>
            <w:r w:rsidRPr="00F70069">
              <w:rPr>
                <w:sz w:val="20"/>
                <w:szCs w:val="20"/>
              </w:rPr>
              <w:t>Children's Online Privacy Protection Act (COPPA)</w:t>
            </w:r>
            <w:r w:rsidR="00CC2B3E">
              <w:rPr>
                <w:sz w:val="20"/>
                <w:szCs w:val="20"/>
              </w:rPr>
              <w:t>.</w:t>
            </w:r>
          </w:p>
          <w:p w:rsidR="00E375AE" w:rsidRPr="00F70069" w:rsidRDefault="00E375AE" w:rsidP="00E375AE">
            <w:pPr>
              <w:pStyle w:val="ListParagraph"/>
              <w:numPr>
                <w:ilvl w:val="1"/>
                <w:numId w:val="31"/>
              </w:numPr>
              <w:spacing w:before="80" w:after="80"/>
              <w:contextualSpacing w:val="0"/>
              <w:rPr>
                <w:sz w:val="20"/>
                <w:szCs w:val="20"/>
              </w:rPr>
            </w:pPr>
            <w:r w:rsidRPr="00F70069">
              <w:rPr>
                <w:sz w:val="20"/>
                <w:szCs w:val="20"/>
              </w:rPr>
              <w:t>Children’s Internet Protection Act (CIPA) as amended in the Broadband Data Improvement Act S.1492.</w:t>
            </w:r>
          </w:p>
          <w:p w:rsidR="00E375AE" w:rsidRPr="00F70069" w:rsidRDefault="00E375AE" w:rsidP="00E375AE">
            <w:pPr>
              <w:pStyle w:val="ListParagraph"/>
              <w:numPr>
                <w:ilvl w:val="0"/>
                <w:numId w:val="31"/>
              </w:numPr>
              <w:spacing w:before="80" w:after="80"/>
              <w:ind w:left="281" w:hanging="281"/>
              <w:contextualSpacing w:val="0"/>
              <w:rPr>
                <w:sz w:val="20"/>
                <w:szCs w:val="20"/>
              </w:rPr>
            </w:pPr>
            <w:r w:rsidRPr="00F70069">
              <w:rPr>
                <w:sz w:val="20"/>
                <w:szCs w:val="20"/>
              </w:rPr>
              <w:t xml:space="preserve">For parents, information on their rights under the </w:t>
            </w:r>
            <w:hyperlink r:id="rId23" w:history="1">
              <w:r w:rsidRPr="00EB4A7A">
                <w:rPr>
                  <w:sz w:val="20"/>
                  <w:szCs w:val="20"/>
                </w:rPr>
                <w:t>Protection of Pupil Rights Act (PPRA)</w:t>
              </w:r>
            </w:hyperlink>
            <w:r w:rsidRPr="00F70069">
              <w:rPr>
                <w:sz w:val="20"/>
                <w:szCs w:val="20"/>
              </w:rPr>
              <w:t xml:space="preserve"> when applicable</w:t>
            </w:r>
            <w:r w:rsidR="00BD4112" w:rsidRPr="00F70069">
              <w:rPr>
                <w:sz w:val="20"/>
                <w:szCs w:val="20"/>
              </w:rPr>
              <w:t>:</w:t>
            </w:r>
          </w:p>
          <w:p w:rsidR="00E375AE" w:rsidRPr="00F70069" w:rsidRDefault="00E375AE" w:rsidP="00E375AE">
            <w:pPr>
              <w:pStyle w:val="ListParagraph"/>
              <w:numPr>
                <w:ilvl w:val="1"/>
                <w:numId w:val="31"/>
              </w:numPr>
              <w:spacing w:before="80" w:after="80"/>
              <w:contextualSpacing w:val="0"/>
              <w:rPr>
                <w:sz w:val="20"/>
                <w:szCs w:val="20"/>
              </w:rPr>
            </w:pPr>
            <w:r w:rsidRPr="00F70069">
              <w:rPr>
                <w:sz w:val="20"/>
                <w:szCs w:val="20"/>
              </w:rPr>
              <w:t xml:space="preserve">Certify </w:t>
            </w:r>
            <w:r w:rsidR="00BD4112" w:rsidRPr="00F70069">
              <w:rPr>
                <w:sz w:val="20"/>
                <w:szCs w:val="20"/>
              </w:rPr>
              <w:t>every funded school complies</w:t>
            </w:r>
            <w:r w:rsidRPr="00F70069">
              <w:rPr>
                <w:sz w:val="20"/>
                <w:szCs w:val="20"/>
              </w:rPr>
              <w:t xml:space="preserve"> with the Children’s Internet Protection Act (CIPA) as amended in the Broadband Data Improvement Act S.1492.</w:t>
            </w:r>
          </w:p>
          <w:p w:rsidR="00E375AE" w:rsidRPr="00F70069" w:rsidRDefault="00E375AE" w:rsidP="00E375AE">
            <w:pPr>
              <w:pStyle w:val="ListParagraph"/>
              <w:numPr>
                <w:ilvl w:val="1"/>
                <w:numId w:val="31"/>
              </w:numPr>
              <w:spacing w:before="80" w:after="80"/>
              <w:contextualSpacing w:val="0"/>
              <w:rPr>
                <w:sz w:val="20"/>
                <w:szCs w:val="20"/>
              </w:rPr>
            </w:pPr>
            <w:r w:rsidRPr="00F70069">
              <w:rPr>
                <w:sz w:val="20"/>
                <w:szCs w:val="20"/>
              </w:rPr>
              <w:t>Expend dollars only for the benefit of the school buildings awarded funding and only for the benefit of educators and students who teach and learn within funded school buildings.</w:t>
            </w:r>
          </w:p>
        </w:tc>
        <w:tc>
          <w:tcPr>
            <w:tcW w:w="457" w:type="pct"/>
          </w:tcPr>
          <w:p w:rsidR="00E375AE" w:rsidRPr="00F70069" w:rsidRDefault="00E375AE" w:rsidP="003E4AA3">
            <w:pPr>
              <w:spacing w:before="80" w:after="80"/>
              <w:rPr>
                <w:sz w:val="20"/>
                <w:szCs w:val="20"/>
              </w:rPr>
            </w:pPr>
            <w:r w:rsidRPr="00F70069">
              <w:rPr>
                <w:sz w:val="20"/>
                <w:szCs w:val="20"/>
              </w:rPr>
              <w:t>11/2014</w:t>
            </w:r>
          </w:p>
        </w:tc>
      </w:tr>
    </w:tbl>
    <w:p w:rsidR="00E375AE" w:rsidRDefault="00E375AE" w:rsidP="00E375AE"/>
    <w:p w:rsidR="00E375AE" w:rsidRDefault="00E375AE" w:rsidP="00E375AE">
      <w:r>
        <w:br w:type="page"/>
      </w:r>
    </w:p>
    <w:tbl>
      <w:tblPr>
        <w:tblStyle w:val="TableGrid"/>
        <w:tblW w:w="5000" w:type="pct"/>
        <w:tblLook w:val="04A0"/>
      </w:tblPr>
      <w:tblGrid>
        <w:gridCol w:w="2559"/>
        <w:gridCol w:w="1283"/>
        <w:gridCol w:w="8130"/>
        <w:gridCol w:w="1204"/>
      </w:tblGrid>
      <w:tr w:rsidR="00E375AE" w:rsidRPr="00FE5B39" w:rsidTr="003E4AA3">
        <w:trPr>
          <w:tblHeader/>
        </w:trPr>
        <w:tc>
          <w:tcPr>
            <w:tcW w:w="5000" w:type="pct"/>
            <w:gridSpan w:val="4"/>
          </w:tcPr>
          <w:p w:rsidR="00E375AE" w:rsidRPr="00F70069" w:rsidRDefault="00E375AE" w:rsidP="0071585E">
            <w:pPr>
              <w:pStyle w:val="Heading3"/>
              <w:spacing w:before="80" w:after="80"/>
              <w:outlineLvl w:val="2"/>
              <w:rPr>
                <w:rFonts w:ascii="Times New Roman" w:hAnsi="Times New Roman" w:cs="Times New Roman"/>
              </w:rPr>
            </w:pPr>
            <w:bookmarkStart w:id="9" w:name="_Toc420011387"/>
            <w:r w:rsidRPr="00F70069">
              <w:rPr>
                <w:rFonts w:ascii="Times New Roman" w:hAnsi="Times New Roman" w:cs="Times New Roman"/>
                <w:sz w:val="20"/>
                <w:szCs w:val="20"/>
              </w:rPr>
              <w:lastRenderedPageBreak/>
              <w:t>Strategic Goal 3: Ensure that educators and administrators have the knowledge and skills to implement digital learning curricula.</w:t>
            </w:r>
            <w:bookmarkEnd w:id="9"/>
          </w:p>
        </w:tc>
      </w:tr>
      <w:tr w:rsidR="00E375AE" w:rsidRPr="00FE5B39" w:rsidTr="003E4AA3">
        <w:trPr>
          <w:tblHeader/>
        </w:trPr>
        <w:tc>
          <w:tcPr>
            <w:tcW w:w="971" w:type="pct"/>
          </w:tcPr>
          <w:p w:rsidR="00E375AE" w:rsidRPr="00F70069" w:rsidRDefault="00E375AE" w:rsidP="003E4AA3">
            <w:pPr>
              <w:spacing w:before="80" w:after="80"/>
              <w:rPr>
                <w:b/>
                <w:sz w:val="20"/>
                <w:szCs w:val="20"/>
              </w:rPr>
            </w:pPr>
            <w:r w:rsidRPr="00F70069">
              <w:rPr>
                <w:b/>
                <w:sz w:val="20"/>
                <w:szCs w:val="20"/>
              </w:rPr>
              <w:t>Strategies</w:t>
            </w:r>
          </w:p>
        </w:tc>
        <w:tc>
          <w:tcPr>
            <w:tcW w:w="487" w:type="pct"/>
          </w:tcPr>
          <w:p w:rsidR="00E375AE" w:rsidRPr="00F70069" w:rsidRDefault="00E375AE" w:rsidP="003E4AA3">
            <w:pPr>
              <w:spacing w:before="80" w:after="80"/>
              <w:rPr>
                <w:b/>
                <w:sz w:val="20"/>
                <w:szCs w:val="20"/>
              </w:rPr>
            </w:pPr>
            <w:r w:rsidRPr="00F70069">
              <w:rPr>
                <w:b/>
                <w:sz w:val="20"/>
                <w:szCs w:val="20"/>
              </w:rPr>
              <w:t>Responsible Agency</w:t>
            </w:r>
          </w:p>
        </w:tc>
        <w:tc>
          <w:tcPr>
            <w:tcW w:w="3085" w:type="pct"/>
          </w:tcPr>
          <w:p w:rsidR="00E375AE" w:rsidRPr="00F70069" w:rsidRDefault="00E375AE" w:rsidP="003E4AA3">
            <w:pPr>
              <w:spacing w:before="80" w:after="80"/>
              <w:rPr>
                <w:b/>
                <w:sz w:val="20"/>
                <w:szCs w:val="20"/>
              </w:rPr>
            </w:pPr>
            <w:r w:rsidRPr="00F70069">
              <w:rPr>
                <w:b/>
                <w:sz w:val="20"/>
                <w:szCs w:val="20"/>
              </w:rPr>
              <w:t>Actions</w:t>
            </w:r>
          </w:p>
        </w:tc>
        <w:tc>
          <w:tcPr>
            <w:tcW w:w="457" w:type="pct"/>
          </w:tcPr>
          <w:p w:rsidR="00E375AE" w:rsidRPr="00F70069" w:rsidRDefault="00E375AE" w:rsidP="003E4AA3">
            <w:pPr>
              <w:spacing w:before="80" w:after="80"/>
              <w:rPr>
                <w:b/>
                <w:sz w:val="20"/>
                <w:szCs w:val="20"/>
              </w:rPr>
            </w:pPr>
            <w:r w:rsidRPr="00F70069">
              <w:rPr>
                <w:b/>
                <w:sz w:val="20"/>
                <w:szCs w:val="20"/>
              </w:rPr>
              <w:t>Timeline</w:t>
            </w:r>
          </w:p>
        </w:tc>
      </w:tr>
      <w:tr w:rsidR="008E5751" w:rsidRPr="00FE5B39" w:rsidTr="003E4AA3">
        <w:tc>
          <w:tcPr>
            <w:tcW w:w="971" w:type="pct"/>
            <w:vMerge w:val="restart"/>
          </w:tcPr>
          <w:p w:rsidR="008E5751" w:rsidRPr="00EB4A7A" w:rsidRDefault="008E5751" w:rsidP="00EB4A7A">
            <w:pPr>
              <w:spacing w:before="80" w:after="80"/>
              <w:rPr>
                <w:sz w:val="20"/>
              </w:rPr>
            </w:pPr>
            <w:r w:rsidRPr="00EB4A7A">
              <w:rPr>
                <w:sz w:val="20"/>
              </w:rPr>
              <w:t xml:space="preserve">Districts </w:t>
            </w:r>
            <w:r w:rsidR="003E4AA3" w:rsidRPr="00EB4A7A">
              <w:rPr>
                <w:sz w:val="20"/>
              </w:rPr>
              <w:t xml:space="preserve">provide </w:t>
            </w:r>
            <w:r w:rsidR="002D2F18" w:rsidRPr="00EB4A7A">
              <w:rPr>
                <w:sz w:val="20"/>
              </w:rPr>
              <w:t xml:space="preserve">professional development and </w:t>
            </w:r>
            <w:r w:rsidR="003E4AA3" w:rsidRPr="00EB4A7A">
              <w:rPr>
                <w:sz w:val="20"/>
              </w:rPr>
              <w:t>technical support</w:t>
            </w:r>
            <w:r w:rsidR="002D2F18" w:rsidRPr="00EB4A7A">
              <w:rPr>
                <w:sz w:val="20"/>
              </w:rPr>
              <w:t>, and evaluate the return on investment of digital learning initiatives.</w:t>
            </w:r>
          </w:p>
        </w:tc>
        <w:tc>
          <w:tcPr>
            <w:tcW w:w="487" w:type="pct"/>
          </w:tcPr>
          <w:p w:rsidR="008E5751" w:rsidRPr="00FE5B39" w:rsidRDefault="008E5751" w:rsidP="003E4AA3">
            <w:pPr>
              <w:spacing w:before="80" w:after="80"/>
              <w:rPr>
                <w:sz w:val="20"/>
                <w:szCs w:val="20"/>
              </w:rPr>
            </w:pPr>
            <w:r>
              <w:rPr>
                <w:sz w:val="20"/>
                <w:szCs w:val="20"/>
              </w:rPr>
              <w:t>ESE</w:t>
            </w:r>
          </w:p>
        </w:tc>
        <w:tc>
          <w:tcPr>
            <w:tcW w:w="3085" w:type="pct"/>
          </w:tcPr>
          <w:p w:rsidR="008E5751" w:rsidRDefault="001B3C63" w:rsidP="008E5751">
            <w:pPr>
              <w:pStyle w:val="ListParagraph"/>
              <w:numPr>
                <w:ilvl w:val="0"/>
                <w:numId w:val="31"/>
              </w:numPr>
              <w:spacing w:before="80" w:after="80"/>
              <w:ind w:left="281" w:hanging="281"/>
              <w:contextualSpacing w:val="0"/>
              <w:rPr>
                <w:sz w:val="20"/>
                <w:szCs w:val="20"/>
              </w:rPr>
            </w:pPr>
            <w:r>
              <w:rPr>
                <w:sz w:val="20"/>
                <w:szCs w:val="20"/>
              </w:rPr>
              <w:t xml:space="preserve">Leverage existing state contracts for technology devices to </w:t>
            </w:r>
            <w:r w:rsidR="00DA49FD">
              <w:rPr>
                <w:sz w:val="20"/>
                <w:szCs w:val="20"/>
              </w:rPr>
              <w:t xml:space="preserve">create incentives </w:t>
            </w:r>
            <w:r w:rsidR="00C422E8">
              <w:rPr>
                <w:sz w:val="20"/>
                <w:szCs w:val="20"/>
              </w:rPr>
              <w:t xml:space="preserve">and options </w:t>
            </w:r>
            <w:r w:rsidR="00DA49FD">
              <w:rPr>
                <w:sz w:val="20"/>
                <w:szCs w:val="20"/>
              </w:rPr>
              <w:t xml:space="preserve">for districts to purchase </w:t>
            </w:r>
            <w:r>
              <w:rPr>
                <w:sz w:val="20"/>
                <w:szCs w:val="20"/>
              </w:rPr>
              <w:t>bundled solutions consisting of tailored professional development, managed services, and a device lease option at a “per seat” cost, inclusive</w:t>
            </w:r>
            <w:r w:rsidR="008E5751">
              <w:rPr>
                <w:sz w:val="20"/>
                <w:szCs w:val="20"/>
              </w:rPr>
              <w:t xml:space="preserve">. </w:t>
            </w:r>
            <w:r>
              <w:rPr>
                <w:sz w:val="20"/>
                <w:szCs w:val="20"/>
              </w:rPr>
              <w:t xml:space="preserve">The </w:t>
            </w:r>
            <w:r w:rsidR="006809CF">
              <w:rPr>
                <w:sz w:val="20"/>
                <w:szCs w:val="20"/>
              </w:rPr>
              <w:t xml:space="preserve">professional development </w:t>
            </w:r>
            <w:r>
              <w:rPr>
                <w:sz w:val="20"/>
                <w:szCs w:val="20"/>
              </w:rPr>
              <w:t>will be</w:t>
            </w:r>
            <w:r w:rsidR="008E5751">
              <w:rPr>
                <w:sz w:val="20"/>
                <w:szCs w:val="20"/>
              </w:rPr>
              <w:t>: ongoing and feature coaching, modeling, observation and feedback; connected to both the content and context teachers teach; aligned to the school’s instructional priorities; tied to measurable changes in student and adult behaviors; and clearly distinguishable from technical training.</w:t>
            </w:r>
          </w:p>
          <w:p w:rsidR="00C634BC" w:rsidRPr="008E5751" w:rsidRDefault="00C634BC" w:rsidP="003E4AA3">
            <w:pPr>
              <w:pStyle w:val="ListParagraph"/>
              <w:numPr>
                <w:ilvl w:val="0"/>
                <w:numId w:val="31"/>
              </w:numPr>
              <w:spacing w:before="80" w:after="80"/>
              <w:ind w:left="281" w:hanging="281"/>
              <w:contextualSpacing w:val="0"/>
              <w:rPr>
                <w:sz w:val="20"/>
                <w:szCs w:val="20"/>
              </w:rPr>
            </w:pPr>
            <w:r>
              <w:rPr>
                <w:sz w:val="20"/>
                <w:szCs w:val="20"/>
              </w:rPr>
              <w:t xml:space="preserve">Districts have </w:t>
            </w:r>
            <w:r w:rsidR="003E4AA3">
              <w:rPr>
                <w:sz w:val="20"/>
                <w:szCs w:val="20"/>
              </w:rPr>
              <w:t>responsive, technical support systems for providing timely assistance to educators and students that minimizes downtime</w:t>
            </w:r>
            <w:r>
              <w:rPr>
                <w:sz w:val="20"/>
                <w:szCs w:val="20"/>
              </w:rPr>
              <w:t>.</w:t>
            </w:r>
          </w:p>
        </w:tc>
        <w:tc>
          <w:tcPr>
            <w:tcW w:w="457" w:type="pct"/>
          </w:tcPr>
          <w:p w:rsidR="008E5751" w:rsidRPr="00FE5B39" w:rsidRDefault="00BD4112" w:rsidP="00C422E8">
            <w:pPr>
              <w:spacing w:before="80" w:after="80"/>
              <w:rPr>
                <w:sz w:val="20"/>
                <w:szCs w:val="20"/>
              </w:rPr>
            </w:pPr>
            <w:r>
              <w:rPr>
                <w:sz w:val="20"/>
                <w:szCs w:val="20"/>
              </w:rPr>
              <w:t xml:space="preserve">Upon </w:t>
            </w:r>
            <w:r w:rsidR="00C422E8">
              <w:rPr>
                <w:sz w:val="20"/>
                <w:szCs w:val="20"/>
              </w:rPr>
              <w:t>initiation</w:t>
            </w:r>
            <w:r>
              <w:rPr>
                <w:sz w:val="20"/>
                <w:szCs w:val="20"/>
              </w:rPr>
              <w:t xml:space="preserve"> of contract</w:t>
            </w:r>
            <w:r w:rsidR="00C422E8">
              <w:rPr>
                <w:sz w:val="20"/>
                <w:szCs w:val="20"/>
              </w:rPr>
              <w:t>s</w:t>
            </w:r>
            <w:r>
              <w:rPr>
                <w:sz w:val="20"/>
                <w:szCs w:val="20"/>
              </w:rPr>
              <w:t xml:space="preserve"> through </w:t>
            </w:r>
            <w:r w:rsidR="00D4785C">
              <w:rPr>
                <w:sz w:val="20"/>
                <w:szCs w:val="20"/>
              </w:rPr>
              <w:t>6/201</w:t>
            </w:r>
            <w:r w:rsidR="006809CF">
              <w:rPr>
                <w:sz w:val="20"/>
                <w:szCs w:val="20"/>
              </w:rPr>
              <w:t>7</w:t>
            </w:r>
          </w:p>
        </w:tc>
      </w:tr>
      <w:tr w:rsidR="008E5751" w:rsidRPr="00FE5B39" w:rsidTr="003E4AA3">
        <w:tc>
          <w:tcPr>
            <w:tcW w:w="971" w:type="pct"/>
            <w:vMerge/>
          </w:tcPr>
          <w:p w:rsidR="008E5751" w:rsidRDefault="008E5751" w:rsidP="00E375AE">
            <w:pPr>
              <w:pStyle w:val="ListParagraph"/>
              <w:numPr>
                <w:ilvl w:val="0"/>
                <w:numId w:val="34"/>
              </w:numPr>
              <w:spacing w:before="80" w:after="80"/>
              <w:contextualSpacing w:val="0"/>
              <w:rPr>
                <w:sz w:val="20"/>
                <w:szCs w:val="20"/>
              </w:rPr>
            </w:pPr>
          </w:p>
        </w:tc>
        <w:tc>
          <w:tcPr>
            <w:tcW w:w="487" w:type="pct"/>
          </w:tcPr>
          <w:p w:rsidR="008E5751" w:rsidRDefault="008E5751" w:rsidP="003E4AA3">
            <w:pPr>
              <w:spacing w:before="80" w:after="80"/>
              <w:rPr>
                <w:sz w:val="20"/>
                <w:szCs w:val="20"/>
              </w:rPr>
            </w:pPr>
            <w:r>
              <w:rPr>
                <w:sz w:val="20"/>
                <w:szCs w:val="20"/>
              </w:rPr>
              <w:t>ESE</w:t>
            </w:r>
          </w:p>
        </w:tc>
        <w:tc>
          <w:tcPr>
            <w:tcW w:w="3085" w:type="pct"/>
          </w:tcPr>
          <w:p w:rsidR="008E5751" w:rsidRDefault="001B3C63" w:rsidP="006809CF">
            <w:pPr>
              <w:pStyle w:val="ListParagraph"/>
              <w:numPr>
                <w:ilvl w:val="0"/>
                <w:numId w:val="31"/>
              </w:numPr>
              <w:spacing w:before="80" w:after="80"/>
              <w:ind w:left="281" w:hanging="281"/>
              <w:contextualSpacing w:val="0"/>
              <w:rPr>
                <w:sz w:val="20"/>
                <w:szCs w:val="20"/>
              </w:rPr>
            </w:pPr>
            <w:r>
              <w:rPr>
                <w:sz w:val="20"/>
                <w:szCs w:val="20"/>
              </w:rPr>
              <w:t>V</w:t>
            </w:r>
            <w:r w:rsidR="008E5751">
              <w:rPr>
                <w:sz w:val="20"/>
                <w:szCs w:val="20"/>
              </w:rPr>
              <w:t>endors provide professional development to school and district leaders in evaluating the efficacy and impact of their digital lea</w:t>
            </w:r>
            <w:r w:rsidR="006809CF">
              <w:rPr>
                <w:sz w:val="20"/>
                <w:szCs w:val="20"/>
              </w:rPr>
              <w:t>rning initiative, including</w:t>
            </w:r>
            <w:r w:rsidR="008E5751">
              <w:rPr>
                <w:sz w:val="20"/>
                <w:szCs w:val="20"/>
              </w:rPr>
              <w:t xml:space="preserve"> establishing a baseline level of adult performance and student achievement </w:t>
            </w:r>
            <w:r w:rsidR="006809CF">
              <w:rPr>
                <w:sz w:val="20"/>
                <w:szCs w:val="20"/>
              </w:rPr>
              <w:t xml:space="preserve">against which to measure </w:t>
            </w:r>
            <w:r w:rsidR="008E5751">
              <w:rPr>
                <w:sz w:val="20"/>
                <w:szCs w:val="20"/>
              </w:rPr>
              <w:t>educator development and student performance and growth.</w:t>
            </w:r>
          </w:p>
        </w:tc>
        <w:tc>
          <w:tcPr>
            <w:tcW w:w="457" w:type="pct"/>
          </w:tcPr>
          <w:p w:rsidR="008E5751" w:rsidRPr="00FE5B39" w:rsidRDefault="00B37064" w:rsidP="001B3C63">
            <w:pPr>
              <w:spacing w:before="80" w:after="80"/>
              <w:rPr>
                <w:sz w:val="20"/>
                <w:szCs w:val="20"/>
              </w:rPr>
            </w:pPr>
            <w:r>
              <w:rPr>
                <w:sz w:val="20"/>
                <w:szCs w:val="20"/>
              </w:rPr>
              <w:t>Upon initiation</w:t>
            </w:r>
            <w:r w:rsidR="00C422E8">
              <w:rPr>
                <w:sz w:val="20"/>
                <w:szCs w:val="20"/>
              </w:rPr>
              <w:t xml:space="preserve"> of</w:t>
            </w:r>
            <w:r>
              <w:rPr>
                <w:sz w:val="20"/>
                <w:szCs w:val="20"/>
              </w:rPr>
              <w:t xml:space="preserve"> contract</w:t>
            </w:r>
            <w:r w:rsidR="00C422E8">
              <w:rPr>
                <w:sz w:val="20"/>
                <w:szCs w:val="20"/>
              </w:rPr>
              <w:t>s</w:t>
            </w:r>
            <w:r>
              <w:rPr>
                <w:sz w:val="20"/>
                <w:szCs w:val="20"/>
              </w:rPr>
              <w:t xml:space="preserve"> through 6/201</w:t>
            </w:r>
            <w:r w:rsidR="006809CF">
              <w:rPr>
                <w:sz w:val="20"/>
                <w:szCs w:val="20"/>
              </w:rPr>
              <w:t>7</w:t>
            </w:r>
          </w:p>
        </w:tc>
      </w:tr>
      <w:tr w:rsidR="008E5751" w:rsidRPr="00FE5B39" w:rsidTr="003E4AA3">
        <w:tc>
          <w:tcPr>
            <w:tcW w:w="971" w:type="pct"/>
            <w:vMerge/>
          </w:tcPr>
          <w:p w:rsidR="008E5751" w:rsidRDefault="008E5751" w:rsidP="00E375AE">
            <w:pPr>
              <w:pStyle w:val="ListParagraph"/>
              <w:numPr>
                <w:ilvl w:val="0"/>
                <w:numId w:val="34"/>
              </w:numPr>
              <w:spacing w:before="80" w:after="80"/>
              <w:contextualSpacing w:val="0"/>
              <w:rPr>
                <w:sz w:val="20"/>
                <w:szCs w:val="20"/>
              </w:rPr>
            </w:pPr>
          </w:p>
        </w:tc>
        <w:tc>
          <w:tcPr>
            <w:tcW w:w="487" w:type="pct"/>
          </w:tcPr>
          <w:p w:rsidR="008E5751" w:rsidRDefault="00C634BC" w:rsidP="003E4AA3">
            <w:pPr>
              <w:spacing w:before="80" w:after="80"/>
              <w:rPr>
                <w:sz w:val="20"/>
                <w:szCs w:val="20"/>
              </w:rPr>
            </w:pPr>
            <w:r>
              <w:rPr>
                <w:sz w:val="20"/>
                <w:szCs w:val="20"/>
              </w:rPr>
              <w:t>ESE, MassIT</w:t>
            </w:r>
          </w:p>
        </w:tc>
        <w:tc>
          <w:tcPr>
            <w:tcW w:w="3085" w:type="pct"/>
          </w:tcPr>
          <w:p w:rsidR="008E5751" w:rsidRDefault="00C634BC" w:rsidP="008E5751">
            <w:pPr>
              <w:pStyle w:val="ListParagraph"/>
              <w:numPr>
                <w:ilvl w:val="0"/>
                <w:numId w:val="31"/>
              </w:numPr>
              <w:spacing w:before="80" w:after="80"/>
              <w:ind w:left="281" w:hanging="281"/>
              <w:contextualSpacing w:val="0"/>
              <w:rPr>
                <w:sz w:val="20"/>
                <w:szCs w:val="20"/>
              </w:rPr>
            </w:pPr>
            <w:r>
              <w:rPr>
                <w:sz w:val="20"/>
                <w:szCs w:val="20"/>
              </w:rPr>
              <w:t>MassIT and the</w:t>
            </w:r>
            <w:r w:rsidR="008E5751">
              <w:rPr>
                <w:sz w:val="20"/>
                <w:szCs w:val="20"/>
              </w:rPr>
              <w:t xml:space="preserve"> Department </w:t>
            </w:r>
            <w:r w:rsidR="003E4AA3">
              <w:rPr>
                <w:sz w:val="20"/>
                <w:szCs w:val="20"/>
              </w:rPr>
              <w:t>monitor the</w:t>
            </w:r>
            <w:r w:rsidR="008E5751">
              <w:rPr>
                <w:sz w:val="20"/>
                <w:szCs w:val="20"/>
              </w:rPr>
              <w:t xml:space="preserve"> efficacy and impact of the initiative using measures that include but </w:t>
            </w:r>
            <w:r w:rsidR="006809CF">
              <w:rPr>
                <w:sz w:val="20"/>
                <w:szCs w:val="20"/>
              </w:rPr>
              <w:t xml:space="preserve">may </w:t>
            </w:r>
            <w:r w:rsidR="008E5751">
              <w:rPr>
                <w:sz w:val="20"/>
                <w:szCs w:val="20"/>
              </w:rPr>
              <w:t>not be limited to:</w:t>
            </w:r>
          </w:p>
          <w:p w:rsidR="008E5751" w:rsidRDefault="00C634BC" w:rsidP="008E5751">
            <w:pPr>
              <w:pStyle w:val="ListParagraph"/>
              <w:numPr>
                <w:ilvl w:val="1"/>
                <w:numId w:val="31"/>
              </w:numPr>
              <w:spacing w:before="80" w:after="80"/>
              <w:contextualSpacing w:val="0"/>
              <w:rPr>
                <w:sz w:val="20"/>
                <w:szCs w:val="20"/>
              </w:rPr>
            </w:pPr>
            <w:r>
              <w:rPr>
                <w:sz w:val="20"/>
                <w:szCs w:val="20"/>
              </w:rPr>
              <w:t>Student outcomes, including graduation rates, student engagement, and development of key twenty-first century learning skills.</w:t>
            </w:r>
          </w:p>
          <w:p w:rsidR="00C634BC" w:rsidRDefault="00C634BC" w:rsidP="008E5751">
            <w:pPr>
              <w:pStyle w:val="ListParagraph"/>
              <w:numPr>
                <w:ilvl w:val="1"/>
                <w:numId w:val="31"/>
              </w:numPr>
              <w:spacing w:before="80" w:after="80"/>
              <w:contextualSpacing w:val="0"/>
              <w:rPr>
                <w:sz w:val="20"/>
                <w:szCs w:val="20"/>
              </w:rPr>
            </w:pPr>
            <w:r>
              <w:rPr>
                <w:sz w:val="20"/>
                <w:szCs w:val="20"/>
              </w:rPr>
              <w:t xml:space="preserve">Instructional practice, including use of technology for both planning and instruction, personalization of </w:t>
            </w:r>
            <w:r w:rsidR="003E4AA3">
              <w:rPr>
                <w:sz w:val="20"/>
                <w:szCs w:val="20"/>
              </w:rPr>
              <w:t>student learning experiences</w:t>
            </w:r>
            <w:r>
              <w:rPr>
                <w:sz w:val="20"/>
                <w:szCs w:val="20"/>
              </w:rPr>
              <w:t xml:space="preserve">, </w:t>
            </w:r>
            <w:r w:rsidR="003E4AA3">
              <w:rPr>
                <w:sz w:val="20"/>
                <w:szCs w:val="20"/>
              </w:rPr>
              <w:t>technology-enhanced modes of assessment, and flexibility in the time, space, and place in which student learning occurs.</w:t>
            </w:r>
          </w:p>
          <w:p w:rsidR="003E4AA3" w:rsidRDefault="003E4AA3" w:rsidP="008E5751">
            <w:pPr>
              <w:pStyle w:val="ListParagraph"/>
              <w:numPr>
                <w:ilvl w:val="1"/>
                <w:numId w:val="31"/>
              </w:numPr>
              <w:spacing w:before="80" w:after="80"/>
              <w:contextualSpacing w:val="0"/>
              <w:rPr>
                <w:sz w:val="20"/>
                <w:szCs w:val="20"/>
              </w:rPr>
            </w:pPr>
            <w:r>
              <w:rPr>
                <w:sz w:val="20"/>
                <w:szCs w:val="20"/>
              </w:rPr>
              <w:t>Leadership, including effective communication between principals and educators in supporting professional learning.</w:t>
            </w:r>
          </w:p>
          <w:p w:rsidR="003E4AA3" w:rsidRDefault="003E4AA3" w:rsidP="008E5751">
            <w:pPr>
              <w:pStyle w:val="ListParagraph"/>
              <w:numPr>
                <w:ilvl w:val="1"/>
                <w:numId w:val="31"/>
              </w:numPr>
              <w:spacing w:before="80" w:after="80"/>
              <w:contextualSpacing w:val="0"/>
              <w:rPr>
                <w:sz w:val="20"/>
                <w:szCs w:val="20"/>
              </w:rPr>
            </w:pPr>
            <w:r>
              <w:rPr>
                <w:sz w:val="20"/>
                <w:szCs w:val="20"/>
              </w:rPr>
              <w:t xml:space="preserve">Resource allocation and use, including </w:t>
            </w:r>
            <w:r w:rsidR="002D2F18">
              <w:rPr>
                <w:sz w:val="20"/>
                <w:szCs w:val="20"/>
              </w:rPr>
              <w:t>human capital and changing roles as well as budgeting practices that provide sustainable funding streams for technology.</w:t>
            </w:r>
          </w:p>
          <w:p w:rsidR="00C634BC" w:rsidRDefault="003E4AA3" w:rsidP="008E5751">
            <w:pPr>
              <w:pStyle w:val="ListParagraph"/>
              <w:numPr>
                <w:ilvl w:val="1"/>
                <w:numId w:val="31"/>
              </w:numPr>
              <w:spacing w:before="80" w:after="80"/>
              <w:contextualSpacing w:val="0"/>
              <w:rPr>
                <w:sz w:val="20"/>
                <w:szCs w:val="20"/>
              </w:rPr>
            </w:pPr>
            <w:r>
              <w:rPr>
                <w:sz w:val="20"/>
                <w:szCs w:val="20"/>
              </w:rPr>
              <w:t xml:space="preserve">Implementation indicators, including </w:t>
            </w:r>
            <w:r w:rsidR="002D2F18">
              <w:rPr>
                <w:sz w:val="20"/>
                <w:szCs w:val="20"/>
              </w:rPr>
              <w:t>leveraging of open education resources; enhanced technology infrastructure and Internet connectivity; and districts taking advantage of opportunities for shared procurement of devices, digital content and support that optimize choice and purchasing power.</w:t>
            </w:r>
          </w:p>
        </w:tc>
        <w:tc>
          <w:tcPr>
            <w:tcW w:w="457" w:type="pct"/>
          </w:tcPr>
          <w:p w:rsidR="008E5751" w:rsidRPr="00FE5B39" w:rsidRDefault="006809CF" w:rsidP="003E4AA3">
            <w:pPr>
              <w:spacing w:before="80" w:after="80"/>
              <w:rPr>
                <w:sz w:val="20"/>
                <w:szCs w:val="20"/>
              </w:rPr>
            </w:pPr>
            <w:r>
              <w:rPr>
                <w:sz w:val="20"/>
                <w:szCs w:val="20"/>
              </w:rPr>
              <w:t>3/2015-6/2017</w:t>
            </w:r>
          </w:p>
        </w:tc>
      </w:tr>
    </w:tbl>
    <w:p w:rsidR="00E375AE" w:rsidRDefault="00E375AE" w:rsidP="00E375AE"/>
    <w:tbl>
      <w:tblPr>
        <w:tblStyle w:val="TableGrid"/>
        <w:tblW w:w="5000" w:type="pct"/>
        <w:tblLook w:val="04A0"/>
      </w:tblPr>
      <w:tblGrid>
        <w:gridCol w:w="2559"/>
        <w:gridCol w:w="1283"/>
        <w:gridCol w:w="8130"/>
        <w:gridCol w:w="1204"/>
      </w:tblGrid>
      <w:tr w:rsidR="00E375AE" w:rsidRPr="00FE5B39" w:rsidTr="003E4AA3">
        <w:trPr>
          <w:tblHeader/>
        </w:trPr>
        <w:tc>
          <w:tcPr>
            <w:tcW w:w="5000" w:type="pct"/>
            <w:gridSpan w:val="4"/>
          </w:tcPr>
          <w:p w:rsidR="00E375AE" w:rsidRPr="00F70069" w:rsidRDefault="00E375AE" w:rsidP="00CC0DF6">
            <w:pPr>
              <w:pStyle w:val="Heading3"/>
              <w:spacing w:before="80" w:after="80"/>
              <w:outlineLvl w:val="2"/>
              <w:rPr>
                <w:rFonts w:ascii="Times New Roman" w:hAnsi="Times New Roman" w:cs="Times New Roman"/>
              </w:rPr>
            </w:pPr>
            <w:bookmarkStart w:id="10" w:name="_Toc420011388"/>
            <w:r w:rsidRPr="00F70069">
              <w:rPr>
                <w:rFonts w:ascii="Times New Roman" w:hAnsi="Times New Roman" w:cs="Times New Roman"/>
                <w:sz w:val="20"/>
                <w:szCs w:val="20"/>
              </w:rPr>
              <w:lastRenderedPageBreak/>
              <w:t xml:space="preserve">Strategic Goal 4: Maximize access </w:t>
            </w:r>
            <w:r w:rsidR="00CC0DF6">
              <w:rPr>
                <w:rFonts w:ascii="Times New Roman" w:hAnsi="Times New Roman" w:cs="Times New Roman"/>
                <w:sz w:val="20"/>
                <w:szCs w:val="20"/>
              </w:rPr>
              <w:t>to</w:t>
            </w:r>
            <w:r w:rsidR="00CC0DF6" w:rsidRPr="00F70069">
              <w:rPr>
                <w:rFonts w:ascii="Times New Roman" w:hAnsi="Times New Roman" w:cs="Times New Roman"/>
                <w:sz w:val="20"/>
                <w:szCs w:val="20"/>
              </w:rPr>
              <w:t xml:space="preserve"> </w:t>
            </w:r>
            <w:r w:rsidRPr="00F70069">
              <w:rPr>
                <w:rFonts w:ascii="Times New Roman" w:hAnsi="Times New Roman" w:cs="Times New Roman"/>
                <w:sz w:val="20"/>
                <w:szCs w:val="20"/>
              </w:rPr>
              <w:t xml:space="preserve">broadband and </w:t>
            </w:r>
            <w:r w:rsidR="00E20EDA" w:rsidRPr="00E20EDA">
              <w:rPr>
                <w:rFonts w:ascii="Times New Roman" w:hAnsi="Times New Roman" w:cs="Times New Roman"/>
                <w:sz w:val="20"/>
                <w:szCs w:val="20"/>
              </w:rPr>
              <w:t>strengthen teaching and learning across the state in keeping with twenty-first century standards</w:t>
            </w:r>
            <w:r w:rsidRPr="00F70069">
              <w:rPr>
                <w:rFonts w:ascii="Times New Roman" w:hAnsi="Times New Roman" w:cs="Times New Roman"/>
                <w:sz w:val="20"/>
                <w:szCs w:val="20"/>
              </w:rPr>
              <w:t>.</w:t>
            </w:r>
            <w:bookmarkEnd w:id="10"/>
          </w:p>
        </w:tc>
      </w:tr>
      <w:tr w:rsidR="00E375AE" w:rsidRPr="00FE5B39" w:rsidTr="003E4AA3">
        <w:trPr>
          <w:tblHeader/>
        </w:trPr>
        <w:tc>
          <w:tcPr>
            <w:tcW w:w="971" w:type="pct"/>
          </w:tcPr>
          <w:p w:rsidR="00E375AE" w:rsidRPr="00F70069" w:rsidRDefault="00E375AE" w:rsidP="003E4AA3">
            <w:pPr>
              <w:spacing w:before="80" w:after="80"/>
              <w:rPr>
                <w:b/>
                <w:sz w:val="20"/>
                <w:szCs w:val="20"/>
              </w:rPr>
            </w:pPr>
            <w:r w:rsidRPr="00F70069">
              <w:rPr>
                <w:b/>
                <w:sz w:val="20"/>
                <w:szCs w:val="20"/>
              </w:rPr>
              <w:t>Strategies</w:t>
            </w:r>
          </w:p>
        </w:tc>
        <w:tc>
          <w:tcPr>
            <w:tcW w:w="487" w:type="pct"/>
          </w:tcPr>
          <w:p w:rsidR="00E375AE" w:rsidRPr="00F70069" w:rsidRDefault="00E375AE" w:rsidP="003E4AA3">
            <w:pPr>
              <w:spacing w:before="80" w:after="80"/>
              <w:rPr>
                <w:b/>
                <w:sz w:val="20"/>
                <w:szCs w:val="20"/>
              </w:rPr>
            </w:pPr>
            <w:r w:rsidRPr="00F70069">
              <w:rPr>
                <w:b/>
                <w:sz w:val="20"/>
                <w:szCs w:val="20"/>
              </w:rPr>
              <w:t>Responsible Agency</w:t>
            </w:r>
          </w:p>
        </w:tc>
        <w:tc>
          <w:tcPr>
            <w:tcW w:w="3085" w:type="pct"/>
          </w:tcPr>
          <w:p w:rsidR="00E375AE" w:rsidRPr="00F70069" w:rsidRDefault="00E375AE" w:rsidP="003E4AA3">
            <w:pPr>
              <w:spacing w:before="80" w:after="80"/>
              <w:rPr>
                <w:b/>
                <w:sz w:val="20"/>
                <w:szCs w:val="20"/>
              </w:rPr>
            </w:pPr>
            <w:r w:rsidRPr="00F70069">
              <w:rPr>
                <w:b/>
                <w:sz w:val="20"/>
                <w:szCs w:val="20"/>
              </w:rPr>
              <w:t>Actions</w:t>
            </w:r>
          </w:p>
        </w:tc>
        <w:tc>
          <w:tcPr>
            <w:tcW w:w="457" w:type="pct"/>
          </w:tcPr>
          <w:p w:rsidR="00E375AE" w:rsidRPr="00F70069" w:rsidRDefault="00E375AE" w:rsidP="003E4AA3">
            <w:pPr>
              <w:spacing w:before="80" w:after="80"/>
              <w:rPr>
                <w:b/>
                <w:sz w:val="20"/>
                <w:szCs w:val="20"/>
              </w:rPr>
            </w:pPr>
            <w:r w:rsidRPr="00F70069">
              <w:rPr>
                <w:b/>
                <w:sz w:val="20"/>
                <w:szCs w:val="20"/>
              </w:rPr>
              <w:t>Timeline</w:t>
            </w:r>
          </w:p>
        </w:tc>
      </w:tr>
      <w:tr w:rsidR="000C35FD" w:rsidRPr="00FE5B39" w:rsidTr="003E4AA3">
        <w:tc>
          <w:tcPr>
            <w:tcW w:w="971" w:type="pct"/>
            <w:vMerge w:val="restart"/>
          </w:tcPr>
          <w:p w:rsidR="000C35FD" w:rsidRPr="00EB4A7A" w:rsidRDefault="00F70069" w:rsidP="00EB4A7A">
            <w:pPr>
              <w:spacing w:before="80" w:after="80"/>
              <w:rPr>
                <w:sz w:val="20"/>
              </w:rPr>
            </w:pPr>
            <w:r w:rsidRPr="00EB4A7A">
              <w:rPr>
                <w:sz w:val="20"/>
              </w:rPr>
              <w:t>Determine</w:t>
            </w:r>
            <w:r w:rsidR="000C35FD" w:rsidRPr="00EB4A7A">
              <w:rPr>
                <w:sz w:val="20"/>
              </w:rPr>
              <w:t xml:space="preserve"> the technology infrastructure </w:t>
            </w:r>
            <w:r w:rsidRPr="00EB4A7A">
              <w:rPr>
                <w:sz w:val="20"/>
              </w:rPr>
              <w:t xml:space="preserve">needs </w:t>
            </w:r>
            <w:r w:rsidR="000C35FD" w:rsidRPr="00EB4A7A">
              <w:rPr>
                <w:sz w:val="20"/>
              </w:rPr>
              <w:t>of schools and districts that applied for funding through the grant program.</w:t>
            </w:r>
          </w:p>
        </w:tc>
        <w:tc>
          <w:tcPr>
            <w:tcW w:w="487" w:type="pct"/>
            <w:vMerge w:val="restart"/>
          </w:tcPr>
          <w:p w:rsidR="000C35FD" w:rsidRPr="00FE5B39" w:rsidRDefault="000C35FD" w:rsidP="003E4AA3">
            <w:pPr>
              <w:spacing w:before="80" w:after="80"/>
              <w:rPr>
                <w:sz w:val="20"/>
                <w:szCs w:val="20"/>
              </w:rPr>
            </w:pPr>
            <w:r>
              <w:rPr>
                <w:sz w:val="20"/>
                <w:szCs w:val="20"/>
              </w:rPr>
              <w:t>MassIT, ESE</w:t>
            </w:r>
          </w:p>
        </w:tc>
        <w:tc>
          <w:tcPr>
            <w:tcW w:w="3085" w:type="pct"/>
          </w:tcPr>
          <w:p w:rsidR="000C35FD" w:rsidRDefault="000C35FD" w:rsidP="00E375AE">
            <w:pPr>
              <w:pStyle w:val="ListParagraph"/>
              <w:numPr>
                <w:ilvl w:val="0"/>
                <w:numId w:val="31"/>
              </w:numPr>
              <w:spacing w:before="80" w:after="80"/>
              <w:ind w:left="281" w:hanging="281"/>
              <w:contextualSpacing w:val="0"/>
              <w:rPr>
                <w:sz w:val="20"/>
                <w:szCs w:val="20"/>
              </w:rPr>
            </w:pPr>
            <w:r>
              <w:rPr>
                <w:sz w:val="20"/>
                <w:szCs w:val="20"/>
              </w:rPr>
              <w:t>Build a database for extracting school-level infrastructure data from Excel templates. Data elements include:</w:t>
            </w:r>
          </w:p>
          <w:p w:rsidR="000C35FD" w:rsidRDefault="000C35FD" w:rsidP="000C35FD">
            <w:pPr>
              <w:pStyle w:val="ListParagraph"/>
              <w:numPr>
                <w:ilvl w:val="1"/>
                <w:numId w:val="31"/>
              </w:numPr>
              <w:spacing w:before="80" w:after="80"/>
              <w:contextualSpacing w:val="0"/>
              <w:rPr>
                <w:sz w:val="20"/>
                <w:szCs w:val="20"/>
              </w:rPr>
            </w:pPr>
            <w:r>
              <w:rPr>
                <w:sz w:val="20"/>
                <w:szCs w:val="20"/>
              </w:rPr>
              <w:t>The school’s external Internet connection</w:t>
            </w:r>
            <w:r w:rsidR="00CC2B3E">
              <w:rPr>
                <w:sz w:val="20"/>
                <w:szCs w:val="20"/>
              </w:rPr>
              <w:t>.</w:t>
            </w:r>
          </w:p>
          <w:p w:rsidR="000C35FD" w:rsidRDefault="000C35FD" w:rsidP="000C35FD">
            <w:pPr>
              <w:pStyle w:val="ListParagraph"/>
              <w:numPr>
                <w:ilvl w:val="1"/>
                <w:numId w:val="31"/>
              </w:numPr>
              <w:spacing w:before="80" w:after="80"/>
              <w:contextualSpacing w:val="0"/>
              <w:rPr>
                <w:sz w:val="20"/>
                <w:szCs w:val="20"/>
              </w:rPr>
            </w:pPr>
            <w:r>
              <w:rPr>
                <w:sz w:val="20"/>
                <w:szCs w:val="20"/>
              </w:rPr>
              <w:t>The school’s connection to other school buildings</w:t>
            </w:r>
            <w:r w:rsidR="00CC2B3E">
              <w:rPr>
                <w:sz w:val="20"/>
                <w:szCs w:val="20"/>
              </w:rPr>
              <w:t>.</w:t>
            </w:r>
          </w:p>
          <w:p w:rsidR="000C35FD" w:rsidRDefault="000C35FD" w:rsidP="000C35FD">
            <w:pPr>
              <w:pStyle w:val="ListParagraph"/>
              <w:numPr>
                <w:ilvl w:val="1"/>
                <w:numId w:val="31"/>
              </w:numPr>
              <w:spacing w:before="80" w:after="80"/>
              <w:contextualSpacing w:val="0"/>
              <w:rPr>
                <w:sz w:val="20"/>
                <w:szCs w:val="20"/>
              </w:rPr>
            </w:pPr>
            <w:r>
              <w:rPr>
                <w:sz w:val="20"/>
                <w:szCs w:val="20"/>
              </w:rPr>
              <w:t>The names of the vendor(s) that provide Internet service to the school, and the connection speeds provided by each vendor.</w:t>
            </w:r>
          </w:p>
          <w:p w:rsidR="000C35FD" w:rsidRDefault="000C35FD" w:rsidP="000C35FD">
            <w:pPr>
              <w:pStyle w:val="ListParagraph"/>
              <w:numPr>
                <w:ilvl w:val="1"/>
                <w:numId w:val="31"/>
              </w:numPr>
              <w:spacing w:before="80" w:after="80"/>
              <w:contextualSpacing w:val="0"/>
              <w:rPr>
                <w:sz w:val="20"/>
                <w:szCs w:val="20"/>
              </w:rPr>
            </w:pPr>
            <w:r>
              <w:rPr>
                <w:sz w:val="20"/>
                <w:szCs w:val="20"/>
              </w:rPr>
              <w:t>Internal wiring</w:t>
            </w:r>
            <w:r w:rsidR="00CC2B3E">
              <w:rPr>
                <w:sz w:val="20"/>
                <w:szCs w:val="20"/>
              </w:rPr>
              <w:t>.</w:t>
            </w:r>
          </w:p>
          <w:p w:rsidR="000C35FD" w:rsidRDefault="000C35FD" w:rsidP="000C35FD">
            <w:pPr>
              <w:pStyle w:val="ListParagraph"/>
              <w:numPr>
                <w:ilvl w:val="1"/>
                <w:numId w:val="31"/>
              </w:numPr>
              <w:spacing w:before="80" w:after="80"/>
              <w:contextualSpacing w:val="0"/>
              <w:rPr>
                <w:sz w:val="20"/>
                <w:szCs w:val="20"/>
              </w:rPr>
            </w:pPr>
            <w:r>
              <w:rPr>
                <w:sz w:val="20"/>
                <w:szCs w:val="20"/>
              </w:rPr>
              <w:t>The number and capacity of classrooms, libraries, computer labs, and common areas in the school, and the number of access points in each of these spaces.</w:t>
            </w:r>
          </w:p>
          <w:p w:rsidR="000C35FD" w:rsidRPr="00FE5B39" w:rsidRDefault="000C35FD" w:rsidP="000C35FD">
            <w:pPr>
              <w:pStyle w:val="ListParagraph"/>
              <w:numPr>
                <w:ilvl w:val="1"/>
                <w:numId w:val="31"/>
              </w:numPr>
              <w:spacing w:before="80" w:after="80"/>
              <w:contextualSpacing w:val="0"/>
              <w:rPr>
                <w:sz w:val="20"/>
                <w:szCs w:val="20"/>
              </w:rPr>
            </w:pPr>
            <w:r>
              <w:rPr>
                <w:sz w:val="20"/>
                <w:szCs w:val="20"/>
              </w:rPr>
              <w:t>The number of teacher and student devices in the school and the number of devices the district intends to purchase with local matching funds.</w:t>
            </w:r>
          </w:p>
        </w:tc>
        <w:tc>
          <w:tcPr>
            <w:tcW w:w="457" w:type="pct"/>
          </w:tcPr>
          <w:p w:rsidR="000C35FD" w:rsidRPr="00FE5B39" w:rsidRDefault="000C35FD" w:rsidP="003E4AA3">
            <w:pPr>
              <w:spacing w:before="80" w:after="80"/>
              <w:rPr>
                <w:sz w:val="20"/>
                <w:szCs w:val="20"/>
              </w:rPr>
            </w:pPr>
            <w:r>
              <w:rPr>
                <w:sz w:val="20"/>
                <w:szCs w:val="20"/>
              </w:rPr>
              <w:t>9/2014</w:t>
            </w:r>
          </w:p>
        </w:tc>
      </w:tr>
      <w:tr w:rsidR="000C35FD" w:rsidRPr="00FE5B39" w:rsidTr="003E4AA3">
        <w:tc>
          <w:tcPr>
            <w:tcW w:w="971" w:type="pct"/>
            <w:vMerge/>
          </w:tcPr>
          <w:p w:rsidR="000C35FD" w:rsidRDefault="000C35FD" w:rsidP="000C35FD">
            <w:pPr>
              <w:pStyle w:val="ListParagraph"/>
              <w:numPr>
                <w:ilvl w:val="0"/>
                <w:numId w:val="35"/>
              </w:numPr>
              <w:spacing w:before="80" w:after="80"/>
              <w:contextualSpacing w:val="0"/>
              <w:rPr>
                <w:sz w:val="20"/>
                <w:szCs w:val="20"/>
              </w:rPr>
            </w:pPr>
          </w:p>
        </w:tc>
        <w:tc>
          <w:tcPr>
            <w:tcW w:w="487" w:type="pct"/>
            <w:vMerge/>
          </w:tcPr>
          <w:p w:rsidR="000C35FD" w:rsidRDefault="000C35FD" w:rsidP="000C35FD">
            <w:pPr>
              <w:spacing w:before="80" w:after="80"/>
              <w:rPr>
                <w:sz w:val="20"/>
                <w:szCs w:val="20"/>
              </w:rPr>
            </w:pPr>
          </w:p>
        </w:tc>
        <w:tc>
          <w:tcPr>
            <w:tcW w:w="3085" w:type="pct"/>
          </w:tcPr>
          <w:p w:rsidR="000C35FD" w:rsidRDefault="000C35FD" w:rsidP="000C35FD">
            <w:pPr>
              <w:pStyle w:val="ListParagraph"/>
              <w:numPr>
                <w:ilvl w:val="0"/>
                <w:numId w:val="31"/>
              </w:numPr>
              <w:spacing w:before="80" w:after="80"/>
              <w:ind w:left="281" w:hanging="281"/>
              <w:contextualSpacing w:val="0"/>
              <w:rPr>
                <w:sz w:val="20"/>
                <w:szCs w:val="20"/>
              </w:rPr>
            </w:pPr>
            <w:r>
              <w:rPr>
                <w:sz w:val="20"/>
                <w:szCs w:val="20"/>
              </w:rPr>
              <w:t>Use information from the database to:</w:t>
            </w:r>
          </w:p>
          <w:p w:rsidR="000C35FD" w:rsidRDefault="000C35FD" w:rsidP="000C35FD">
            <w:pPr>
              <w:pStyle w:val="ListParagraph"/>
              <w:numPr>
                <w:ilvl w:val="1"/>
                <w:numId w:val="31"/>
              </w:numPr>
              <w:spacing w:before="80" w:after="80"/>
              <w:contextualSpacing w:val="0"/>
              <w:rPr>
                <w:sz w:val="20"/>
                <w:szCs w:val="20"/>
              </w:rPr>
            </w:pPr>
            <w:r>
              <w:rPr>
                <w:sz w:val="20"/>
                <w:szCs w:val="20"/>
              </w:rPr>
              <w:t>Estimate the total cost of upgrading the school’s infrastructure to twenty-first century teaching and learning standards.</w:t>
            </w:r>
          </w:p>
          <w:p w:rsidR="000C35FD" w:rsidRPr="000C35FD" w:rsidRDefault="000C35FD" w:rsidP="000C35FD">
            <w:pPr>
              <w:pStyle w:val="ListParagraph"/>
              <w:numPr>
                <w:ilvl w:val="1"/>
                <w:numId w:val="31"/>
              </w:numPr>
              <w:spacing w:before="80" w:after="80"/>
              <w:contextualSpacing w:val="0"/>
              <w:rPr>
                <w:sz w:val="20"/>
                <w:szCs w:val="20"/>
              </w:rPr>
            </w:pPr>
            <w:r>
              <w:rPr>
                <w:sz w:val="20"/>
                <w:szCs w:val="20"/>
              </w:rPr>
              <w:t>Make funding decisions.</w:t>
            </w:r>
          </w:p>
        </w:tc>
        <w:tc>
          <w:tcPr>
            <w:tcW w:w="457" w:type="pct"/>
          </w:tcPr>
          <w:p w:rsidR="000C35FD" w:rsidRPr="00FE5B39" w:rsidRDefault="000C35FD" w:rsidP="000C35FD">
            <w:pPr>
              <w:spacing w:before="80" w:after="80"/>
              <w:rPr>
                <w:sz w:val="20"/>
                <w:szCs w:val="20"/>
              </w:rPr>
            </w:pPr>
            <w:r>
              <w:rPr>
                <w:sz w:val="20"/>
                <w:szCs w:val="20"/>
              </w:rPr>
              <w:t>12/2014</w:t>
            </w:r>
          </w:p>
        </w:tc>
      </w:tr>
      <w:tr w:rsidR="000C35FD" w:rsidRPr="00FE5B39" w:rsidTr="003E4AA3">
        <w:tc>
          <w:tcPr>
            <w:tcW w:w="971" w:type="pct"/>
            <w:vMerge/>
          </w:tcPr>
          <w:p w:rsidR="000C35FD" w:rsidRDefault="000C35FD" w:rsidP="000C35FD">
            <w:pPr>
              <w:pStyle w:val="ListParagraph"/>
              <w:numPr>
                <w:ilvl w:val="0"/>
                <w:numId w:val="35"/>
              </w:numPr>
              <w:spacing w:before="80" w:after="80"/>
              <w:contextualSpacing w:val="0"/>
              <w:rPr>
                <w:sz w:val="20"/>
                <w:szCs w:val="20"/>
              </w:rPr>
            </w:pPr>
          </w:p>
        </w:tc>
        <w:tc>
          <w:tcPr>
            <w:tcW w:w="487" w:type="pct"/>
            <w:vMerge/>
          </w:tcPr>
          <w:p w:rsidR="000C35FD" w:rsidRDefault="000C35FD" w:rsidP="000C35FD">
            <w:pPr>
              <w:spacing w:before="80" w:after="80"/>
              <w:rPr>
                <w:sz w:val="20"/>
                <w:szCs w:val="20"/>
              </w:rPr>
            </w:pPr>
          </w:p>
        </w:tc>
        <w:tc>
          <w:tcPr>
            <w:tcW w:w="3085" w:type="pct"/>
          </w:tcPr>
          <w:p w:rsidR="000C35FD" w:rsidRDefault="000C35FD" w:rsidP="000C35FD">
            <w:pPr>
              <w:pStyle w:val="ListParagraph"/>
              <w:numPr>
                <w:ilvl w:val="0"/>
                <w:numId w:val="31"/>
              </w:numPr>
              <w:spacing w:before="80" w:after="80"/>
              <w:ind w:left="281" w:hanging="281"/>
              <w:contextualSpacing w:val="0"/>
              <w:rPr>
                <w:sz w:val="20"/>
                <w:szCs w:val="20"/>
              </w:rPr>
            </w:pPr>
            <w:r>
              <w:rPr>
                <w:sz w:val="20"/>
                <w:szCs w:val="20"/>
              </w:rPr>
              <w:t>Compare estimated costs to actual costs, and make corresponding adjustments to the database logic to more accurately forecast future costs.</w:t>
            </w:r>
          </w:p>
        </w:tc>
        <w:tc>
          <w:tcPr>
            <w:tcW w:w="457" w:type="pct"/>
          </w:tcPr>
          <w:p w:rsidR="000C35FD" w:rsidRPr="00FE5B39" w:rsidRDefault="000C35FD" w:rsidP="000C35FD">
            <w:pPr>
              <w:spacing w:before="80" w:after="80"/>
              <w:rPr>
                <w:sz w:val="20"/>
                <w:szCs w:val="20"/>
              </w:rPr>
            </w:pPr>
            <w:r>
              <w:rPr>
                <w:sz w:val="20"/>
                <w:szCs w:val="20"/>
              </w:rPr>
              <w:t>4/2015</w:t>
            </w:r>
          </w:p>
        </w:tc>
      </w:tr>
      <w:tr w:rsidR="000C35FD" w:rsidRPr="00FE5B39" w:rsidTr="00F70069">
        <w:trPr>
          <w:cantSplit/>
        </w:trPr>
        <w:tc>
          <w:tcPr>
            <w:tcW w:w="971" w:type="pct"/>
            <w:vMerge w:val="restart"/>
          </w:tcPr>
          <w:p w:rsidR="000C35FD" w:rsidRPr="00EB4A7A" w:rsidRDefault="00F70069" w:rsidP="008430B0">
            <w:pPr>
              <w:spacing w:before="80" w:after="80"/>
              <w:rPr>
                <w:sz w:val="20"/>
              </w:rPr>
            </w:pPr>
            <w:r w:rsidRPr="00EB4A7A">
              <w:rPr>
                <w:sz w:val="20"/>
              </w:rPr>
              <w:lastRenderedPageBreak/>
              <w:t xml:space="preserve">Collect data on statewide technology infrastructure </w:t>
            </w:r>
            <w:r w:rsidR="008430B0">
              <w:rPr>
                <w:sz w:val="20"/>
              </w:rPr>
              <w:t>needs</w:t>
            </w:r>
            <w:r w:rsidRPr="00EB4A7A">
              <w:rPr>
                <w:sz w:val="20"/>
              </w:rPr>
              <w:t xml:space="preserve"> and digital learning initiatives</w:t>
            </w:r>
            <w:r w:rsidR="000C35FD" w:rsidRPr="00EB4A7A">
              <w:rPr>
                <w:sz w:val="20"/>
              </w:rPr>
              <w:t>.</w:t>
            </w:r>
          </w:p>
        </w:tc>
        <w:tc>
          <w:tcPr>
            <w:tcW w:w="487" w:type="pct"/>
            <w:vMerge w:val="restart"/>
          </w:tcPr>
          <w:p w:rsidR="000C35FD" w:rsidRDefault="000C35FD" w:rsidP="000C35FD">
            <w:pPr>
              <w:spacing w:before="80" w:after="80"/>
              <w:rPr>
                <w:sz w:val="20"/>
                <w:szCs w:val="20"/>
              </w:rPr>
            </w:pPr>
            <w:r>
              <w:rPr>
                <w:sz w:val="20"/>
                <w:szCs w:val="20"/>
              </w:rPr>
              <w:t>MassIT, ESE</w:t>
            </w:r>
          </w:p>
        </w:tc>
        <w:tc>
          <w:tcPr>
            <w:tcW w:w="3085" w:type="pct"/>
          </w:tcPr>
          <w:p w:rsidR="00ED67A5" w:rsidRPr="00ED67A5" w:rsidRDefault="000C35FD" w:rsidP="00ED67A5">
            <w:pPr>
              <w:pStyle w:val="ListParagraph"/>
              <w:numPr>
                <w:ilvl w:val="0"/>
                <w:numId w:val="31"/>
              </w:numPr>
              <w:spacing w:before="80" w:after="80"/>
              <w:ind w:left="281" w:hanging="281"/>
              <w:contextualSpacing w:val="0"/>
              <w:rPr>
                <w:sz w:val="20"/>
                <w:szCs w:val="20"/>
              </w:rPr>
            </w:pPr>
            <w:r w:rsidRPr="00ED67A5">
              <w:rPr>
                <w:sz w:val="20"/>
                <w:szCs w:val="20"/>
              </w:rPr>
              <w:t xml:space="preserve">Build or buy an enterprise-level web-based tool </w:t>
            </w:r>
            <w:r w:rsidR="00ED67A5" w:rsidRPr="00ED67A5">
              <w:rPr>
                <w:sz w:val="20"/>
                <w:szCs w:val="20"/>
              </w:rPr>
              <w:t>that will allow an objective assessment of the current IT infrastructure of its public schools to evaluate their current</w:t>
            </w:r>
            <w:r w:rsidR="00ED67A5">
              <w:rPr>
                <w:sz w:val="20"/>
                <w:szCs w:val="20"/>
              </w:rPr>
              <w:t xml:space="preserve"> “point in time” </w:t>
            </w:r>
            <w:r w:rsidR="00ED67A5" w:rsidRPr="00ED67A5">
              <w:rPr>
                <w:sz w:val="20"/>
                <w:szCs w:val="20"/>
              </w:rPr>
              <w:t>capabilities for digital learning.</w:t>
            </w:r>
            <w:r w:rsidR="008430B0">
              <w:rPr>
                <w:sz w:val="20"/>
                <w:szCs w:val="20"/>
              </w:rPr>
              <w:t xml:space="preserve"> </w:t>
            </w:r>
            <w:r w:rsidR="008430B0" w:rsidRPr="008430B0">
              <w:rPr>
                <w:sz w:val="20"/>
                <w:szCs w:val="20"/>
              </w:rPr>
              <w:t>The tool will be aligned to a nationally-recognized set of guidelines for digital learnin</w:t>
            </w:r>
            <w:r w:rsidR="008430B0">
              <w:rPr>
                <w:sz w:val="20"/>
                <w:szCs w:val="20"/>
              </w:rPr>
              <w:t>g, such as the U.S. Department o</w:t>
            </w:r>
            <w:r w:rsidR="008430B0" w:rsidRPr="008430B0">
              <w:rPr>
                <w:sz w:val="20"/>
                <w:szCs w:val="20"/>
              </w:rPr>
              <w:t>f Education’s Future Ready Framework</w:t>
            </w:r>
            <w:r w:rsidR="008430B0">
              <w:rPr>
                <w:sz w:val="20"/>
                <w:szCs w:val="20"/>
              </w:rPr>
              <w:t>.</w:t>
            </w:r>
          </w:p>
          <w:p w:rsidR="000C35FD" w:rsidRDefault="000C35FD" w:rsidP="000C35FD">
            <w:pPr>
              <w:pStyle w:val="ListParagraph"/>
              <w:numPr>
                <w:ilvl w:val="1"/>
                <w:numId w:val="31"/>
              </w:numPr>
              <w:spacing w:before="80" w:after="80"/>
              <w:contextualSpacing w:val="0"/>
              <w:rPr>
                <w:sz w:val="20"/>
                <w:szCs w:val="20"/>
              </w:rPr>
            </w:pPr>
            <w:r>
              <w:rPr>
                <w:sz w:val="20"/>
                <w:szCs w:val="20"/>
              </w:rPr>
              <w:t xml:space="preserve">Evaluate </w:t>
            </w:r>
            <w:r w:rsidR="00CC2B3E">
              <w:rPr>
                <w:sz w:val="20"/>
                <w:szCs w:val="20"/>
              </w:rPr>
              <w:t>build-vs</w:t>
            </w:r>
            <w:r>
              <w:rPr>
                <w:sz w:val="20"/>
                <w:szCs w:val="20"/>
              </w:rPr>
              <w:t xml:space="preserve">-buy value proposition in light of </w:t>
            </w:r>
            <w:r w:rsidR="00F70069">
              <w:rPr>
                <w:sz w:val="20"/>
                <w:szCs w:val="20"/>
              </w:rPr>
              <w:t>competing</w:t>
            </w:r>
            <w:r>
              <w:rPr>
                <w:sz w:val="20"/>
                <w:szCs w:val="20"/>
              </w:rPr>
              <w:t xml:space="preserve"> priorities, the usefulness of the data to state and local actors, and the questions to be answered with the data</w:t>
            </w:r>
            <w:r w:rsidR="00F70069">
              <w:rPr>
                <w:sz w:val="20"/>
                <w:szCs w:val="20"/>
              </w:rPr>
              <w:t>:</w:t>
            </w:r>
          </w:p>
          <w:p w:rsidR="000C35FD" w:rsidRDefault="00F70069" w:rsidP="000C35FD">
            <w:pPr>
              <w:pStyle w:val="ListParagraph"/>
              <w:numPr>
                <w:ilvl w:val="2"/>
                <w:numId w:val="31"/>
              </w:numPr>
              <w:spacing w:before="80" w:after="80"/>
              <w:contextualSpacing w:val="0"/>
              <w:rPr>
                <w:sz w:val="20"/>
                <w:szCs w:val="20"/>
              </w:rPr>
            </w:pPr>
            <w:r>
              <w:rPr>
                <w:sz w:val="20"/>
                <w:szCs w:val="20"/>
              </w:rPr>
              <w:t>Districts should have the ability to use the data to aid in asset tracking; to perform comparative analyses within and between schools in the district, and between districts, especially similar districts; and to inform budget and planning decisions.</w:t>
            </w:r>
          </w:p>
          <w:p w:rsidR="008430B0" w:rsidRDefault="008430B0" w:rsidP="000C35FD">
            <w:pPr>
              <w:pStyle w:val="ListParagraph"/>
              <w:numPr>
                <w:ilvl w:val="2"/>
                <w:numId w:val="31"/>
              </w:numPr>
              <w:spacing w:before="80" w:after="80"/>
              <w:contextualSpacing w:val="0"/>
              <w:rPr>
                <w:sz w:val="20"/>
                <w:szCs w:val="20"/>
              </w:rPr>
            </w:pPr>
            <w:r>
              <w:rPr>
                <w:sz w:val="20"/>
                <w:szCs w:val="20"/>
              </w:rPr>
              <w:t>Districts should have the ability to</w:t>
            </w:r>
            <w:r w:rsidRPr="008430B0">
              <w:rPr>
                <w:sz w:val="20"/>
                <w:szCs w:val="20"/>
              </w:rPr>
              <w:t xml:space="preserve"> perform a gap analysis between the current and desired state in the district and its schools with respect to developing the human and technological capacity needed to personalize learning using digital tools</w:t>
            </w:r>
            <w:r w:rsidR="00CC2B3E">
              <w:rPr>
                <w:sz w:val="20"/>
                <w:szCs w:val="20"/>
              </w:rPr>
              <w:t>.</w:t>
            </w:r>
          </w:p>
          <w:p w:rsidR="00F70069" w:rsidRDefault="00F70069" w:rsidP="000C35FD">
            <w:pPr>
              <w:pStyle w:val="ListParagraph"/>
              <w:numPr>
                <w:ilvl w:val="2"/>
                <w:numId w:val="31"/>
              </w:numPr>
              <w:spacing w:before="80" w:after="80"/>
              <w:contextualSpacing w:val="0"/>
              <w:rPr>
                <w:sz w:val="20"/>
                <w:szCs w:val="20"/>
              </w:rPr>
            </w:pPr>
            <w:r>
              <w:rPr>
                <w:sz w:val="20"/>
                <w:szCs w:val="20"/>
              </w:rPr>
              <w:t>State agencies should have the ability to report on technology trends in the Commonwealth and provide accurate data to other state agencies, the federal government, and the public.</w:t>
            </w:r>
            <w:r w:rsidR="008430B0">
              <w:rPr>
                <w:sz w:val="20"/>
                <w:szCs w:val="20"/>
              </w:rPr>
              <w:t xml:space="preserve"> R</w:t>
            </w:r>
            <w:r w:rsidR="008430B0" w:rsidRPr="008430B0">
              <w:rPr>
                <w:sz w:val="20"/>
                <w:szCs w:val="20"/>
              </w:rPr>
              <w:t xml:space="preserve">eports </w:t>
            </w:r>
            <w:r w:rsidR="008430B0">
              <w:rPr>
                <w:sz w:val="20"/>
                <w:szCs w:val="20"/>
              </w:rPr>
              <w:t>should be customizable</w:t>
            </w:r>
            <w:r w:rsidR="008430B0" w:rsidRPr="008430B0">
              <w:rPr>
                <w:sz w:val="20"/>
                <w:szCs w:val="20"/>
              </w:rPr>
              <w:t xml:space="preserve"> for each school, district, region, and for the Commonwealth</w:t>
            </w:r>
            <w:r w:rsidR="00CC2B3E">
              <w:rPr>
                <w:sz w:val="20"/>
                <w:szCs w:val="20"/>
              </w:rPr>
              <w:t>.</w:t>
            </w:r>
          </w:p>
          <w:p w:rsidR="00F70069" w:rsidRPr="000C35FD" w:rsidRDefault="00F70069" w:rsidP="000C35FD">
            <w:pPr>
              <w:pStyle w:val="ListParagraph"/>
              <w:numPr>
                <w:ilvl w:val="2"/>
                <w:numId w:val="31"/>
              </w:numPr>
              <w:spacing w:before="80" w:after="80"/>
              <w:contextualSpacing w:val="0"/>
              <w:rPr>
                <w:sz w:val="20"/>
                <w:szCs w:val="20"/>
              </w:rPr>
            </w:pPr>
            <w:r>
              <w:rPr>
                <w:sz w:val="20"/>
                <w:szCs w:val="20"/>
              </w:rPr>
              <w:t xml:space="preserve">The data collection requirement shall supplant the requirement for districts to annually submit local technology plans to the Department, and therefore be </w:t>
            </w:r>
            <w:r w:rsidR="003527CF">
              <w:rPr>
                <w:sz w:val="20"/>
                <w:szCs w:val="20"/>
              </w:rPr>
              <w:t>cost-and resource-neutral</w:t>
            </w:r>
            <w:r>
              <w:rPr>
                <w:sz w:val="20"/>
                <w:szCs w:val="20"/>
              </w:rPr>
              <w:t>.</w:t>
            </w:r>
          </w:p>
          <w:p w:rsidR="00F70069" w:rsidRDefault="000C35FD" w:rsidP="000C35FD">
            <w:pPr>
              <w:pStyle w:val="ListParagraph"/>
              <w:numPr>
                <w:ilvl w:val="1"/>
                <w:numId w:val="31"/>
              </w:numPr>
              <w:spacing w:before="80" w:after="80"/>
              <w:contextualSpacing w:val="0"/>
              <w:rPr>
                <w:sz w:val="20"/>
                <w:szCs w:val="20"/>
              </w:rPr>
            </w:pPr>
            <w:r w:rsidRPr="000C35FD">
              <w:rPr>
                <w:sz w:val="20"/>
                <w:szCs w:val="20"/>
              </w:rPr>
              <w:t xml:space="preserve">Assess training needs at the local level to submit valid and reliable data, and </w:t>
            </w:r>
            <w:r>
              <w:rPr>
                <w:sz w:val="20"/>
                <w:szCs w:val="20"/>
              </w:rPr>
              <w:t>d</w:t>
            </w:r>
            <w:r w:rsidRPr="000C35FD">
              <w:rPr>
                <w:sz w:val="20"/>
                <w:szCs w:val="20"/>
              </w:rPr>
              <w:t xml:space="preserve">esign a </w:t>
            </w:r>
            <w:r>
              <w:rPr>
                <w:sz w:val="20"/>
                <w:szCs w:val="20"/>
              </w:rPr>
              <w:t xml:space="preserve">corresponding </w:t>
            </w:r>
            <w:r w:rsidRPr="000C35FD">
              <w:rPr>
                <w:sz w:val="20"/>
                <w:szCs w:val="20"/>
              </w:rPr>
              <w:t>training program</w:t>
            </w:r>
            <w:r>
              <w:rPr>
                <w:sz w:val="20"/>
                <w:szCs w:val="20"/>
              </w:rPr>
              <w:t xml:space="preserve">. </w:t>
            </w:r>
          </w:p>
          <w:p w:rsidR="000C35FD" w:rsidRPr="000C35FD" w:rsidRDefault="000C35FD" w:rsidP="00F70069">
            <w:pPr>
              <w:pStyle w:val="ListParagraph"/>
              <w:numPr>
                <w:ilvl w:val="2"/>
                <w:numId w:val="31"/>
              </w:numPr>
              <w:spacing w:before="80" w:after="80"/>
              <w:contextualSpacing w:val="0"/>
              <w:rPr>
                <w:sz w:val="20"/>
                <w:szCs w:val="20"/>
              </w:rPr>
            </w:pPr>
            <w:r>
              <w:rPr>
                <w:sz w:val="20"/>
                <w:szCs w:val="20"/>
              </w:rPr>
              <w:t>The program will</w:t>
            </w:r>
            <w:r w:rsidRPr="000C35FD">
              <w:rPr>
                <w:sz w:val="20"/>
                <w:szCs w:val="20"/>
              </w:rPr>
              <w:t xml:space="preserve"> </w:t>
            </w:r>
            <w:r>
              <w:rPr>
                <w:sz w:val="20"/>
                <w:szCs w:val="20"/>
              </w:rPr>
              <w:t>leverage</w:t>
            </w:r>
            <w:r w:rsidRPr="000C35FD">
              <w:rPr>
                <w:sz w:val="20"/>
                <w:szCs w:val="20"/>
              </w:rPr>
              <w:t xml:space="preserve"> personnel in intermediate organizations that already provide technical assistance to school districts, such as Educational Collaboratives and District and School Assistance Centers.</w:t>
            </w:r>
          </w:p>
        </w:tc>
        <w:tc>
          <w:tcPr>
            <w:tcW w:w="457" w:type="pct"/>
          </w:tcPr>
          <w:p w:rsidR="000C35FD" w:rsidRDefault="00ED67A5" w:rsidP="00ED67A5">
            <w:pPr>
              <w:spacing w:before="80" w:after="80"/>
              <w:rPr>
                <w:sz w:val="20"/>
                <w:szCs w:val="20"/>
              </w:rPr>
            </w:pPr>
            <w:r>
              <w:rPr>
                <w:sz w:val="20"/>
                <w:szCs w:val="20"/>
              </w:rPr>
              <w:t>4</w:t>
            </w:r>
            <w:r w:rsidR="000C35FD">
              <w:rPr>
                <w:sz w:val="20"/>
                <w:szCs w:val="20"/>
              </w:rPr>
              <w:t>/2015-</w:t>
            </w:r>
            <w:r>
              <w:rPr>
                <w:sz w:val="20"/>
                <w:szCs w:val="20"/>
              </w:rPr>
              <w:t>10</w:t>
            </w:r>
            <w:r w:rsidR="000C35FD">
              <w:rPr>
                <w:sz w:val="20"/>
                <w:szCs w:val="20"/>
              </w:rPr>
              <w:t>/2015</w:t>
            </w:r>
          </w:p>
        </w:tc>
      </w:tr>
      <w:tr w:rsidR="000C35FD" w:rsidRPr="00FE5B39" w:rsidTr="003E4AA3">
        <w:tc>
          <w:tcPr>
            <w:tcW w:w="971" w:type="pct"/>
            <w:vMerge/>
          </w:tcPr>
          <w:p w:rsidR="000C35FD" w:rsidRDefault="000C35FD" w:rsidP="000C35FD">
            <w:pPr>
              <w:pStyle w:val="ListParagraph"/>
              <w:numPr>
                <w:ilvl w:val="0"/>
                <w:numId w:val="35"/>
              </w:numPr>
              <w:spacing w:before="80" w:after="80"/>
              <w:contextualSpacing w:val="0"/>
              <w:rPr>
                <w:sz w:val="20"/>
                <w:szCs w:val="20"/>
              </w:rPr>
            </w:pPr>
          </w:p>
        </w:tc>
        <w:tc>
          <w:tcPr>
            <w:tcW w:w="487" w:type="pct"/>
            <w:vMerge/>
          </w:tcPr>
          <w:p w:rsidR="000C35FD" w:rsidRDefault="000C35FD" w:rsidP="000C35FD">
            <w:pPr>
              <w:spacing w:before="80" w:after="80"/>
              <w:rPr>
                <w:sz w:val="20"/>
                <w:szCs w:val="20"/>
              </w:rPr>
            </w:pPr>
          </w:p>
        </w:tc>
        <w:tc>
          <w:tcPr>
            <w:tcW w:w="3085" w:type="pct"/>
          </w:tcPr>
          <w:p w:rsidR="000C35FD" w:rsidRDefault="000C35FD" w:rsidP="00CC2B3E">
            <w:pPr>
              <w:pStyle w:val="ListParagraph"/>
              <w:numPr>
                <w:ilvl w:val="1"/>
                <w:numId w:val="31"/>
              </w:numPr>
              <w:spacing w:before="80" w:after="80"/>
              <w:contextualSpacing w:val="0"/>
              <w:rPr>
                <w:sz w:val="20"/>
                <w:szCs w:val="20"/>
              </w:rPr>
            </w:pPr>
            <w:r>
              <w:rPr>
                <w:sz w:val="20"/>
                <w:szCs w:val="20"/>
              </w:rPr>
              <w:t>Implement the most cost-effective solution.</w:t>
            </w:r>
          </w:p>
        </w:tc>
        <w:tc>
          <w:tcPr>
            <w:tcW w:w="457" w:type="pct"/>
          </w:tcPr>
          <w:p w:rsidR="000C35FD" w:rsidRDefault="00ED67A5" w:rsidP="000C35FD">
            <w:pPr>
              <w:spacing w:before="80" w:after="80"/>
              <w:rPr>
                <w:sz w:val="20"/>
                <w:szCs w:val="20"/>
              </w:rPr>
            </w:pPr>
            <w:r>
              <w:rPr>
                <w:sz w:val="20"/>
                <w:szCs w:val="20"/>
              </w:rPr>
              <w:t>9-10</w:t>
            </w:r>
            <w:r w:rsidR="000C35FD">
              <w:rPr>
                <w:sz w:val="20"/>
                <w:szCs w:val="20"/>
              </w:rPr>
              <w:t>/2015</w:t>
            </w:r>
          </w:p>
        </w:tc>
      </w:tr>
    </w:tbl>
    <w:p w:rsidR="00E375AE" w:rsidRPr="00E375AE" w:rsidRDefault="00E375AE" w:rsidP="000C35FD">
      <w:pPr>
        <w:spacing w:before="80" w:after="80"/>
        <w:rPr>
          <w:sz w:val="22"/>
          <w:szCs w:val="22"/>
        </w:rPr>
      </w:pPr>
    </w:p>
    <w:sectPr w:rsidR="00E375AE" w:rsidRPr="00E375AE" w:rsidSect="003E4AA3">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785" w:rsidRDefault="003C2785" w:rsidP="008F759E">
      <w:r>
        <w:separator/>
      </w:r>
    </w:p>
  </w:endnote>
  <w:endnote w:type="continuationSeparator" w:id="0">
    <w:p w:rsidR="003C2785" w:rsidRDefault="003C2785" w:rsidP="008F75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65D" w:rsidRDefault="0062665D">
    <w:pPr>
      <w:pStyle w:val="Header"/>
    </w:pPr>
    <w:r>
      <w:t>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65D" w:rsidRDefault="0062665D" w:rsidP="00236809">
    <w:pPr>
      <w:pStyle w:val="Footer"/>
    </w:pPr>
    <w:r>
      <w:tab/>
    </w:r>
    <w:fldSimple w:instr=" PAGE   \* MERGEFORMAT ">
      <w:r w:rsidR="00A23C0E">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785" w:rsidRDefault="003C2785" w:rsidP="008F759E">
      <w:r>
        <w:separator/>
      </w:r>
    </w:p>
  </w:footnote>
  <w:footnote w:type="continuationSeparator" w:id="0">
    <w:p w:rsidR="003C2785" w:rsidRDefault="003C2785" w:rsidP="008F759E">
      <w:r>
        <w:continuationSeparator/>
      </w:r>
    </w:p>
  </w:footnote>
  <w:footnote w:id="1">
    <w:p w:rsidR="0062665D" w:rsidRPr="008D721F" w:rsidRDefault="0062665D">
      <w:pPr>
        <w:pStyle w:val="FootnoteText"/>
      </w:pPr>
      <w:r w:rsidRPr="008D721F">
        <w:rPr>
          <w:rStyle w:val="FootnoteReference"/>
        </w:rPr>
        <w:footnoteRef/>
      </w:r>
      <w:r w:rsidRPr="008D721F">
        <w:t xml:space="preserve"> </w:t>
      </w:r>
      <w:r w:rsidRPr="008D721F">
        <w:rPr>
          <w:color w:val="000000"/>
          <w:shd w:val="clear" w:color="auto" w:fill="FFFFFF"/>
        </w:rPr>
        <w:t>Charter schools are eligible to apply as long as the two eligibility criteria above are met.</w:t>
      </w:r>
    </w:p>
  </w:footnote>
  <w:footnote w:id="2">
    <w:p w:rsidR="0062665D" w:rsidRDefault="0062665D">
      <w:pPr>
        <w:pStyle w:val="FootnoteText"/>
      </w:pPr>
      <w:r w:rsidRPr="008D721F">
        <w:rPr>
          <w:rStyle w:val="FootnoteReference"/>
        </w:rPr>
        <w:footnoteRef/>
      </w:r>
      <w:r w:rsidRPr="008D721F">
        <w:t xml:space="preserve"> Funds apportioned </w:t>
      </w:r>
      <w:r>
        <w:t xml:space="preserve">in proportion to </w:t>
      </w:r>
      <w:r w:rsidRPr="008D721F">
        <w:t>Chapter 70 foundation enrollment</w:t>
      </w:r>
      <w:r>
        <w:t xml:space="preserve"> of each community type.</w:t>
      </w:r>
    </w:p>
  </w:footnote>
  <w:footnote w:id="3">
    <w:p w:rsidR="0062665D" w:rsidRDefault="0062665D">
      <w:pPr>
        <w:pStyle w:val="FootnoteText"/>
      </w:pPr>
      <w:r>
        <w:rPr>
          <w:rStyle w:val="FootnoteReference"/>
        </w:rPr>
        <w:footnoteRef/>
      </w:r>
      <w:r>
        <w:t xml:space="preserve"> ESE: Massachusetts Department of Elementary and Secondary Education, MassIT: Massachusetts Office of Information Technology, EOE: Executive Office of Education, LEAs: Local Education Agency (school district).</w:t>
      </w:r>
    </w:p>
  </w:footnote>
  <w:footnote w:id="4">
    <w:p w:rsidR="0062665D" w:rsidRDefault="0062665D">
      <w:pPr>
        <w:pStyle w:val="FootnoteText"/>
      </w:pPr>
      <w:r>
        <w:rPr>
          <w:rStyle w:val="FootnoteReference"/>
        </w:rPr>
        <w:footnoteRef/>
      </w:r>
      <w:r>
        <w:t xml:space="preserve"> Notwithstanding the requirement that state bond funds under this program fund projects</w:t>
      </w:r>
      <w:r w:rsidRPr="00096662">
        <w:t xml:space="preserve"> only on and within publicly-owned real property maintained for the benefit of the school district</w:t>
      </w:r>
      <w:r>
        <w:t>.</w:t>
      </w:r>
    </w:p>
  </w:footnote>
  <w:footnote w:id="5">
    <w:p w:rsidR="0062665D" w:rsidRDefault="0062665D">
      <w:pPr>
        <w:pStyle w:val="FootnoteText"/>
      </w:pPr>
      <w:r>
        <w:rPr>
          <w:rStyle w:val="FootnoteReference"/>
        </w:rPr>
        <w:footnoteRef/>
      </w:r>
      <w:r>
        <w:t xml:space="preserve"> USAC is a nonprofit organization that administers the E-rate program under FCC oversight.</w:t>
      </w:r>
    </w:p>
  </w:footnote>
  <w:footnote w:id="6">
    <w:p w:rsidR="0062665D" w:rsidRDefault="0062665D">
      <w:pPr>
        <w:pStyle w:val="FootnoteText"/>
      </w:pPr>
      <w:r>
        <w:rPr>
          <w:rStyle w:val="FootnoteReference"/>
        </w:rPr>
        <w:footnoteRef/>
      </w:r>
      <w:r>
        <w:t xml:space="preserve"> Senator Markey is a key author of the E-rate program.</w:t>
      </w:r>
    </w:p>
  </w:footnote>
  <w:footnote w:id="7">
    <w:p w:rsidR="0062665D" w:rsidRDefault="0062665D">
      <w:pPr>
        <w:pStyle w:val="FootnoteText"/>
      </w:pPr>
      <w:r>
        <w:rPr>
          <w:rStyle w:val="FootnoteReference"/>
        </w:rPr>
        <w:footnoteRef/>
      </w:r>
      <w:r>
        <w:t xml:space="preserve"> All communities may purchase products and services from these statewide contracts.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65D" w:rsidRDefault="0062665D">
    <w:pPr>
      <w:pStyle w:val="Header"/>
    </w:pPr>
    <w:r>
      <w:t>5.2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2F9346F"/>
    <w:multiLevelType w:val="hybridMultilevel"/>
    <w:tmpl w:val="ACAA8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F4A6F"/>
    <w:multiLevelType w:val="hybridMultilevel"/>
    <w:tmpl w:val="3034842A"/>
    <w:lvl w:ilvl="0" w:tplc="C3485540">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8684E"/>
    <w:multiLevelType w:val="hybridMultilevel"/>
    <w:tmpl w:val="729C3152"/>
    <w:lvl w:ilvl="0" w:tplc="72F8373C">
      <w:numFmt w:val="bullet"/>
      <w:lvlText w:val=""/>
      <w:lvlJc w:val="left"/>
      <w:pPr>
        <w:ind w:left="1080" w:hanging="360"/>
      </w:pPr>
      <w:rPr>
        <w:rFonts w:ascii="Symbol" w:eastAsia="Times New Roman" w:hAnsi="Symbol"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236DF0"/>
    <w:multiLevelType w:val="hybridMultilevel"/>
    <w:tmpl w:val="9ED84920"/>
    <w:lvl w:ilvl="0" w:tplc="F5FEC554">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107D3910"/>
    <w:multiLevelType w:val="hybridMultilevel"/>
    <w:tmpl w:val="B7E8E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130412"/>
    <w:multiLevelType w:val="hybridMultilevel"/>
    <w:tmpl w:val="D5A01DCE"/>
    <w:lvl w:ilvl="0" w:tplc="E61A2A6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84543CA"/>
    <w:multiLevelType w:val="hybridMultilevel"/>
    <w:tmpl w:val="E0B2A7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2A32A2"/>
    <w:multiLevelType w:val="hybridMultilevel"/>
    <w:tmpl w:val="58588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2D1794"/>
    <w:multiLevelType w:val="hybridMultilevel"/>
    <w:tmpl w:val="75E0B50E"/>
    <w:lvl w:ilvl="0" w:tplc="12000EE8">
      <w:start w:val="4"/>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E9453D"/>
    <w:multiLevelType w:val="hybridMultilevel"/>
    <w:tmpl w:val="F4B2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402DC9"/>
    <w:multiLevelType w:val="hybridMultilevel"/>
    <w:tmpl w:val="8C3A15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9C06ACC"/>
    <w:multiLevelType w:val="hybridMultilevel"/>
    <w:tmpl w:val="E0B2A7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5422CD"/>
    <w:multiLevelType w:val="hybridMultilevel"/>
    <w:tmpl w:val="8782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AE0D07"/>
    <w:multiLevelType w:val="hybridMultilevel"/>
    <w:tmpl w:val="08E81476"/>
    <w:lvl w:ilvl="0" w:tplc="441E9B0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F453003"/>
    <w:multiLevelType w:val="hybridMultilevel"/>
    <w:tmpl w:val="89480F94"/>
    <w:lvl w:ilvl="0" w:tplc="D72E85EE">
      <w:numFmt w:val="bullet"/>
      <w:lvlText w:val="•"/>
      <w:lvlJc w:val="left"/>
      <w:pPr>
        <w:ind w:left="720" w:hanging="72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FDC3567"/>
    <w:multiLevelType w:val="hybridMultilevel"/>
    <w:tmpl w:val="860E5C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0781757"/>
    <w:multiLevelType w:val="hybridMultilevel"/>
    <w:tmpl w:val="860E5C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18A4795"/>
    <w:multiLevelType w:val="hybridMultilevel"/>
    <w:tmpl w:val="BBFA1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0">
    <w:nsid w:val="352D2EB5"/>
    <w:multiLevelType w:val="hybridMultilevel"/>
    <w:tmpl w:val="2006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965F7D"/>
    <w:multiLevelType w:val="hybridMultilevel"/>
    <w:tmpl w:val="13725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1952C1"/>
    <w:multiLevelType w:val="hybridMultilevel"/>
    <w:tmpl w:val="860E5C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F31731B"/>
    <w:multiLevelType w:val="hybridMultilevel"/>
    <w:tmpl w:val="46768E66"/>
    <w:lvl w:ilvl="0" w:tplc="65B8D27A">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BD3975"/>
    <w:multiLevelType w:val="hybridMultilevel"/>
    <w:tmpl w:val="E5105158"/>
    <w:lvl w:ilvl="0" w:tplc="0409000F">
      <w:start w:val="1"/>
      <w:numFmt w:val="decimal"/>
      <w:lvlText w:val="%1."/>
      <w:lvlJc w:val="left"/>
      <w:pPr>
        <w:ind w:left="720" w:hanging="360"/>
      </w:pPr>
    </w:lvl>
    <w:lvl w:ilvl="1" w:tplc="06D68748">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061971"/>
    <w:multiLevelType w:val="hybridMultilevel"/>
    <w:tmpl w:val="751C3FC2"/>
    <w:lvl w:ilvl="0" w:tplc="7682C1E2">
      <w:start w:val="1"/>
      <w:numFmt w:val="decimal"/>
      <w:lvlText w:val="%1."/>
      <w:lvlJc w:val="left"/>
      <w:pPr>
        <w:ind w:left="360" w:hanging="360"/>
      </w:pPr>
      <w:rPr>
        <w:rFonts w:ascii="Times New Roman" w:hAnsi="Times New Roman" w:cs="Times New Roman" w:hint="default"/>
        <w:sz w:val="2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7">
    <w:nsid w:val="4B553409"/>
    <w:multiLevelType w:val="hybridMultilevel"/>
    <w:tmpl w:val="E5C67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2D3151"/>
    <w:multiLevelType w:val="hybridMultilevel"/>
    <w:tmpl w:val="492464D2"/>
    <w:lvl w:ilvl="0" w:tplc="00EE2242">
      <w:start w:val="1"/>
      <w:numFmt w:val="decimal"/>
      <w:lvlText w:val="%1."/>
      <w:lvlJc w:val="left"/>
      <w:pPr>
        <w:ind w:left="1440" w:hanging="360"/>
      </w:pPr>
      <w:rPr>
        <w:rFonts w:hint="default"/>
      </w:rPr>
    </w:lvl>
    <w:lvl w:ilvl="1" w:tplc="00EE2242">
      <w:start w:val="1"/>
      <w:numFmt w:val="decimal"/>
      <w:lvlText w:val="%2."/>
      <w:lvlJc w:val="left"/>
      <w:pPr>
        <w:ind w:left="2340" w:hanging="360"/>
      </w:pPr>
      <w:rPr>
        <w:rFonts w:hint="default"/>
      </w:rPr>
    </w:lvl>
    <w:lvl w:ilvl="2" w:tplc="282C6D94">
      <w:numFmt w:val="bullet"/>
      <w:lvlText w:val="-"/>
      <w:lvlJc w:val="left"/>
      <w:pPr>
        <w:ind w:left="3060" w:hanging="360"/>
      </w:pPr>
      <w:rPr>
        <w:rFonts w:ascii="Times New Roman" w:eastAsia="Times New Roman"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4E8B6F04"/>
    <w:multiLevelType w:val="hybridMultilevel"/>
    <w:tmpl w:val="47DC3EF4"/>
    <w:lvl w:ilvl="0" w:tplc="A8B80D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9748A7"/>
    <w:multiLevelType w:val="hybridMultilevel"/>
    <w:tmpl w:val="F56A8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76F758E"/>
    <w:multiLevelType w:val="hybridMultilevel"/>
    <w:tmpl w:val="10807A12"/>
    <w:lvl w:ilvl="0" w:tplc="B78E43E2">
      <w:start w:val="3"/>
      <w:numFmt w:val="upperLetter"/>
      <w:lvlText w:val="%1."/>
      <w:lvlJc w:val="lef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AD502B"/>
    <w:multiLevelType w:val="hybridMultilevel"/>
    <w:tmpl w:val="6CEC00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5C284355"/>
    <w:multiLevelType w:val="hybridMultilevel"/>
    <w:tmpl w:val="CABC18CC"/>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43053F"/>
    <w:multiLevelType w:val="hybridMultilevel"/>
    <w:tmpl w:val="860E5C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75F01B3"/>
    <w:multiLevelType w:val="hybridMultilevel"/>
    <w:tmpl w:val="A7A02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D76D0F"/>
    <w:multiLevelType w:val="hybridMultilevel"/>
    <w:tmpl w:val="751C3FC2"/>
    <w:lvl w:ilvl="0" w:tplc="7682C1E2">
      <w:start w:val="1"/>
      <w:numFmt w:val="decimal"/>
      <w:lvlText w:val="%1."/>
      <w:lvlJc w:val="left"/>
      <w:pPr>
        <w:ind w:left="360" w:hanging="360"/>
      </w:pPr>
      <w:rPr>
        <w:rFonts w:ascii="Times New Roman" w:hAnsi="Times New Roman" w:cs="Times New Roman" w:hint="default"/>
        <w:sz w:val="2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78AE00F8"/>
    <w:multiLevelType w:val="hybridMultilevel"/>
    <w:tmpl w:val="109EE9CC"/>
    <w:lvl w:ilvl="0" w:tplc="C7F0CC3E">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BA7A4F"/>
    <w:multiLevelType w:val="hybridMultilevel"/>
    <w:tmpl w:val="F5E4AFB4"/>
    <w:lvl w:ilvl="0" w:tplc="3960A69C">
      <w:start w:val="1"/>
      <w:numFmt w:val="upperRoman"/>
      <w:lvlText w:val="%1."/>
      <w:lvlJc w:val="left"/>
      <w:pPr>
        <w:ind w:left="815" w:hanging="185"/>
      </w:pPr>
      <w:rPr>
        <w:rFonts w:ascii="Calibri" w:eastAsia="Calibri" w:hAnsi="Calibri" w:hint="default"/>
        <w:b/>
        <w:bCs/>
        <w:color w:val="001F5F"/>
        <w:w w:val="99"/>
        <w:sz w:val="24"/>
        <w:szCs w:val="24"/>
      </w:rPr>
    </w:lvl>
    <w:lvl w:ilvl="1" w:tplc="3CDC3A6C">
      <w:start w:val="1"/>
      <w:numFmt w:val="bullet"/>
      <w:lvlText w:val="•"/>
      <w:lvlJc w:val="left"/>
      <w:pPr>
        <w:ind w:left="1596" w:hanging="185"/>
      </w:pPr>
      <w:rPr>
        <w:rFonts w:hint="default"/>
      </w:rPr>
    </w:lvl>
    <w:lvl w:ilvl="2" w:tplc="8FA65AD6">
      <w:start w:val="1"/>
      <w:numFmt w:val="bullet"/>
      <w:lvlText w:val="•"/>
      <w:lvlJc w:val="left"/>
      <w:pPr>
        <w:ind w:left="2572" w:hanging="185"/>
      </w:pPr>
      <w:rPr>
        <w:rFonts w:hint="default"/>
      </w:rPr>
    </w:lvl>
    <w:lvl w:ilvl="3" w:tplc="454CF6C0">
      <w:start w:val="1"/>
      <w:numFmt w:val="bullet"/>
      <w:lvlText w:val="•"/>
      <w:lvlJc w:val="left"/>
      <w:pPr>
        <w:ind w:left="3548" w:hanging="185"/>
      </w:pPr>
      <w:rPr>
        <w:rFonts w:hint="default"/>
      </w:rPr>
    </w:lvl>
    <w:lvl w:ilvl="4" w:tplc="CC1E0EC0">
      <w:start w:val="1"/>
      <w:numFmt w:val="bullet"/>
      <w:lvlText w:val="•"/>
      <w:lvlJc w:val="left"/>
      <w:pPr>
        <w:ind w:left="4524" w:hanging="185"/>
      </w:pPr>
      <w:rPr>
        <w:rFonts w:hint="default"/>
      </w:rPr>
    </w:lvl>
    <w:lvl w:ilvl="5" w:tplc="507E4960">
      <w:start w:val="1"/>
      <w:numFmt w:val="bullet"/>
      <w:lvlText w:val="•"/>
      <w:lvlJc w:val="left"/>
      <w:pPr>
        <w:ind w:left="5500" w:hanging="185"/>
      </w:pPr>
      <w:rPr>
        <w:rFonts w:hint="default"/>
      </w:rPr>
    </w:lvl>
    <w:lvl w:ilvl="6" w:tplc="67245E54">
      <w:start w:val="1"/>
      <w:numFmt w:val="bullet"/>
      <w:lvlText w:val="•"/>
      <w:lvlJc w:val="left"/>
      <w:pPr>
        <w:ind w:left="6476" w:hanging="185"/>
      </w:pPr>
      <w:rPr>
        <w:rFonts w:hint="default"/>
      </w:rPr>
    </w:lvl>
    <w:lvl w:ilvl="7" w:tplc="1D7C66D0">
      <w:start w:val="1"/>
      <w:numFmt w:val="bullet"/>
      <w:lvlText w:val="•"/>
      <w:lvlJc w:val="left"/>
      <w:pPr>
        <w:ind w:left="7452" w:hanging="185"/>
      </w:pPr>
      <w:rPr>
        <w:rFonts w:hint="default"/>
      </w:rPr>
    </w:lvl>
    <w:lvl w:ilvl="8" w:tplc="D1FA200C">
      <w:start w:val="1"/>
      <w:numFmt w:val="bullet"/>
      <w:lvlText w:val="•"/>
      <w:lvlJc w:val="left"/>
      <w:pPr>
        <w:ind w:left="8428" w:hanging="185"/>
      </w:pPr>
      <w:rPr>
        <w:rFonts w:hint="default"/>
      </w:rPr>
    </w:lvl>
  </w:abstractNum>
  <w:num w:numId="1">
    <w:abstractNumId w:val="0"/>
  </w:num>
  <w:num w:numId="2">
    <w:abstractNumId w:val="39"/>
  </w:num>
  <w:num w:numId="3">
    <w:abstractNumId w:val="29"/>
  </w:num>
  <w:num w:numId="4">
    <w:abstractNumId w:val="26"/>
  </w:num>
  <w:num w:numId="5">
    <w:abstractNumId w:val="19"/>
  </w:num>
  <w:num w:numId="6">
    <w:abstractNumId w:val="32"/>
  </w:num>
  <w:num w:numId="7">
    <w:abstractNumId w:val="4"/>
  </w:num>
  <w:num w:numId="8">
    <w:abstractNumId w:val="28"/>
  </w:num>
  <w:num w:numId="9">
    <w:abstractNumId w:val="3"/>
  </w:num>
  <w:num w:numId="10">
    <w:abstractNumId w:val="14"/>
  </w:num>
  <w:num w:numId="11">
    <w:abstractNumId w:val="34"/>
  </w:num>
  <w:num w:numId="12">
    <w:abstractNumId w:val="30"/>
  </w:num>
  <w:num w:numId="13">
    <w:abstractNumId w:val="40"/>
  </w:num>
  <w:num w:numId="14">
    <w:abstractNumId w:val="41"/>
  </w:num>
  <w:num w:numId="15">
    <w:abstractNumId w:val="33"/>
  </w:num>
  <w:num w:numId="16">
    <w:abstractNumId w:val="35"/>
  </w:num>
  <w:num w:numId="17">
    <w:abstractNumId w:val="9"/>
  </w:num>
  <w:num w:numId="18">
    <w:abstractNumId w:val="23"/>
  </w:num>
  <w:num w:numId="19">
    <w:abstractNumId w:val="5"/>
  </w:num>
  <w:num w:numId="20">
    <w:abstractNumId w:val="11"/>
  </w:num>
  <w:num w:numId="21">
    <w:abstractNumId w:val="10"/>
  </w:num>
  <w:num w:numId="22">
    <w:abstractNumId w:val="27"/>
  </w:num>
  <w:num w:numId="23">
    <w:abstractNumId w:val="21"/>
  </w:num>
  <w:num w:numId="24">
    <w:abstractNumId w:val="18"/>
  </w:num>
  <w:num w:numId="25">
    <w:abstractNumId w:val="13"/>
  </w:num>
  <w:num w:numId="26">
    <w:abstractNumId w:val="24"/>
  </w:num>
  <w:num w:numId="27">
    <w:abstractNumId w:val="37"/>
  </w:num>
  <w:num w:numId="28">
    <w:abstractNumId w:val="1"/>
  </w:num>
  <w:num w:numId="29">
    <w:abstractNumId w:val="2"/>
  </w:num>
  <w:num w:numId="30">
    <w:abstractNumId w:val="20"/>
  </w:num>
  <w:num w:numId="31">
    <w:abstractNumId w:val="15"/>
  </w:num>
  <w:num w:numId="32">
    <w:abstractNumId w:val="36"/>
  </w:num>
  <w:num w:numId="33">
    <w:abstractNumId w:val="17"/>
  </w:num>
  <w:num w:numId="34">
    <w:abstractNumId w:val="16"/>
  </w:num>
  <w:num w:numId="35">
    <w:abstractNumId w:val="22"/>
  </w:num>
  <w:num w:numId="36">
    <w:abstractNumId w:val="7"/>
  </w:num>
  <w:num w:numId="37">
    <w:abstractNumId w:val="31"/>
  </w:num>
  <w:num w:numId="38">
    <w:abstractNumId w:val="38"/>
  </w:num>
  <w:num w:numId="39">
    <w:abstractNumId w:val="25"/>
  </w:num>
  <w:num w:numId="40">
    <w:abstractNumId w:val="12"/>
  </w:num>
  <w:num w:numId="41">
    <w:abstractNumId w:val="6"/>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proofState w:spelling="clean" w:grammar="clean"/>
  <w:stylePaneFormatFilter w:val="3F01"/>
  <w:defaultTabStop w:val="720"/>
  <w:noPunctuationKerning/>
  <w:characterSpacingControl w:val="doNotCompress"/>
  <w:hdrShapeDefaults>
    <o:shapedefaults v:ext="edit" spidmax="13314"/>
  </w:hdrShapeDefaults>
  <w:footnotePr>
    <w:footnote w:id="-1"/>
    <w:footnote w:id="0"/>
  </w:footnotePr>
  <w:endnotePr>
    <w:endnote w:id="-1"/>
    <w:endnote w:id="0"/>
  </w:endnotePr>
  <w:compat/>
  <w:rsids>
    <w:rsidRoot w:val="008F759E"/>
    <w:rsid w:val="000105FA"/>
    <w:rsid w:val="00016E4F"/>
    <w:rsid w:val="00033A8F"/>
    <w:rsid w:val="000458D3"/>
    <w:rsid w:val="00065EAA"/>
    <w:rsid w:val="0007355C"/>
    <w:rsid w:val="000842C8"/>
    <w:rsid w:val="00094F5B"/>
    <w:rsid w:val="00095F20"/>
    <w:rsid w:val="00096662"/>
    <w:rsid w:val="000A7FC8"/>
    <w:rsid w:val="000C0B46"/>
    <w:rsid w:val="000C35FD"/>
    <w:rsid w:val="000D160F"/>
    <w:rsid w:val="000D2337"/>
    <w:rsid w:val="0010691E"/>
    <w:rsid w:val="001121BF"/>
    <w:rsid w:val="001208EB"/>
    <w:rsid w:val="001262C1"/>
    <w:rsid w:val="001401A1"/>
    <w:rsid w:val="0015346F"/>
    <w:rsid w:val="001872E8"/>
    <w:rsid w:val="001A5D05"/>
    <w:rsid w:val="001B3C63"/>
    <w:rsid w:val="001D0046"/>
    <w:rsid w:val="001D6D37"/>
    <w:rsid w:val="001E27DF"/>
    <w:rsid w:val="00214BBD"/>
    <w:rsid w:val="00236809"/>
    <w:rsid w:val="00236A96"/>
    <w:rsid w:val="00250ACB"/>
    <w:rsid w:val="00254CB6"/>
    <w:rsid w:val="00266DEA"/>
    <w:rsid w:val="00274879"/>
    <w:rsid w:val="002751C3"/>
    <w:rsid w:val="002A44F6"/>
    <w:rsid w:val="002A599B"/>
    <w:rsid w:val="002D2F18"/>
    <w:rsid w:val="002F26AB"/>
    <w:rsid w:val="0032470D"/>
    <w:rsid w:val="0033620E"/>
    <w:rsid w:val="003527CF"/>
    <w:rsid w:val="00374BA3"/>
    <w:rsid w:val="00397A77"/>
    <w:rsid w:val="003A06DF"/>
    <w:rsid w:val="003C2785"/>
    <w:rsid w:val="003D6F40"/>
    <w:rsid w:val="003D7121"/>
    <w:rsid w:val="003E1519"/>
    <w:rsid w:val="003E4AA3"/>
    <w:rsid w:val="003E50CB"/>
    <w:rsid w:val="003F4401"/>
    <w:rsid w:val="00401795"/>
    <w:rsid w:val="004112B2"/>
    <w:rsid w:val="00425417"/>
    <w:rsid w:val="00481AC1"/>
    <w:rsid w:val="00487614"/>
    <w:rsid w:val="004941B9"/>
    <w:rsid w:val="004960BC"/>
    <w:rsid w:val="004A2936"/>
    <w:rsid w:val="004B2697"/>
    <w:rsid w:val="004D299C"/>
    <w:rsid w:val="00542743"/>
    <w:rsid w:val="0054601B"/>
    <w:rsid w:val="00551BC3"/>
    <w:rsid w:val="00552CDB"/>
    <w:rsid w:val="00552FA1"/>
    <w:rsid w:val="005709AF"/>
    <w:rsid w:val="005914A1"/>
    <w:rsid w:val="005C1D91"/>
    <w:rsid w:val="005E1159"/>
    <w:rsid w:val="00610FBE"/>
    <w:rsid w:val="00612B82"/>
    <w:rsid w:val="00617CEC"/>
    <w:rsid w:val="00617FBE"/>
    <w:rsid w:val="006248D1"/>
    <w:rsid w:val="0062665D"/>
    <w:rsid w:val="00643EE4"/>
    <w:rsid w:val="00655F08"/>
    <w:rsid w:val="00656424"/>
    <w:rsid w:val="00661D0C"/>
    <w:rsid w:val="00672761"/>
    <w:rsid w:val="006809CF"/>
    <w:rsid w:val="006C324C"/>
    <w:rsid w:val="006D2249"/>
    <w:rsid w:val="006D7489"/>
    <w:rsid w:val="006E1B9F"/>
    <w:rsid w:val="006E7E50"/>
    <w:rsid w:val="006F0065"/>
    <w:rsid w:val="006F3C85"/>
    <w:rsid w:val="006F4FE5"/>
    <w:rsid w:val="00710631"/>
    <w:rsid w:val="00714C2B"/>
    <w:rsid w:val="0071585E"/>
    <w:rsid w:val="007324A0"/>
    <w:rsid w:val="007403C3"/>
    <w:rsid w:val="00740DB1"/>
    <w:rsid w:val="007519BC"/>
    <w:rsid w:val="0075319D"/>
    <w:rsid w:val="00756AF0"/>
    <w:rsid w:val="00757AF0"/>
    <w:rsid w:val="00760C29"/>
    <w:rsid w:val="0076585E"/>
    <w:rsid w:val="0078115C"/>
    <w:rsid w:val="007C25D8"/>
    <w:rsid w:val="008029AC"/>
    <w:rsid w:val="00817C54"/>
    <w:rsid w:val="00830F78"/>
    <w:rsid w:val="008320AD"/>
    <w:rsid w:val="008320B4"/>
    <w:rsid w:val="008356D0"/>
    <w:rsid w:val="008430B0"/>
    <w:rsid w:val="00847712"/>
    <w:rsid w:val="0086370E"/>
    <w:rsid w:val="00877D0C"/>
    <w:rsid w:val="00896DE2"/>
    <w:rsid w:val="008C44AF"/>
    <w:rsid w:val="008D721F"/>
    <w:rsid w:val="008E1835"/>
    <w:rsid w:val="008E5751"/>
    <w:rsid w:val="008F759E"/>
    <w:rsid w:val="00916CED"/>
    <w:rsid w:val="0097240A"/>
    <w:rsid w:val="009B3D10"/>
    <w:rsid w:val="009F2D83"/>
    <w:rsid w:val="00A23C0E"/>
    <w:rsid w:val="00A24929"/>
    <w:rsid w:val="00A27A77"/>
    <w:rsid w:val="00A30336"/>
    <w:rsid w:val="00A47D02"/>
    <w:rsid w:val="00A622C3"/>
    <w:rsid w:val="00A638D1"/>
    <w:rsid w:val="00A86C5A"/>
    <w:rsid w:val="00AB4D2D"/>
    <w:rsid w:val="00AC6BE5"/>
    <w:rsid w:val="00AF1090"/>
    <w:rsid w:val="00AF4E58"/>
    <w:rsid w:val="00B05F22"/>
    <w:rsid w:val="00B078FC"/>
    <w:rsid w:val="00B10900"/>
    <w:rsid w:val="00B17E1F"/>
    <w:rsid w:val="00B339D2"/>
    <w:rsid w:val="00B37064"/>
    <w:rsid w:val="00B40DA8"/>
    <w:rsid w:val="00B6016A"/>
    <w:rsid w:val="00B67631"/>
    <w:rsid w:val="00B70AF2"/>
    <w:rsid w:val="00B87493"/>
    <w:rsid w:val="00BB0E9C"/>
    <w:rsid w:val="00BC141B"/>
    <w:rsid w:val="00BD4112"/>
    <w:rsid w:val="00BE5F45"/>
    <w:rsid w:val="00C03F0F"/>
    <w:rsid w:val="00C07D62"/>
    <w:rsid w:val="00C24EE2"/>
    <w:rsid w:val="00C325E2"/>
    <w:rsid w:val="00C3716E"/>
    <w:rsid w:val="00C37B2A"/>
    <w:rsid w:val="00C422E8"/>
    <w:rsid w:val="00C50892"/>
    <w:rsid w:val="00C634BC"/>
    <w:rsid w:val="00C641F8"/>
    <w:rsid w:val="00C77B0C"/>
    <w:rsid w:val="00C94C01"/>
    <w:rsid w:val="00CA4EDF"/>
    <w:rsid w:val="00CC0DF6"/>
    <w:rsid w:val="00CC16CB"/>
    <w:rsid w:val="00CC2B3E"/>
    <w:rsid w:val="00CD1593"/>
    <w:rsid w:val="00CF4868"/>
    <w:rsid w:val="00D200B1"/>
    <w:rsid w:val="00D441EC"/>
    <w:rsid w:val="00D4785C"/>
    <w:rsid w:val="00D56508"/>
    <w:rsid w:val="00D764E6"/>
    <w:rsid w:val="00DA49FD"/>
    <w:rsid w:val="00DA657B"/>
    <w:rsid w:val="00DA7834"/>
    <w:rsid w:val="00DB18CD"/>
    <w:rsid w:val="00DB5CF0"/>
    <w:rsid w:val="00DC707E"/>
    <w:rsid w:val="00DC70E9"/>
    <w:rsid w:val="00DD13E4"/>
    <w:rsid w:val="00DD441B"/>
    <w:rsid w:val="00DE5011"/>
    <w:rsid w:val="00DF32B0"/>
    <w:rsid w:val="00E20EDA"/>
    <w:rsid w:val="00E244CB"/>
    <w:rsid w:val="00E375AE"/>
    <w:rsid w:val="00E57F3A"/>
    <w:rsid w:val="00E76CBC"/>
    <w:rsid w:val="00E851E7"/>
    <w:rsid w:val="00E85212"/>
    <w:rsid w:val="00E977F6"/>
    <w:rsid w:val="00EA6251"/>
    <w:rsid w:val="00EB4A7A"/>
    <w:rsid w:val="00EC2AD3"/>
    <w:rsid w:val="00ED67A5"/>
    <w:rsid w:val="00EE2A27"/>
    <w:rsid w:val="00EE4453"/>
    <w:rsid w:val="00F14A24"/>
    <w:rsid w:val="00F24A31"/>
    <w:rsid w:val="00F36D98"/>
    <w:rsid w:val="00F404A9"/>
    <w:rsid w:val="00F660A9"/>
    <w:rsid w:val="00F70069"/>
    <w:rsid w:val="00F764DD"/>
    <w:rsid w:val="00F8084F"/>
    <w:rsid w:val="00F82C04"/>
    <w:rsid w:val="00F85000"/>
    <w:rsid w:val="00FA0E47"/>
    <w:rsid w:val="00FA75A5"/>
    <w:rsid w:val="00FC5298"/>
    <w:rsid w:val="00FD077C"/>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6"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Cit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59E"/>
    <w:rPr>
      <w:sz w:val="24"/>
      <w:szCs w:val="24"/>
    </w:rPr>
  </w:style>
  <w:style w:type="paragraph" w:styleId="Heading1">
    <w:name w:val="heading 1"/>
    <w:next w:val="Normal"/>
    <w:link w:val="Heading1Char"/>
    <w:qFormat/>
    <w:rsid w:val="005914A1"/>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qFormat/>
    <w:rsid w:val="008F759E"/>
    <w:pPr>
      <w:keepNext/>
      <w:spacing w:before="240"/>
      <w:outlineLvl w:val="1"/>
    </w:pPr>
    <w:rPr>
      <w:rFonts w:ascii="Arial" w:hAnsi="Arial" w:cs="Arial"/>
      <w:b/>
      <w:bCs/>
      <w:i/>
      <w:iCs/>
      <w:sz w:val="28"/>
      <w:szCs w:val="28"/>
    </w:rPr>
  </w:style>
  <w:style w:type="paragraph" w:styleId="Heading3">
    <w:name w:val="heading 3"/>
    <w:basedOn w:val="Normal"/>
    <w:next w:val="Normal"/>
    <w:link w:val="Heading3Char"/>
    <w:qFormat/>
    <w:rsid w:val="008F759E"/>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F70069"/>
    <w:pPr>
      <w:widowControl w:val="0"/>
      <w:spacing w:before="80" w:after="80"/>
      <w:outlineLvl w:val="3"/>
    </w:pPr>
    <w:rPr>
      <w:b/>
      <w:bCs/>
      <w:sz w:val="20"/>
      <w:szCs w:val="28"/>
    </w:rPr>
  </w:style>
  <w:style w:type="paragraph" w:styleId="Heading5">
    <w:name w:val="heading 5"/>
    <w:basedOn w:val="Normal"/>
    <w:next w:val="Normal"/>
    <w:link w:val="Heading5Char"/>
    <w:semiHidden/>
    <w:unhideWhenUsed/>
    <w:qFormat/>
    <w:rsid w:val="00C325E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C325E2"/>
    <w:pPr>
      <w:keepNext/>
      <w:widowControl w:val="0"/>
      <w:outlineLvl w:val="5"/>
    </w:pPr>
    <w:rPr>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14A1"/>
    <w:rPr>
      <w:rFonts w:ascii="Arial" w:hAnsi="Arial" w:cs="Arial"/>
      <w:b/>
      <w:bCs/>
      <w:kern w:val="32"/>
      <w:sz w:val="32"/>
      <w:szCs w:val="32"/>
    </w:rPr>
  </w:style>
  <w:style w:type="character" w:customStyle="1" w:styleId="Heading2Char">
    <w:name w:val="Heading 2 Char"/>
    <w:basedOn w:val="DefaultParagraphFont"/>
    <w:link w:val="Heading2"/>
    <w:rsid w:val="008F759E"/>
    <w:rPr>
      <w:rFonts w:ascii="Arial" w:hAnsi="Arial" w:cs="Arial"/>
      <w:b/>
      <w:bCs/>
      <w:i/>
      <w:iCs/>
      <w:sz w:val="28"/>
      <w:szCs w:val="28"/>
    </w:rPr>
  </w:style>
  <w:style w:type="character" w:customStyle="1" w:styleId="Heading3Char">
    <w:name w:val="Heading 3 Char"/>
    <w:basedOn w:val="DefaultParagraphFont"/>
    <w:link w:val="Heading3"/>
    <w:rsid w:val="008F759E"/>
    <w:rPr>
      <w:rFonts w:ascii="Arial" w:hAnsi="Arial" w:cs="Arial"/>
      <w:b/>
      <w:bCs/>
      <w:sz w:val="24"/>
      <w:szCs w:val="26"/>
    </w:rPr>
  </w:style>
  <w:style w:type="character" w:customStyle="1" w:styleId="Heading4Char">
    <w:name w:val="Heading 4 Char"/>
    <w:basedOn w:val="DefaultParagraphFont"/>
    <w:link w:val="Heading4"/>
    <w:rsid w:val="00F70069"/>
    <w:rPr>
      <w:b/>
      <w:bCs/>
      <w:szCs w:val="28"/>
    </w:rPr>
  </w:style>
  <w:style w:type="character" w:customStyle="1" w:styleId="Heading6Char">
    <w:name w:val="Heading 6 Char"/>
    <w:basedOn w:val="DefaultParagraphFont"/>
    <w:link w:val="Heading6"/>
    <w:rsid w:val="00C325E2"/>
    <w:rPr>
      <w:snapToGrid w:val="0"/>
    </w:rPr>
  </w:style>
  <w:style w:type="paragraph" w:customStyle="1" w:styleId="ESEReportName">
    <w:name w:val="ESE Report Name"/>
    <w:basedOn w:val="Normal"/>
    <w:next w:val="Normal"/>
    <w:qFormat/>
    <w:rsid w:val="008F759E"/>
    <w:pPr>
      <w:spacing w:line="400" w:lineRule="exact"/>
    </w:pPr>
    <w:rPr>
      <w:rFonts w:ascii="Arial" w:hAnsi="Arial"/>
      <w:b/>
      <w:color w:val="000000"/>
      <w:sz w:val="36"/>
    </w:rPr>
  </w:style>
  <w:style w:type="paragraph" w:customStyle="1" w:styleId="AgencyTitle">
    <w:name w:val="Agency Title"/>
    <w:basedOn w:val="Normal"/>
    <w:semiHidden/>
    <w:rsid w:val="008F759E"/>
    <w:rPr>
      <w:rFonts w:ascii="Arial" w:hAnsi="Arial"/>
      <w:b/>
      <w:sz w:val="18"/>
    </w:rPr>
  </w:style>
  <w:style w:type="paragraph" w:customStyle="1" w:styleId="arial9">
    <w:name w:val="arial9"/>
    <w:basedOn w:val="Normal"/>
    <w:semiHidden/>
    <w:rsid w:val="008F759E"/>
    <w:pPr>
      <w:ind w:right="-108"/>
    </w:pPr>
    <w:rPr>
      <w:rFonts w:ascii="Arial" w:hAnsi="Arial"/>
      <w:sz w:val="18"/>
    </w:rPr>
  </w:style>
  <w:style w:type="paragraph" w:customStyle="1" w:styleId="ESESourceLine">
    <w:name w:val="ESE Source Line"/>
    <w:basedOn w:val="Normal"/>
    <w:next w:val="Normal"/>
    <w:link w:val="ESESourceLineChar"/>
    <w:rsid w:val="008F759E"/>
    <w:rPr>
      <w:i/>
      <w:sz w:val="20"/>
    </w:rPr>
  </w:style>
  <w:style w:type="paragraph" w:customStyle="1" w:styleId="ESEBullet-Lev1">
    <w:name w:val="ESE Bullet - Lev1"/>
    <w:basedOn w:val="Normal"/>
    <w:qFormat/>
    <w:rsid w:val="008F759E"/>
    <w:pPr>
      <w:numPr>
        <w:numId w:val="1"/>
      </w:numPr>
      <w:spacing w:before="60" w:after="120"/>
    </w:pPr>
  </w:style>
  <w:style w:type="paragraph" w:customStyle="1" w:styleId="ESETableChartFigHeaders">
    <w:name w:val="ESE Table/Chart/Fig Headers"/>
    <w:basedOn w:val="Normal"/>
    <w:next w:val="Normal"/>
    <w:rsid w:val="008F759E"/>
    <w:pPr>
      <w:spacing w:after="120"/>
    </w:pPr>
    <w:rPr>
      <w:rFonts w:ascii="Arial" w:hAnsi="Arial"/>
      <w:b/>
      <w:sz w:val="22"/>
    </w:rPr>
  </w:style>
  <w:style w:type="paragraph" w:customStyle="1" w:styleId="BoardMembers">
    <w:name w:val="BoardMembers"/>
    <w:basedOn w:val="Normal"/>
    <w:semiHidden/>
    <w:rsid w:val="008F759E"/>
    <w:pPr>
      <w:jc w:val="center"/>
    </w:pPr>
    <w:rPr>
      <w:rFonts w:ascii="Arial" w:hAnsi="Arial"/>
      <w:sz w:val="18"/>
      <w:szCs w:val="20"/>
    </w:rPr>
  </w:style>
  <w:style w:type="table" w:customStyle="1" w:styleId="ESETablesOpenStyle">
    <w:name w:val="ESE Tables Open Style"/>
    <w:basedOn w:val="TableNormal"/>
    <w:rsid w:val="008F759E"/>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8F759E"/>
    <w:pPr>
      <w:ind w:left="720"/>
    </w:pPr>
    <w:rPr>
      <w:i/>
    </w:rPr>
  </w:style>
  <w:style w:type="paragraph" w:customStyle="1" w:styleId="Permission">
    <w:name w:val="Permission"/>
    <w:basedOn w:val="Normal"/>
    <w:semiHidden/>
    <w:rsid w:val="008F759E"/>
    <w:pPr>
      <w:jc w:val="center"/>
    </w:pPr>
    <w:rPr>
      <w:rFonts w:ascii="Arial" w:hAnsi="Arial"/>
      <w:i/>
      <w:iCs/>
      <w:sz w:val="18"/>
      <w:szCs w:val="20"/>
    </w:rPr>
  </w:style>
  <w:style w:type="character" w:styleId="PlaceholderText">
    <w:name w:val="Placeholder Text"/>
    <w:uiPriority w:val="99"/>
    <w:semiHidden/>
    <w:rsid w:val="008F759E"/>
    <w:rPr>
      <w:color w:val="808080"/>
    </w:rPr>
  </w:style>
  <w:style w:type="paragraph" w:styleId="TOCHeading">
    <w:name w:val="TOC Heading"/>
    <w:basedOn w:val="Heading1"/>
    <w:next w:val="Normal"/>
    <w:uiPriority w:val="39"/>
    <w:qFormat/>
    <w:rsid w:val="008F759E"/>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8F759E"/>
    <w:pPr>
      <w:pBdr>
        <w:bottom w:val="single" w:sz="6" w:space="1" w:color="auto"/>
      </w:pBdr>
    </w:pPr>
    <w:rPr>
      <w:color w:val="auto"/>
    </w:rPr>
  </w:style>
  <w:style w:type="paragraph" w:styleId="Footer">
    <w:name w:val="footer"/>
    <w:basedOn w:val="Normal"/>
    <w:link w:val="FooterChar"/>
    <w:autoRedefine/>
    <w:uiPriority w:val="99"/>
    <w:rsid w:val="008F759E"/>
    <w:pPr>
      <w:tabs>
        <w:tab w:val="right" w:pos="9360"/>
      </w:tabs>
    </w:pPr>
    <w:rPr>
      <w:i/>
      <w:sz w:val="20"/>
    </w:rPr>
  </w:style>
  <w:style w:type="character" w:customStyle="1" w:styleId="FooterChar">
    <w:name w:val="Footer Char"/>
    <w:basedOn w:val="DefaultParagraphFont"/>
    <w:link w:val="Footer"/>
    <w:uiPriority w:val="99"/>
    <w:rsid w:val="008F759E"/>
    <w:rPr>
      <w:i/>
      <w:szCs w:val="24"/>
    </w:rPr>
  </w:style>
  <w:style w:type="paragraph" w:customStyle="1" w:styleId="ESEBullet-Lev2">
    <w:name w:val="ESE Bullet - Lev2"/>
    <w:basedOn w:val="ESEBullet-Lev1"/>
    <w:qFormat/>
    <w:rsid w:val="008F759E"/>
    <w:pPr>
      <w:numPr>
        <w:numId w:val="6"/>
      </w:numPr>
      <w:tabs>
        <w:tab w:val="clear" w:pos="0"/>
        <w:tab w:val="left" w:pos="1080"/>
      </w:tabs>
    </w:pPr>
  </w:style>
  <w:style w:type="paragraph" w:customStyle="1" w:styleId="ESEBullet-Lev3">
    <w:name w:val="ESE Bullet - Lev3"/>
    <w:basedOn w:val="ESEBullet-Lev2"/>
    <w:qFormat/>
    <w:rsid w:val="008F759E"/>
    <w:pPr>
      <w:numPr>
        <w:numId w:val="2"/>
      </w:numPr>
      <w:tabs>
        <w:tab w:val="clear" w:pos="0"/>
        <w:tab w:val="clear" w:pos="1080"/>
        <w:tab w:val="left" w:pos="1440"/>
      </w:tabs>
    </w:pPr>
  </w:style>
  <w:style w:type="paragraph" w:customStyle="1" w:styleId="ESENumberswspacing">
    <w:name w:val="ESE Numbers w/ spacing"/>
    <w:basedOn w:val="Normal"/>
    <w:qFormat/>
    <w:rsid w:val="008F759E"/>
    <w:pPr>
      <w:numPr>
        <w:numId w:val="4"/>
      </w:numPr>
      <w:spacing w:before="60" w:after="120"/>
    </w:pPr>
  </w:style>
  <w:style w:type="paragraph" w:styleId="TOC1">
    <w:name w:val="toc 1"/>
    <w:basedOn w:val="Normal"/>
    <w:next w:val="Normal"/>
    <w:uiPriority w:val="39"/>
    <w:rsid w:val="008F759E"/>
    <w:pPr>
      <w:tabs>
        <w:tab w:val="right" w:leader="dot" w:pos="9360"/>
      </w:tabs>
      <w:spacing w:before="240" w:after="120"/>
    </w:pPr>
    <w:rPr>
      <w:rFonts w:ascii="Arial" w:hAnsi="Arial"/>
      <w:b/>
    </w:rPr>
  </w:style>
  <w:style w:type="character" w:styleId="Hyperlink">
    <w:name w:val="Hyperlink"/>
    <w:uiPriority w:val="99"/>
    <w:rsid w:val="008F759E"/>
    <w:rPr>
      <w:color w:val="0000FF"/>
      <w:u w:val="single"/>
    </w:rPr>
  </w:style>
  <w:style w:type="paragraph" w:styleId="TOC2">
    <w:name w:val="toc 2"/>
    <w:basedOn w:val="Normal"/>
    <w:next w:val="Normal"/>
    <w:uiPriority w:val="39"/>
    <w:rsid w:val="008F759E"/>
    <w:pPr>
      <w:spacing w:before="120"/>
      <w:ind w:left="245"/>
    </w:pPr>
    <w:rPr>
      <w:rFonts w:ascii="Arial" w:hAnsi="Arial"/>
    </w:rPr>
  </w:style>
  <w:style w:type="paragraph" w:styleId="TOC3">
    <w:name w:val="toc 3"/>
    <w:basedOn w:val="Normal"/>
    <w:next w:val="Normal"/>
    <w:autoRedefine/>
    <w:uiPriority w:val="39"/>
    <w:rsid w:val="008F759E"/>
    <w:pPr>
      <w:ind w:left="480"/>
    </w:pPr>
    <w:rPr>
      <w:rFonts w:ascii="Arial" w:hAnsi="Arial"/>
      <w:sz w:val="22"/>
    </w:rPr>
  </w:style>
  <w:style w:type="paragraph" w:styleId="TOC4">
    <w:name w:val="toc 4"/>
    <w:basedOn w:val="Normal"/>
    <w:next w:val="Normal"/>
    <w:autoRedefine/>
    <w:uiPriority w:val="39"/>
    <w:rsid w:val="00DA657B"/>
    <w:pPr>
      <w:spacing w:before="120" w:after="120"/>
      <w:ind w:left="720"/>
    </w:pPr>
    <w:rPr>
      <w:rFonts w:ascii="Arial" w:hAnsi="Arial"/>
      <w:sz w:val="20"/>
    </w:rPr>
  </w:style>
  <w:style w:type="paragraph" w:styleId="TOC5">
    <w:name w:val="toc 5"/>
    <w:basedOn w:val="Normal"/>
    <w:next w:val="Normal"/>
    <w:autoRedefine/>
    <w:rsid w:val="00DA657B"/>
    <w:pPr>
      <w:spacing w:before="120" w:after="120"/>
      <w:ind w:left="965"/>
    </w:pPr>
    <w:rPr>
      <w:rFonts w:ascii="Arial" w:hAnsi="Arial"/>
      <w:sz w:val="20"/>
    </w:rPr>
  </w:style>
  <w:style w:type="paragraph" w:styleId="Header">
    <w:name w:val="header"/>
    <w:basedOn w:val="Normal"/>
    <w:link w:val="HeaderChar"/>
    <w:uiPriority w:val="99"/>
    <w:rsid w:val="008F759E"/>
    <w:pPr>
      <w:tabs>
        <w:tab w:val="center" w:pos="4320"/>
        <w:tab w:val="right" w:pos="8640"/>
      </w:tabs>
    </w:pPr>
  </w:style>
  <w:style w:type="character" w:customStyle="1" w:styleId="HeaderChar">
    <w:name w:val="Header Char"/>
    <w:basedOn w:val="DefaultParagraphFont"/>
    <w:link w:val="Header"/>
    <w:uiPriority w:val="99"/>
    <w:rsid w:val="008F759E"/>
    <w:rPr>
      <w:sz w:val="24"/>
      <w:szCs w:val="24"/>
    </w:rPr>
  </w:style>
  <w:style w:type="table" w:customStyle="1" w:styleId="ESETablesGridStyle">
    <w:name w:val="ESE Tables Grid Style"/>
    <w:basedOn w:val="TableNormal"/>
    <w:rsid w:val="008F759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Verdana" w:hAnsi="Verdana"/>
        <w:sz w:val="22"/>
      </w:rPr>
    </w:tblStylePr>
  </w:style>
  <w:style w:type="paragraph" w:customStyle="1" w:styleId="Extraspacingafter">
    <w:name w:val="Extra spacing after"/>
    <w:basedOn w:val="Normal"/>
    <w:semiHidden/>
    <w:rsid w:val="008F759E"/>
    <w:pPr>
      <w:spacing w:after="120"/>
    </w:pPr>
  </w:style>
  <w:style w:type="numbering" w:customStyle="1" w:styleId="ESEList-Numbers">
    <w:name w:val="ESE List - Numbers"/>
    <w:basedOn w:val="NoList"/>
    <w:rsid w:val="008F759E"/>
    <w:pPr>
      <w:numPr>
        <w:numId w:val="3"/>
      </w:numPr>
    </w:pPr>
  </w:style>
  <w:style w:type="numbering" w:customStyle="1" w:styleId="ESEList-Bullets">
    <w:name w:val="ESE List - Bullets"/>
    <w:basedOn w:val="NoList"/>
    <w:rsid w:val="008F759E"/>
    <w:pPr>
      <w:numPr>
        <w:numId w:val="5"/>
      </w:numPr>
    </w:pPr>
  </w:style>
  <w:style w:type="paragraph" w:styleId="BalloonText">
    <w:name w:val="Balloon Text"/>
    <w:basedOn w:val="Normal"/>
    <w:link w:val="BalloonTextChar"/>
    <w:rsid w:val="008F759E"/>
    <w:rPr>
      <w:rFonts w:ascii="Tahoma" w:hAnsi="Tahoma" w:cs="Tahoma"/>
      <w:sz w:val="16"/>
      <w:szCs w:val="16"/>
    </w:rPr>
  </w:style>
  <w:style w:type="character" w:customStyle="1" w:styleId="BalloonTextChar">
    <w:name w:val="Balloon Text Char"/>
    <w:basedOn w:val="DefaultParagraphFont"/>
    <w:link w:val="BalloonText"/>
    <w:rsid w:val="008F759E"/>
    <w:rPr>
      <w:rFonts w:ascii="Tahoma" w:hAnsi="Tahoma" w:cs="Tahoma"/>
      <w:sz w:val="16"/>
      <w:szCs w:val="16"/>
    </w:rPr>
  </w:style>
  <w:style w:type="table" w:styleId="TableGrid">
    <w:name w:val="Table Grid"/>
    <w:basedOn w:val="TableNormal"/>
    <w:uiPriority w:val="39"/>
    <w:rsid w:val="008F759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8F759E"/>
    <w:rPr>
      <w:sz w:val="20"/>
      <w:szCs w:val="20"/>
    </w:rPr>
  </w:style>
  <w:style w:type="character" w:customStyle="1" w:styleId="FootnoteTextChar">
    <w:name w:val="Footnote Text Char"/>
    <w:basedOn w:val="DefaultParagraphFont"/>
    <w:link w:val="FootnoteText"/>
    <w:rsid w:val="008F759E"/>
  </w:style>
  <w:style w:type="character" w:styleId="FootnoteReference">
    <w:name w:val="footnote reference"/>
    <w:basedOn w:val="DefaultParagraphFont"/>
    <w:rsid w:val="008F759E"/>
    <w:rPr>
      <w:vertAlign w:val="superscript"/>
    </w:rPr>
  </w:style>
  <w:style w:type="paragraph" w:styleId="ListParagraph">
    <w:name w:val="List Paragraph"/>
    <w:basedOn w:val="Normal"/>
    <w:uiPriority w:val="34"/>
    <w:qFormat/>
    <w:rsid w:val="008F759E"/>
    <w:pPr>
      <w:ind w:left="720"/>
      <w:contextualSpacing/>
    </w:pPr>
  </w:style>
  <w:style w:type="character" w:customStyle="1" w:styleId="bold1">
    <w:name w:val="bold1"/>
    <w:basedOn w:val="DefaultParagraphFont"/>
    <w:rsid w:val="008F759E"/>
    <w:rPr>
      <w:b/>
      <w:bCs/>
    </w:rPr>
  </w:style>
  <w:style w:type="character" w:styleId="CommentReference">
    <w:name w:val="annotation reference"/>
    <w:basedOn w:val="DefaultParagraphFont"/>
    <w:uiPriority w:val="99"/>
    <w:unhideWhenUsed/>
    <w:rsid w:val="008F759E"/>
    <w:rPr>
      <w:sz w:val="16"/>
      <w:szCs w:val="16"/>
    </w:rPr>
  </w:style>
  <w:style w:type="paragraph" w:styleId="CommentText">
    <w:name w:val="annotation text"/>
    <w:basedOn w:val="Normal"/>
    <w:link w:val="CommentTextChar"/>
    <w:uiPriority w:val="99"/>
    <w:unhideWhenUsed/>
    <w:rsid w:val="008F759E"/>
    <w:rPr>
      <w:sz w:val="20"/>
      <w:szCs w:val="20"/>
    </w:rPr>
  </w:style>
  <w:style w:type="character" w:customStyle="1" w:styleId="CommentTextChar">
    <w:name w:val="Comment Text Char"/>
    <w:basedOn w:val="DefaultParagraphFont"/>
    <w:link w:val="CommentText"/>
    <w:uiPriority w:val="99"/>
    <w:rsid w:val="008F759E"/>
  </w:style>
  <w:style w:type="character" w:styleId="HTMLCite">
    <w:name w:val="HTML Cite"/>
    <w:basedOn w:val="DefaultParagraphFont"/>
    <w:uiPriority w:val="99"/>
    <w:unhideWhenUsed/>
    <w:rsid w:val="008F759E"/>
    <w:rPr>
      <w:i/>
      <w:iCs/>
    </w:rPr>
  </w:style>
  <w:style w:type="character" w:customStyle="1" w:styleId="ESESourceLineChar">
    <w:name w:val="ESE Source Line Char"/>
    <w:basedOn w:val="DefaultParagraphFont"/>
    <w:link w:val="ESESourceLine"/>
    <w:rsid w:val="008F759E"/>
    <w:rPr>
      <w:i/>
      <w:szCs w:val="24"/>
    </w:rPr>
  </w:style>
  <w:style w:type="table" w:customStyle="1" w:styleId="LightList-Accent11">
    <w:name w:val="Light List - Accent 11"/>
    <w:basedOn w:val="TableNormal"/>
    <w:uiPriority w:val="61"/>
    <w:rsid w:val="008F759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
    <w:name w:val="Body Text"/>
    <w:basedOn w:val="Normal"/>
    <w:link w:val="BodyTextChar"/>
    <w:uiPriority w:val="1"/>
    <w:qFormat/>
    <w:rsid w:val="008F759E"/>
    <w:pPr>
      <w:widowControl w:val="0"/>
      <w:ind w:left="620"/>
    </w:pPr>
    <w:rPr>
      <w:rFonts w:ascii="Calibri" w:eastAsia="Calibri" w:hAnsi="Calibri" w:cstheme="minorBidi"/>
      <w:i/>
    </w:rPr>
  </w:style>
  <w:style w:type="character" w:customStyle="1" w:styleId="BodyTextChar">
    <w:name w:val="Body Text Char"/>
    <w:basedOn w:val="DefaultParagraphFont"/>
    <w:link w:val="BodyText"/>
    <w:uiPriority w:val="1"/>
    <w:rsid w:val="008F759E"/>
    <w:rPr>
      <w:rFonts w:ascii="Calibri" w:eastAsia="Calibri" w:hAnsi="Calibri" w:cstheme="minorBidi"/>
      <w:i/>
      <w:sz w:val="24"/>
      <w:szCs w:val="24"/>
    </w:rPr>
  </w:style>
  <w:style w:type="character" w:styleId="FollowedHyperlink">
    <w:name w:val="FollowedHyperlink"/>
    <w:basedOn w:val="DefaultParagraphFont"/>
    <w:rsid w:val="008F759E"/>
    <w:rPr>
      <w:color w:val="800080" w:themeColor="followedHyperlink"/>
      <w:u w:val="single"/>
    </w:rPr>
  </w:style>
  <w:style w:type="character" w:styleId="Strong">
    <w:name w:val="Strong"/>
    <w:basedOn w:val="DefaultParagraphFont"/>
    <w:uiPriority w:val="22"/>
    <w:qFormat/>
    <w:rsid w:val="008F759E"/>
    <w:rPr>
      <w:rFonts w:ascii="Arial" w:hAnsi="Arial" w:cs="Arial" w:hint="default"/>
      <w:b/>
      <w:bCs/>
    </w:rPr>
  </w:style>
  <w:style w:type="character" w:styleId="Emphasis">
    <w:name w:val="Emphasis"/>
    <w:basedOn w:val="DefaultParagraphFont"/>
    <w:qFormat/>
    <w:rsid w:val="008F759E"/>
    <w:rPr>
      <w:i/>
      <w:iCs/>
    </w:rPr>
  </w:style>
  <w:style w:type="paragraph" w:styleId="PlainText">
    <w:name w:val="Plain Text"/>
    <w:basedOn w:val="Normal"/>
    <w:link w:val="PlainTextChar"/>
    <w:uiPriority w:val="99"/>
    <w:unhideWhenUsed/>
    <w:rsid w:val="008F759E"/>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F759E"/>
    <w:rPr>
      <w:rFonts w:ascii="Consolas" w:eastAsiaTheme="minorHAnsi" w:hAnsi="Consolas" w:cstheme="minorBidi"/>
      <w:sz w:val="21"/>
      <w:szCs w:val="21"/>
    </w:rPr>
  </w:style>
  <w:style w:type="table" w:styleId="TableClassic1">
    <w:name w:val="Table Classic 1"/>
    <w:basedOn w:val="TableNormal"/>
    <w:rsid w:val="008F759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8F759E"/>
    <w:pPr>
      <w:spacing w:before="100" w:beforeAutospacing="1" w:after="100" w:afterAutospacing="1"/>
    </w:pPr>
  </w:style>
  <w:style w:type="character" w:customStyle="1" w:styleId="cesresulturi">
    <w:name w:val="cesresulturi"/>
    <w:basedOn w:val="DefaultParagraphFont"/>
    <w:rsid w:val="008F759E"/>
  </w:style>
  <w:style w:type="paragraph" w:styleId="CommentSubject">
    <w:name w:val="annotation subject"/>
    <w:basedOn w:val="CommentText"/>
    <w:next w:val="CommentText"/>
    <w:link w:val="CommentSubjectChar"/>
    <w:rsid w:val="008F759E"/>
    <w:rPr>
      <w:b/>
      <w:bCs/>
    </w:rPr>
  </w:style>
  <w:style w:type="character" w:customStyle="1" w:styleId="CommentSubjectChar">
    <w:name w:val="Comment Subject Char"/>
    <w:basedOn w:val="CommentTextChar"/>
    <w:link w:val="CommentSubject"/>
    <w:rsid w:val="008F759E"/>
    <w:rPr>
      <w:b/>
      <w:bCs/>
    </w:rPr>
  </w:style>
  <w:style w:type="paragraph" w:customStyle="1" w:styleId="Default">
    <w:name w:val="Default"/>
    <w:basedOn w:val="Normal"/>
    <w:rsid w:val="003A06DF"/>
    <w:pPr>
      <w:autoSpaceDE w:val="0"/>
      <w:autoSpaceDN w:val="0"/>
    </w:pPr>
    <w:rPr>
      <w:rFonts w:eastAsiaTheme="minorHAnsi"/>
      <w:color w:val="000000"/>
    </w:rPr>
  </w:style>
  <w:style w:type="character" w:customStyle="1" w:styleId="Heading5Char">
    <w:name w:val="Heading 5 Char"/>
    <w:basedOn w:val="DefaultParagraphFont"/>
    <w:link w:val="Heading5"/>
    <w:semiHidden/>
    <w:rsid w:val="00C325E2"/>
    <w:rPr>
      <w:rFonts w:asciiTheme="majorHAnsi" w:eastAsiaTheme="majorEastAsia" w:hAnsiTheme="majorHAnsi" w:cstheme="majorBidi"/>
      <w:color w:val="365F91" w:themeColor="accent1" w:themeShade="BF"/>
      <w:sz w:val="24"/>
      <w:szCs w:val="24"/>
    </w:rPr>
  </w:style>
  <w:style w:type="paragraph" w:styleId="TOC6">
    <w:name w:val="toc 6"/>
    <w:basedOn w:val="Normal"/>
    <w:next w:val="Normal"/>
    <w:autoRedefine/>
    <w:uiPriority w:val="39"/>
    <w:unhideWhenUsed/>
    <w:rsid w:val="00C325E2"/>
    <w:pPr>
      <w:spacing w:after="100"/>
      <w:ind w:left="1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6"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Cit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59E"/>
    <w:rPr>
      <w:sz w:val="24"/>
      <w:szCs w:val="24"/>
    </w:rPr>
  </w:style>
  <w:style w:type="paragraph" w:styleId="Heading1">
    <w:name w:val="heading 1"/>
    <w:next w:val="Normal"/>
    <w:link w:val="Heading1Char"/>
    <w:qFormat/>
    <w:rsid w:val="005914A1"/>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qFormat/>
    <w:rsid w:val="008F759E"/>
    <w:pPr>
      <w:keepNext/>
      <w:spacing w:before="240"/>
      <w:outlineLvl w:val="1"/>
    </w:pPr>
    <w:rPr>
      <w:rFonts w:ascii="Arial" w:hAnsi="Arial" w:cs="Arial"/>
      <w:b/>
      <w:bCs/>
      <w:i/>
      <w:iCs/>
      <w:sz w:val="28"/>
      <w:szCs w:val="28"/>
    </w:rPr>
  </w:style>
  <w:style w:type="paragraph" w:styleId="Heading3">
    <w:name w:val="heading 3"/>
    <w:basedOn w:val="Normal"/>
    <w:next w:val="Normal"/>
    <w:link w:val="Heading3Char"/>
    <w:qFormat/>
    <w:rsid w:val="008F759E"/>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F70069"/>
    <w:pPr>
      <w:widowControl w:val="0"/>
      <w:spacing w:before="80" w:after="80"/>
      <w:outlineLvl w:val="3"/>
    </w:pPr>
    <w:rPr>
      <w:b/>
      <w:bCs/>
      <w:sz w:val="20"/>
      <w:szCs w:val="28"/>
    </w:rPr>
  </w:style>
  <w:style w:type="paragraph" w:styleId="Heading5">
    <w:name w:val="heading 5"/>
    <w:basedOn w:val="Normal"/>
    <w:next w:val="Normal"/>
    <w:link w:val="Heading5Char"/>
    <w:semiHidden/>
    <w:unhideWhenUsed/>
    <w:qFormat/>
    <w:rsid w:val="00C325E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C325E2"/>
    <w:pPr>
      <w:keepNext/>
      <w:widowControl w:val="0"/>
      <w:outlineLvl w:val="5"/>
    </w:pPr>
    <w:rPr>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14A1"/>
    <w:rPr>
      <w:rFonts w:ascii="Arial" w:hAnsi="Arial" w:cs="Arial"/>
      <w:b/>
      <w:bCs/>
      <w:kern w:val="32"/>
      <w:sz w:val="32"/>
      <w:szCs w:val="32"/>
    </w:rPr>
  </w:style>
  <w:style w:type="character" w:customStyle="1" w:styleId="Heading2Char">
    <w:name w:val="Heading 2 Char"/>
    <w:basedOn w:val="DefaultParagraphFont"/>
    <w:link w:val="Heading2"/>
    <w:rsid w:val="008F759E"/>
    <w:rPr>
      <w:rFonts w:ascii="Arial" w:hAnsi="Arial" w:cs="Arial"/>
      <w:b/>
      <w:bCs/>
      <w:i/>
      <w:iCs/>
      <w:sz w:val="28"/>
      <w:szCs w:val="28"/>
    </w:rPr>
  </w:style>
  <w:style w:type="character" w:customStyle="1" w:styleId="Heading3Char">
    <w:name w:val="Heading 3 Char"/>
    <w:basedOn w:val="DefaultParagraphFont"/>
    <w:link w:val="Heading3"/>
    <w:rsid w:val="008F759E"/>
    <w:rPr>
      <w:rFonts w:ascii="Arial" w:hAnsi="Arial" w:cs="Arial"/>
      <w:b/>
      <w:bCs/>
      <w:sz w:val="24"/>
      <w:szCs w:val="26"/>
    </w:rPr>
  </w:style>
  <w:style w:type="character" w:customStyle="1" w:styleId="Heading4Char">
    <w:name w:val="Heading 4 Char"/>
    <w:basedOn w:val="DefaultParagraphFont"/>
    <w:link w:val="Heading4"/>
    <w:rsid w:val="00F70069"/>
    <w:rPr>
      <w:b/>
      <w:bCs/>
      <w:szCs w:val="28"/>
    </w:rPr>
  </w:style>
  <w:style w:type="character" w:customStyle="1" w:styleId="Heading6Char">
    <w:name w:val="Heading 6 Char"/>
    <w:basedOn w:val="DefaultParagraphFont"/>
    <w:link w:val="Heading6"/>
    <w:rsid w:val="00C325E2"/>
    <w:rPr>
      <w:snapToGrid w:val="0"/>
    </w:rPr>
  </w:style>
  <w:style w:type="paragraph" w:customStyle="1" w:styleId="ESEReportName">
    <w:name w:val="ESE Report Name"/>
    <w:basedOn w:val="Normal"/>
    <w:next w:val="Normal"/>
    <w:qFormat/>
    <w:rsid w:val="008F759E"/>
    <w:pPr>
      <w:spacing w:line="400" w:lineRule="exact"/>
    </w:pPr>
    <w:rPr>
      <w:rFonts w:ascii="Arial" w:hAnsi="Arial"/>
      <w:b/>
      <w:color w:val="000000"/>
      <w:sz w:val="36"/>
    </w:rPr>
  </w:style>
  <w:style w:type="paragraph" w:customStyle="1" w:styleId="AgencyTitle">
    <w:name w:val="Agency Title"/>
    <w:basedOn w:val="Normal"/>
    <w:semiHidden/>
    <w:rsid w:val="008F759E"/>
    <w:rPr>
      <w:rFonts w:ascii="Arial" w:hAnsi="Arial"/>
      <w:b/>
      <w:sz w:val="18"/>
    </w:rPr>
  </w:style>
  <w:style w:type="paragraph" w:customStyle="1" w:styleId="arial9">
    <w:name w:val="arial9"/>
    <w:basedOn w:val="Normal"/>
    <w:semiHidden/>
    <w:rsid w:val="008F759E"/>
    <w:pPr>
      <w:ind w:right="-108"/>
    </w:pPr>
    <w:rPr>
      <w:rFonts w:ascii="Arial" w:hAnsi="Arial"/>
      <w:sz w:val="18"/>
    </w:rPr>
  </w:style>
  <w:style w:type="paragraph" w:customStyle="1" w:styleId="ESESourceLine">
    <w:name w:val="ESE Source Line"/>
    <w:basedOn w:val="Normal"/>
    <w:next w:val="Normal"/>
    <w:link w:val="ESESourceLineChar"/>
    <w:rsid w:val="008F759E"/>
    <w:rPr>
      <w:i/>
      <w:sz w:val="20"/>
    </w:rPr>
  </w:style>
  <w:style w:type="paragraph" w:customStyle="1" w:styleId="ESEBullet-Lev1">
    <w:name w:val="ESE Bullet - Lev1"/>
    <w:basedOn w:val="Normal"/>
    <w:qFormat/>
    <w:rsid w:val="008F759E"/>
    <w:pPr>
      <w:numPr>
        <w:numId w:val="1"/>
      </w:numPr>
      <w:spacing w:before="60" w:after="120"/>
    </w:pPr>
  </w:style>
  <w:style w:type="paragraph" w:customStyle="1" w:styleId="ESETableChartFigHeaders">
    <w:name w:val="ESE Table/Chart/Fig Headers"/>
    <w:basedOn w:val="Normal"/>
    <w:next w:val="Normal"/>
    <w:rsid w:val="008F759E"/>
    <w:pPr>
      <w:spacing w:after="120"/>
    </w:pPr>
    <w:rPr>
      <w:rFonts w:ascii="Arial" w:hAnsi="Arial"/>
      <w:b/>
      <w:sz w:val="22"/>
    </w:rPr>
  </w:style>
  <w:style w:type="paragraph" w:customStyle="1" w:styleId="BoardMembers">
    <w:name w:val="BoardMembers"/>
    <w:basedOn w:val="Normal"/>
    <w:semiHidden/>
    <w:rsid w:val="008F759E"/>
    <w:pPr>
      <w:jc w:val="center"/>
    </w:pPr>
    <w:rPr>
      <w:rFonts w:ascii="Arial" w:hAnsi="Arial"/>
      <w:sz w:val="18"/>
      <w:szCs w:val="20"/>
    </w:rPr>
  </w:style>
  <w:style w:type="table" w:customStyle="1" w:styleId="ESETablesOpenStyle">
    <w:name w:val="ESE Tables Open Style"/>
    <w:basedOn w:val="TableNormal"/>
    <w:rsid w:val="008F759E"/>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8F759E"/>
    <w:pPr>
      <w:ind w:left="720"/>
    </w:pPr>
    <w:rPr>
      <w:i/>
    </w:rPr>
  </w:style>
  <w:style w:type="paragraph" w:customStyle="1" w:styleId="Permission">
    <w:name w:val="Permission"/>
    <w:basedOn w:val="Normal"/>
    <w:semiHidden/>
    <w:rsid w:val="008F759E"/>
    <w:pPr>
      <w:jc w:val="center"/>
    </w:pPr>
    <w:rPr>
      <w:rFonts w:ascii="Arial" w:hAnsi="Arial"/>
      <w:i/>
      <w:iCs/>
      <w:sz w:val="18"/>
      <w:szCs w:val="20"/>
    </w:rPr>
  </w:style>
  <w:style w:type="character" w:styleId="PlaceholderText">
    <w:name w:val="Placeholder Text"/>
    <w:uiPriority w:val="99"/>
    <w:semiHidden/>
    <w:rsid w:val="008F759E"/>
    <w:rPr>
      <w:color w:val="808080"/>
    </w:rPr>
  </w:style>
  <w:style w:type="paragraph" w:styleId="TOCHeading">
    <w:name w:val="TOC Heading"/>
    <w:basedOn w:val="Heading1"/>
    <w:next w:val="Normal"/>
    <w:uiPriority w:val="39"/>
    <w:qFormat/>
    <w:rsid w:val="008F759E"/>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8F759E"/>
    <w:pPr>
      <w:pBdr>
        <w:bottom w:val="single" w:sz="6" w:space="1" w:color="auto"/>
      </w:pBdr>
    </w:pPr>
    <w:rPr>
      <w:color w:val="auto"/>
    </w:rPr>
  </w:style>
  <w:style w:type="paragraph" w:styleId="Footer">
    <w:name w:val="footer"/>
    <w:basedOn w:val="Normal"/>
    <w:link w:val="FooterChar"/>
    <w:autoRedefine/>
    <w:uiPriority w:val="99"/>
    <w:rsid w:val="008F759E"/>
    <w:pPr>
      <w:tabs>
        <w:tab w:val="right" w:pos="9360"/>
      </w:tabs>
    </w:pPr>
    <w:rPr>
      <w:i/>
      <w:sz w:val="20"/>
    </w:rPr>
  </w:style>
  <w:style w:type="character" w:customStyle="1" w:styleId="FooterChar">
    <w:name w:val="Footer Char"/>
    <w:basedOn w:val="DefaultParagraphFont"/>
    <w:link w:val="Footer"/>
    <w:uiPriority w:val="99"/>
    <w:rsid w:val="008F759E"/>
    <w:rPr>
      <w:i/>
      <w:szCs w:val="24"/>
    </w:rPr>
  </w:style>
  <w:style w:type="paragraph" w:customStyle="1" w:styleId="ESEBullet-Lev2">
    <w:name w:val="ESE Bullet - Lev2"/>
    <w:basedOn w:val="ESEBullet-Lev1"/>
    <w:qFormat/>
    <w:rsid w:val="008F759E"/>
    <w:pPr>
      <w:numPr>
        <w:numId w:val="6"/>
      </w:numPr>
      <w:tabs>
        <w:tab w:val="clear" w:pos="0"/>
        <w:tab w:val="left" w:pos="1080"/>
      </w:tabs>
    </w:pPr>
  </w:style>
  <w:style w:type="paragraph" w:customStyle="1" w:styleId="ESEBullet-Lev3">
    <w:name w:val="ESE Bullet - Lev3"/>
    <w:basedOn w:val="ESEBullet-Lev2"/>
    <w:qFormat/>
    <w:rsid w:val="008F759E"/>
    <w:pPr>
      <w:numPr>
        <w:numId w:val="2"/>
      </w:numPr>
      <w:tabs>
        <w:tab w:val="clear" w:pos="0"/>
        <w:tab w:val="clear" w:pos="1080"/>
        <w:tab w:val="left" w:pos="1440"/>
      </w:tabs>
    </w:pPr>
  </w:style>
  <w:style w:type="paragraph" w:customStyle="1" w:styleId="ESENumberswspacing">
    <w:name w:val="ESE Numbers w/ spacing"/>
    <w:basedOn w:val="Normal"/>
    <w:qFormat/>
    <w:rsid w:val="008F759E"/>
    <w:pPr>
      <w:numPr>
        <w:numId w:val="4"/>
      </w:numPr>
      <w:spacing w:before="60" w:after="120"/>
    </w:pPr>
  </w:style>
  <w:style w:type="paragraph" w:styleId="TOC1">
    <w:name w:val="toc 1"/>
    <w:basedOn w:val="Normal"/>
    <w:next w:val="Normal"/>
    <w:uiPriority w:val="39"/>
    <w:rsid w:val="008F759E"/>
    <w:pPr>
      <w:tabs>
        <w:tab w:val="right" w:leader="dot" w:pos="9360"/>
      </w:tabs>
      <w:spacing w:before="240" w:after="120"/>
    </w:pPr>
    <w:rPr>
      <w:rFonts w:ascii="Arial" w:hAnsi="Arial"/>
      <w:b/>
    </w:rPr>
  </w:style>
  <w:style w:type="character" w:styleId="Hyperlink">
    <w:name w:val="Hyperlink"/>
    <w:uiPriority w:val="99"/>
    <w:rsid w:val="008F759E"/>
    <w:rPr>
      <w:color w:val="0000FF"/>
      <w:u w:val="single"/>
    </w:rPr>
  </w:style>
  <w:style w:type="paragraph" w:styleId="TOC2">
    <w:name w:val="toc 2"/>
    <w:basedOn w:val="Normal"/>
    <w:next w:val="Normal"/>
    <w:uiPriority w:val="39"/>
    <w:rsid w:val="008F759E"/>
    <w:pPr>
      <w:spacing w:before="120"/>
      <w:ind w:left="245"/>
    </w:pPr>
    <w:rPr>
      <w:rFonts w:ascii="Arial" w:hAnsi="Arial"/>
    </w:rPr>
  </w:style>
  <w:style w:type="paragraph" w:styleId="TOC3">
    <w:name w:val="toc 3"/>
    <w:basedOn w:val="Normal"/>
    <w:next w:val="Normal"/>
    <w:autoRedefine/>
    <w:uiPriority w:val="39"/>
    <w:rsid w:val="008F759E"/>
    <w:pPr>
      <w:ind w:left="480"/>
    </w:pPr>
    <w:rPr>
      <w:rFonts w:ascii="Arial" w:hAnsi="Arial"/>
      <w:sz w:val="22"/>
    </w:rPr>
  </w:style>
  <w:style w:type="paragraph" w:styleId="TOC4">
    <w:name w:val="toc 4"/>
    <w:basedOn w:val="Normal"/>
    <w:next w:val="Normal"/>
    <w:autoRedefine/>
    <w:uiPriority w:val="39"/>
    <w:rsid w:val="00DA657B"/>
    <w:pPr>
      <w:spacing w:before="120" w:after="120"/>
      <w:ind w:left="720"/>
    </w:pPr>
    <w:rPr>
      <w:rFonts w:ascii="Arial" w:hAnsi="Arial"/>
      <w:sz w:val="20"/>
    </w:rPr>
  </w:style>
  <w:style w:type="paragraph" w:styleId="TOC5">
    <w:name w:val="toc 5"/>
    <w:basedOn w:val="Normal"/>
    <w:next w:val="Normal"/>
    <w:autoRedefine/>
    <w:rsid w:val="00DA657B"/>
    <w:pPr>
      <w:spacing w:before="120" w:after="120"/>
      <w:ind w:left="965"/>
    </w:pPr>
    <w:rPr>
      <w:rFonts w:ascii="Arial" w:hAnsi="Arial"/>
      <w:sz w:val="20"/>
    </w:rPr>
  </w:style>
  <w:style w:type="paragraph" w:styleId="Header">
    <w:name w:val="header"/>
    <w:basedOn w:val="Normal"/>
    <w:link w:val="HeaderChar"/>
    <w:uiPriority w:val="99"/>
    <w:rsid w:val="008F759E"/>
    <w:pPr>
      <w:tabs>
        <w:tab w:val="center" w:pos="4320"/>
        <w:tab w:val="right" w:pos="8640"/>
      </w:tabs>
    </w:pPr>
  </w:style>
  <w:style w:type="character" w:customStyle="1" w:styleId="HeaderChar">
    <w:name w:val="Header Char"/>
    <w:basedOn w:val="DefaultParagraphFont"/>
    <w:link w:val="Header"/>
    <w:uiPriority w:val="99"/>
    <w:rsid w:val="008F759E"/>
    <w:rPr>
      <w:sz w:val="24"/>
      <w:szCs w:val="24"/>
    </w:rPr>
  </w:style>
  <w:style w:type="table" w:customStyle="1" w:styleId="ESETablesGridStyle">
    <w:name w:val="ESE Tables Grid Style"/>
    <w:basedOn w:val="TableNormal"/>
    <w:rsid w:val="008F759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Verdana" w:hAnsi="Verdana"/>
        <w:sz w:val="22"/>
      </w:rPr>
    </w:tblStylePr>
  </w:style>
  <w:style w:type="paragraph" w:customStyle="1" w:styleId="Extraspacingafter">
    <w:name w:val="Extra spacing after"/>
    <w:basedOn w:val="Normal"/>
    <w:semiHidden/>
    <w:rsid w:val="008F759E"/>
    <w:pPr>
      <w:spacing w:after="120"/>
    </w:pPr>
  </w:style>
  <w:style w:type="numbering" w:customStyle="1" w:styleId="ESEList-Numbers">
    <w:name w:val="ESE List - Numbers"/>
    <w:basedOn w:val="NoList"/>
    <w:rsid w:val="008F759E"/>
    <w:pPr>
      <w:numPr>
        <w:numId w:val="3"/>
      </w:numPr>
    </w:pPr>
  </w:style>
  <w:style w:type="numbering" w:customStyle="1" w:styleId="ESEList-Bullets">
    <w:name w:val="ESE List - Bullets"/>
    <w:basedOn w:val="NoList"/>
    <w:rsid w:val="008F759E"/>
    <w:pPr>
      <w:numPr>
        <w:numId w:val="5"/>
      </w:numPr>
    </w:pPr>
  </w:style>
  <w:style w:type="paragraph" w:styleId="BalloonText">
    <w:name w:val="Balloon Text"/>
    <w:basedOn w:val="Normal"/>
    <w:link w:val="BalloonTextChar"/>
    <w:rsid w:val="008F759E"/>
    <w:rPr>
      <w:rFonts w:ascii="Tahoma" w:hAnsi="Tahoma" w:cs="Tahoma"/>
      <w:sz w:val="16"/>
      <w:szCs w:val="16"/>
    </w:rPr>
  </w:style>
  <w:style w:type="character" w:customStyle="1" w:styleId="BalloonTextChar">
    <w:name w:val="Balloon Text Char"/>
    <w:basedOn w:val="DefaultParagraphFont"/>
    <w:link w:val="BalloonText"/>
    <w:rsid w:val="008F759E"/>
    <w:rPr>
      <w:rFonts w:ascii="Tahoma" w:hAnsi="Tahoma" w:cs="Tahoma"/>
      <w:sz w:val="16"/>
      <w:szCs w:val="16"/>
    </w:rPr>
  </w:style>
  <w:style w:type="table" w:styleId="TableGrid">
    <w:name w:val="Table Grid"/>
    <w:basedOn w:val="TableNormal"/>
    <w:uiPriority w:val="39"/>
    <w:rsid w:val="008F759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8F759E"/>
    <w:rPr>
      <w:sz w:val="20"/>
      <w:szCs w:val="20"/>
    </w:rPr>
  </w:style>
  <w:style w:type="character" w:customStyle="1" w:styleId="FootnoteTextChar">
    <w:name w:val="Footnote Text Char"/>
    <w:basedOn w:val="DefaultParagraphFont"/>
    <w:link w:val="FootnoteText"/>
    <w:rsid w:val="008F759E"/>
  </w:style>
  <w:style w:type="character" w:styleId="FootnoteReference">
    <w:name w:val="footnote reference"/>
    <w:basedOn w:val="DefaultParagraphFont"/>
    <w:rsid w:val="008F759E"/>
    <w:rPr>
      <w:vertAlign w:val="superscript"/>
    </w:rPr>
  </w:style>
  <w:style w:type="paragraph" w:styleId="ListParagraph">
    <w:name w:val="List Paragraph"/>
    <w:basedOn w:val="Normal"/>
    <w:uiPriority w:val="34"/>
    <w:qFormat/>
    <w:rsid w:val="008F759E"/>
    <w:pPr>
      <w:ind w:left="720"/>
      <w:contextualSpacing/>
    </w:pPr>
  </w:style>
  <w:style w:type="character" w:customStyle="1" w:styleId="bold1">
    <w:name w:val="bold1"/>
    <w:basedOn w:val="DefaultParagraphFont"/>
    <w:rsid w:val="008F759E"/>
    <w:rPr>
      <w:b/>
      <w:bCs/>
    </w:rPr>
  </w:style>
  <w:style w:type="character" w:styleId="CommentReference">
    <w:name w:val="annotation reference"/>
    <w:basedOn w:val="DefaultParagraphFont"/>
    <w:uiPriority w:val="99"/>
    <w:unhideWhenUsed/>
    <w:rsid w:val="008F759E"/>
    <w:rPr>
      <w:sz w:val="16"/>
      <w:szCs w:val="16"/>
    </w:rPr>
  </w:style>
  <w:style w:type="paragraph" w:styleId="CommentText">
    <w:name w:val="annotation text"/>
    <w:basedOn w:val="Normal"/>
    <w:link w:val="CommentTextChar"/>
    <w:uiPriority w:val="99"/>
    <w:unhideWhenUsed/>
    <w:rsid w:val="008F759E"/>
    <w:rPr>
      <w:sz w:val="20"/>
      <w:szCs w:val="20"/>
    </w:rPr>
  </w:style>
  <w:style w:type="character" w:customStyle="1" w:styleId="CommentTextChar">
    <w:name w:val="Comment Text Char"/>
    <w:basedOn w:val="DefaultParagraphFont"/>
    <w:link w:val="CommentText"/>
    <w:uiPriority w:val="99"/>
    <w:rsid w:val="008F759E"/>
  </w:style>
  <w:style w:type="character" w:styleId="HTMLCite">
    <w:name w:val="HTML Cite"/>
    <w:basedOn w:val="DefaultParagraphFont"/>
    <w:uiPriority w:val="99"/>
    <w:unhideWhenUsed/>
    <w:rsid w:val="008F759E"/>
    <w:rPr>
      <w:i/>
      <w:iCs/>
    </w:rPr>
  </w:style>
  <w:style w:type="character" w:customStyle="1" w:styleId="ESESourceLineChar">
    <w:name w:val="ESE Source Line Char"/>
    <w:basedOn w:val="DefaultParagraphFont"/>
    <w:link w:val="ESESourceLine"/>
    <w:rsid w:val="008F759E"/>
    <w:rPr>
      <w:i/>
      <w:szCs w:val="24"/>
    </w:rPr>
  </w:style>
  <w:style w:type="table" w:customStyle="1" w:styleId="LightList-Accent11">
    <w:name w:val="Light List - Accent 11"/>
    <w:basedOn w:val="TableNormal"/>
    <w:uiPriority w:val="61"/>
    <w:rsid w:val="008F759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
    <w:name w:val="Body Text"/>
    <w:basedOn w:val="Normal"/>
    <w:link w:val="BodyTextChar"/>
    <w:uiPriority w:val="1"/>
    <w:qFormat/>
    <w:rsid w:val="008F759E"/>
    <w:pPr>
      <w:widowControl w:val="0"/>
      <w:ind w:left="620"/>
    </w:pPr>
    <w:rPr>
      <w:rFonts w:ascii="Calibri" w:eastAsia="Calibri" w:hAnsi="Calibri" w:cstheme="minorBidi"/>
      <w:i/>
    </w:rPr>
  </w:style>
  <w:style w:type="character" w:customStyle="1" w:styleId="BodyTextChar">
    <w:name w:val="Body Text Char"/>
    <w:basedOn w:val="DefaultParagraphFont"/>
    <w:link w:val="BodyText"/>
    <w:uiPriority w:val="1"/>
    <w:rsid w:val="008F759E"/>
    <w:rPr>
      <w:rFonts w:ascii="Calibri" w:eastAsia="Calibri" w:hAnsi="Calibri" w:cstheme="minorBidi"/>
      <w:i/>
      <w:sz w:val="24"/>
      <w:szCs w:val="24"/>
    </w:rPr>
  </w:style>
  <w:style w:type="character" w:styleId="FollowedHyperlink">
    <w:name w:val="FollowedHyperlink"/>
    <w:basedOn w:val="DefaultParagraphFont"/>
    <w:rsid w:val="008F759E"/>
    <w:rPr>
      <w:color w:val="800080" w:themeColor="followedHyperlink"/>
      <w:u w:val="single"/>
    </w:rPr>
  </w:style>
  <w:style w:type="character" w:styleId="Strong">
    <w:name w:val="Strong"/>
    <w:basedOn w:val="DefaultParagraphFont"/>
    <w:uiPriority w:val="22"/>
    <w:qFormat/>
    <w:rsid w:val="008F759E"/>
    <w:rPr>
      <w:rFonts w:ascii="Arial" w:hAnsi="Arial" w:cs="Arial" w:hint="default"/>
      <w:b/>
      <w:bCs/>
    </w:rPr>
  </w:style>
  <w:style w:type="character" w:styleId="Emphasis">
    <w:name w:val="Emphasis"/>
    <w:basedOn w:val="DefaultParagraphFont"/>
    <w:qFormat/>
    <w:rsid w:val="008F759E"/>
    <w:rPr>
      <w:i/>
      <w:iCs/>
    </w:rPr>
  </w:style>
  <w:style w:type="paragraph" w:styleId="PlainText">
    <w:name w:val="Plain Text"/>
    <w:basedOn w:val="Normal"/>
    <w:link w:val="PlainTextChar"/>
    <w:uiPriority w:val="99"/>
    <w:unhideWhenUsed/>
    <w:rsid w:val="008F759E"/>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F759E"/>
    <w:rPr>
      <w:rFonts w:ascii="Consolas" w:eastAsiaTheme="minorHAnsi" w:hAnsi="Consolas" w:cstheme="minorBidi"/>
      <w:sz w:val="21"/>
      <w:szCs w:val="21"/>
    </w:rPr>
  </w:style>
  <w:style w:type="table" w:styleId="TableClassic1">
    <w:name w:val="Table Classic 1"/>
    <w:basedOn w:val="TableNormal"/>
    <w:rsid w:val="008F759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8F759E"/>
    <w:pPr>
      <w:spacing w:before="100" w:beforeAutospacing="1" w:after="100" w:afterAutospacing="1"/>
    </w:pPr>
  </w:style>
  <w:style w:type="character" w:customStyle="1" w:styleId="cesresulturi">
    <w:name w:val="cesresulturi"/>
    <w:basedOn w:val="DefaultParagraphFont"/>
    <w:rsid w:val="008F759E"/>
  </w:style>
  <w:style w:type="paragraph" w:styleId="CommentSubject">
    <w:name w:val="annotation subject"/>
    <w:basedOn w:val="CommentText"/>
    <w:next w:val="CommentText"/>
    <w:link w:val="CommentSubjectChar"/>
    <w:rsid w:val="008F759E"/>
    <w:rPr>
      <w:b/>
      <w:bCs/>
    </w:rPr>
  </w:style>
  <w:style w:type="character" w:customStyle="1" w:styleId="CommentSubjectChar">
    <w:name w:val="Comment Subject Char"/>
    <w:basedOn w:val="CommentTextChar"/>
    <w:link w:val="CommentSubject"/>
    <w:rsid w:val="008F759E"/>
    <w:rPr>
      <w:b/>
      <w:bCs/>
    </w:rPr>
  </w:style>
  <w:style w:type="paragraph" w:customStyle="1" w:styleId="Default">
    <w:name w:val="Default"/>
    <w:basedOn w:val="Normal"/>
    <w:rsid w:val="003A06DF"/>
    <w:pPr>
      <w:autoSpaceDE w:val="0"/>
      <w:autoSpaceDN w:val="0"/>
    </w:pPr>
    <w:rPr>
      <w:rFonts w:eastAsiaTheme="minorHAnsi"/>
      <w:color w:val="000000"/>
    </w:rPr>
  </w:style>
  <w:style w:type="character" w:customStyle="1" w:styleId="Heading5Char">
    <w:name w:val="Heading 5 Char"/>
    <w:basedOn w:val="DefaultParagraphFont"/>
    <w:link w:val="Heading5"/>
    <w:semiHidden/>
    <w:rsid w:val="00C325E2"/>
    <w:rPr>
      <w:rFonts w:asciiTheme="majorHAnsi" w:eastAsiaTheme="majorEastAsia" w:hAnsiTheme="majorHAnsi" w:cstheme="majorBidi"/>
      <w:color w:val="365F91" w:themeColor="accent1" w:themeShade="BF"/>
      <w:sz w:val="24"/>
      <w:szCs w:val="24"/>
    </w:rPr>
  </w:style>
  <w:style w:type="paragraph" w:styleId="TOC6">
    <w:name w:val="toc 6"/>
    <w:basedOn w:val="Normal"/>
    <w:next w:val="Normal"/>
    <w:autoRedefine/>
    <w:uiPriority w:val="39"/>
    <w:unhideWhenUsed/>
    <w:rsid w:val="00C325E2"/>
    <w:pPr>
      <w:spacing w:after="100"/>
      <w:ind w:left="1200"/>
    </w:pPr>
  </w:style>
</w:styles>
</file>

<file path=word/webSettings.xml><?xml version="1.0" encoding="utf-8"?>
<w:webSettings xmlns:r="http://schemas.openxmlformats.org/officeDocument/2006/relationships" xmlns:w="http://schemas.openxmlformats.org/wordprocessingml/2006/main">
  <w:divs>
    <w:div w:id="471211841">
      <w:bodyDiv w:val="1"/>
      <w:marLeft w:val="0"/>
      <w:marRight w:val="0"/>
      <w:marTop w:val="0"/>
      <w:marBottom w:val="0"/>
      <w:divBdr>
        <w:top w:val="none" w:sz="0" w:space="0" w:color="auto"/>
        <w:left w:val="none" w:sz="0" w:space="0" w:color="auto"/>
        <w:bottom w:val="none" w:sz="0" w:space="0" w:color="auto"/>
        <w:right w:val="none" w:sz="0" w:space="0" w:color="auto"/>
      </w:divBdr>
    </w:div>
    <w:div w:id="660543116">
      <w:bodyDiv w:val="1"/>
      <w:marLeft w:val="0"/>
      <w:marRight w:val="0"/>
      <w:marTop w:val="0"/>
      <w:marBottom w:val="0"/>
      <w:divBdr>
        <w:top w:val="none" w:sz="0" w:space="0" w:color="auto"/>
        <w:left w:val="none" w:sz="0" w:space="0" w:color="auto"/>
        <w:bottom w:val="none" w:sz="0" w:space="0" w:color="auto"/>
        <w:right w:val="none" w:sz="0" w:space="0" w:color="auto"/>
      </w:divBdr>
    </w:div>
    <w:div w:id="803155407">
      <w:bodyDiv w:val="1"/>
      <w:marLeft w:val="0"/>
      <w:marRight w:val="0"/>
      <w:marTop w:val="0"/>
      <w:marBottom w:val="0"/>
      <w:divBdr>
        <w:top w:val="none" w:sz="0" w:space="0" w:color="auto"/>
        <w:left w:val="none" w:sz="0" w:space="0" w:color="auto"/>
        <w:bottom w:val="none" w:sz="0" w:space="0" w:color="auto"/>
        <w:right w:val="none" w:sz="0" w:space="0" w:color="auto"/>
      </w:divBdr>
    </w:div>
    <w:div w:id="1641380316">
      <w:bodyDiv w:val="1"/>
      <w:marLeft w:val="0"/>
      <w:marRight w:val="0"/>
      <w:marTop w:val="0"/>
      <w:marBottom w:val="0"/>
      <w:divBdr>
        <w:top w:val="none" w:sz="0" w:space="0" w:color="auto"/>
        <w:left w:val="none" w:sz="0" w:space="0" w:color="auto"/>
        <w:bottom w:val="none" w:sz="0" w:space="0" w:color="auto"/>
        <w:right w:val="none" w:sz="0" w:space="0" w:color="auto"/>
      </w:divBdr>
      <w:divsChild>
        <w:div w:id="516500299">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gif"/><Relationship Id="rId18" Type="http://schemas.openxmlformats.org/officeDocument/2006/relationships/footer" Target="footer1.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http://gisprpxy.itd.state.ma.us/AGOL/DCPS/dcps_responsive.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doe.mass.edu/odl/grants/DigitalConnection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www2.ed.gov/policy/gen/guid/fpco/ppra/index.html" TargetMode="External"/><Relationship Id="rId10" Type="http://schemas.openxmlformats.org/officeDocument/2006/relationships/footnotes" Target="footnotes.xml"/><Relationship Id="rId19" Type="http://schemas.openxmlformats.org/officeDocument/2006/relationships/hyperlink" Target="http://www.doe.mass.edu/grants/2015/DCPS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DESE-231-17805</_dlc_DocId>
    <_dlc_DocIdUrl xmlns="733efe1c-5bbe-4968-87dc-d400e65c879f">
      <Url>https://sharepoint.doemass.org/ese/webteam/cps/_layouts/DocIdRedir.aspx?ID=DESE-231-17805</Url>
      <Description>DESE-231-17805</Description>
    </_dlc_DocIdUrl>
    <_vti_RoutingExistingProperties xmlns="0a4e05da-b9bc-4326-ad73-01ef31b95567" xsi:nil="true"/>
    <_dlc_DocIdPersistId xmlns="733efe1c-5bbe-4968-87dc-d400e65c879f">true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CA254-44FF-41FE-933A-E7ED7723BAA0}">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2.xml><?xml version="1.0" encoding="utf-8"?>
<ds:datastoreItem xmlns:ds="http://schemas.openxmlformats.org/officeDocument/2006/customXml" ds:itemID="{DAE53234-48F5-40B9-A674-0AA90A783DA1}">
  <ds:schemaRefs>
    <ds:schemaRef ds:uri="http://schemas.microsoft.com/sharepoint/events"/>
  </ds:schemaRefs>
</ds:datastoreItem>
</file>

<file path=customXml/itemProps3.xml><?xml version="1.0" encoding="utf-8"?>
<ds:datastoreItem xmlns:ds="http://schemas.openxmlformats.org/officeDocument/2006/customXml" ds:itemID="{B11D8FA5-96DF-48F7-AC6E-C9A1C5481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5CA367-1957-4A26-B445-CF3210D4FF12}">
  <ds:schemaRefs>
    <ds:schemaRef ds:uri="http://schemas.microsoft.com/sharepoint/v3/contenttype/forms"/>
  </ds:schemaRefs>
</ds:datastoreItem>
</file>

<file path=customXml/itemProps5.xml><?xml version="1.0" encoding="utf-8"?>
<ds:datastoreItem xmlns:ds="http://schemas.openxmlformats.org/officeDocument/2006/customXml" ds:itemID="{AD520DBA-8294-4308-9A11-5271391EE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4544</Words>
  <Characters>26951</Characters>
  <Application>Microsoft Office Word</Application>
  <DocSecurity>0</DocSecurity>
  <Lines>816</Lines>
  <Paragraphs>477</Paragraphs>
  <ScaleCrop>false</ScaleCrop>
  <HeadingPairs>
    <vt:vector size="2" baseType="variant">
      <vt:variant>
        <vt:lpstr>Title</vt:lpstr>
      </vt:variant>
      <vt:variant>
        <vt:i4>1</vt:i4>
      </vt:variant>
    </vt:vector>
  </HeadingPairs>
  <TitlesOfParts>
    <vt:vector size="1" baseType="lpstr">
      <vt:lpstr>Digital Connections Partnership Schools Grant: Strategic Plan (June 2015)</vt:lpstr>
    </vt:vector>
  </TitlesOfParts>
  <Company/>
  <LinksUpToDate>false</LinksUpToDate>
  <CharactersWithSpaces>31018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Connections Partnership Schools Grant: Strategic Plan (June 2015)</dc:title>
  <dc:creator>ESE</dc:creator>
  <cp:lastModifiedBy>dzou</cp:lastModifiedBy>
  <cp:revision>4</cp:revision>
  <cp:lastPrinted>2015-07-01T20:12:00Z</cp:lastPrinted>
  <dcterms:created xsi:type="dcterms:W3CDTF">2015-07-28T13:00:00Z</dcterms:created>
  <dcterms:modified xsi:type="dcterms:W3CDTF">2015-07-28T15:41:00Z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28 2015</vt:lpwstr>
  </property>
</Properties>
</file>